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22" w:type="dxa"/>
        <w:tblInd w:w="335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022"/>
      </w:tblGrid>
      <w:tr w:rsidR="006D7CCF" w:rsidRPr="00AC6CD2" w14:paraId="57068C40" w14:textId="77777777" w:rsidTr="00992829">
        <w:trPr>
          <w:cantSplit/>
          <w:trHeight w:val="1477"/>
        </w:trPr>
        <w:tc>
          <w:tcPr>
            <w:tcW w:w="2022" w:type="dxa"/>
          </w:tcPr>
          <w:p w14:paraId="2C47BC10" w14:textId="77777777" w:rsidR="006D7CCF" w:rsidRPr="00AC6CD2" w:rsidRDefault="006E60C9" w:rsidP="00992829">
            <w:pPr>
              <w:pStyle w:val="Heading1"/>
              <w:spacing w:before="240" w:after="360"/>
              <w:ind w:left="-14"/>
              <w:jc w:val="center"/>
              <w:rPr>
                <w:b/>
                <w:noProof/>
                <w:kern w:val="0"/>
                <w:lang w:val="fr-CA"/>
              </w:rPr>
            </w:pPr>
            <w:bookmarkStart w:id="0" w:name="_Toc1830137"/>
            <w:bookmarkStart w:id="1" w:name="_Toc1830520"/>
            <w:r w:rsidRPr="00AC6CD2">
              <w:rPr>
                <w:b/>
                <w:noProof/>
                <w:kern w:val="0"/>
                <w:lang w:val="fr-CA"/>
              </w:rPr>
              <w:drawing>
                <wp:inline distT="0" distB="0" distL="0" distR="0" wp14:anchorId="2E9F9BA2" wp14:editId="3C2265A7">
                  <wp:extent cx="457200" cy="8477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847725"/>
                          </a:xfrm>
                          <a:prstGeom prst="rect">
                            <a:avLst/>
                          </a:prstGeom>
                          <a:noFill/>
                          <a:ln>
                            <a:noFill/>
                          </a:ln>
                        </pic:spPr>
                      </pic:pic>
                    </a:graphicData>
                  </a:graphic>
                </wp:inline>
              </w:drawing>
            </w:r>
            <w:bookmarkEnd w:id="0"/>
            <w:bookmarkEnd w:id="1"/>
          </w:p>
        </w:tc>
      </w:tr>
    </w:tbl>
    <w:p w14:paraId="313F564E" w14:textId="77777777" w:rsidR="007538F9" w:rsidRPr="00AC6CD2" w:rsidRDefault="007A6FD3" w:rsidP="007538F9">
      <w:pPr>
        <w:pStyle w:val="SubtitleCover"/>
        <w:pBdr>
          <w:top w:val="single" w:sz="6" w:space="16" w:color="auto"/>
        </w:pBdr>
        <w:spacing w:before="240" w:line="580" w:lineRule="atLeast"/>
        <w:jc w:val="center"/>
        <w:rPr>
          <w:i/>
          <w:szCs w:val="48"/>
          <w:lang w:val="fr-CA"/>
        </w:rPr>
      </w:pPr>
      <w:r w:rsidRPr="00AC6CD2">
        <w:rPr>
          <w:i/>
          <w:szCs w:val="48"/>
          <w:lang w:val="fr-CA"/>
        </w:rPr>
        <w:t>A</w:t>
      </w:r>
      <w:r w:rsidR="0096020A" w:rsidRPr="00AC6CD2">
        <w:rPr>
          <w:i/>
          <w:szCs w:val="48"/>
          <w:lang w:val="fr-CA"/>
        </w:rPr>
        <w:t>nalyse de la c</w:t>
      </w:r>
      <w:r w:rsidR="008A7D36" w:rsidRPr="00AC6CD2">
        <w:rPr>
          <w:i/>
          <w:szCs w:val="48"/>
          <w:lang w:val="fr-CA"/>
        </w:rPr>
        <w:t>ontribution à l’effort de guerre des Franco-Américains de Manchester</w:t>
      </w:r>
      <w:r w:rsidR="005A2ACC" w:rsidRPr="00AC6CD2">
        <w:rPr>
          <w:i/>
          <w:szCs w:val="48"/>
          <w:lang w:val="fr-CA"/>
        </w:rPr>
        <w:t xml:space="preserve"> (</w:t>
      </w:r>
      <w:r w:rsidR="00A10C9C" w:rsidRPr="00AC6CD2">
        <w:rPr>
          <w:i/>
          <w:szCs w:val="48"/>
          <w:lang w:val="fr-CA"/>
        </w:rPr>
        <w:t>New</w:t>
      </w:r>
      <w:r w:rsidR="001C18F7" w:rsidRPr="00AC6CD2">
        <w:rPr>
          <w:i/>
          <w:szCs w:val="48"/>
          <w:lang w:val="fr-CA"/>
        </w:rPr>
        <w:t xml:space="preserve"> </w:t>
      </w:r>
      <w:r w:rsidR="00A10C9C" w:rsidRPr="00AC6CD2">
        <w:rPr>
          <w:i/>
          <w:szCs w:val="48"/>
          <w:lang w:val="fr-CA"/>
        </w:rPr>
        <w:t>Hampshire</w:t>
      </w:r>
      <w:r w:rsidR="005A2ACC" w:rsidRPr="00AC6CD2">
        <w:rPr>
          <w:i/>
          <w:szCs w:val="48"/>
          <w:lang w:val="fr-CA"/>
        </w:rPr>
        <w:t xml:space="preserve">) </w:t>
      </w:r>
      <w:r w:rsidR="00553C1D" w:rsidRPr="00AC6CD2">
        <w:rPr>
          <w:i/>
          <w:szCs w:val="48"/>
          <w:lang w:val="fr-CA"/>
        </w:rPr>
        <w:t xml:space="preserve">lors de </w:t>
      </w:r>
      <w:r w:rsidR="008A7D36" w:rsidRPr="00AC6CD2">
        <w:rPr>
          <w:i/>
          <w:szCs w:val="48"/>
          <w:lang w:val="fr-CA"/>
        </w:rPr>
        <w:t>la Première Guerre mondiale</w:t>
      </w:r>
    </w:p>
    <w:p w14:paraId="65DECD1E" w14:textId="77777777" w:rsidR="007538F9" w:rsidRPr="00AC6CD2" w:rsidRDefault="007538F9" w:rsidP="007538F9">
      <w:pPr>
        <w:rPr>
          <w:rFonts w:ascii="Arial" w:hAnsi="Arial" w:cs="Arial"/>
          <w:shd w:val="clear" w:color="auto" w:fill="FFFFFF"/>
          <w:lang w:val="fr-CA"/>
        </w:rPr>
      </w:pPr>
    </w:p>
    <w:p w14:paraId="2F6FEF7C" w14:textId="77777777" w:rsidR="009E5465" w:rsidRPr="00AC6CD2" w:rsidRDefault="009E5465" w:rsidP="007538F9">
      <w:pPr>
        <w:jc w:val="center"/>
        <w:rPr>
          <w:rFonts w:ascii="Arial" w:hAnsi="Arial" w:cs="Arial"/>
          <w:shd w:val="clear" w:color="auto" w:fill="FFFFFF"/>
          <w:lang w:val="fr-CA"/>
        </w:rPr>
      </w:pPr>
    </w:p>
    <w:p w14:paraId="74433DFD" w14:textId="77777777" w:rsidR="009E5465" w:rsidRPr="00AC6CD2" w:rsidRDefault="009E5465" w:rsidP="007538F9">
      <w:pPr>
        <w:jc w:val="center"/>
        <w:rPr>
          <w:rFonts w:ascii="Arial" w:hAnsi="Arial" w:cs="Arial"/>
          <w:shd w:val="clear" w:color="auto" w:fill="FFFFFF"/>
          <w:lang w:val="fr-CA"/>
        </w:rPr>
      </w:pPr>
    </w:p>
    <w:p w14:paraId="52ADF9DC" w14:textId="77777777" w:rsidR="007538F9" w:rsidRPr="00AC6CD2" w:rsidRDefault="00BB66EF" w:rsidP="007538F9">
      <w:pPr>
        <w:jc w:val="center"/>
        <w:rPr>
          <w:rFonts w:ascii="Arial" w:hAnsi="Arial" w:cs="Arial"/>
          <w:shd w:val="clear" w:color="auto" w:fill="FFFFFF"/>
          <w:lang w:val="fr-CA"/>
        </w:rPr>
      </w:pPr>
      <w:r>
        <w:rPr>
          <w:rFonts w:ascii="Arial" w:hAnsi="Arial" w:cs="Arial"/>
          <w:shd w:val="clear" w:color="auto" w:fill="FFFFFF"/>
          <w:lang w:val="fr-CA"/>
        </w:rPr>
        <w:t>Un mémoire de maîtrise</w:t>
      </w:r>
      <w:r w:rsidR="007A6FD3" w:rsidRPr="00AC6CD2">
        <w:rPr>
          <w:rFonts w:ascii="Arial" w:hAnsi="Arial" w:cs="Arial"/>
          <w:shd w:val="clear" w:color="auto" w:fill="FFFFFF"/>
          <w:lang w:val="fr-CA"/>
        </w:rPr>
        <w:t xml:space="preserve"> soumis à la Division des études supérieures</w:t>
      </w:r>
      <w:r w:rsidR="007A6FD3" w:rsidRPr="00AC6CD2">
        <w:rPr>
          <w:rFonts w:ascii="Arial" w:hAnsi="Arial" w:cs="Arial"/>
          <w:lang w:val="fr-CA"/>
        </w:rPr>
        <w:br/>
      </w:r>
      <w:r w:rsidR="007A6FD3" w:rsidRPr="00AC6CD2">
        <w:rPr>
          <w:rFonts w:ascii="Arial" w:hAnsi="Arial" w:cs="Arial"/>
          <w:shd w:val="clear" w:color="auto" w:fill="FFFFFF"/>
          <w:lang w:val="fr-CA"/>
        </w:rPr>
        <w:t>du Collège militaire royal du Canada</w:t>
      </w:r>
    </w:p>
    <w:p w14:paraId="77575CF0" w14:textId="77777777" w:rsidR="007538F9" w:rsidRPr="00AC6CD2" w:rsidRDefault="007538F9" w:rsidP="007538F9">
      <w:pPr>
        <w:jc w:val="center"/>
        <w:rPr>
          <w:rFonts w:ascii="Arial" w:hAnsi="Arial" w:cs="Arial"/>
          <w:shd w:val="clear" w:color="auto" w:fill="FFFFFF"/>
          <w:lang w:val="fr-CA"/>
        </w:rPr>
      </w:pPr>
    </w:p>
    <w:p w14:paraId="6D95523B" w14:textId="77777777" w:rsidR="007538F9" w:rsidRPr="00AC6CD2" w:rsidRDefault="007A6FD3" w:rsidP="007538F9">
      <w:pPr>
        <w:jc w:val="center"/>
        <w:rPr>
          <w:rFonts w:ascii="Arial" w:hAnsi="Arial" w:cs="Arial"/>
          <w:shd w:val="clear" w:color="auto" w:fill="FFFFFF"/>
          <w:lang w:val="fr-CA"/>
        </w:rPr>
      </w:pPr>
      <w:r w:rsidRPr="00AC6CD2">
        <w:rPr>
          <w:rFonts w:ascii="Arial" w:hAnsi="Arial" w:cs="Arial"/>
          <w:lang w:val="fr-CA"/>
        </w:rPr>
        <w:br/>
      </w:r>
      <w:r w:rsidRPr="00AC6CD2">
        <w:rPr>
          <w:rFonts w:ascii="Arial" w:hAnsi="Arial" w:cs="Arial"/>
          <w:shd w:val="clear" w:color="auto" w:fill="FFFFFF"/>
          <w:lang w:val="fr-CA"/>
        </w:rPr>
        <w:t>par</w:t>
      </w:r>
    </w:p>
    <w:p w14:paraId="148082C5" w14:textId="77777777" w:rsidR="007538F9" w:rsidRPr="00AC6CD2" w:rsidRDefault="007538F9" w:rsidP="007538F9">
      <w:pPr>
        <w:jc w:val="center"/>
        <w:rPr>
          <w:rFonts w:ascii="Arial" w:hAnsi="Arial" w:cs="Arial"/>
          <w:shd w:val="clear" w:color="auto" w:fill="FFFFFF"/>
          <w:lang w:val="fr-CA"/>
        </w:rPr>
      </w:pPr>
    </w:p>
    <w:p w14:paraId="2125713F" w14:textId="77777777" w:rsidR="007538F9" w:rsidRPr="00AC6CD2" w:rsidRDefault="007538F9" w:rsidP="007538F9">
      <w:pPr>
        <w:jc w:val="center"/>
        <w:rPr>
          <w:rFonts w:ascii="Arial" w:hAnsi="Arial" w:cs="Arial"/>
          <w:shd w:val="clear" w:color="auto" w:fill="FFFFFF"/>
          <w:lang w:val="fr-CA"/>
        </w:rPr>
      </w:pPr>
    </w:p>
    <w:p w14:paraId="347641C6" w14:textId="77777777" w:rsidR="007538F9" w:rsidRPr="00AC6CD2" w:rsidRDefault="007A6FD3" w:rsidP="007538F9">
      <w:pPr>
        <w:jc w:val="center"/>
        <w:rPr>
          <w:rFonts w:ascii="Arial" w:hAnsi="Arial" w:cs="Arial"/>
          <w:lang w:val="fr-CA"/>
        </w:rPr>
      </w:pPr>
      <w:r w:rsidRPr="00AC6CD2">
        <w:rPr>
          <w:rFonts w:ascii="Arial" w:hAnsi="Arial" w:cs="Arial"/>
          <w:lang w:val="fr-CA"/>
        </w:rPr>
        <w:t>Joël Côté</w:t>
      </w:r>
    </w:p>
    <w:p w14:paraId="37C61223" w14:textId="77777777" w:rsidR="007538F9" w:rsidRPr="00AC6CD2" w:rsidRDefault="007538F9" w:rsidP="007538F9">
      <w:pPr>
        <w:jc w:val="center"/>
        <w:rPr>
          <w:rFonts w:ascii="Arial" w:hAnsi="Arial" w:cs="Arial"/>
          <w:lang w:val="fr-CA"/>
        </w:rPr>
      </w:pPr>
    </w:p>
    <w:p w14:paraId="44B28DF3" w14:textId="77777777" w:rsidR="005A2ACC" w:rsidRPr="00AC6CD2" w:rsidRDefault="007538F9" w:rsidP="007538F9">
      <w:pPr>
        <w:jc w:val="center"/>
        <w:rPr>
          <w:rFonts w:ascii="Arial" w:hAnsi="Arial" w:cs="Arial"/>
          <w:shd w:val="clear" w:color="auto" w:fill="FFFFFF"/>
          <w:lang w:val="fr-CA"/>
        </w:rPr>
      </w:pPr>
      <w:r w:rsidRPr="00AC6CD2">
        <w:rPr>
          <w:rFonts w:ascii="Arial" w:hAnsi="Arial" w:cs="Arial"/>
          <w:shd w:val="clear" w:color="auto" w:fill="FFFFFF"/>
          <w:lang w:val="fr-CA"/>
        </w:rPr>
        <w:t xml:space="preserve">en vue de l'obtention du </w:t>
      </w:r>
      <w:r w:rsidR="002E4870" w:rsidRPr="00AC6CD2">
        <w:rPr>
          <w:rFonts w:ascii="Arial" w:hAnsi="Arial" w:cs="Arial"/>
          <w:shd w:val="clear" w:color="auto" w:fill="FFFFFF"/>
          <w:lang w:val="fr-CA"/>
        </w:rPr>
        <w:t xml:space="preserve">grade </w:t>
      </w:r>
      <w:r w:rsidRPr="00AC6CD2">
        <w:rPr>
          <w:rFonts w:ascii="Arial" w:hAnsi="Arial" w:cs="Arial"/>
          <w:shd w:val="clear" w:color="auto" w:fill="FFFFFF"/>
          <w:lang w:val="fr-CA"/>
        </w:rPr>
        <w:t>de</w:t>
      </w:r>
    </w:p>
    <w:p w14:paraId="10FC76D3" w14:textId="77777777" w:rsidR="007538F9" w:rsidRPr="00AC6CD2" w:rsidRDefault="007538F9" w:rsidP="007538F9">
      <w:pPr>
        <w:jc w:val="center"/>
        <w:rPr>
          <w:rFonts w:ascii="Arial" w:hAnsi="Arial" w:cs="Arial"/>
          <w:shd w:val="clear" w:color="auto" w:fill="FFFFFF"/>
          <w:lang w:val="fr-CA"/>
        </w:rPr>
      </w:pPr>
      <w:r w:rsidRPr="00AC6CD2">
        <w:rPr>
          <w:rFonts w:ascii="Arial" w:hAnsi="Arial" w:cs="Arial"/>
          <w:shd w:val="clear" w:color="auto" w:fill="FFFFFF"/>
          <w:lang w:val="fr-CA"/>
        </w:rPr>
        <w:t>maître</w:t>
      </w:r>
      <w:r w:rsidR="002E4870" w:rsidRPr="00AC6CD2">
        <w:rPr>
          <w:rFonts w:ascii="Arial" w:hAnsi="Arial" w:cs="Arial"/>
          <w:shd w:val="clear" w:color="auto" w:fill="FFFFFF"/>
          <w:lang w:val="fr-CA"/>
        </w:rPr>
        <w:t xml:space="preserve"> ès arts</w:t>
      </w:r>
    </w:p>
    <w:p w14:paraId="4067446F" w14:textId="77777777" w:rsidR="007538F9" w:rsidRPr="00AC6CD2" w:rsidRDefault="007538F9" w:rsidP="007538F9">
      <w:pPr>
        <w:jc w:val="center"/>
        <w:rPr>
          <w:rFonts w:ascii="Arial" w:hAnsi="Arial" w:cs="Arial"/>
          <w:lang w:val="fr-CA"/>
        </w:rPr>
      </w:pPr>
    </w:p>
    <w:p w14:paraId="54B9309D" w14:textId="77777777" w:rsidR="007538F9" w:rsidRPr="00AC6CD2" w:rsidRDefault="007538F9" w:rsidP="007538F9">
      <w:pPr>
        <w:jc w:val="center"/>
        <w:rPr>
          <w:rFonts w:ascii="Arial" w:hAnsi="Arial" w:cs="Arial"/>
          <w:lang w:val="fr-CA"/>
        </w:rPr>
      </w:pPr>
    </w:p>
    <w:p w14:paraId="5F8ACC27" w14:textId="77777777" w:rsidR="007538F9" w:rsidRPr="00AC6CD2" w:rsidRDefault="007538F9" w:rsidP="007538F9">
      <w:pPr>
        <w:jc w:val="center"/>
        <w:rPr>
          <w:rFonts w:ascii="Arial" w:hAnsi="Arial" w:cs="Arial"/>
          <w:lang w:val="fr-CA"/>
        </w:rPr>
      </w:pPr>
    </w:p>
    <w:p w14:paraId="6AC6DB31" w14:textId="77777777" w:rsidR="007538F9" w:rsidRPr="00AC6CD2" w:rsidRDefault="007538F9" w:rsidP="007538F9">
      <w:pPr>
        <w:jc w:val="center"/>
        <w:rPr>
          <w:rFonts w:ascii="Arial" w:hAnsi="Arial" w:cs="Arial"/>
          <w:lang w:val="fr-CA"/>
        </w:rPr>
      </w:pPr>
    </w:p>
    <w:p w14:paraId="69D3DDA3" w14:textId="77777777" w:rsidR="007538F9" w:rsidRPr="00AC6CD2" w:rsidRDefault="007538F9" w:rsidP="007538F9">
      <w:pPr>
        <w:jc w:val="center"/>
        <w:rPr>
          <w:rFonts w:ascii="Arial" w:hAnsi="Arial" w:cs="Arial"/>
          <w:lang w:val="fr-CA"/>
        </w:rPr>
      </w:pPr>
    </w:p>
    <w:p w14:paraId="7FEA9359" w14:textId="77777777" w:rsidR="007538F9" w:rsidRPr="00AC6CD2" w:rsidRDefault="007538F9" w:rsidP="007538F9">
      <w:pPr>
        <w:jc w:val="center"/>
        <w:rPr>
          <w:rFonts w:ascii="Arial" w:hAnsi="Arial" w:cs="Arial"/>
          <w:lang w:val="fr-CA"/>
        </w:rPr>
      </w:pPr>
    </w:p>
    <w:p w14:paraId="6523B511" w14:textId="77777777" w:rsidR="007538F9" w:rsidRPr="00AC6CD2" w:rsidRDefault="007538F9" w:rsidP="007538F9">
      <w:pPr>
        <w:jc w:val="center"/>
        <w:rPr>
          <w:rFonts w:ascii="Arial" w:hAnsi="Arial" w:cs="Arial"/>
          <w:lang w:val="fr-CA"/>
        </w:rPr>
      </w:pPr>
    </w:p>
    <w:p w14:paraId="25E63135" w14:textId="77777777" w:rsidR="007538F9" w:rsidRPr="00AC6CD2" w:rsidRDefault="007538F9" w:rsidP="007538F9">
      <w:pPr>
        <w:jc w:val="center"/>
        <w:rPr>
          <w:rFonts w:ascii="Arial" w:hAnsi="Arial" w:cs="Arial"/>
          <w:lang w:val="fr-CA"/>
        </w:rPr>
      </w:pPr>
    </w:p>
    <w:p w14:paraId="0AFA848A" w14:textId="77777777" w:rsidR="007538F9" w:rsidRPr="00AC6CD2" w:rsidRDefault="007538F9" w:rsidP="007538F9">
      <w:pPr>
        <w:jc w:val="center"/>
        <w:rPr>
          <w:rFonts w:ascii="Arial" w:hAnsi="Arial" w:cs="Arial"/>
          <w:lang w:val="fr-CA"/>
        </w:rPr>
      </w:pPr>
    </w:p>
    <w:p w14:paraId="47BB6425" w14:textId="77777777" w:rsidR="007538F9" w:rsidRPr="00AC6CD2" w:rsidRDefault="007538F9" w:rsidP="007538F9">
      <w:pPr>
        <w:jc w:val="center"/>
        <w:rPr>
          <w:rFonts w:ascii="Arial" w:hAnsi="Arial" w:cs="Arial"/>
          <w:lang w:val="fr-CA"/>
        </w:rPr>
      </w:pPr>
    </w:p>
    <w:p w14:paraId="7AFDBA40" w14:textId="77777777" w:rsidR="007538F9" w:rsidRPr="00AC6CD2" w:rsidRDefault="00921044" w:rsidP="007538F9">
      <w:pPr>
        <w:jc w:val="center"/>
        <w:rPr>
          <w:rFonts w:ascii="Arial" w:hAnsi="Arial" w:cs="Arial"/>
          <w:lang w:val="fr-CA"/>
        </w:rPr>
      </w:pPr>
      <w:r w:rsidRPr="00921044">
        <w:rPr>
          <w:rFonts w:ascii="Arial" w:hAnsi="Arial" w:cs="Arial"/>
          <w:lang w:val="fr-CA"/>
        </w:rPr>
        <w:t>13</w:t>
      </w:r>
      <w:r w:rsidR="008A7D36" w:rsidRPr="00921044">
        <w:rPr>
          <w:rFonts w:ascii="Arial" w:hAnsi="Arial" w:cs="Arial"/>
          <w:lang w:val="fr-CA"/>
        </w:rPr>
        <w:t xml:space="preserve"> </w:t>
      </w:r>
      <w:r w:rsidR="00B65703" w:rsidRPr="00921044">
        <w:rPr>
          <w:rFonts w:ascii="Arial" w:hAnsi="Arial" w:cs="Arial"/>
          <w:lang w:val="fr-CA"/>
        </w:rPr>
        <w:t xml:space="preserve">janvier </w:t>
      </w:r>
      <w:r w:rsidR="00E8041D" w:rsidRPr="00921044">
        <w:rPr>
          <w:rFonts w:ascii="Arial" w:hAnsi="Arial" w:cs="Arial"/>
          <w:lang w:val="fr-CA"/>
        </w:rPr>
        <w:t>20</w:t>
      </w:r>
      <w:r w:rsidR="0060206E" w:rsidRPr="00921044">
        <w:rPr>
          <w:rFonts w:ascii="Arial" w:hAnsi="Arial" w:cs="Arial"/>
          <w:lang w:val="fr-CA"/>
        </w:rPr>
        <w:t>20</w:t>
      </w:r>
    </w:p>
    <w:p w14:paraId="72DF2F25" w14:textId="77777777" w:rsidR="007538F9" w:rsidRPr="00AC6CD2" w:rsidRDefault="007538F9" w:rsidP="007538F9">
      <w:pPr>
        <w:jc w:val="center"/>
        <w:rPr>
          <w:rFonts w:ascii="Arial" w:hAnsi="Arial" w:cs="Arial"/>
          <w:lang w:val="fr-CA"/>
        </w:rPr>
      </w:pPr>
    </w:p>
    <w:p w14:paraId="77208F0E" w14:textId="77777777" w:rsidR="0035120C" w:rsidRPr="00AC6CD2" w:rsidRDefault="007538F9" w:rsidP="005F25AC">
      <w:pPr>
        <w:jc w:val="center"/>
        <w:rPr>
          <w:rFonts w:ascii="Arial" w:hAnsi="Arial" w:cs="Arial"/>
          <w:sz w:val="18"/>
          <w:szCs w:val="18"/>
          <w:shd w:val="clear" w:color="auto" w:fill="FFFFFF"/>
          <w:lang w:val="fr-CA"/>
        </w:rPr>
      </w:pPr>
      <w:r w:rsidRPr="00AC6CD2">
        <w:rPr>
          <w:rFonts w:ascii="Arial" w:hAnsi="Arial" w:cs="Arial"/>
          <w:sz w:val="18"/>
          <w:szCs w:val="18"/>
          <w:shd w:val="clear" w:color="auto" w:fill="FFFFFF"/>
          <w:lang w:val="fr-CA"/>
        </w:rPr>
        <w:t>© L</w:t>
      </w:r>
      <w:r w:rsidR="00BB66EF">
        <w:rPr>
          <w:rFonts w:ascii="Arial" w:hAnsi="Arial" w:cs="Arial"/>
          <w:sz w:val="18"/>
          <w:szCs w:val="18"/>
          <w:shd w:val="clear" w:color="auto" w:fill="FFFFFF"/>
          <w:lang w:val="fr-CA"/>
        </w:rPr>
        <w:t>e</w:t>
      </w:r>
      <w:r w:rsidRPr="00AC6CD2">
        <w:rPr>
          <w:rFonts w:ascii="Arial" w:hAnsi="Arial" w:cs="Arial"/>
          <w:sz w:val="18"/>
          <w:szCs w:val="18"/>
          <w:shd w:val="clear" w:color="auto" w:fill="FFFFFF"/>
          <w:lang w:val="fr-CA"/>
        </w:rPr>
        <w:t xml:space="preserve"> présent </w:t>
      </w:r>
      <w:r w:rsidR="00BB66EF">
        <w:rPr>
          <w:rFonts w:ascii="Arial" w:hAnsi="Arial" w:cs="Arial"/>
          <w:sz w:val="18"/>
          <w:szCs w:val="18"/>
          <w:shd w:val="clear" w:color="auto" w:fill="FFFFFF"/>
          <w:lang w:val="fr-CA"/>
        </w:rPr>
        <w:t>mémoire</w:t>
      </w:r>
      <w:r w:rsidRPr="00AC6CD2">
        <w:rPr>
          <w:rFonts w:ascii="Arial" w:hAnsi="Arial" w:cs="Arial"/>
          <w:sz w:val="18"/>
          <w:szCs w:val="18"/>
          <w:shd w:val="clear" w:color="auto" w:fill="FFFFFF"/>
          <w:lang w:val="fr-CA"/>
        </w:rPr>
        <w:t xml:space="preserve"> peut être utilisé au ministère de la Défense nationale, mais l'auteur conserve les droits de publication.</w:t>
      </w:r>
    </w:p>
    <w:p w14:paraId="371D0C97" w14:textId="77777777" w:rsidR="005F550A" w:rsidRPr="00AC6CD2" w:rsidRDefault="005F550A" w:rsidP="005F550A">
      <w:pPr>
        <w:numPr>
          <w:ilvl w:val="0"/>
          <w:numId w:val="30"/>
        </w:numPr>
        <w:shd w:val="clear" w:color="auto" w:fill="FFFFFF"/>
        <w:spacing w:before="100" w:beforeAutospacing="1" w:after="100" w:afterAutospacing="1"/>
        <w:rPr>
          <w:lang w:val="fr-CA"/>
        </w:rPr>
        <w:sectPr w:rsidR="005F550A" w:rsidRPr="00AC6CD2" w:rsidSect="005F550A">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pgNumType w:fmt="lowerRoman" w:start="2"/>
          <w:cols w:space="720"/>
          <w:docGrid w:linePitch="360"/>
        </w:sectPr>
      </w:pPr>
    </w:p>
    <w:p w14:paraId="7078C41C" w14:textId="77777777" w:rsidR="006D7CCF" w:rsidRPr="00816CF5" w:rsidRDefault="006D7CCF" w:rsidP="00FC68A5">
      <w:pPr>
        <w:shd w:val="clear" w:color="auto" w:fill="FFFFFF"/>
        <w:spacing w:before="100" w:beforeAutospacing="1" w:after="100" w:afterAutospacing="1"/>
        <w:jc w:val="both"/>
        <w:outlineLvl w:val="3"/>
        <w:rPr>
          <w:b/>
          <w:bCs/>
          <w:color w:val="333333"/>
          <w:lang w:val="fr-CA" w:eastAsia="en-US"/>
        </w:rPr>
      </w:pPr>
      <w:r w:rsidRPr="00217EFC">
        <w:rPr>
          <w:b/>
          <w:bCs/>
          <w:color w:val="333333"/>
          <w:sz w:val="22"/>
          <w:szCs w:val="22"/>
          <w:lang w:val="fr-CA" w:eastAsia="en-US"/>
        </w:rPr>
        <w:lastRenderedPageBreak/>
        <w:t> </w:t>
      </w:r>
      <w:r w:rsidRPr="00816CF5">
        <w:rPr>
          <w:b/>
          <w:bCs/>
          <w:color w:val="333333"/>
          <w:lang w:val="fr-CA" w:eastAsia="en-US"/>
        </w:rPr>
        <w:t>Dédicace</w:t>
      </w:r>
    </w:p>
    <w:p w14:paraId="64085C68" w14:textId="77777777" w:rsidR="006D7CCF" w:rsidRPr="007E1678" w:rsidRDefault="00AE7BB5" w:rsidP="00FC68A5">
      <w:pPr>
        <w:shd w:val="clear" w:color="auto" w:fill="FFFFFF"/>
        <w:spacing w:before="100" w:beforeAutospacing="1" w:after="100" w:afterAutospacing="1"/>
        <w:jc w:val="both"/>
        <w:rPr>
          <w:bCs/>
          <w:color w:val="333333"/>
          <w:lang w:val="fr-CA" w:eastAsia="en-US"/>
        </w:rPr>
      </w:pPr>
      <w:r w:rsidRPr="007E1678">
        <w:rPr>
          <w:bCs/>
          <w:color w:val="333333"/>
          <w:lang w:val="fr-CA" w:eastAsia="en-US"/>
        </w:rPr>
        <w:t>Aux membres de</w:t>
      </w:r>
      <w:r w:rsidR="00B65703" w:rsidRPr="007E1678">
        <w:rPr>
          <w:bCs/>
          <w:color w:val="333333"/>
          <w:lang w:val="fr-CA" w:eastAsia="en-US"/>
        </w:rPr>
        <w:t xml:space="preserve"> </w:t>
      </w:r>
      <w:r w:rsidRPr="007E1678">
        <w:rPr>
          <w:bCs/>
          <w:color w:val="333333"/>
          <w:lang w:val="fr-CA" w:eastAsia="en-US"/>
        </w:rPr>
        <w:t xml:space="preserve">ma </w:t>
      </w:r>
      <w:r w:rsidR="009D5B52" w:rsidRPr="007E1678">
        <w:rPr>
          <w:bCs/>
          <w:color w:val="333333"/>
          <w:lang w:val="fr-CA" w:eastAsia="en-US"/>
        </w:rPr>
        <w:t xml:space="preserve">famille pour leur patience et surtout </w:t>
      </w:r>
      <w:r w:rsidR="00702E9F" w:rsidRPr="007E1678">
        <w:rPr>
          <w:bCs/>
          <w:color w:val="333333"/>
          <w:lang w:val="fr-CA" w:eastAsia="en-US"/>
        </w:rPr>
        <w:t xml:space="preserve">à </w:t>
      </w:r>
      <w:r w:rsidR="00B65703" w:rsidRPr="007E1678">
        <w:rPr>
          <w:bCs/>
          <w:color w:val="333333"/>
          <w:lang w:val="fr-CA" w:eastAsia="en-US"/>
        </w:rPr>
        <w:t>Abiga</w:t>
      </w:r>
      <w:r w:rsidR="00D90186" w:rsidRPr="007E1678">
        <w:rPr>
          <w:bCs/>
          <w:color w:val="333333"/>
          <w:lang w:val="fr-CA" w:eastAsia="en-US"/>
        </w:rPr>
        <w:t>i</w:t>
      </w:r>
      <w:r w:rsidR="00B65703" w:rsidRPr="007E1678">
        <w:rPr>
          <w:bCs/>
          <w:color w:val="333333"/>
          <w:lang w:val="fr-CA" w:eastAsia="en-US"/>
        </w:rPr>
        <w:t>l qui m’a toujours accompagné lors de mes multiples visites à la bibliothèque.</w:t>
      </w:r>
    </w:p>
    <w:p w14:paraId="2FCDF3E6" w14:textId="77777777" w:rsidR="006D7CCF" w:rsidRPr="00816CF5" w:rsidRDefault="006D7CCF" w:rsidP="003B7CA5">
      <w:pPr>
        <w:shd w:val="clear" w:color="auto" w:fill="FFFFFF"/>
        <w:spacing w:before="100" w:beforeAutospacing="1" w:after="100" w:afterAutospacing="1"/>
        <w:jc w:val="both"/>
        <w:rPr>
          <w:b/>
          <w:bCs/>
          <w:color w:val="333333"/>
          <w:lang w:val="fr-CA" w:eastAsia="en-US"/>
        </w:rPr>
      </w:pPr>
      <w:r w:rsidRPr="00217EFC">
        <w:rPr>
          <w:sz w:val="22"/>
          <w:szCs w:val="22"/>
          <w:lang w:val="fr-CA"/>
        </w:rPr>
        <w:br w:type="page"/>
      </w:r>
      <w:r w:rsidRPr="00816CF5">
        <w:rPr>
          <w:b/>
          <w:bCs/>
          <w:color w:val="333333"/>
          <w:lang w:val="fr-CA" w:eastAsia="en-US"/>
        </w:rPr>
        <w:lastRenderedPageBreak/>
        <w:t>Remerciements</w:t>
      </w:r>
    </w:p>
    <w:p w14:paraId="0B128A89" w14:textId="77777777" w:rsidR="00235724" w:rsidRPr="00816CF5" w:rsidRDefault="00235724" w:rsidP="00FC68A5">
      <w:pPr>
        <w:shd w:val="clear" w:color="auto" w:fill="FFFFFF"/>
        <w:spacing w:before="100" w:beforeAutospacing="1" w:after="100" w:afterAutospacing="1"/>
        <w:jc w:val="both"/>
        <w:rPr>
          <w:color w:val="333333"/>
          <w:highlight w:val="yellow"/>
          <w:lang w:val="fr-CA" w:eastAsia="en-US"/>
        </w:rPr>
      </w:pPr>
      <w:r w:rsidRPr="00816CF5">
        <w:rPr>
          <w:color w:val="333333"/>
          <w:lang w:val="fr-CA" w:eastAsia="en-US"/>
        </w:rPr>
        <w:t xml:space="preserve">Je tiens à remercier </w:t>
      </w:r>
      <w:r w:rsidR="00D438A0">
        <w:rPr>
          <w:color w:val="333333"/>
          <w:lang w:val="fr-CA" w:eastAsia="en-US"/>
        </w:rPr>
        <w:t xml:space="preserve">Messieurs </w:t>
      </w:r>
      <w:r w:rsidR="0011435A" w:rsidRPr="00816CF5">
        <w:rPr>
          <w:color w:val="333333"/>
          <w:lang w:val="fr-CA" w:eastAsia="en-US"/>
        </w:rPr>
        <w:t xml:space="preserve">Corona et Palardy </w:t>
      </w:r>
      <w:r w:rsidRPr="00816CF5">
        <w:rPr>
          <w:color w:val="333333"/>
          <w:lang w:val="fr-CA" w:eastAsia="en-US"/>
        </w:rPr>
        <w:t>pour leur contribution lors du dépouillement d</w:t>
      </w:r>
      <w:r w:rsidR="00B65703" w:rsidRPr="00816CF5">
        <w:rPr>
          <w:color w:val="333333"/>
          <w:lang w:val="fr-CA" w:eastAsia="en-US"/>
        </w:rPr>
        <w:t xml:space="preserve">u journal </w:t>
      </w:r>
      <w:r w:rsidR="00B65703" w:rsidRPr="00816CF5">
        <w:rPr>
          <w:i/>
          <w:iCs/>
          <w:color w:val="333333"/>
          <w:lang w:val="fr-CA" w:eastAsia="en-US"/>
        </w:rPr>
        <w:t>L’Avenir National</w:t>
      </w:r>
      <w:r w:rsidR="00B65703" w:rsidRPr="00816CF5">
        <w:rPr>
          <w:color w:val="333333"/>
          <w:lang w:val="fr-CA" w:eastAsia="en-US"/>
        </w:rPr>
        <w:t xml:space="preserve">. </w:t>
      </w:r>
      <w:r w:rsidR="0011435A" w:rsidRPr="00816CF5">
        <w:rPr>
          <w:color w:val="333333"/>
          <w:lang w:val="fr-CA" w:eastAsia="en-US"/>
        </w:rPr>
        <w:t xml:space="preserve">Également, </w:t>
      </w:r>
      <w:r w:rsidR="00B65703" w:rsidRPr="00816CF5">
        <w:rPr>
          <w:color w:val="333333"/>
          <w:lang w:val="fr-CA" w:eastAsia="en-US"/>
        </w:rPr>
        <w:t>Mme</w:t>
      </w:r>
      <w:r w:rsidR="00544C10" w:rsidRPr="00816CF5">
        <w:rPr>
          <w:color w:val="333333"/>
          <w:lang w:val="fr-CA" w:eastAsia="en-US"/>
        </w:rPr>
        <w:t> </w:t>
      </w:r>
      <w:r w:rsidR="00A13B80" w:rsidRPr="00816CF5">
        <w:rPr>
          <w:color w:val="333333"/>
          <w:lang w:val="fr-CA" w:eastAsia="en-US"/>
        </w:rPr>
        <w:t>Soundouss El Kettani</w:t>
      </w:r>
      <w:r w:rsidR="0011435A" w:rsidRPr="00816CF5">
        <w:rPr>
          <w:color w:val="333333"/>
          <w:lang w:val="fr-CA" w:eastAsia="en-US"/>
        </w:rPr>
        <w:t>,</w:t>
      </w:r>
      <w:r w:rsidR="00B65703" w:rsidRPr="00816CF5">
        <w:rPr>
          <w:color w:val="333333"/>
          <w:lang w:val="fr-CA" w:eastAsia="en-US"/>
        </w:rPr>
        <w:t xml:space="preserve"> merci sincèrement pour votre patience</w:t>
      </w:r>
      <w:r w:rsidR="002B4B51" w:rsidRPr="00816CF5">
        <w:rPr>
          <w:color w:val="333333"/>
          <w:lang w:val="fr-CA" w:eastAsia="en-US"/>
        </w:rPr>
        <w:t xml:space="preserve"> et </w:t>
      </w:r>
      <w:r w:rsidR="00842EEA" w:rsidRPr="00816CF5">
        <w:rPr>
          <w:color w:val="333333"/>
          <w:lang w:val="fr-CA" w:eastAsia="en-US"/>
        </w:rPr>
        <w:t xml:space="preserve">pour </w:t>
      </w:r>
      <w:r w:rsidR="002B4B51" w:rsidRPr="00816CF5">
        <w:rPr>
          <w:color w:val="333333"/>
          <w:lang w:val="fr-CA" w:eastAsia="en-US"/>
        </w:rPr>
        <w:t>vos judicieux</w:t>
      </w:r>
      <w:r w:rsidR="0011435A" w:rsidRPr="00816CF5">
        <w:rPr>
          <w:color w:val="333333"/>
          <w:lang w:val="fr-CA" w:eastAsia="en-US"/>
        </w:rPr>
        <w:t xml:space="preserve"> conseils</w:t>
      </w:r>
      <w:r w:rsidR="00B65703" w:rsidRPr="00816CF5">
        <w:rPr>
          <w:color w:val="333333"/>
          <w:lang w:val="fr-CA" w:eastAsia="en-US"/>
        </w:rPr>
        <w:t>. Finalement, M.</w:t>
      </w:r>
      <w:r w:rsidR="00544C10" w:rsidRPr="00816CF5">
        <w:rPr>
          <w:color w:val="333333"/>
          <w:lang w:val="fr-CA" w:eastAsia="en-US"/>
        </w:rPr>
        <w:t> </w:t>
      </w:r>
      <w:r w:rsidR="00B65703" w:rsidRPr="00816CF5">
        <w:rPr>
          <w:color w:val="333333"/>
          <w:lang w:val="fr-CA" w:eastAsia="en-US"/>
        </w:rPr>
        <w:t xml:space="preserve">Jean Lamarre, </w:t>
      </w:r>
      <w:r w:rsidR="00D146C6" w:rsidRPr="00816CF5">
        <w:rPr>
          <w:color w:val="333333"/>
          <w:lang w:val="fr-CA" w:eastAsia="en-US"/>
        </w:rPr>
        <w:t xml:space="preserve">je vous </w:t>
      </w:r>
      <w:r w:rsidR="00E52F66" w:rsidRPr="00816CF5">
        <w:rPr>
          <w:color w:val="333333"/>
          <w:lang w:val="fr-CA" w:eastAsia="en-US"/>
        </w:rPr>
        <w:t>suis grandement reconnaissant,</w:t>
      </w:r>
      <w:r w:rsidR="002B4B51" w:rsidRPr="00816CF5">
        <w:rPr>
          <w:color w:val="333333"/>
          <w:lang w:val="fr-CA" w:eastAsia="en-US"/>
        </w:rPr>
        <w:t xml:space="preserve"> </w:t>
      </w:r>
      <w:r w:rsidR="00001F2F" w:rsidRPr="00816CF5">
        <w:rPr>
          <w:color w:val="333333"/>
          <w:lang w:val="fr-CA" w:eastAsia="en-US"/>
        </w:rPr>
        <w:t xml:space="preserve">pour </w:t>
      </w:r>
      <w:r w:rsidR="00E52F66" w:rsidRPr="00816CF5">
        <w:rPr>
          <w:color w:val="333333"/>
          <w:lang w:val="fr-CA" w:eastAsia="en-US"/>
        </w:rPr>
        <w:t xml:space="preserve">m’avoir permis </w:t>
      </w:r>
      <w:r w:rsidR="002B4B51" w:rsidRPr="00816CF5">
        <w:rPr>
          <w:color w:val="333333"/>
          <w:lang w:val="fr-CA" w:eastAsia="en-US"/>
        </w:rPr>
        <w:t xml:space="preserve">de </w:t>
      </w:r>
      <w:r w:rsidR="00001F2F" w:rsidRPr="00816CF5">
        <w:rPr>
          <w:color w:val="333333"/>
          <w:lang w:val="fr-CA" w:eastAsia="en-US"/>
        </w:rPr>
        <w:t xml:space="preserve">découvrir </w:t>
      </w:r>
      <w:r w:rsidR="00147FB6" w:rsidRPr="00816CF5">
        <w:rPr>
          <w:color w:val="333333"/>
          <w:lang w:val="fr-CA" w:eastAsia="en-US"/>
        </w:rPr>
        <w:t xml:space="preserve">une facette du destin de </w:t>
      </w:r>
      <w:r w:rsidR="00E82E09">
        <w:rPr>
          <w:color w:val="333333"/>
          <w:lang w:val="fr-CA" w:eastAsia="en-US"/>
        </w:rPr>
        <w:t xml:space="preserve">certains de </w:t>
      </w:r>
      <w:r w:rsidR="00842EEA" w:rsidRPr="00816CF5">
        <w:rPr>
          <w:color w:val="333333"/>
          <w:lang w:val="fr-CA" w:eastAsia="en-US"/>
        </w:rPr>
        <w:t xml:space="preserve">nos </w:t>
      </w:r>
      <w:r w:rsidR="00147FB6" w:rsidRPr="00816CF5">
        <w:rPr>
          <w:color w:val="333333"/>
          <w:lang w:val="fr-CA" w:eastAsia="en-US"/>
        </w:rPr>
        <w:t>arrière-grands-</w:t>
      </w:r>
      <w:r w:rsidR="00842EEA" w:rsidRPr="00816CF5">
        <w:rPr>
          <w:color w:val="333333"/>
          <w:lang w:val="fr-CA" w:eastAsia="en-US"/>
        </w:rPr>
        <w:t>parents</w:t>
      </w:r>
      <w:r w:rsidR="00236A1F" w:rsidRPr="00816CF5">
        <w:rPr>
          <w:color w:val="333333"/>
          <w:lang w:val="fr-CA" w:eastAsia="en-US"/>
        </w:rPr>
        <w:t>, c</w:t>
      </w:r>
      <w:r w:rsidR="00842EEA" w:rsidRPr="00816CF5">
        <w:rPr>
          <w:color w:val="333333"/>
          <w:lang w:val="fr-CA" w:eastAsia="en-US"/>
        </w:rPr>
        <w:t xml:space="preserve">ette famille </w:t>
      </w:r>
      <w:r w:rsidR="00236A1F" w:rsidRPr="00816CF5">
        <w:rPr>
          <w:color w:val="333333"/>
          <w:lang w:val="fr-CA" w:eastAsia="en-US"/>
        </w:rPr>
        <w:t>si lointaine</w:t>
      </w:r>
      <w:r w:rsidR="00960A97" w:rsidRPr="00816CF5">
        <w:rPr>
          <w:color w:val="333333"/>
          <w:lang w:val="fr-CA" w:eastAsia="en-US"/>
        </w:rPr>
        <w:t xml:space="preserve"> </w:t>
      </w:r>
      <w:r w:rsidR="00236A1F" w:rsidRPr="00816CF5">
        <w:rPr>
          <w:color w:val="333333"/>
          <w:lang w:val="fr-CA" w:eastAsia="en-US"/>
        </w:rPr>
        <w:t xml:space="preserve">dont </w:t>
      </w:r>
      <w:r w:rsidR="00842EEA" w:rsidRPr="00816CF5">
        <w:rPr>
          <w:color w:val="333333"/>
          <w:lang w:val="fr-CA" w:eastAsia="en-US"/>
        </w:rPr>
        <w:t>le</w:t>
      </w:r>
      <w:r w:rsidR="00960A97" w:rsidRPr="00816CF5">
        <w:rPr>
          <w:color w:val="333333"/>
          <w:lang w:val="fr-CA" w:eastAsia="en-US"/>
        </w:rPr>
        <w:t>ur</w:t>
      </w:r>
      <w:r w:rsidR="00842EEA" w:rsidRPr="00816CF5">
        <w:rPr>
          <w:color w:val="333333"/>
          <w:lang w:val="fr-CA" w:eastAsia="en-US"/>
        </w:rPr>
        <w:t xml:space="preserve"> souvenir </w:t>
      </w:r>
      <w:r w:rsidR="00EB7E04">
        <w:rPr>
          <w:color w:val="333333"/>
          <w:lang w:val="fr-CA" w:eastAsia="en-US"/>
        </w:rPr>
        <w:t>m</w:t>
      </w:r>
      <w:r w:rsidR="00EB7E04" w:rsidRPr="00EB7E04">
        <w:rPr>
          <w:color w:val="333333"/>
          <w:lang w:val="fr-CA" w:eastAsia="en-US"/>
        </w:rPr>
        <w:t>’</w:t>
      </w:r>
      <w:r w:rsidR="00842EEA" w:rsidRPr="00816CF5">
        <w:rPr>
          <w:color w:val="333333"/>
          <w:lang w:val="fr-CA" w:eastAsia="en-US"/>
        </w:rPr>
        <w:t>était</w:t>
      </w:r>
      <w:r w:rsidR="00236A1F" w:rsidRPr="00816CF5">
        <w:rPr>
          <w:color w:val="333333"/>
          <w:lang w:val="fr-CA" w:eastAsia="en-US"/>
        </w:rPr>
        <w:t xml:space="preserve"> tellement </w:t>
      </w:r>
      <w:r w:rsidR="00842EEA" w:rsidRPr="00816CF5">
        <w:rPr>
          <w:color w:val="333333"/>
          <w:lang w:val="fr-CA" w:eastAsia="en-US"/>
        </w:rPr>
        <w:t xml:space="preserve">nébuleux qu’il appartenait </w:t>
      </w:r>
      <w:r w:rsidR="00236A1F" w:rsidRPr="00816CF5">
        <w:rPr>
          <w:color w:val="333333"/>
          <w:lang w:val="fr-CA" w:eastAsia="en-US"/>
        </w:rPr>
        <w:t xml:space="preserve">davantage </w:t>
      </w:r>
      <w:r w:rsidR="00842EEA" w:rsidRPr="00816CF5">
        <w:rPr>
          <w:color w:val="333333"/>
          <w:lang w:val="fr-CA" w:eastAsia="en-US"/>
        </w:rPr>
        <w:t>au mythe qu’à l’histoire</w:t>
      </w:r>
      <w:r w:rsidR="00001F2F" w:rsidRPr="00816CF5">
        <w:rPr>
          <w:color w:val="333333"/>
          <w:lang w:val="fr-CA" w:eastAsia="en-US"/>
        </w:rPr>
        <w:t>.</w:t>
      </w:r>
    </w:p>
    <w:p w14:paraId="61596449" w14:textId="77777777" w:rsidR="006D7CCF" w:rsidRPr="00816CF5" w:rsidRDefault="009D49A2" w:rsidP="00274088">
      <w:pPr>
        <w:pStyle w:val="Heading4"/>
        <w:shd w:val="clear" w:color="auto" w:fill="FFFFFF"/>
        <w:spacing w:before="100" w:beforeAutospacing="1" w:after="100" w:afterAutospacing="1"/>
        <w:jc w:val="both"/>
        <w:rPr>
          <w:rFonts w:ascii="Times New Roman" w:hAnsi="Times New Roman"/>
          <w:color w:val="333333"/>
          <w:sz w:val="24"/>
          <w:szCs w:val="24"/>
          <w:lang w:val="fr-CA" w:eastAsia="en-US"/>
        </w:rPr>
      </w:pPr>
      <w:r w:rsidRPr="00C937FE">
        <w:rPr>
          <w:rFonts w:ascii="Times New Roman" w:hAnsi="Times New Roman"/>
          <w:sz w:val="22"/>
          <w:szCs w:val="22"/>
          <w:lang w:val="fr-CA"/>
        </w:rPr>
        <w:br w:type="page"/>
      </w:r>
      <w:r w:rsidR="006D7CCF" w:rsidRPr="00816CF5">
        <w:rPr>
          <w:rFonts w:ascii="Times New Roman" w:hAnsi="Times New Roman"/>
          <w:color w:val="333333"/>
          <w:sz w:val="24"/>
          <w:szCs w:val="24"/>
          <w:lang w:val="fr-CA" w:eastAsia="en-US"/>
        </w:rPr>
        <w:lastRenderedPageBreak/>
        <w:t>Résumé et « Abstract</w:t>
      </w:r>
      <w:r w:rsidR="00546446" w:rsidRPr="00816CF5">
        <w:rPr>
          <w:rFonts w:ascii="Times New Roman" w:hAnsi="Times New Roman"/>
          <w:color w:val="333333"/>
          <w:sz w:val="24"/>
          <w:szCs w:val="24"/>
          <w:lang w:val="fr-CA" w:eastAsia="en-US"/>
        </w:rPr>
        <w:t xml:space="preserve"> »</w:t>
      </w:r>
    </w:p>
    <w:p w14:paraId="3D693F67" w14:textId="77777777" w:rsidR="00600547" w:rsidRPr="00816CF5" w:rsidRDefault="00600547" w:rsidP="00600547">
      <w:pPr>
        <w:spacing w:before="100" w:beforeAutospacing="1" w:after="100" w:afterAutospacing="1"/>
        <w:ind w:firstLine="720"/>
        <w:jc w:val="both"/>
        <w:rPr>
          <w:lang w:val="fr-CA"/>
        </w:rPr>
      </w:pPr>
      <w:r w:rsidRPr="00816CF5">
        <w:rPr>
          <w:lang w:val="fr-CA"/>
        </w:rPr>
        <w:t xml:space="preserve">Cette monographie porte sur l’étude du comportement de la communauté franco-américaine de Manchester, New Hampshire, pendant la Première Guerre mondiale. Elle est une analyse de leur contribution générale à l’effort de guerre avant et durant l’implication des États-Unis dans le conflit. Nous avons dépouillé le quotidien local, </w:t>
      </w:r>
      <w:r w:rsidRPr="00816CF5">
        <w:rPr>
          <w:i/>
          <w:iCs/>
          <w:lang w:val="fr-CA"/>
        </w:rPr>
        <w:t>L’Avenir National</w:t>
      </w:r>
      <w:r w:rsidRPr="00816CF5">
        <w:rPr>
          <w:lang w:val="fr-CA"/>
        </w:rPr>
        <w:t xml:space="preserve">, afin de définir, dans un premier temps, la structure sociale de cette collectivité, à cette époque, et </w:t>
      </w:r>
      <w:r w:rsidR="00C85B02">
        <w:rPr>
          <w:lang w:val="fr-CA"/>
        </w:rPr>
        <w:t xml:space="preserve">de </w:t>
      </w:r>
      <w:r w:rsidRPr="00816CF5">
        <w:rPr>
          <w:lang w:val="fr-CA"/>
        </w:rPr>
        <w:t>déterminer les intérêts de son intelligentsia. Ensuite, l’étude d</w:t>
      </w:r>
      <w:r w:rsidR="00C85B02">
        <w:rPr>
          <w:lang w:val="fr-CA"/>
        </w:rPr>
        <w:t>’</w:t>
      </w:r>
      <w:r w:rsidRPr="00816CF5">
        <w:rPr>
          <w:lang w:val="fr-CA"/>
        </w:rPr>
        <w:t>articles du journal sert de fondation pour déterminer dans quelle mesure cette communauté s’est engagée pour la cause de l’Entente, à travers les œuvres de bienfaisance, les volontaires pour le service militaire (le Corps expéditionnaire canadien, les forces militaires françaises, la Garde Nationale et les forces expéditionnaires américaines) et les contributions aux emprunts du gouvernement américain pour financer la guerre. Or, cette communauté était grandement impliquée dans la direction politique de la ville et de l’État du New Hampshire. De plus, elle désapprouvait la politique de neutralité du Président Wilson à l’égard de</w:t>
      </w:r>
      <w:r w:rsidR="00C85B02">
        <w:rPr>
          <w:lang w:val="fr-CA"/>
        </w:rPr>
        <w:t>s</w:t>
      </w:r>
      <w:r w:rsidRPr="00816CF5">
        <w:rPr>
          <w:lang w:val="fr-CA"/>
        </w:rPr>
        <w:t xml:space="preserve"> nations belligérantes. D’ailleurs, dès le début du conflit, la communauté franco-américaine prend position en faveur de l’Entente. Pendant la phase active des États-Unis dans le conflit, la ville de Manchester excède toujours les objectifs qui lui sont assignés, soit lors des différentes collectes de fonds de la Croix-Rouge ou lors des campagnes de financement de la guerre du gouvernement américain. Pour l’élite franco-américaine de Manchester, la démonstration du patriotisme de cette communauté était indispensable pour sa survivance et la Grande Guerre fut une opportunité, pour elle, de démontrer clairement aux protagonistes du nativiste que les Franco-Américains pouvaient être à la fois francophones et Américains.</w:t>
      </w:r>
    </w:p>
    <w:p w14:paraId="09B22811" w14:textId="77777777" w:rsidR="00546446" w:rsidRPr="00816CF5" w:rsidRDefault="00816CF5" w:rsidP="00600547">
      <w:pPr>
        <w:spacing w:before="100" w:beforeAutospacing="1" w:after="100" w:afterAutospacing="1"/>
        <w:jc w:val="both"/>
      </w:pPr>
      <w:r w:rsidRPr="00A20827">
        <w:rPr>
          <w:color w:val="333333"/>
          <w:lang w:eastAsia="en-US"/>
        </w:rPr>
        <w:br w:type="page"/>
      </w:r>
      <w:r w:rsidR="00546446" w:rsidRPr="00816CF5">
        <w:rPr>
          <w:color w:val="333333"/>
          <w:lang w:eastAsia="en-US"/>
        </w:rPr>
        <w:lastRenderedPageBreak/>
        <w:t>« Abstract »</w:t>
      </w:r>
    </w:p>
    <w:p w14:paraId="12B7B8E5" w14:textId="77777777" w:rsidR="0082447D" w:rsidRPr="00870F42" w:rsidRDefault="002A5FC2" w:rsidP="0082447D">
      <w:r w:rsidRPr="00870F42">
        <w:t>This monograph examines the behaviour of the Franco-American community in Manchester, New Hampshire, during the First World War. The war contribution of this group has already begun prior to the entry of the United</w:t>
      </w:r>
      <w:r w:rsidR="0060568A" w:rsidRPr="00870F42">
        <w:t xml:space="preserve"> </w:t>
      </w:r>
      <w:r w:rsidRPr="00870F42">
        <w:t xml:space="preserve">States in the conflict. By reviewing articles from the local daily French newspaper, </w:t>
      </w:r>
      <w:r w:rsidRPr="00870F42">
        <w:rPr>
          <w:i/>
          <w:iCs/>
        </w:rPr>
        <w:t>L’Avenir National</w:t>
      </w:r>
      <w:r w:rsidR="00F21F3C" w:rsidRPr="00870F42">
        <w:t xml:space="preserve">, </w:t>
      </w:r>
      <w:r w:rsidR="00635666" w:rsidRPr="00870F42">
        <w:t xml:space="preserve">we </w:t>
      </w:r>
      <w:r w:rsidR="00870F42">
        <w:t xml:space="preserve">discovered </w:t>
      </w:r>
      <w:r w:rsidR="00635666" w:rsidRPr="00870F42">
        <w:t>how this</w:t>
      </w:r>
      <w:r w:rsidR="00870F42">
        <w:t xml:space="preserve"> society </w:t>
      </w:r>
      <w:r w:rsidR="00635666" w:rsidRPr="00870F42">
        <w:t xml:space="preserve">has </w:t>
      </w:r>
      <w:r w:rsidR="00870F42">
        <w:t>helped to achi</w:t>
      </w:r>
      <w:r w:rsidR="00D75735">
        <w:t>eve</w:t>
      </w:r>
      <w:r w:rsidR="00870F42">
        <w:t xml:space="preserve"> </w:t>
      </w:r>
      <w:r w:rsidR="00635666" w:rsidRPr="00870F42">
        <w:t>the strategic aims of its intelligentsia</w:t>
      </w:r>
      <w:r w:rsidR="00870F42">
        <w:t>,</w:t>
      </w:r>
      <w:r w:rsidR="00635666" w:rsidRPr="00870F42">
        <w:t xml:space="preserve"> by supporting the </w:t>
      </w:r>
      <w:r w:rsidR="00E47D8A" w:rsidRPr="00870F42">
        <w:t xml:space="preserve">Entente </w:t>
      </w:r>
      <w:r w:rsidR="00635666" w:rsidRPr="00870F42">
        <w:t>cause</w:t>
      </w:r>
      <w:r w:rsidR="00E47D8A" w:rsidRPr="00870F42">
        <w:t xml:space="preserve"> through charities</w:t>
      </w:r>
      <w:r w:rsidR="00957D51" w:rsidRPr="00870F42">
        <w:t>,</w:t>
      </w:r>
      <w:r w:rsidR="00E47D8A" w:rsidRPr="00870F42">
        <w:t xml:space="preserve"> </w:t>
      </w:r>
      <w:r w:rsidR="00957D51" w:rsidRPr="00870F42">
        <w:t>enrolment, either in the Canadian Expeditionary Force, the French Army, the National Guard or the American Forces and</w:t>
      </w:r>
      <w:r w:rsidR="00870F42">
        <w:t xml:space="preserve"> </w:t>
      </w:r>
      <w:r w:rsidR="00957D51" w:rsidRPr="00870F42">
        <w:t>contributions to the various American loans to finance</w:t>
      </w:r>
      <w:r w:rsidR="00276025" w:rsidRPr="00870F42">
        <w:t xml:space="preserve"> </w:t>
      </w:r>
      <w:r w:rsidR="00957D51" w:rsidRPr="00870F42">
        <w:t>war.</w:t>
      </w:r>
      <w:r w:rsidR="00276025" w:rsidRPr="00870F42">
        <w:t xml:space="preserve"> Indeed, the Franco-American </w:t>
      </w:r>
      <w:r w:rsidR="00D637B7" w:rsidRPr="00870F42">
        <w:t xml:space="preserve">politicians were </w:t>
      </w:r>
      <w:r w:rsidR="00276025" w:rsidRPr="00870F42">
        <w:t xml:space="preserve">heavily involved ensuring the town and </w:t>
      </w:r>
      <w:r w:rsidR="00870F42">
        <w:t>s</w:t>
      </w:r>
      <w:r w:rsidR="00276025" w:rsidRPr="00870F42">
        <w:t>tate participation to the war was outstanding and disapproved President Wilson Neutrality’s policy</w:t>
      </w:r>
      <w:r w:rsidR="00FC6C3F" w:rsidRPr="00870F42">
        <w:t>.</w:t>
      </w:r>
      <w:r w:rsidR="00D637B7" w:rsidRPr="00870F42">
        <w:t xml:space="preserve"> During the active </w:t>
      </w:r>
      <w:r w:rsidR="0060568A" w:rsidRPr="00870F42">
        <w:t>phase of the United States in the conflict, Manchester always exceeded</w:t>
      </w:r>
      <w:r w:rsidR="0082447D" w:rsidRPr="00870F42">
        <w:t xml:space="preserve"> their assigned goals to support the war efforts, either during the various fundraisers of the Red Cross or during the war </w:t>
      </w:r>
      <w:r w:rsidR="00D75735">
        <w:t xml:space="preserve">loan </w:t>
      </w:r>
      <w:r w:rsidR="0082447D" w:rsidRPr="00870F42">
        <w:t xml:space="preserve">campaigns of the American government. For </w:t>
      </w:r>
      <w:r w:rsidR="00870F42">
        <w:t xml:space="preserve">Manchester’s </w:t>
      </w:r>
      <w:r w:rsidR="0082447D" w:rsidRPr="00870F42">
        <w:t xml:space="preserve">Franco-American elite, the </w:t>
      </w:r>
      <w:r w:rsidR="00870F42" w:rsidRPr="00870F42">
        <w:t xml:space="preserve">demonstration </w:t>
      </w:r>
      <w:r w:rsidR="0082447D" w:rsidRPr="00870F42">
        <w:t xml:space="preserve">of patriotism </w:t>
      </w:r>
      <w:r w:rsidR="00870F42">
        <w:t xml:space="preserve">became </w:t>
      </w:r>
      <w:r w:rsidR="0082447D" w:rsidRPr="00870F42">
        <w:t>essential for its survival</w:t>
      </w:r>
      <w:r w:rsidR="00870F42">
        <w:t xml:space="preserve"> and t</w:t>
      </w:r>
      <w:r w:rsidR="0082447D" w:rsidRPr="00870F42">
        <w:t xml:space="preserve">he Great War was </w:t>
      </w:r>
      <w:r w:rsidR="00870F42">
        <w:t xml:space="preserve">an opportune situation </w:t>
      </w:r>
      <w:r w:rsidR="0082447D" w:rsidRPr="00870F42">
        <w:t>to clearly demonstrate</w:t>
      </w:r>
      <w:r w:rsidR="00870F42">
        <w:t>,</w:t>
      </w:r>
      <w:r w:rsidR="0082447D" w:rsidRPr="00870F42">
        <w:t xml:space="preserve"> to the </w:t>
      </w:r>
      <w:r w:rsidR="00870F42">
        <w:t xml:space="preserve">nativist </w:t>
      </w:r>
      <w:r w:rsidR="0082447D" w:rsidRPr="00870F42">
        <w:t>protagonists</w:t>
      </w:r>
      <w:r w:rsidR="00870F42">
        <w:t>,</w:t>
      </w:r>
      <w:r w:rsidR="0082447D" w:rsidRPr="00870F42">
        <w:t xml:space="preserve"> Franco-Americans could be both </w:t>
      </w:r>
      <w:r w:rsidR="00870F42" w:rsidRPr="00870F42">
        <w:t>francophone</w:t>
      </w:r>
      <w:r w:rsidR="00870F42">
        <w:t>s</w:t>
      </w:r>
      <w:r w:rsidR="00870F42" w:rsidRPr="00870F42">
        <w:t xml:space="preserve"> </w:t>
      </w:r>
      <w:r w:rsidR="0082447D" w:rsidRPr="00870F42">
        <w:t>and Americans.</w:t>
      </w:r>
    </w:p>
    <w:p w14:paraId="2D3CDCD2" w14:textId="77777777" w:rsidR="00640E78" w:rsidRPr="00E3751F" w:rsidRDefault="0035120C" w:rsidP="0060568A">
      <w:pPr>
        <w:rPr>
          <w:b/>
          <w:bCs/>
          <w:lang w:val="fr-CA"/>
        </w:rPr>
      </w:pPr>
      <w:r w:rsidRPr="00A20827">
        <w:rPr>
          <w:sz w:val="22"/>
          <w:szCs w:val="22"/>
          <w:lang w:val="fr-CA"/>
        </w:rPr>
        <w:br w:type="page"/>
      </w:r>
      <w:r w:rsidR="00640E78" w:rsidRPr="00E3751F">
        <w:rPr>
          <w:rFonts w:eastAsia="Calibri"/>
          <w:b/>
          <w:bCs/>
          <w:u w:val="single"/>
          <w:lang w:val="fr-CA" w:eastAsia="en-US"/>
        </w:rPr>
        <w:lastRenderedPageBreak/>
        <w:t>Table des matières</w:t>
      </w:r>
      <w:r w:rsidR="00640E78" w:rsidRPr="00E3751F">
        <w:rPr>
          <w:rFonts w:eastAsia="Calibri"/>
          <w:b/>
          <w:bCs/>
          <w:lang w:val="fr-CA" w:eastAsia="en-US"/>
        </w:rPr>
        <w:t> :</w:t>
      </w:r>
    </w:p>
    <w:p w14:paraId="12F01D8A" w14:textId="77777777" w:rsidR="00640E78" w:rsidRPr="00E3751F" w:rsidRDefault="00640E78" w:rsidP="00640E78">
      <w:pPr>
        <w:tabs>
          <w:tab w:val="right" w:leader="dot" w:pos="9360"/>
        </w:tabs>
        <w:rPr>
          <w:rFonts w:eastAsia="Calibri"/>
          <w:lang w:val="fr-CA" w:eastAsia="en-US"/>
        </w:rPr>
      </w:pPr>
    </w:p>
    <w:p w14:paraId="20A9E1EB" w14:textId="77777777" w:rsidR="00640E78" w:rsidRPr="00E3751F" w:rsidRDefault="00634F16" w:rsidP="00D06C3E">
      <w:pPr>
        <w:tabs>
          <w:tab w:val="right" w:leader="dot" w:pos="9360"/>
        </w:tabs>
        <w:spacing w:line="360" w:lineRule="auto"/>
        <w:rPr>
          <w:rFonts w:eastAsia="Calibri"/>
          <w:lang w:val="fr-CA" w:eastAsia="en-US"/>
        </w:rPr>
      </w:pPr>
      <w:r w:rsidRPr="00E3751F">
        <w:rPr>
          <w:rFonts w:eastAsia="Calibri"/>
          <w:b/>
          <w:bCs/>
          <w:u w:val="single"/>
          <w:lang w:val="fr-CA" w:eastAsia="en-US"/>
        </w:rPr>
        <w:t>Introduction</w:t>
      </w:r>
      <w:r w:rsidRPr="00E3751F">
        <w:rPr>
          <w:rFonts w:eastAsia="Calibri"/>
          <w:lang w:val="fr-CA" w:eastAsia="en-US"/>
        </w:rPr>
        <w:t xml:space="preserve"> </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Pr="00E3751F">
        <w:rPr>
          <w:rFonts w:eastAsia="Calibri"/>
          <w:lang w:val="fr-CA" w:eastAsia="en-US"/>
        </w:rPr>
        <w:t>1</w:t>
      </w:r>
    </w:p>
    <w:p w14:paraId="304CC359" w14:textId="77777777" w:rsidR="00640E78" w:rsidRPr="00E3751F" w:rsidRDefault="00640E78" w:rsidP="00D06C3E">
      <w:pPr>
        <w:spacing w:line="360" w:lineRule="auto"/>
        <w:rPr>
          <w:lang w:val="fr-CA" w:eastAsia="en-US"/>
        </w:rPr>
      </w:pPr>
    </w:p>
    <w:p w14:paraId="0BEEF20B" w14:textId="77777777" w:rsidR="00640E78" w:rsidRPr="00E3751F" w:rsidRDefault="00634F16" w:rsidP="00D06C3E">
      <w:pPr>
        <w:tabs>
          <w:tab w:val="right" w:leader="dot" w:pos="9360"/>
        </w:tabs>
        <w:spacing w:line="360" w:lineRule="auto"/>
        <w:ind w:left="720"/>
        <w:rPr>
          <w:rFonts w:eastAsia="Calibri"/>
          <w:lang w:val="fr-CA" w:eastAsia="en-US"/>
        </w:rPr>
      </w:pPr>
      <w:r w:rsidRPr="00E3751F">
        <w:rPr>
          <w:rFonts w:eastAsia="Calibri"/>
          <w:lang w:val="fr-CA" w:eastAsia="en-US"/>
        </w:rPr>
        <w:t>Exposition de la problématique et présentation de l’hypothèse</w:t>
      </w:r>
      <w:r w:rsidR="00640E78" w:rsidRPr="00E3751F">
        <w:rPr>
          <w:rFonts w:eastAsia="Calibri"/>
          <w:lang w:val="fr-CA" w:eastAsia="en-US"/>
        </w:rPr>
        <w:t xml:space="preserve"> </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1</w:t>
      </w:r>
    </w:p>
    <w:p w14:paraId="68C85920" w14:textId="77777777" w:rsidR="00640E78" w:rsidRPr="00E3751F" w:rsidRDefault="00634F16" w:rsidP="00D06C3E">
      <w:pPr>
        <w:tabs>
          <w:tab w:val="right" w:leader="dot" w:pos="9360"/>
        </w:tabs>
        <w:spacing w:line="360" w:lineRule="auto"/>
        <w:ind w:left="720"/>
        <w:rPr>
          <w:rFonts w:eastAsia="Calibri"/>
          <w:lang w:val="fr-CA" w:eastAsia="en-US"/>
        </w:rPr>
      </w:pPr>
      <w:r w:rsidRPr="00E3751F">
        <w:rPr>
          <w:lang w:val="fr-CA"/>
        </w:rPr>
        <w:t>Explication de l’approche scientifique</w:t>
      </w:r>
      <w:r w:rsidR="00640E78" w:rsidRPr="00E3751F">
        <w:rPr>
          <w:rFonts w:eastAsia="Calibri"/>
          <w:lang w:val="fr-CA" w:eastAsia="en-US"/>
        </w:rPr>
        <w:t xml:space="preserve"> </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3</w:t>
      </w:r>
    </w:p>
    <w:p w14:paraId="69100540" w14:textId="77777777" w:rsidR="00640E78" w:rsidRPr="00E3751F" w:rsidRDefault="00640E78" w:rsidP="00D06C3E">
      <w:pPr>
        <w:spacing w:line="360" w:lineRule="auto"/>
        <w:rPr>
          <w:rFonts w:eastAsia="Calibri"/>
          <w:lang w:val="fr-CA" w:eastAsia="en-US"/>
        </w:rPr>
      </w:pPr>
    </w:p>
    <w:p w14:paraId="26A66648" w14:textId="77777777" w:rsidR="00640E78" w:rsidRPr="00E3751F" w:rsidRDefault="00634F16" w:rsidP="00D06C3E">
      <w:pPr>
        <w:tabs>
          <w:tab w:val="right" w:leader="dot" w:pos="9360"/>
        </w:tabs>
        <w:spacing w:line="360" w:lineRule="auto"/>
        <w:rPr>
          <w:rFonts w:eastAsia="Calibri"/>
          <w:lang w:val="fr-CA" w:eastAsia="en-US"/>
        </w:rPr>
      </w:pPr>
      <w:r w:rsidRPr="00E3751F">
        <w:rPr>
          <w:b/>
          <w:bCs/>
          <w:color w:val="000000"/>
          <w:u w:val="single"/>
          <w:lang w:val="fr-CA"/>
        </w:rPr>
        <w:t>Premier chapitre</w:t>
      </w:r>
      <w:r w:rsidRPr="00E3751F">
        <w:rPr>
          <w:color w:val="000000"/>
          <w:lang w:val="fr-CA"/>
        </w:rPr>
        <w:t> : Historiographie des principaux thèmes relatifs aux populations franco-américaines de la Nouvelle-Angleterre</w:t>
      </w:r>
      <w:r w:rsidR="00640E78" w:rsidRPr="00E3751F">
        <w:rPr>
          <w:rFonts w:eastAsia="Calibri"/>
          <w:lang w:val="fr-CA" w:eastAsia="en-US"/>
        </w:rPr>
        <w:t xml:space="preserve"> </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4</w:t>
      </w:r>
    </w:p>
    <w:p w14:paraId="3E2C3520" w14:textId="77777777" w:rsidR="00640E78" w:rsidRPr="00E3751F" w:rsidRDefault="00634F16" w:rsidP="00D06C3E">
      <w:pPr>
        <w:tabs>
          <w:tab w:val="right" w:leader="dot" w:pos="9360"/>
        </w:tabs>
        <w:spacing w:line="360" w:lineRule="auto"/>
        <w:ind w:left="720"/>
        <w:rPr>
          <w:rFonts w:eastAsia="Calibri"/>
          <w:lang w:val="fr-CA" w:eastAsia="en-US"/>
        </w:rPr>
      </w:pPr>
      <w:r w:rsidRPr="00E3751F">
        <w:rPr>
          <w:color w:val="000000"/>
          <w:lang w:val="fr-CA"/>
        </w:rPr>
        <w:t>Littérature associée à l’effort de guerre à l’époque de la Première Guerre mondiale</w:t>
      </w:r>
      <w:r w:rsidR="00640E78" w:rsidRPr="00E3751F">
        <w:rPr>
          <w:rFonts w:eastAsia="Calibri"/>
          <w:lang w:val="fr-CA" w:eastAsia="en-US"/>
        </w:rPr>
        <w:t xml:space="preserve"> </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6</w:t>
      </w:r>
    </w:p>
    <w:p w14:paraId="3D47B2D8" w14:textId="77777777" w:rsidR="00DA60B9" w:rsidRPr="00E3751F" w:rsidRDefault="00DA60B9" w:rsidP="00D06C3E">
      <w:pPr>
        <w:tabs>
          <w:tab w:val="right" w:leader="dot" w:pos="9360"/>
        </w:tabs>
        <w:spacing w:line="360" w:lineRule="auto"/>
        <w:rPr>
          <w:b/>
          <w:bCs/>
          <w:u w:val="single"/>
          <w:lang w:val="fr-CA"/>
        </w:rPr>
      </w:pPr>
    </w:p>
    <w:p w14:paraId="0A7DDBB4" w14:textId="5634A917" w:rsidR="00640E78" w:rsidRPr="00E3751F" w:rsidRDefault="00505A05" w:rsidP="00D06C3E">
      <w:pPr>
        <w:tabs>
          <w:tab w:val="right" w:leader="dot" w:pos="9360"/>
        </w:tabs>
        <w:spacing w:line="360" w:lineRule="auto"/>
        <w:rPr>
          <w:rFonts w:eastAsia="Calibri"/>
          <w:lang w:val="fr-CA" w:eastAsia="en-US"/>
        </w:rPr>
      </w:pPr>
      <w:r w:rsidRPr="00E3751F">
        <w:rPr>
          <w:b/>
          <w:bCs/>
          <w:u w:val="single"/>
          <w:lang w:val="fr-CA"/>
        </w:rPr>
        <w:t>Deuxième chapitre</w:t>
      </w:r>
      <w:r w:rsidRPr="00E3751F">
        <w:rPr>
          <w:lang w:val="fr-CA"/>
        </w:rPr>
        <w:t> : Situation sociopolitique des Franco-Américains en Nouvelle-Angleterre au début du XX</w:t>
      </w:r>
      <w:r w:rsidRPr="00E3751F">
        <w:rPr>
          <w:vertAlign w:val="superscript"/>
          <w:lang w:val="fr-CA"/>
        </w:rPr>
        <w:t>e</w:t>
      </w:r>
      <w:r w:rsidRPr="00E3751F">
        <w:rPr>
          <w:lang w:val="fr-CA"/>
        </w:rPr>
        <w:t xml:space="preserve"> siècle</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8</w:t>
      </w:r>
    </w:p>
    <w:p w14:paraId="1962441C" w14:textId="77777777" w:rsidR="00640E78" w:rsidRPr="00E3751F" w:rsidRDefault="00640E78" w:rsidP="00D06C3E">
      <w:pPr>
        <w:spacing w:line="360" w:lineRule="auto"/>
        <w:rPr>
          <w:rFonts w:eastAsia="Calibri"/>
          <w:lang w:val="fr-CA" w:eastAsia="en-US"/>
        </w:rPr>
      </w:pPr>
    </w:p>
    <w:p w14:paraId="69DBB718" w14:textId="77777777" w:rsidR="00AC6DAA" w:rsidRPr="00E3751F" w:rsidRDefault="00505A05" w:rsidP="00D06C3E">
      <w:pPr>
        <w:tabs>
          <w:tab w:val="right" w:leader="dot" w:pos="9360"/>
        </w:tabs>
        <w:spacing w:line="360" w:lineRule="auto"/>
        <w:ind w:left="720"/>
        <w:rPr>
          <w:rFonts w:eastAsia="Calibri"/>
          <w:lang w:val="fr-CA" w:eastAsia="en-US"/>
        </w:rPr>
      </w:pPr>
      <w:r w:rsidRPr="00E3751F">
        <w:rPr>
          <w:rFonts w:eastAsia="Calibri"/>
          <w:lang w:val="fr-CA"/>
        </w:rPr>
        <w:t>Rétrospective historique des vagues d’émigration canadiennes-françaises lors du XIX</w:t>
      </w:r>
      <w:r w:rsidRPr="00E3751F">
        <w:rPr>
          <w:rFonts w:eastAsia="Calibri"/>
          <w:vertAlign w:val="superscript"/>
          <w:lang w:val="fr-CA"/>
        </w:rPr>
        <w:t xml:space="preserve">e </w:t>
      </w:r>
      <w:r w:rsidRPr="00E3751F">
        <w:rPr>
          <w:rFonts w:eastAsia="Calibri"/>
          <w:lang w:val="fr-CA"/>
        </w:rPr>
        <w:t>et durant le début du XX</w:t>
      </w:r>
      <w:r w:rsidRPr="00E3751F">
        <w:rPr>
          <w:rFonts w:eastAsia="Calibri"/>
          <w:vertAlign w:val="superscript"/>
          <w:lang w:val="fr-CA"/>
        </w:rPr>
        <w:t xml:space="preserve">e </w:t>
      </w:r>
      <w:r w:rsidRPr="00E3751F">
        <w:rPr>
          <w:rFonts w:eastAsia="Calibri"/>
          <w:lang w:val="fr-CA"/>
        </w:rPr>
        <w:t>siècle en Nouvelle-Angleterre</w:t>
      </w:r>
      <w:r w:rsidR="00640E78" w:rsidRPr="00E3751F">
        <w:rPr>
          <w:rFonts w:eastAsia="Calibri"/>
          <w:lang w:val="fr-CA" w:eastAsia="en-US"/>
        </w:rPr>
        <w:t xml:space="preserve"> </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8</w:t>
      </w:r>
    </w:p>
    <w:p w14:paraId="2D0BF427" w14:textId="77777777" w:rsidR="00AC6DAA" w:rsidRPr="00E3751F" w:rsidRDefault="00505A05" w:rsidP="00D06C3E">
      <w:pPr>
        <w:tabs>
          <w:tab w:val="right" w:leader="dot" w:pos="9360"/>
        </w:tabs>
        <w:spacing w:line="360" w:lineRule="auto"/>
        <w:ind w:left="720"/>
        <w:rPr>
          <w:rFonts w:eastAsia="Calibri"/>
          <w:lang w:val="fr-CA" w:eastAsia="en-US"/>
        </w:rPr>
      </w:pPr>
      <w:r w:rsidRPr="00E3751F">
        <w:rPr>
          <w:lang w:val="fr-CA"/>
        </w:rPr>
        <w:t>Description de la communauté de Manchester</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9</w:t>
      </w:r>
    </w:p>
    <w:p w14:paraId="3EA24D3E" w14:textId="606DA34E" w:rsidR="00AC6DAA" w:rsidRPr="00E3751F" w:rsidRDefault="00AC6DAA" w:rsidP="00D06C3E">
      <w:pPr>
        <w:tabs>
          <w:tab w:val="right" w:leader="dot" w:pos="9360"/>
        </w:tabs>
        <w:spacing w:line="360" w:lineRule="auto"/>
        <w:ind w:left="720"/>
        <w:rPr>
          <w:rFonts w:eastAsia="Calibri"/>
          <w:lang w:val="fr-CA" w:eastAsia="en-US"/>
        </w:rPr>
      </w:pPr>
      <w:r w:rsidRPr="00E3751F">
        <w:rPr>
          <w:lang w:val="fr-CA"/>
        </w:rPr>
        <w:t>Manchester, ses différents quartiers et paroisses, ses organisations de bienfaisance, ses milices locales, ses gardes paroissiales</w:t>
      </w:r>
      <w:r w:rsidRPr="00E3751F">
        <w:rPr>
          <w:rFonts w:eastAsia="Calibri"/>
          <w:lang w:val="fr-CA" w:eastAsia="en-US"/>
        </w:rPr>
        <w:tab/>
      </w:r>
      <w:r w:rsidR="001C7F04" w:rsidRPr="00E3751F">
        <w:rPr>
          <w:rFonts w:eastAsia="Calibri"/>
          <w:lang w:val="fr-CA" w:eastAsia="en-US"/>
        </w:rPr>
        <w:t xml:space="preserve"> </w:t>
      </w:r>
      <w:r w:rsidRPr="00E3751F">
        <w:rPr>
          <w:rFonts w:eastAsia="Calibri"/>
          <w:lang w:val="fr-CA" w:eastAsia="en-US"/>
        </w:rPr>
        <w:t>p. 1</w:t>
      </w:r>
      <w:r w:rsidR="007A3863" w:rsidRPr="00E3751F">
        <w:rPr>
          <w:rFonts w:eastAsia="Calibri"/>
          <w:lang w:val="fr-CA" w:eastAsia="en-US"/>
        </w:rPr>
        <w:t>1</w:t>
      </w:r>
    </w:p>
    <w:p w14:paraId="737A0B87" w14:textId="77777777" w:rsidR="00AC6DAA" w:rsidRPr="00E3751F" w:rsidRDefault="00505A05" w:rsidP="00D06C3E">
      <w:pPr>
        <w:tabs>
          <w:tab w:val="right" w:leader="dot" w:pos="9360"/>
        </w:tabs>
        <w:spacing w:line="360" w:lineRule="auto"/>
        <w:ind w:left="720"/>
        <w:rPr>
          <w:rFonts w:eastAsia="Calibri"/>
          <w:lang w:val="fr-CA" w:eastAsia="en-US"/>
        </w:rPr>
      </w:pPr>
      <w:r w:rsidRPr="00E3751F">
        <w:rPr>
          <w:lang w:val="fr-CA"/>
        </w:rPr>
        <w:t>Paroisses et écoles franco-américaines</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1</w:t>
      </w:r>
      <w:r w:rsidRPr="00E3751F">
        <w:rPr>
          <w:rFonts w:eastAsia="Calibri"/>
          <w:lang w:val="fr-CA" w:eastAsia="en-US"/>
        </w:rPr>
        <w:t>2</w:t>
      </w:r>
    </w:p>
    <w:p w14:paraId="2C19293D" w14:textId="77777777" w:rsidR="00AC6DAA" w:rsidRPr="00E3751F" w:rsidRDefault="00505A05" w:rsidP="00D06C3E">
      <w:pPr>
        <w:tabs>
          <w:tab w:val="right" w:leader="dot" w:pos="9360"/>
        </w:tabs>
        <w:spacing w:line="360" w:lineRule="auto"/>
        <w:ind w:left="720"/>
        <w:rPr>
          <w:rFonts w:eastAsia="Calibri"/>
          <w:lang w:val="fr-CA" w:eastAsia="en-US"/>
        </w:rPr>
      </w:pPr>
      <w:r w:rsidRPr="00E3751F">
        <w:rPr>
          <w:lang w:val="fr-CA"/>
        </w:rPr>
        <w:t>La Garde Nationale du New Hampshire et les organisations militaires</w:t>
      </w:r>
      <w:r w:rsidR="00640E78" w:rsidRPr="00E3751F">
        <w:rPr>
          <w:rFonts w:eastAsia="Calibri"/>
          <w:lang w:val="fr-CA" w:eastAsia="en-US"/>
        </w:rPr>
        <w:t xml:space="preserve"> </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16</w:t>
      </w:r>
    </w:p>
    <w:p w14:paraId="5C4FD1EA" w14:textId="77777777" w:rsidR="00AC6DAA" w:rsidRPr="00E3751F" w:rsidRDefault="00AC6DAA" w:rsidP="00D06C3E">
      <w:pPr>
        <w:tabs>
          <w:tab w:val="right" w:leader="dot" w:pos="9360"/>
        </w:tabs>
        <w:spacing w:line="360" w:lineRule="auto"/>
        <w:ind w:left="720"/>
        <w:rPr>
          <w:rFonts w:eastAsia="Calibri"/>
          <w:lang w:val="fr-CA" w:eastAsia="en-US"/>
        </w:rPr>
      </w:pPr>
      <w:r w:rsidRPr="00E3751F">
        <w:rPr>
          <w:lang w:val="fr-CA"/>
        </w:rPr>
        <w:t xml:space="preserve">Journal </w:t>
      </w:r>
      <w:r w:rsidRPr="00E3751F">
        <w:rPr>
          <w:i/>
          <w:iCs/>
          <w:lang w:val="fr-CA"/>
        </w:rPr>
        <w:t>L’Avenir National</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A3863" w:rsidRPr="00E3751F">
        <w:rPr>
          <w:rFonts w:eastAsia="Calibri"/>
          <w:lang w:val="fr-CA" w:eastAsia="en-US"/>
        </w:rPr>
        <w:t>1</w:t>
      </w:r>
      <w:r w:rsidR="00813FD0" w:rsidRPr="00E3751F">
        <w:rPr>
          <w:rFonts w:eastAsia="Calibri"/>
          <w:lang w:val="fr-CA" w:eastAsia="en-US"/>
        </w:rPr>
        <w:t>8</w:t>
      </w:r>
    </w:p>
    <w:p w14:paraId="7D34E628" w14:textId="77777777" w:rsidR="00AC6DAA" w:rsidRPr="00E3751F" w:rsidRDefault="00AC6DAA" w:rsidP="00D06C3E">
      <w:pPr>
        <w:tabs>
          <w:tab w:val="right" w:leader="dot" w:pos="9360"/>
        </w:tabs>
        <w:spacing w:line="360" w:lineRule="auto"/>
        <w:ind w:left="720"/>
        <w:rPr>
          <w:rFonts w:eastAsia="Calibri"/>
          <w:lang w:val="fr-CA" w:eastAsia="en-US"/>
        </w:rPr>
      </w:pPr>
      <w:r w:rsidRPr="00E3751F">
        <w:rPr>
          <w:rFonts w:eastAsia="Calibri"/>
          <w:lang w:val="fr-CA" w:eastAsia="en-US"/>
        </w:rPr>
        <w:t>Les Franco-Américains et la politique</w:t>
      </w:r>
      <w:r w:rsidRPr="00E3751F">
        <w:rPr>
          <w:rFonts w:eastAsia="Calibri"/>
          <w:lang w:val="fr-CA" w:eastAsia="en-US"/>
        </w:rPr>
        <w:tab/>
      </w:r>
      <w:r w:rsidR="001C7F04" w:rsidRPr="00E3751F">
        <w:rPr>
          <w:rFonts w:eastAsia="Calibri"/>
          <w:lang w:val="fr-CA" w:eastAsia="en-US"/>
        </w:rPr>
        <w:t xml:space="preserve"> </w:t>
      </w:r>
      <w:r w:rsidRPr="00E3751F">
        <w:rPr>
          <w:rFonts w:eastAsia="Calibri"/>
          <w:lang w:val="fr-CA" w:eastAsia="en-US"/>
        </w:rPr>
        <w:t xml:space="preserve">p. </w:t>
      </w:r>
      <w:r w:rsidR="004304C9" w:rsidRPr="00E3751F">
        <w:rPr>
          <w:rFonts w:eastAsia="Calibri"/>
          <w:lang w:val="fr-CA" w:eastAsia="en-US"/>
        </w:rPr>
        <w:t>2</w:t>
      </w:r>
      <w:r w:rsidR="007C57FB" w:rsidRPr="00E3751F">
        <w:rPr>
          <w:rFonts w:eastAsia="Calibri"/>
          <w:lang w:val="fr-CA" w:eastAsia="en-US"/>
        </w:rPr>
        <w:t>0</w:t>
      </w:r>
    </w:p>
    <w:p w14:paraId="716E78CD" w14:textId="77777777" w:rsidR="00AC6DAA" w:rsidRPr="00E3751F" w:rsidRDefault="00AC6DAA" w:rsidP="00D06C3E">
      <w:pPr>
        <w:tabs>
          <w:tab w:val="right" w:leader="dot" w:pos="9360"/>
        </w:tabs>
        <w:spacing w:line="360" w:lineRule="auto"/>
        <w:ind w:left="720"/>
        <w:rPr>
          <w:rFonts w:eastAsia="Calibri"/>
          <w:lang w:val="fr-CA" w:eastAsia="en-US"/>
        </w:rPr>
      </w:pPr>
      <w:r w:rsidRPr="00E3751F">
        <w:rPr>
          <w:rFonts w:eastAsia="Calibri"/>
          <w:lang w:val="fr-CA" w:eastAsia="en-US"/>
        </w:rPr>
        <w:t>Élite locale</w:t>
      </w:r>
      <w:r w:rsidRPr="00E3751F">
        <w:rPr>
          <w:rFonts w:eastAsia="Calibri"/>
          <w:lang w:val="fr-CA" w:eastAsia="en-US"/>
        </w:rPr>
        <w:tab/>
      </w:r>
      <w:r w:rsidR="001C7F04" w:rsidRPr="00E3751F">
        <w:rPr>
          <w:rFonts w:eastAsia="Calibri"/>
          <w:lang w:val="fr-CA" w:eastAsia="en-US"/>
        </w:rPr>
        <w:t xml:space="preserve"> </w:t>
      </w:r>
      <w:r w:rsidRPr="00E3751F">
        <w:rPr>
          <w:rFonts w:eastAsia="Calibri"/>
          <w:lang w:val="fr-CA" w:eastAsia="en-US"/>
        </w:rPr>
        <w:t xml:space="preserve">p. </w:t>
      </w:r>
      <w:r w:rsidR="007C57FB" w:rsidRPr="00E3751F">
        <w:rPr>
          <w:rFonts w:eastAsia="Calibri"/>
          <w:lang w:val="fr-CA" w:eastAsia="en-US"/>
        </w:rPr>
        <w:t>21</w:t>
      </w:r>
    </w:p>
    <w:p w14:paraId="361D3C72" w14:textId="77777777" w:rsidR="00AC6DAA" w:rsidRPr="00E3751F" w:rsidRDefault="00AC6DAA" w:rsidP="00D06C3E">
      <w:pPr>
        <w:tabs>
          <w:tab w:val="right" w:leader="dot" w:pos="9360"/>
        </w:tabs>
        <w:spacing w:line="360" w:lineRule="auto"/>
        <w:ind w:left="720"/>
        <w:rPr>
          <w:rFonts w:eastAsia="Calibri"/>
          <w:lang w:val="fr-CA" w:eastAsia="en-US"/>
        </w:rPr>
      </w:pPr>
      <w:r w:rsidRPr="00E3751F">
        <w:rPr>
          <w:rFonts w:eastAsia="Calibri"/>
          <w:lang w:val="fr-CA" w:eastAsia="en-US"/>
        </w:rPr>
        <w:t>Associations fraternelles</w:t>
      </w:r>
      <w:r w:rsidRPr="00E3751F">
        <w:rPr>
          <w:rFonts w:eastAsia="Calibri"/>
          <w:lang w:val="fr-CA" w:eastAsia="en-US"/>
        </w:rPr>
        <w:tab/>
      </w:r>
      <w:r w:rsidR="001C7F04" w:rsidRPr="00E3751F">
        <w:rPr>
          <w:rFonts w:eastAsia="Calibri"/>
          <w:lang w:val="fr-CA" w:eastAsia="en-US"/>
        </w:rPr>
        <w:t xml:space="preserve"> </w:t>
      </w:r>
      <w:r w:rsidRPr="00E3751F">
        <w:rPr>
          <w:rFonts w:eastAsia="Calibri"/>
          <w:lang w:val="fr-CA" w:eastAsia="en-US"/>
        </w:rPr>
        <w:t xml:space="preserve">p. </w:t>
      </w:r>
      <w:r w:rsidR="007C57FB" w:rsidRPr="00E3751F">
        <w:rPr>
          <w:rFonts w:eastAsia="Calibri"/>
          <w:lang w:val="fr-CA" w:eastAsia="en-US"/>
        </w:rPr>
        <w:t>22</w:t>
      </w:r>
    </w:p>
    <w:p w14:paraId="1AA4B184" w14:textId="77777777" w:rsidR="00640E78" w:rsidRPr="00E3751F" w:rsidRDefault="00D06C3E" w:rsidP="00D06C3E">
      <w:pPr>
        <w:tabs>
          <w:tab w:val="right" w:leader="dot" w:pos="9360"/>
        </w:tabs>
        <w:spacing w:line="360" w:lineRule="auto"/>
        <w:rPr>
          <w:rFonts w:eastAsia="Calibri"/>
          <w:lang w:val="fr-CA" w:eastAsia="en-US"/>
        </w:rPr>
      </w:pPr>
      <w:r w:rsidRPr="00E3751F">
        <w:rPr>
          <w:b/>
          <w:bCs/>
          <w:u w:val="single"/>
          <w:lang w:val="fr-CA"/>
        </w:rPr>
        <w:br w:type="page"/>
      </w:r>
      <w:r w:rsidR="00AC6DAA" w:rsidRPr="00E3751F">
        <w:rPr>
          <w:b/>
          <w:bCs/>
          <w:u w:val="single"/>
          <w:lang w:val="fr-CA"/>
        </w:rPr>
        <w:lastRenderedPageBreak/>
        <w:t>Troisième chapitre</w:t>
      </w:r>
      <w:r w:rsidR="00AC6DAA" w:rsidRPr="00E3751F">
        <w:rPr>
          <w:lang w:val="fr-CA"/>
        </w:rPr>
        <w:t> : Début du conflit et ralliement de la population franco-américaine en faveur de la cause des Alliés</w:t>
      </w:r>
      <w:r w:rsidR="00640E78" w:rsidRPr="00E3751F">
        <w:rPr>
          <w:rFonts w:eastAsia="Calibri"/>
          <w:lang w:val="fr-CA" w:eastAsia="en-US"/>
        </w:rPr>
        <w:t xml:space="preserve"> </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C57FB" w:rsidRPr="00E3751F">
        <w:rPr>
          <w:rFonts w:eastAsia="Calibri"/>
          <w:lang w:val="fr-CA" w:eastAsia="en-US"/>
        </w:rPr>
        <w:t>25</w:t>
      </w:r>
    </w:p>
    <w:p w14:paraId="5A27CA1F" w14:textId="77777777" w:rsidR="00263702" w:rsidRPr="00E3751F" w:rsidRDefault="00263702" w:rsidP="00D06C3E">
      <w:pPr>
        <w:tabs>
          <w:tab w:val="right" w:leader="dot" w:pos="9360"/>
        </w:tabs>
        <w:spacing w:line="360" w:lineRule="auto"/>
        <w:ind w:left="360"/>
        <w:rPr>
          <w:rFonts w:eastAsia="Calibri"/>
          <w:lang w:val="fr-CA" w:eastAsia="en-US"/>
        </w:rPr>
      </w:pPr>
      <w:r w:rsidRPr="00E3751F">
        <w:rPr>
          <w:lang w:val="fr-CA"/>
        </w:rPr>
        <w:t>La neutralité affichée par le président Wilson et entrée en guerre progressive</w:t>
      </w:r>
      <w:r w:rsidR="00640E78" w:rsidRPr="00E3751F">
        <w:rPr>
          <w:rFonts w:eastAsia="Calibri"/>
          <w:lang w:val="fr-CA" w:eastAsia="en-US"/>
        </w:rPr>
        <w:t xml:space="preserve"> </w:t>
      </w:r>
      <w:r w:rsidR="00640E78" w:rsidRPr="00E3751F">
        <w:rPr>
          <w:rFonts w:eastAsia="Calibri"/>
          <w:lang w:val="fr-CA" w:eastAsia="en-US"/>
        </w:rPr>
        <w:tab/>
      </w:r>
      <w:r w:rsidR="001C7F04" w:rsidRPr="00E3751F">
        <w:rPr>
          <w:rFonts w:eastAsia="Calibri"/>
          <w:lang w:val="fr-CA" w:eastAsia="en-US"/>
        </w:rPr>
        <w:t xml:space="preserve"> </w:t>
      </w:r>
      <w:r w:rsidR="00640E78" w:rsidRPr="00E3751F">
        <w:rPr>
          <w:rFonts w:eastAsia="Calibri"/>
          <w:lang w:val="fr-CA" w:eastAsia="en-US"/>
        </w:rPr>
        <w:t xml:space="preserve">p. </w:t>
      </w:r>
      <w:r w:rsidR="007C57FB" w:rsidRPr="00E3751F">
        <w:rPr>
          <w:rFonts w:eastAsia="Calibri"/>
          <w:lang w:val="fr-CA" w:eastAsia="en-US"/>
        </w:rPr>
        <w:t>25</w:t>
      </w:r>
    </w:p>
    <w:p w14:paraId="4381F183" w14:textId="77777777" w:rsidR="00263702" w:rsidRPr="00E3751F" w:rsidRDefault="00263702" w:rsidP="00D06C3E">
      <w:pPr>
        <w:tabs>
          <w:tab w:val="right" w:leader="dot" w:pos="9360"/>
        </w:tabs>
        <w:spacing w:line="360" w:lineRule="auto"/>
        <w:ind w:left="360"/>
        <w:rPr>
          <w:lang w:val="fr-CA"/>
        </w:rPr>
      </w:pPr>
      <w:r w:rsidRPr="00E3751F">
        <w:rPr>
          <w:lang w:val="fr-CA"/>
        </w:rPr>
        <w:t>Participation et engagement collectif dans le conflit</w:t>
      </w:r>
      <w:r w:rsidRPr="00E3751F">
        <w:rPr>
          <w:lang w:val="fr-CA"/>
        </w:rPr>
        <w:tab/>
      </w:r>
      <w:r w:rsidR="001C7F04" w:rsidRPr="00E3751F">
        <w:rPr>
          <w:lang w:val="fr-CA"/>
        </w:rPr>
        <w:t xml:space="preserve"> </w:t>
      </w:r>
      <w:r w:rsidRPr="00E3751F">
        <w:rPr>
          <w:lang w:val="fr-CA"/>
        </w:rPr>
        <w:t xml:space="preserve">p. </w:t>
      </w:r>
      <w:r w:rsidR="007C57FB" w:rsidRPr="00E3751F">
        <w:rPr>
          <w:lang w:val="fr-CA"/>
        </w:rPr>
        <w:t>30</w:t>
      </w:r>
    </w:p>
    <w:p w14:paraId="6B1AF7CB" w14:textId="77777777" w:rsidR="00263702" w:rsidRPr="00E3751F" w:rsidRDefault="00263702" w:rsidP="00D06C3E">
      <w:pPr>
        <w:tabs>
          <w:tab w:val="right" w:leader="dot" w:pos="9360"/>
        </w:tabs>
        <w:spacing w:line="360" w:lineRule="auto"/>
        <w:ind w:left="360"/>
        <w:rPr>
          <w:lang w:val="fr-CA"/>
        </w:rPr>
      </w:pPr>
      <w:r w:rsidRPr="00E3751F">
        <w:rPr>
          <w:lang w:val="fr-CA"/>
        </w:rPr>
        <w:t>Réaction face aux événements majeurs du conflit</w:t>
      </w:r>
      <w:r w:rsidRPr="00E3751F">
        <w:rPr>
          <w:lang w:val="fr-CA"/>
        </w:rPr>
        <w:tab/>
      </w:r>
      <w:r w:rsidR="00487BC2" w:rsidRPr="00E3751F">
        <w:rPr>
          <w:lang w:val="fr-CA"/>
        </w:rPr>
        <w:t xml:space="preserve"> </w:t>
      </w:r>
      <w:r w:rsidRPr="00E3751F">
        <w:rPr>
          <w:lang w:val="fr-CA"/>
        </w:rPr>
        <w:t>p.</w:t>
      </w:r>
      <w:r w:rsidR="007C57FB" w:rsidRPr="00E3751F">
        <w:rPr>
          <w:lang w:val="fr-CA"/>
        </w:rPr>
        <w:t>3</w:t>
      </w:r>
      <w:r w:rsidR="00D36614" w:rsidRPr="00E3751F">
        <w:rPr>
          <w:lang w:val="fr-CA"/>
        </w:rPr>
        <w:t>3</w:t>
      </w:r>
    </w:p>
    <w:p w14:paraId="04A11259" w14:textId="77777777" w:rsidR="00263702" w:rsidRPr="00E3751F" w:rsidRDefault="00263702" w:rsidP="00D06C3E">
      <w:pPr>
        <w:tabs>
          <w:tab w:val="right" w:leader="dot" w:pos="9360"/>
        </w:tabs>
        <w:spacing w:line="360" w:lineRule="auto"/>
        <w:ind w:left="720"/>
        <w:rPr>
          <w:lang w:val="fr-CA"/>
        </w:rPr>
      </w:pPr>
      <w:r w:rsidRPr="00E3751F">
        <w:rPr>
          <w:lang w:val="fr-CA"/>
        </w:rPr>
        <w:t xml:space="preserve">Recrutement pour les </w:t>
      </w:r>
      <w:r w:rsidR="00D36614" w:rsidRPr="00E3751F">
        <w:rPr>
          <w:lang w:val="fr-CA"/>
        </w:rPr>
        <w:t>c</w:t>
      </w:r>
      <w:r w:rsidRPr="00E3751F">
        <w:rPr>
          <w:lang w:val="fr-CA"/>
        </w:rPr>
        <w:t>ontingents expéditionnaires canadiens</w:t>
      </w:r>
      <w:r w:rsidRPr="00E3751F">
        <w:rPr>
          <w:lang w:val="fr-CA"/>
        </w:rPr>
        <w:tab/>
      </w:r>
      <w:r w:rsidR="001C7F04" w:rsidRPr="00E3751F">
        <w:rPr>
          <w:lang w:val="fr-CA"/>
        </w:rPr>
        <w:t xml:space="preserve"> </w:t>
      </w:r>
      <w:r w:rsidRPr="00E3751F">
        <w:rPr>
          <w:lang w:val="fr-CA"/>
        </w:rPr>
        <w:t xml:space="preserve">p. </w:t>
      </w:r>
      <w:r w:rsidR="007C57FB" w:rsidRPr="00E3751F">
        <w:rPr>
          <w:lang w:val="fr-CA"/>
        </w:rPr>
        <w:t>3</w:t>
      </w:r>
      <w:r w:rsidR="00D36614" w:rsidRPr="00E3751F">
        <w:rPr>
          <w:lang w:val="fr-CA"/>
        </w:rPr>
        <w:t>3</w:t>
      </w:r>
    </w:p>
    <w:p w14:paraId="32498D84" w14:textId="77777777" w:rsidR="00263702" w:rsidRPr="00E3751F" w:rsidRDefault="00263702" w:rsidP="00D06C3E">
      <w:pPr>
        <w:tabs>
          <w:tab w:val="right" w:leader="dot" w:pos="9360"/>
        </w:tabs>
        <w:spacing w:line="360" w:lineRule="auto"/>
        <w:ind w:left="360"/>
        <w:rPr>
          <w:lang w:val="fr-CA"/>
        </w:rPr>
      </w:pPr>
      <w:r w:rsidRPr="00E3751F">
        <w:rPr>
          <w:lang w:val="fr-CA"/>
        </w:rPr>
        <w:t>Participation et engagement individuels dans le conflit</w:t>
      </w:r>
      <w:r w:rsidRPr="00E3751F">
        <w:rPr>
          <w:lang w:val="fr-CA"/>
        </w:rPr>
        <w:tab/>
      </w:r>
      <w:r w:rsidR="001C7F04" w:rsidRPr="00E3751F">
        <w:rPr>
          <w:lang w:val="fr-CA"/>
        </w:rPr>
        <w:t xml:space="preserve"> </w:t>
      </w:r>
      <w:r w:rsidRPr="00E3751F">
        <w:rPr>
          <w:lang w:val="fr-CA"/>
        </w:rPr>
        <w:t xml:space="preserve">p. </w:t>
      </w:r>
      <w:r w:rsidR="007C57FB" w:rsidRPr="00E3751F">
        <w:rPr>
          <w:lang w:val="fr-CA"/>
        </w:rPr>
        <w:t>34</w:t>
      </w:r>
    </w:p>
    <w:p w14:paraId="4AC6C8BC" w14:textId="14FAA200" w:rsidR="000276F1" w:rsidRPr="00E3751F" w:rsidRDefault="00263702" w:rsidP="00D06C3E">
      <w:pPr>
        <w:tabs>
          <w:tab w:val="right" w:leader="dot" w:pos="9360"/>
        </w:tabs>
        <w:spacing w:line="360" w:lineRule="auto"/>
        <w:ind w:left="360"/>
        <w:rPr>
          <w:lang w:val="fr-CA"/>
        </w:rPr>
      </w:pPr>
      <w:r w:rsidRPr="00E3751F">
        <w:rPr>
          <w:lang w:val="fr-CA"/>
        </w:rPr>
        <w:t>La guerre canadienne et le déploiement de la Garde Nationale à la frontière</w:t>
      </w:r>
      <w:r w:rsidR="00E3751F">
        <w:rPr>
          <w:lang w:val="fr-CA"/>
        </w:rPr>
        <w:t xml:space="preserve"> </w:t>
      </w:r>
      <w:r w:rsidRPr="00E3751F">
        <w:rPr>
          <w:lang w:val="fr-CA"/>
        </w:rPr>
        <w:t xml:space="preserve"> </w:t>
      </w:r>
      <w:r w:rsidR="00776EE1" w:rsidRPr="00E3751F">
        <w:rPr>
          <w:lang w:val="fr-CA"/>
        </w:rPr>
        <w:t>m</w:t>
      </w:r>
      <w:r w:rsidRPr="00E3751F">
        <w:rPr>
          <w:lang w:val="fr-CA"/>
        </w:rPr>
        <w:t>exicaine</w:t>
      </w:r>
      <w:r w:rsidRPr="00E3751F">
        <w:rPr>
          <w:lang w:val="fr-CA"/>
        </w:rPr>
        <w:tab/>
      </w:r>
      <w:r w:rsidR="001C7F04" w:rsidRPr="00E3751F">
        <w:rPr>
          <w:lang w:val="fr-CA"/>
        </w:rPr>
        <w:t xml:space="preserve"> </w:t>
      </w:r>
      <w:r w:rsidRPr="00E3751F">
        <w:rPr>
          <w:lang w:val="fr-CA"/>
        </w:rPr>
        <w:t>p.</w:t>
      </w:r>
      <w:r w:rsidR="007C57FB" w:rsidRPr="00E3751F">
        <w:rPr>
          <w:lang w:val="fr-CA"/>
        </w:rPr>
        <w:t>3</w:t>
      </w:r>
      <w:r w:rsidR="00D40D7C">
        <w:rPr>
          <w:lang w:val="fr-CA"/>
        </w:rPr>
        <w:t>7</w:t>
      </w:r>
      <w:r w:rsidRPr="00E3751F">
        <w:rPr>
          <w:lang w:val="fr-CA"/>
        </w:rPr>
        <w:t xml:space="preserve"> </w:t>
      </w:r>
    </w:p>
    <w:p w14:paraId="470FAE96" w14:textId="33DC1A09" w:rsidR="000276F1" w:rsidRPr="00E3751F" w:rsidRDefault="00263702" w:rsidP="00D06C3E">
      <w:pPr>
        <w:tabs>
          <w:tab w:val="right" w:leader="dot" w:pos="9360"/>
        </w:tabs>
        <w:spacing w:line="360" w:lineRule="auto"/>
        <w:ind w:left="360"/>
        <w:rPr>
          <w:lang w:val="fr-CA"/>
        </w:rPr>
      </w:pPr>
      <w:r w:rsidRPr="00E3751F">
        <w:rPr>
          <w:lang w:val="fr-CA"/>
        </w:rPr>
        <w:t xml:space="preserve">Réactions suivant la déclaration de guerre par les États-Unis </w:t>
      </w:r>
      <w:r w:rsidR="00261B72" w:rsidRPr="00E3751F">
        <w:rPr>
          <w:b/>
          <w:lang w:val="fr-CA"/>
        </w:rPr>
        <w:t>—</w:t>
      </w:r>
      <w:r w:rsidRPr="00E3751F">
        <w:rPr>
          <w:lang w:val="fr-CA"/>
        </w:rPr>
        <w:t xml:space="preserve"> avril 1917</w:t>
      </w:r>
      <w:r w:rsidRPr="00E3751F">
        <w:rPr>
          <w:lang w:val="fr-CA"/>
        </w:rPr>
        <w:tab/>
      </w:r>
      <w:r w:rsidR="001C7F04" w:rsidRPr="00E3751F">
        <w:rPr>
          <w:lang w:val="fr-CA"/>
        </w:rPr>
        <w:t xml:space="preserve"> </w:t>
      </w:r>
      <w:r w:rsidRPr="00E3751F">
        <w:rPr>
          <w:lang w:val="fr-CA"/>
        </w:rPr>
        <w:t xml:space="preserve">p. </w:t>
      </w:r>
      <w:r w:rsidR="007C57FB" w:rsidRPr="00E3751F">
        <w:rPr>
          <w:lang w:val="fr-CA"/>
        </w:rPr>
        <w:t>4</w:t>
      </w:r>
      <w:r w:rsidR="00D40D7C">
        <w:rPr>
          <w:lang w:val="fr-CA"/>
        </w:rPr>
        <w:t>0</w:t>
      </w:r>
    </w:p>
    <w:p w14:paraId="3FA9859C" w14:textId="2389A5FD" w:rsidR="000276F1" w:rsidRPr="00E3751F" w:rsidRDefault="005C7366" w:rsidP="00D06C3E">
      <w:pPr>
        <w:tabs>
          <w:tab w:val="right" w:leader="dot" w:pos="9360"/>
        </w:tabs>
        <w:spacing w:line="360" w:lineRule="auto"/>
        <w:ind w:left="720"/>
        <w:rPr>
          <w:lang w:val="fr-CA"/>
        </w:rPr>
      </w:pPr>
      <w:r w:rsidRPr="00E3751F">
        <w:rPr>
          <w:lang w:val="fr-CA"/>
        </w:rPr>
        <w:t>Démonstrations de patriotisme et de la loyauté des Franco-Américains envers les</w:t>
      </w:r>
      <w:r w:rsidR="00CA1639" w:rsidRPr="00E3751F">
        <w:rPr>
          <w:lang w:val="fr-CA"/>
        </w:rPr>
        <w:t> </w:t>
      </w:r>
      <w:r w:rsidRPr="00E3751F">
        <w:rPr>
          <w:lang w:val="fr-CA"/>
        </w:rPr>
        <w:t>États</w:t>
      </w:r>
      <w:r w:rsidR="00CA1639" w:rsidRPr="00E3751F">
        <w:rPr>
          <w:lang w:val="fr-CA"/>
        </w:rPr>
        <w:t>-</w:t>
      </w:r>
      <w:r w:rsidRPr="00E3751F">
        <w:rPr>
          <w:lang w:val="fr-CA"/>
        </w:rPr>
        <w:t>Unis, leur pays d’accueil</w:t>
      </w:r>
      <w:r w:rsidR="000276F1" w:rsidRPr="00E3751F">
        <w:rPr>
          <w:lang w:val="fr-CA"/>
        </w:rPr>
        <w:tab/>
      </w:r>
      <w:r w:rsidR="007C57FB" w:rsidRPr="00E3751F">
        <w:rPr>
          <w:lang w:val="fr-CA"/>
        </w:rPr>
        <w:t xml:space="preserve"> </w:t>
      </w:r>
      <w:r w:rsidR="000276F1" w:rsidRPr="00E3751F">
        <w:rPr>
          <w:lang w:val="fr-CA"/>
        </w:rPr>
        <w:t xml:space="preserve">p. </w:t>
      </w:r>
      <w:r w:rsidR="007C57FB" w:rsidRPr="00E3751F">
        <w:rPr>
          <w:lang w:val="fr-CA"/>
        </w:rPr>
        <w:t>4</w:t>
      </w:r>
      <w:r w:rsidR="00D40D7C">
        <w:rPr>
          <w:lang w:val="fr-CA"/>
        </w:rPr>
        <w:t>0</w:t>
      </w:r>
    </w:p>
    <w:p w14:paraId="657798B2" w14:textId="7A18AE56" w:rsidR="000276F1" w:rsidRPr="00E3751F" w:rsidRDefault="000276F1" w:rsidP="00D06C3E">
      <w:pPr>
        <w:tabs>
          <w:tab w:val="right" w:leader="dot" w:pos="9360"/>
        </w:tabs>
        <w:spacing w:line="360" w:lineRule="auto"/>
        <w:ind w:left="360"/>
        <w:rPr>
          <w:lang w:val="fr-CA"/>
        </w:rPr>
      </w:pPr>
      <w:r w:rsidRPr="00E3751F">
        <w:rPr>
          <w:lang w:val="fr-CA"/>
        </w:rPr>
        <w:t>Le 103</w:t>
      </w:r>
      <w:r w:rsidRPr="00E3751F">
        <w:rPr>
          <w:vertAlign w:val="superscript"/>
          <w:lang w:val="fr-CA"/>
        </w:rPr>
        <w:t xml:space="preserve">e </w:t>
      </w:r>
      <w:r w:rsidRPr="00E3751F">
        <w:rPr>
          <w:lang w:val="fr-CA"/>
        </w:rPr>
        <w:t>Régiment au front</w:t>
      </w:r>
      <w:r w:rsidR="000672E4" w:rsidRPr="00E3751F">
        <w:rPr>
          <w:lang w:val="fr-CA"/>
        </w:rPr>
        <w:tab/>
        <w:t xml:space="preserve"> </w:t>
      </w:r>
      <w:r w:rsidRPr="00E3751F">
        <w:rPr>
          <w:lang w:val="fr-CA"/>
        </w:rPr>
        <w:t>p.</w:t>
      </w:r>
      <w:r w:rsidR="00D96AF4" w:rsidRPr="00E3751F">
        <w:rPr>
          <w:lang w:val="fr-CA"/>
        </w:rPr>
        <w:t xml:space="preserve"> </w:t>
      </w:r>
      <w:r w:rsidR="00D40D7C">
        <w:rPr>
          <w:lang w:val="fr-CA"/>
        </w:rPr>
        <w:t>4</w:t>
      </w:r>
      <w:r w:rsidRPr="00E3751F">
        <w:rPr>
          <w:lang w:val="fr-CA"/>
        </w:rPr>
        <w:t>6</w:t>
      </w:r>
    </w:p>
    <w:p w14:paraId="3829DB80" w14:textId="318FAD70" w:rsidR="000276F1" w:rsidRPr="00E3751F" w:rsidRDefault="000276F1" w:rsidP="00D06C3E">
      <w:pPr>
        <w:tabs>
          <w:tab w:val="right" w:leader="dot" w:pos="9360"/>
        </w:tabs>
        <w:spacing w:line="360" w:lineRule="auto"/>
        <w:ind w:left="360"/>
        <w:rPr>
          <w:lang w:val="fr-CA"/>
        </w:rPr>
      </w:pPr>
      <w:r w:rsidRPr="00E3751F">
        <w:rPr>
          <w:lang w:val="fr-CA"/>
        </w:rPr>
        <w:t>Organisations et comités d’appui à la guerre</w:t>
      </w:r>
      <w:r w:rsidRPr="00E3751F">
        <w:rPr>
          <w:lang w:val="fr-CA"/>
        </w:rPr>
        <w:tab/>
      </w:r>
      <w:r w:rsidR="007C57FB" w:rsidRPr="00E3751F">
        <w:rPr>
          <w:lang w:val="fr-CA"/>
        </w:rPr>
        <w:t xml:space="preserve"> </w:t>
      </w:r>
      <w:r w:rsidRPr="00E3751F">
        <w:rPr>
          <w:lang w:val="fr-CA"/>
        </w:rPr>
        <w:t xml:space="preserve">p. </w:t>
      </w:r>
      <w:r w:rsidR="007C57FB" w:rsidRPr="00E3751F">
        <w:rPr>
          <w:lang w:val="fr-CA"/>
        </w:rPr>
        <w:t>4</w:t>
      </w:r>
      <w:r w:rsidR="00D40D7C">
        <w:rPr>
          <w:lang w:val="fr-CA"/>
        </w:rPr>
        <w:t>8</w:t>
      </w:r>
    </w:p>
    <w:p w14:paraId="38D69A7D" w14:textId="77777777" w:rsidR="001A517B" w:rsidRPr="00E3751F" w:rsidRDefault="001A517B" w:rsidP="00D06C3E">
      <w:pPr>
        <w:tabs>
          <w:tab w:val="right" w:leader="dot" w:pos="9360"/>
        </w:tabs>
        <w:spacing w:line="360" w:lineRule="auto"/>
        <w:rPr>
          <w:u w:val="single"/>
          <w:lang w:val="fr-CA"/>
        </w:rPr>
      </w:pPr>
    </w:p>
    <w:p w14:paraId="1BF170D9" w14:textId="6864F3A3" w:rsidR="00640E78" w:rsidRPr="00E3751F" w:rsidRDefault="00C54D9A" w:rsidP="00D06C3E">
      <w:pPr>
        <w:tabs>
          <w:tab w:val="right" w:leader="dot" w:pos="9360"/>
        </w:tabs>
        <w:spacing w:line="360" w:lineRule="auto"/>
        <w:rPr>
          <w:rFonts w:eastAsia="Calibri"/>
          <w:lang w:val="fr-CA" w:eastAsia="en-US"/>
        </w:rPr>
      </w:pPr>
      <w:r w:rsidRPr="00E3751F">
        <w:rPr>
          <w:b/>
          <w:bCs/>
          <w:u w:val="single"/>
          <w:lang w:val="fr-CA"/>
        </w:rPr>
        <w:t>Quatrième chapitre</w:t>
      </w:r>
      <w:r w:rsidRPr="00E3751F">
        <w:rPr>
          <w:lang w:val="fr-CA"/>
        </w:rPr>
        <w:t> : Comparaison entre les communautés de Manchester et de</w:t>
      </w:r>
      <w:r w:rsidR="00005C1C" w:rsidRPr="00E3751F">
        <w:rPr>
          <w:lang w:val="fr-CA"/>
        </w:rPr>
        <w:t xml:space="preserve">         </w:t>
      </w:r>
      <w:r w:rsidRPr="00E3751F">
        <w:rPr>
          <w:lang w:val="fr-CA"/>
        </w:rPr>
        <w:t>Woonsocket</w:t>
      </w:r>
      <w:r w:rsidR="00640E78" w:rsidRPr="00E3751F">
        <w:rPr>
          <w:rFonts w:eastAsia="Calibri"/>
          <w:lang w:val="fr-CA" w:eastAsia="en-US"/>
        </w:rPr>
        <w:tab/>
      </w:r>
      <w:r w:rsidR="00E75FF9" w:rsidRPr="00E3751F">
        <w:rPr>
          <w:rFonts w:eastAsia="Calibri"/>
          <w:lang w:val="fr-CA" w:eastAsia="en-US"/>
        </w:rPr>
        <w:t xml:space="preserve"> </w:t>
      </w:r>
      <w:r w:rsidR="00640E78" w:rsidRPr="00E3751F">
        <w:rPr>
          <w:rFonts w:eastAsia="Calibri"/>
          <w:lang w:val="fr-CA" w:eastAsia="en-US"/>
        </w:rPr>
        <w:t xml:space="preserve">p. </w:t>
      </w:r>
      <w:r w:rsidRPr="00E3751F">
        <w:rPr>
          <w:rFonts w:eastAsia="Calibri"/>
          <w:lang w:val="fr-CA" w:eastAsia="en-US"/>
        </w:rPr>
        <w:t>5</w:t>
      </w:r>
      <w:r w:rsidR="00D40D7C">
        <w:rPr>
          <w:rFonts w:eastAsia="Calibri"/>
          <w:lang w:val="fr-CA" w:eastAsia="en-US"/>
        </w:rPr>
        <w:t>2</w:t>
      </w:r>
    </w:p>
    <w:p w14:paraId="1882FA98" w14:textId="77777777" w:rsidR="00640E78" w:rsidRPr="00E3751F" w:rsidRDefault="00640E78" w:rsidP="00D06C3E">
      <w:pPr>
        <w:spacing w:line="360" w:lineRule="auto"/>
        <w:rPr>
          <w:lang w:val="fr-CA" w:eastAsia="en-US"/>
        </w:rPr>
      </w:pPr>
    </w:p>
    <w:p w14:paraId="73D450D0" w14:textId="65B6C339" w:rsidR="00640E78" w:rsidRPr="00E3751F" w:rsidRDefault="00640E78" w:rsidP="00D06C3E">
      <w:pPr>
        <w:tabs>
          <w:tab w:val="right" w:leader="dot" w:pos="9360"/>
        </w:tabs>
        <w:spacing w:line="360" w:lineRule="auto"/>
        <w:rPr>
          <w:rFonts w:eastAsia="Calibri"/>
          <w:lang w:val="fr-CA" w:eastAsia="en-US"/>
        </w:rPr>
      </w:pPr>
      <w:r w:rsidRPr="00E3751F">
        <w:rPr>
          <w:rFonts w:eastAsia="Calibri"/>
          <w:b/>
          <w:bCs/>
          <w:u w:val="single"/>
          <w:lang w:val="fr-CA" w:eastAsia="en-US"/>
        </w:rPr>
        <w:t>Conclusion</w:t>
      </w:r>
      <w:r w:rsidRPr="00E3751F">
        <w:rPr>
          <w:rFonts w:eastAsia="Calibri"/>
          <w:lang w:val="fr-CA" w:eastAsia="en-US"/>
        </w:rPr>
        <w:t xml:space="preserve"> </w:t>
      </w:r>
      <w:r w:rsidRPr="00E3751F">
        <w:rPr>
          <w:rFonts w:eastAsia="Calibri"/>
          <w:lang w:val="fr-CA" w:eastAsia="en-US"/>
        </w:rPr>
        <w:tab/>
      </w:r>
      <w:r w:rsidR="00E75FF9" w:rsidRPr="00E3751F">
        <w:rPr>
          <w:rFonts w:eastAsia="Calibri"/>
          <w:lang w:val="fr-CA" w:eastAsia="en-US"/>
        </w:rPr>
        <w:t xml:space="preserve"> </w:t>
      </w:r>
      <w:r w:rsidRPr="00E3751F">
        <w:rPr>
          <w:rFonts w:eastAsia="Calibri"/>
          <w:lang w:val="fr-CA" w:eastAsia="en-US"/>
        </w:rPr>
        <w:t xml:space="preserve">p. </w:t>
      </w:r>
      <w:r w:rsidR="00D40D7C">
        <w:rPr>
          <w:rFonts w:eastAsia="Calibri"/>
          <w:lang w:val="fr-CA" w:eastAsia="en-US"/>
        </w:rPr>
        <w:t>59</w:t>
      </w:r>
    </w:p>
    <w:p w14:paraId="332D3339" w14:textId="77777777" w:rsidR="00640E78" w:rsidRPr="00E3751F" w:rsidRDefault="00640E78" w:rsidP="00D06C3E">
      <w:pPr>
        <w:tabs>
          <w:tab w:val="right" w:leader="dot" w:pos="9360"/>
        </w:tabs>
        <w:spacing w:line="360" w:lineRule="auto"/>
        <w:rPr>
          <w:rFonts w:eastAsia="Calibri"/>
          <w:lang w:val="fr-CA" w:eastAsia="en-US"/>
        </w:rPr>
      </w:pPr>
    </w:p>
    <w:p w14:paraId="6812EEB1" w14:textId="3CEBAB8C" w:rsidR="00C54D9A" w:rsidRPr="00E3751F" w:rsidRDefault="00640E78" w:rsidP="00D06C3E">
      <w:pPr>
        <w:tabs>
          <w:tab w:val="right" w:leader="dot" w:pos="9360"/>
        </w:tabs>
        <w:spacing w:line="360" w:lineRule="auto"/>
        <w:rPr>
          <w:rFonts w:eastAsia="Calibri"/>
          <w:lang w:val="fr-CA" w:eastAsia="en-US"/>
        </w:rPr>
      </w:pPr>
      <w:r w:rsidRPr="00E3751F">
        <w:rPr>
          <w:rFonts w:eastAsia="Calibri"/>
          <w:b/>
          <w:bCs/>
          <w:u w:val="single"/>
          <w:lang w:val="fr-CA" w:eastAsia="en-US"/>
        </w:rPr>
        <w:t>Bibliographie</w:t>
      </w:r>
      <w:r w:rsidRPr="00E3751F">
        <w:rPr>
          <w:rFonts w:eastAsia="Calibri"/>
          <w:lang w:val="fr-CA" w:eastAsia="en-US"/>
        </w:rPr>
        <w:t xml:space="preserve"> </w:t>
      </w:r>
      <w:r w:rsidRPr="00E3751F">
        <w:rPr>
          <w:rFonts w:eastAsia="Calibri"/>
          <w:lang w:val="fr-CA" w:eastAsia="en-US"/>
        </w:rPr>
        <w:tab/>
      </w:r>
      <w:r w:rsidR="00E75FF9" w:rsidRPr="00E3751F">
        <w:rPr>
          <w:rFonts w:eastAsia="Calibri"/>
          <w:lang w:val="fr-CA" w:eastAsia="en-US"/>
        </w:rPr>
        <w:t xml:space="preserve"> </w:t>
      </w:r>
      <w:r w:rsidRPr="00E3751F">
        <w:rPr>
          <w:rFonts w:eastAsia="Calibri"/>
          <w:lang w:val="fr-CA" w:eastAsia="en-US"/>
        </w:rPr>
        <w:t xml:space="preserve">p. </w:t>
      </w:r>
      <w:r w:rsidR="007C57FB" w:rsidRPr="00E3751F">
        <w:rPr>
          <w:rFonts w:eastAsia="Calibri"/>
          <w:lang w:val="fr-CA" w:eastAsia="en-US"/>
        </w:rPr>
        <w:t>6</w:t>
      </w:r>
      <w:r w:rsidR="00737112">
        <w:rPr>
          <w:rFonts w:eastAsia="Calibri"/>
          <w:lang w:val="fr-CA" w:eastAsia="en-US"/>
        </w:rPr>
        <w:t>0</w:t>
      </w:r>
    </w:p>
    <w:p w14:paraId="395BE61A" w14:textId="77777777" w:rsidR="00640E78" w:rsidRPr="00E3751F" w:rsidRDefault="00C54D9A" w:rsidP="00C54D9A">
      <w:pPr>
        <w:pStyle w:val="BodyText"/>
        <w:ind w:left="0"/>
        <w:rPr>
          <w:rFonts w:ascii="Times New Roman" w:eastAsia="Calibri" w:hAnsi="Times New Roman"/>
          <w:sz w:val="24"/>
          <w:szCs w:val="24"/>
          <w:lang w:val="fr-CA"/>
        </w:rPr>
      </w:pPr>
      <w:r w:rsidRPr="00E3751F">
        <w:rPr>
          <w:rFonts w:eastAsia="Calibri"/>
          <w:sz w:val="24"/>
          <w:szCs w:val="24"/>
          <w:lang w:val="fr-CA"/>
        </w:rPr>
        <w:br w:type="page"/>
      </w:r>
      <w:r w:rsidR="00640E78" w:rsidRPr="00E3751F">
        <w:rPr>
          <w:rFonts w:ascii="Times New Roman" w:eastAsia="Calibri" w:hAnsi="Times New Roman"/>
          <w:b/>
          <w:bCs/>
          <w:sz w:val="24"/>
          <w:szCs w:val="24"/>
          <w:u w:val="single"/>
          <w:lang w:val="fr-CA"/>
        </w:rPr>
        <w:lastRenderedPageBreak/>
        <w:t>Liste des figures et des tableaux</w:t>
      </w:r>
      <w:r w:rsidR="00640E78" w:rsidRPr="00E3751F">
        <w:rPr>
          <w:rFonts w:ascii="Times New Roman" w:eastAsia="Calibri" w:hAnsi="Times New Roman"/>
          <w:sz w:val="24"/>
          <w:szCs w:val="24"/>
          <w:lang w:val="fr-CA"/>
        </w:rPr>
        <w:t> :</w:t>
      </w:r>
    </w:p>
    <w:p w14:paraId="15973935" w14:textId="77777777" w:rsidR="00640E78" w:rsidRPr="00E3751F" w:rsidRDefault="00640E78" w:rsidP="00640E78">
      <w:pPr>
        <w:rPr>
          <w:b/>
          <w:bCs/>
          <w:u w:val="single"/>
          <w:lang w:val="fr-CA" w:eastAsia="en-US"/>
        </w:rPr>
      </w:pPr>
      <w:r w:rsidRPr="00E3751F">
        <w:rPr>
          <w:b/>
          <w:bCs/>
          <w:u w:val="single"/>
          <w:lang w:val="fr-CA" w:eastAsia="en-US"/>
        </w:rPr>
        <w:t>Tableaux</w:t>
      </w:r>
    </w:p>
    <w:p w14:paraId="657A5DD9" w14:textId="77777777" w:rsidR="00640E78" w:rsidRPr="00E3751F" w:rsidRDefault="00640E78" w:rsidP="00640E78">
      <w:pPr>
        <w:tabs>
          <w:tab w:val="right" w:leader="dot" w:pos="9360"/>
        </w:tabs>
        <w:rPr>
          <w:rFonts w:eastAsia="Calibri"/>
          <w:lang w:val="fr-CA" w:eastAsia="en-US"/>
        </w:rPr>
      </w:pPr>
    </w:p>
    <w:p w14:paraId="226F457F" w14:textId="77777777" w:rsidR="00640E78" w:rsidRPr="00E3751F" w:rsidRDefault="00640E78" w:rsidP="00640E78">
      <w:pPr>
        <w:tabs>
          <w:tab w:val="right" w:leader="dot" w:pos="9360"/>
        </w:tabs>
        <w:rPr>
          <w:rFonts w:eastAsia="Calibri"/>
          <w:lang w:val="fr-CA" w:eastAsia="en-US"/>
        </w:rPr>
      </w:pPr>
      <w:r w:rsidRPr="00E3751F">
        <w:rPr>
          <w:rFonts w:eastAsia="Calibri"/>
          <w:lang w:val="fr-CA" w:eastAsia="en-US"/>
        </w:rPr>
        <w:t xml:space="preserve">Tableau 1. </w:t>
      </w:r>
      <w:r w:rsidR="00E056E7" w:rsidRPr="00E3751F">
        <w:rPr>
          <w:lang w:val="fr-CA"/>
        </w:rPr>
        <w:t>Tableau comparatif des populations de Manchester et Woonsocket</w:t>
      </w:r>
      <w:r w:rsidR="00E056E7" w:rsidRPr="00E3751F">
        <w:rPr>
          <w:rFonts w:eastAsia="Calibri"/>
          <w:lang w:val="fr-CA" w:eastAsia="en-US"/>
        </w:rPr>
        <w:t xml:space="preserve"> </w:t>
      </w:r>
      <w:r w:rsidR="00E75FF9" w:rsidRPr="00E3751F">
        <w:rPr>
          <w:rFonts w:eastAsia="Calibri"/>
          <w:lang w:val="fr-CA" w:eastAsia="en-US"/>
        </w:rPr>
        <w:tab/>
        <w:t xml:space="preserve"> </w:t>
      </w:r>
      <w:r w:rsidRPr="00E3751F">
        <w:rPr>
          <w:rFonts w:eastAsia="Calibri"/>
          <w:lang w:val="fr-CA" w:eastAsia="en-US"/>
        </w:rPr>
        <w:t>p.</w:t>
      </w:r>
      <w:r w:rsidR="007C57FB" w:rsidRPr="00E3751F">
        <w:rPr>
          <w:rFonts w:eastAsia="Calibri"/>
          <w:lang w:val="fr-CA" w:eastAsia="en-US"/>
        </w:rPr>
        <w:t>54</w:t>
      </w:r>
    </w:p>
    <w:p w14:paraId="21C9CFB0" w14:textId="77777777" w:rsidR="00640E78" w:rsidRPr="00E3751F" w:rsidRDefault="00640E78" w:rsidP="00640E78">
      <w:pPr>
        <w:tabs>
          <w:tab w:val="right" w:leader="dot" w:pos="9360"/>
        </w:tabs>
        <w:rPr>
          <w:rFonts w:eastAsia="Calibri"/>
          <w:lang w:val="fr-CA" w:eastAsia="en-US"/>
        </w:rPr>
      </w:pPr>
    </w:p>
    <w:p w14:paraId="56314F67" w14:textId="77777777" w:rsidR="00640E78" w:rsidRPr="00E3751F" w:rsidRDefault="00640E78" w:rsidP="00640E78">
      <w:pPr>
        <w:tabs>
          <w:tab w:val="right" w:leader="dot" w:pos="9360"/>
        </w:tabs>
        <w:rPr>
          <w:rFonts w:eastAsia="Calibri"/>
          <w:lang w:val="fr-CA" w:eastAsia="en-US"/>
        </w:rPr>
      </w:pPr>
      <w:r w:rsidRPr="00E3751F">
        <w:rPr>
          <w:rFonts w:eastAsia="Calibri"/>
          <w:lang w:val="fr-CA" w:eastAsia="en-US"/>
        </w:rPr>
        <w:t xml:space="preserve">Tableau 2. </w:t>
      </w:r>
      <w:r w:rsidR="00E056E7" w:rsidRPr="00E3751F">
        <w:rPr>
          <w:lang w:val="fr-CA"/>
        </w:rPr>
        <w:t>Contribution en militaire selon A. Bélanger</w:t>
      </w:r>
      <w:r w:rsidRPr="00E3751F">
        <w:rPr>
          <w:rFonts w:eastAsia="Calibri"/>
          <w:lang w:val="fr-CA" w:eastAsia="en-US"/>
        </w:rPr>
        <w:tab/>
        <w:t xml:space="preserve"> p. </w:t>
      </w:r>
      <w:r w:rsidR="007C57FB" w:rsidRPr="00E3751F">
        <w:rPr>
          <w:rFonts w:eastAsia="Calibri"/>
          <w:lang w:val="fr-CA" w:eastAsia="en-US"/>
        </w:rPr>
        <w:t>56</w:t>
      </w:r>
    </w:p>
    <w:p w14:paraId="3CC012A9" w14:textId="77777777" w:rsidR="00640E78" w:rsidRPr="00E3751F" w:rsidRDefault="00640E78">
      <w:pPr>
        <w:tabs>
          <w:tab w:val="right" w:leader="dot" w:pos="9360"/>
        </w:tabs>
        <w:rPr>
          <w:rFonts w:eastAsia="Calibri"/>
          <w:u w:val="single"/>
          <w:lang w:val="fr-CA" w:eastAsia="en-US"/>
        </w:rPr>
      </w:pPr>
    </w:p>
    <w:p w14:paraId="2F98BAFB" w14:textId="77777777" w:rsidR="00640E78" w:rsidRPr="00E3751F" w:rsidRDefault="00640E78" w:rsidP="00640E78">
      <w:pPr>
        <w:tabs>
          <w:tab w:val="right" w:leader="dot" w:pos="9360"/>
        </w:tabs>
        <w:rPr>
          <w:rFonts w:eastAsia="Calibri"/>
          <w:b/>
          <w:bCs/>
          <w:u w:val="single"/>
          <w:lang w:val="fr-CA" w:eastAsia="en-US"/>
        </w:rPr>
      </w:pPr>
      <w:r w:rsidRPr="00E3751F">
        <w:rPr>
          <w:rFonts w:eastAsia="Calibri"/>
          <w:b/>
          <w:bCs/>
          <w:u w:val="single"/>
          <w:lang w:val="fr-CA" w:eastAsia="en-US"/>
        </w:rPr>
        <w:t>Figure</w:t>
      </w:r>
    </w:p>
    <w:p w14:paraId="114A0401" w14:textId="77777777" w:rsidR="00640E78" w:rsidRPr="00E3751F" w:rsidRDefault="00640E78" w:rsidP="00640E78">
      <w:pPr>
        <w:tabs>
          <w:tab w:val="right" w:leader="dot" w:pos="9360"/>
        </w:tabs>
        <w:rPr>
          <w:rFonts w:eastAsia="Calibri"/>
          <w:lang w:val="fr-CA" w:eastAsia="en-US"/>
        </w:rPr>
      </w:pPr>
    </w:p>
    <w:p w14:paraId="5F886584" w14:textId="3417EBE1" w:rsidR="003E0CA9" w:rsidRPr="007C57FB" w:rsidRDefault="00640E78" w:rsidP="007C57FB">
      <w:pPr>
        <w:tabs>
          <w:tab w:val="right" w:leader="dot" w:pos="9360"/>
        </w:tabs>
        <w:rPr>
          <w:rFonts w:eastAsia="Calibri"/>
          <w:sz w:val="22"/>
          <w:szCs w:val="22"/>
          <w:lang w:val="fr-CA" w:eastAsia="en-US"/>
        </w:rPr>
        <w:sectPr w:rsidR="003E0CA9" w:rsidRPr="007C57FB" w:rsidSect="005F550A">
          <w:footerReference w:type="default" r:id="rId15"/>
          <w:pgSz w:w="12240" w:h="15840" w:code="1"/>
          <w:pgMar w:top="1440" w:right="1800" w:bottom="1440" w:left="1800" w:header="720" w:footer="720" w:gutter="0"/>
          <w:pgNumType w:fmt="lowerRoman" w:start="2"/>
          <w:cols w:space="720"/>
          <w:docGrid w:linePitch="360"/>
        </w:sectPr>
      </w:pPr>
      <w:r w:rsidRPr="00E3751F">
        <w:rPr>
          <w:rFonts w:eastAsia="Calibri"/>
          <w:lang w:val="fr-CA" w:eastAsia="en-US"/>
        </w:rPr>
        <w:t xml:space="preserve">Figure 1. </w:t>
      </w:r>
      <w:r w:rsidR="001845A5" w:rsidRPr="00E3751F">
        <w:rPr>
          <w:rFonts w:eastAsia="Calibri"/>
          <w:lang w:val="fr-CA" w:eastAsia="en-US"/>
        </w:rPr>
        <w:t>Carte des p</w:t>
      </w:r>
      <w:r w:rsidR="00E3751F" w:rsidRPr="00E3751F">
        <w:rPr>
          <w:rFonts w:eastAsia="Calibri"/>
          <w:lang w:val="fr-CA" w:eastAsia="en-US"/>
        </w:rPr>
        <w:t>a</w:t>
      </w:r>
      <w:r w:rsidR="00805DC3" w:rsidRPr="00E3751F">
        <w:rPr>
          <w:noProof/>
          <w:lang w:val="fr-CA"/>
        </w:rPr>
        <w:t xml:space="preserve">roisses </w:t>
      </w:r>
      <w:r w:rsidR="001845A5" w:rsidRPr="00E3751F">
        <w:rPr>
          <w:noProof/>
          <w:lang w:val="fr-CA"/>
        </w:rPr>
        <w:t xml:space="preserve">franco-américaines, </w:t>
      </w:r>
      <w:r w:rsidR="00805DC3" w:rsidRPr="00E3751F">
        <w:rPr>
          <w:noProof/>
          <w:lang w:val="fr-CA"/>
        </w:rPr>
        <w:t>Manchester</w:t>
      </w:r>
      <w:r w:rsidR="001845A5" w:rsidRPr="00E3751F">
        <w:rPr>
          <w:noProof/>
          <w:lang w:val="fr-CA"/>
        </w:rPr>
        <w:t xml:space="preserve"> 1916</w:t>
      </w:r>
      <w:r w:rsidRPr="00E3751F">
        <w:rPr>
          <w:rFonts w:eastAsia="Calibri"/>
          <w:lang w:val="fr-CA" w:eastAsia="en-US"/>
        </w:rPr>
        <w:tab/>
        <w:t xml:space="preserve"> p. </w:t>
      </w:r>
      <w:r w:rsidR="00805DC3" w:rsidRPr="00E3751F">
        <w:rPr>
          <w:rFonts w:eastAsia="Calibri"/>
          <w:lang w:val="fr-CA" w:eastAsia="en-US"/>
        </w:rPr>
        <w:t>1</w:t>
      </w:r>
      <w:r w:rsidR="007C57FB" w:rsidRPr="00E3751F">
        <w:rPr>
          <w:rFonts w:eastAsia="Calibri"/>
          <w:lang w:val="fr-CA" w:eastAsia="en-US"/>
        </w:rPr>
        <w:t>4</w:t>
      </w:r>
    </w:p>
    <w:p w14:paraId="0EAB59EA" w14:textId="77777777" w:rsidR="005D0F9B" w:rsidRPr="00217EFC" w:rsidRDefault="00064F3D" w:rsidP="003C57D5">
      <w:pPr>
        <w:pStyle w:val="Style1"/>
        <w:spacing w:before="100" w:beforeAutospacing="1" w:after="100" w:afterAutospacing="1" w:line="480" w:lineRule="auto"/>
        <w:jc w:val="both"/>
        <w:outlineLvl w:val="0"/>
        <w:rPr>
          <w:sz w:val="22"/>
          <w:szCs w:val="22"/>
        </w:rPr>
      </w:pPr>
      <w:bookmarkStart w:id="2" w:name="_Hlk15311420"/>
      <w:r w:rsidRPr="00217EFC">
        <w:rPr>
          <w:sz w:val="22"/>
          <w:szCs w:val="22"/>
        </w:rPr>
        <w:lastRenderedPageBreak/>
        <w:t>Introduction</w:t>
      </w:r>
    </w:p>
    <w:p w14:paraId="5EA51B21" w14:textId="77777777" w:rsidR="003C7920" w:rsidRPr="00217EFC" w:rsidRDefault="003C7920"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Malgré l’existence de liens familiaux très étroits et d’une très grande affinité culturelle avec les populations francophones du Canada, les Franco-Américains de la Nouvelle-Angleterre ne se comportent pas de la même façon que les Canadiens français pendant le déroulement de la Première Guerre mondiale. Assurément, le contexte géopolitique dans lequel se retrouvent les Franco-Américains de la Nouvelle-Angleterre n’est pas le même qu’au Canada. En fait, les États-Unis ne s</w:t>
      </w:r>
      <w:r w:rsidR="00FF4ACC">
        <w:rPr>
          <w:rFonts w:eastAsia="Calibri"/>
          <w:sz w:val="22"/>
          <w:szCs w:val="22"/>
          <w:lang w:val="fr-CA" w:eastAsia="en-US"/>
        </w:rPr>
        <w:t>’</w:t>
      </w:r>
      <w:r w:rsidRPr="00217EFC">
        <w:rPr>
          <w:rFonts w:eastAsia="Calibri"/>
          <w:sz w:val="22"/>
          <w:szCs w:val="22"/>
          <w:lang w:val="fr-CA" w:eastAsia="en-US"/>
        </w:rPr>
        <w:t>impliquent militairement dans le conflit qu</w:t>
      </w:r>
      <w:r w:rsidR="00FF4ACC">
        <w:rPr>
          <w:rFonts w:eastAsia="Calibri"/>
          <w:sz w:val="22"/>
          <w:szCs w:val="22"/>
          <w:lang w:val="fr-CA" w:eastAsia="en-US"/>
        </w:rPr>
        <w:t>’</w:t>
      </w:r>
      <w:r w:rsidRPr="00217EFC">
        <w:rPr>
          <w:rFonts w:eastAsia="Calibri"/>
          <w:sz w:val="22"/>
          <w:szCs w:val="22"/>
          <w:lang w:val="fr-CA" w:eastAsia="en-US"/>
        </w:rPr>
        <w:t>à partir d’avril 1917 alors que le Canada entre en guerre en août 1914.</w:t>
      </w:r>
    </w:p>
    <w:p w14:paraId="7F0EB8DF" w14:textId="77777777" w:rsidR="000264D6" w:rsidRPr="00217EFC" w:rsidRDefault="003C7920"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En dépit d’une volonté très claire exprimée par les Franco-Américains de s’engager activement pendant le conflit, une seule étude traite spécifiquement de la question, soit celle réalisée par Bernard Lemelin qui a produit en 1987 une </w:t>
      </w:r>
      <w:r w:rsidR="00C937FE">
        <w:rPr>
          <w:rFonts w:eastAsia="Calibri"/>
          <w:sz w:val="22"/>
          <w:szCs w:val="22"/>
          <w:lang w:val="fr-CA" w:eastAsia="en-US"/>
        </w:rPr>
        <w:t xml:space="preserve">analyse </w:t>
      </w:r>
      <w:r w:rsidRPr="00217EFC">
        <w:rPr>
          <w:rFonts w:eastAsia="Calibri"/>
          <w:sz w:val="22"/>
          <w:szCs w:val="22"/>
          <w:lang w:val="fr-CA" w:eastAsia="en-US"/>
        </w:rPr>
        <w:t xml:space="preserve">sur la contribution à l’effort de guerre des </w:t>
      </w:r>
      <w:r w:rsidR="00186C28">
        <w:rPr>
          <w:rFonts w:eastAsia="Calibri"/>
          <w:sz w:val="22"/>
          <w:szCs w:val="22"/>
          <w:lang w:val="fr-CA" w:eastAsia="en-US"/>
        </w:rPr>
        <w:t>F</w:t>
      </w:r>
      <w:r w:rsidRPr="00217EFC">
        <w:rPr>
          <w:rFonts w:eastAsia="Calibri"/>
          <w:sz w:val="22"/>
          <w:szCs w:val="22"/>
          <w:lang w:val="fr-CA" w:eastAsia="en-US"/>
        </w:rPr>
        <w:t xml:space="preserve">ranco-américains de Woonsocket, Rhode Island, pendant la </w:t>
      </w:r>
      <w:r w:rsidR="00186C28">
        <w:rPr>
          <w:rFonts w:eastAsia="Calibri"/>
          <w:sz w:val="22"/>
          <w:szCs w:val="22"/>
          <w:lang w:val="fr-CA" w:eastAsia="en-US"/>
        </w:rPr>
        <w:t>P</w:t>
      </w:r>
      <w:r w:rsidRPr="00217EFC">
        <w:rPr>
          <w:rFonts w:eastAsia="Calibri"/>
          <w:sz w:val="22"/>
          <w:szCs w:val="22"/>
          <w:lang w:val="fr-CA" w:eastAsia="en-US"/>
        </w:rPr>
        <w:t xml:space="preserve">remière </w:t>
      </w:r>
      <w:r w:rsidR="00186C28">
        <w:rPr>
          <w:rFonts w:eastAsia="Calibri"/>
          <w:sz w:val="22"/>
          <w:szCs w:val="22"/>
          <w:lang w:val="fr-CA" w:eastAsia="en-US"/>
        </w:rPr>
        <w:t>G</w:t>
      </w:r>
      <w:r w:rsidRPr="00217EFC">
        <w:rPr>
          <w:rFonts w:eastAsia="Calibri"/>
          <w:sz w:val="22"/>
          <w:szCs w:val="22"/>
          <w:lang w:val="fr-CA" w:eastAsia="en-US"/>
        </w:rPr>
        <w:t>uerre mondiale</w:t>
      </w:r>
      <w:bookmarkEnd w:id="2"/>
      <w:r w:rsidR="000264D6" w:rsidRPr="00217EFC">
        <w:rPr>
          <w:rStyle w:val="FootnoteReference"/>
          <w:rFonts w:eastAsia="Calibri"/>
          <w:sz w:val="22"/>
          <w:szCs w:val="22"/>
          <w:lang w:val="fr-CA" w:eastAsia="en-US"/>
        </w:rPr>
        <w:footnoteReference w:id="2"/>
      </w:r>
      <w:r w:rsidR="000264D6" w:rsidRPr="00217EFC">
        <w:rPr>
          <w:rFonts w:eastAsia="Calibri"/>
          <w:sz w:val="22"/>
          <w:szCs w:val="22"/>
          <w:lang w:val="fr-CA" w:eastAsia="en-US"/>
        </w:rPr>
        <w:t xml:space="preserve">. Cette étude montre que, dès août 1914, les populations franco-américaines ont demandé au président Wilson de mettre fin à la neutralité américaine et d’engager les États-Unis dans le conflit, en faveur de la cause des Alliés. Lemelin indique également que les Franco-Américains ont largement contribué aux différentes œuvres de charité afin d’aider les victimes de la guerre et </w:t>
      </w:r>
      <w:r w:rsidR="000264D6">
        <w:rPr>
          <w:rFonts w:eastAsia="Calibri"/>
          <w:sz w:val="22"/>
          <w:szCs w:val="22"/>
          <w:lang w:val="fr-CA" w:eastAsia="en-US"/>
        </w:rPr>
        <w:t>d’</w:t>
      </w:r>
      <w:r w:rsidR="000264D6" w:rsidRPr="00217EFC">
        <w:rPr>
          <w:rFonts w:eastAsia="Calibri"/>
          <w:sz w:val="22"/>
          <w:szCs w:val="22"/>
          <w:lang w:val="fr-CA" w:eastAsia="en-US"/>
        </w:rPr>
        <w:t>appuyer les familles de la région dont l’un des leurs était déployé outre-mer. De plus, lorsque le Congrès américain déclare officiellement la guerre à l’Allemagne, le 6 avril 1917, les Franco-Américains continuent à appuyer activement les différentes initiatives d’entraide et ils</w:t>
      </w:r>
      <w:r w:rsidR="000264D6">
        <w:rPr>
          <w:rFonts w:eastAsia="Calibri"/>
          <w:sz w:val="22"/>
          <w:szCs w:val="22"/>
          <w:lang w:val="fr-CA" w:eastAsia="en-US"/>
        </w:rPr>
        <w:t xml:space="preserve"> s</w:t>
      </w:r>
      <w:r w:rsidR="000264D6" w:rsidRPr="00217EFC">
        <w:rPr>
          <w:rFonts w:eastAsia="Calibri"/>
          <w:sz w:val="22"/>
          <w:szCs w:val="22"/>
          <w:lang w:val="fr-CA" w:eastAsia="en-US"/>
        </w:rPr>
        <w:t xml:space="preserve">’enrôlent avec dynamisme pour aider leur pays, en contribuant à l’effort de guerre. </w:t>
      </w:r>
    </w:p>
    <w:p w14:paraId="72D734D3" w14:textId="77777777" w:rsidR="000264D6" w:rsidRPr="00217EFC" w:rsidRDefault="000264D6" w:rsidP="002B5319">
      <w:pPr>
        <w:spacing w:before="100" w:beforeAutospacing="1" w:after="100" w:afterAutospacing="1"/>
        <w:jc w:val="both"/>
        <w:rPr>
          <w:rFonts w:eastAsia="Calibri"/>
          <w:sz w:val="22"/>
          <w:szCs w:val="22"/>
          <w:lang w:val="fr-CA" w:eastAsia="en-US"/>
        </w:rPr>
      </w:pPr>
      <w:r w:rsidRPr="00217EFC">
        <w:rPr>
          <w:rFonts w:eastAsia="Calibri"/>
          <w:sz w:val="22"/>
          <w:szCs w:val="22"/>
          <w:lang w:val="fr-CA" w:eastAsia="en-US"/>
        </w:rPr>
        <w:tab/>
        <w:t xml:space="preserve">Notre étude se donne comme objectif d’élargir </w:t>
      </w:r>
      <w:r>
        <w:rPr>
          <w:rFonts w:eastAsia="Calibri"/>
          <w:sz w:val="22"/>
          <w:szCs w:val="22"/>
          <w:lang w:val="fr-CA" w:eastAsia="en-US"/>
        </w:rPr>
        <w:t xml:space="preserve">la </w:t>
      </w:r>
      <w:r w:rsidRPr="00217EFC">
        <w:rPr>
          <w:rFonts w:eastAsia="Calibri"/>
          <w:sz w:val="22"/>
          <w:szCs w:val="22"/>
          <w:lang w:val="fr-CA" w:eastAsia="en-US"/>
        </w:rPr>
        <w:t>compréhension générale du comportement des Franco-Américains</w:t>
      </w:r>
      <w:r>
        <w:rPr>
          <w:rFonts w:eastAsia="Calibri"/>
          <w:sz w:val="22"/>
          <w:szCs w:val="22"/>
          <w:lang w:val="fr-CA" w:eastAsia="en-US"/>
        </w:rPr>
        <w:t>,</w:t>
      </w:r>
      <w:r w:rsidRPr="00217EFC">
        <w:rPr>
          <w:rFonts w:eastAsia="Calibri"/>
          <w:sz w:val="22"/>
          <w:szCs w:val="22"/>
          <w:lang w:val="fr-CA" w:eastAsia="en-US"/>
        </w:rPr>
        <w:t xml:space="preserve"> en Nouvelle-Angleterre</w:t>
      </w:r>
      <w:r>
        <w:rPr>
          <w:rFonts w:eastAsia="Calibri"/>
          <w:sz w:val="22"/>
          <w:szCs w:val="22"/>
          <w:lang w:val="fr-CA" w:eastAsia="en-US"/>
        </w:rPr>
        <w:t>,</w:t>
      </w:r>
      <w:r w:rsidRPr="00217EFC">
        <w:rPr>
          <w:rFonts w:eastAsia="Calibri"/>
          <w:sz w:val="22"/>
          <w:szCs w:val="22"/>
          <w:lang w:val="fr-CA" w:eastAsia="en-US"/>
        </w:rPr>
        <w:t xml:space="preserve"> lors de la Première Guerre mondiale</w:t>
      </w:r>
      <w:r>
        <w:rPr>
          <w:rFonts w:eastAsia="Calibri"/>
          <w:sz w:val="22"/>
          <w:szCs w:val="22"/>
          <w:lang w:val="fr-CA" w:eastAsia="en-US"/>
        </w:rPr>
        <w:t>,</w:t>
      </w:r>
      <w:r w:rsidRPr="00217EFC">
        <w:rPr>
          <w:rFonts w:eastAsia="Calibri"/>
          <w:sz w:val="22"/>
          <w:szCs w:val="22"/>
          <w:lang w:val="fr-CA" w:eastAsia="en-US"/>
        </w:rPr>
        <w:t xml:space="preserve"> en traitant d’une autre communauté franco-américaine, celle de la ville de Manchester au New</w:t>
      </w:r>
      <w:r>
        <w:rPr>
          <w:rFonts w:eastAsia="Calibri"/>
          <w:sz w:val="22"/>
          <w:szCs w:val="22"/>
          <w:lang w:val="fr-CA" w:eastAsia="en-US"/>
        </w:rPr>
        <w:t xml:space="preserve"> </w:t>
      </w:r>
      <w:r w:rsidRPr="00217EFC">
        <w:rPr>
          <w:rFonts w:eastAsia="Calibri"/>
          <w:sz w:val="22"/>
          <w:szCs w:val="22"/>
          <w:lang w:val="fr-CA" w:eastAsia="en-US"/>
        </w:rPr>
        <w:t xml:space="preserve">Hampshire. Nous </w:t>
      </w:r>
      <w:r>
        <w:rPr>
          <w:rFonts w:eastAsia="Calibri"/>
          <w:sz w:val="22"/>
          <w:szCs w:val="22"/>
          <w:lang w:val="fr-CA" w:eastAsia="en-US"/>
        </w:rPr>
        <w:t xml:space="preserve">examinerons </w:t>
      </w:r>
      <w:r w:rsidRPr="00217EFC">
        <w:rPr>
          <w:rFonts w:eastAsia="Calibri"/>
          <w:sz w:val="22"/>
          <w:szCs w:val="22"/>
          <w:lang w:val="fr-CA" w:eastAsia="en-US"/>
        </w:rPr>
        <w:t>de manière précise l’orchestration et les mécanismes employés par les élites franco-américaines afin de mobiliser la population franco-américaine de Manchester.</w:t>
      </w:r>
      <w:r>
        <w:rPr>
          <w:rFonts w:eastAsia="Calibri"/>
          <w:sz w:val="22"/>
          <w:szCs w:val="22"/>
          <w:lang w:val="fr-CA" w:eastAsia="en-US"/>
        </w:rPr>
        <w:t xml:space="preserve"> </w:t>
      </w:r>
      <w:r w:rsidRPr="00217EFC">
        <w:rPr>
          <w:rFonts w:eastAsia="Calibri"/>
          <w:sz w:val="22"/>
          <w:szCs w:val="22"/>
          <w:lang w:val="fr-CA" w:eastAsia="en-US"/>
        </w:rPr>
        <w:t xml:space="preserve">Également, nous </w:t>
      </w:r>
      <w:r>
        <w:rPr>
          <w:rFonts w:eastAsia="Calibri"/>
          <w:sz w:val="22"/>
          <w:szCs w:val="22"/>
          <w:lang w:val="fr-CA" w:eastAsia="en-US"/>
        </w:rPr>
        <w:t xml:space="preserve">allons observer </w:t>
      </w:r>
      <w:r w:rsidRPr="00217EFC">
        <w:rPr>
          <w:rFonts w:eastAsia="Calibri"/>
          <w:sz w:val="22"/>
          <w:szCs w:val="22"/>
          <w:lang w:val="fr-CA" w:eastAsia="en-US"/>
        </w:rPr>
        <w:t>la réaction de la communauté au moment où la guerre est déclarée</w:t>
      </w:r>
      <w:r>
        <w:rPr>
          <w:rFonts w:eastAsia="Calibri"/>
          <w:sz w:val="22"/>
          <w:szCs w:val="22"/>
          <w:lang w:val="fr-CA" w:eastAsia="en-US"/>
        </w:rPr>
        <w:t>,</w:t>
      </w:r>
      <w:r w:rsidRPr="00217EFC">
        <w:rPr>
          <w:rFonts w:eastAsia="Calibri"/>
          <w:sz w:val="22"/>
          <w:szCs w:val="22"/>
          <w:lang w:val="fr-CA" w:eastAsia="en-US"/>
        </w:rPr>
        <w:t xml:space="preserve"> puis tout au long de la guerre afin de </w:t>
      </w:r>
      <w:r>
        <w:rPr>
          <w:rFonts w:eastAsia="Calibri"/>
          <w:sz w:val="22"/>
          <w:szCs w:val="22"/>
          <w:lang w:val="fr-CA" w:eastAsia="en-US"/>
        </w:rPr>
        <w:t xml:space="preserve">préciser </w:t>
      </w:r>
      <w:r w:rsidRPr="00217EFC">
        <w:rPr>
          <w:rFonts w:eastAsia="Calibri"/>
          <w:sz w:val="22"/>
          <w:szCs w:val="22"/>
          <w:lang w:val="fr-CA" w:eastAsia="en-US"/>
        </w:rPr>
        <w:t xml:space="preserve">le comportement des Franco-Américains et de </w:t>
      </w:r>
      <w:r>
        <w:rPr>
          <w:rFonts w:eastAsia="Calibri"/>
          <w:sz w:val="22"/>
          <w:szCs w:val="22"/>
          <w:lang w:val="fr-CA" w:eastAsia="en-US"/>
        </w:rPr>
        <w:t>leurs</w:t>
      </w:r>
      <w:r w:rsidRPr="00217EFC">
        <w:rPr>
          <w:rFonts w:eastAsia="Calibri"/>
          <w:sz w:val="22"/>
          <w:szCs w:val="22"/>
          <w:lang w:val="fr-CA" w:eastAsia="en-US"/>
        </w:rPr>
        <w:t xml:space="preserve"> élites. Ainsi, </w:t>
      </w:r>
      <w:r>
        <w:rPr>
          <w:rFonts w:eastAsia="Calibri"/>
          <w:sz w:val="22"/>
          <w:szCs w:val="22"/>
          <w:lang w:val="fr-CA" w:eastAsia="en-US"/>
        </w:rPr>
        <w:t xml:space="preserve">avec cette </w:t>
      </w:r>
      <w:r w:rsidRPr="00217EFC">
        <w:rPr>
          <w:rFonts w:eastAsia="Calibri"/>
          <w:sz w:val="22"/>
          <w:szCs w:val="22"/>
          <w:lang w:val="fr-CA" w:eastAsia="en-US"/>
        </w:rPr>
        <w:t xml:space="preserve">nouvelle étude </w:t>
      </w:r>
      <w:r>
        <w:rPr>
          <w:rFonts w:eastAsia="Calibri"/>
          <w:sz w:val="22"/>
          <w:szCs w:val="22"/>
          <w:lang w:val="fr-CA" w:eastAsia="en-US"/>
        </w:rPr>
        <w:t xml:space="preserve">en main </w:t>
      </w:r>
      <w:r w:rsidRPr="00217EFC">
        <w:rPr>
          <w:rFonts w:eastAsia="Calibri"/>
          <w:sz w:val="22"/>
          <w:szCs w:val="22"/>
          <w:lang w:val="fr-CA" w:eastAsia="en-US"/>
        </w:rPr>
        <w:t>sur le suje</w:t>
      </w:r>
      <w:r>
        <w:rPr>
          <w:rFonts w:eastAsia="Calibri"/>
          <w:sz w:val="22"/>
          <w:szCs w:val="22"/>
          <w:lang w:val="fr-CA" w:eastAsia="en-US"/>
        </w:rPr>
        <w:t xml:space="preserve">t, nous </w:t>
      </w:r>
      <w:r w:rsidRPr="00217EFC">
        <w:rPr>
          <w:rFonts w:eastAsia="Calibri"/>
          <w:sz w:val="22"/>
          <w:szCs w:val="22"/>
          <w:lang w:val="fr-CA" w:eastAsia="en-US"/>
        </w:rPr>
        <w:t>vérifier</w:t>
      </w:r>
      <w:r>
        <w:rPr>
          <w:rFonts w:eastAsia="Calibri"/>
          <w:sz w:val="22"/>
          <w:szCs w:val="22"/>
          <w:lang w:val="fr-CA" w:eastAsia="en-US"/>
        </w:rPr>
        <w:t>ons</w:t>
      </w:r>
      <w:r w:rsidRPr="00217EFC">
        <w:rPr>
          <w:rFonts w:eastAsia="Calibri"/>
          <w:sz w:val="22"/>
          <w:szCs w:val="22"/>
          <w:lang w:val="fr-CA" w:eastAsia="en-US"/>
        </w:rPr>
        <w:t xml:space="preserve"> si les conclusions de l’étude de Lemelin s’appliquent également </w:t>
      </w:r>
      <w:r>
        <w:rPr>
          <w:rFonts w:eastAsia="Calibri"/>
          <w:sz w:val="22"/>
          <w:szCs w:val="22"/>
          <w:lang w:val="fr-CA" w:eastAsia="en-US"/>
        </w:rPr>
        <w:t xml:space="preserve">à </w:t>
      </w:r>
      <w:r w:rsidRPr="00217EFC">
        <w:rPr>
          <w:rFonts w:eastAsia="Calibri"/>
          <w:sz w:val="22"/>
          <w:szCs w:val="22"/>
          <w:lang w:val="fr-CA" w:eastAsia="en-US"/>
        </w:rPr>
        <w:t xml:space="preserve">la ville de Manchester au New Hampshire ou si certaines différences </w:t>
      </w:r>
      <w:r>
        <w:rPr>
          <w:rFonts w:eastAsia="Calibri"/>
          <w:sz w:val="22"/>
          <w:szCs w:val="22"/>
          <w:lang w:val="fr-CA" w:eastAsia="en-US"/>
        </w:rPr>
        <w:t xml:space="preserve">peuvent être </w:t>
      </w:r>
      <w:r w:rsidRPr="00217EFC">
        <w:rPr>
          <w:rFonts w:eastAsia="Calibri"/>
          <w:sz w:val="22"/>
          <w:szCs w:val="22"/>
          <w:lang w:val="fr-CA" w:eastAsia="en-US"/>
        </w:rPr>
        <w:t>décelées.</w:t>
      </w:r>
    </w:p>
    <w:p w14:paraId="45127F8F" w14:textId="77777777" w:rsidR="000264D6" w:rsidRPr="00217EFC" w:rsidRDefault="000264D6" w:rsidP="003C57D5">
      <w:pPr>
        <w:spacing w:before="100" w:beforeAutospacing="1" w:after="100" w:afterAutospacing="1" w:line="480" w:lineRule="auto"/>
        <w:jc w:val="both"/>
        <w:rPr>
          <w:rFonts w:eastAsia="Calibri"/>
          <w:b/>
          <w:bCs/>
          <w:sz w:val="22"/>
          <w:szCs w:val="22"/>
          <w:lang w:val="fr-CA" w:eastAsia="en-US"/>
        </w:rPr>
      </w:pPr>
      <w:r w:rsidRPr="00217EFC">
        <w:rPr>
          <w:rFonts w:eastAsia="Calibri"/>
          <w:b/>
          <w:bCs/>
          <w:sz w:val="22"/>
          <w:szCs w:val="22"/>
          <w:lang w:val="fr-CA" w:eastAsia="en-US"/>
        </w:rPr>
        <w:t>Exposition de la problématique et présentation de l’hypothèse</w:t>
      </w:r>
    </w:p>
    <w:p w14:paraId="71B462FE" w14:textId="77777777" w:rsidR="000264D6"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Nous ne connaissons pas exactement les circonstances qui expliquent pourquoi les études </w:t>
      </w:r>
      <w:r>
        <w:rPr>
          <w:rFonts w:eastAsia="Calibri"/>
          <w:sz w:val="22"/>
          <w:szCs w:val="22"/>
          <w:lang w:val="fr-CA" w:eastAsia="en-US"/>
        </w:rPr>
        <w:t xml:space="preserve">sur </w:t>
      </w:r>
      <w:r w:rsidRPr="00217EFC">
        <w:rPr>
          <w:rFonts w:eastAsia="Calibri"/>
          <w:sz w:val="22"/>
          <w:szCs w:val="22"/>
          <w:lang w:val="fr-CA" w:eastAsia="en-US"/>
        </w:rPr>
        <w:t xml:space="preserve">la contribution de groupes d’émigrants minoritaires aux efforts de guerres américains sont </w:t>
      </w:r>
      <w:r w:rsidRPr="00217EFC">
        <w:rPr>
          <w:rFonts w:eastAsia="Calibri"/>
          <w:sz w:val="22"/>
          <w:szCs w:val="22"/>
          <w:lang w:val="fr-CA" w:eastAsia="en-US"/>
        </w:rPr>
        <w:lastRenderedPageBreak/>
        <w:t>rares</w:t>
      </w:r>
      <w:r w:rsidRPr="00217EFC">
        <w:rPr>
          <w:rStyle w:val="FootnoteReference"/>
          <w:rFonts w:eastAsia="Calibri"/>
          <w:sz w:val="22"/>
          <w:szCs w:val="22"/>
          <w:lang w:val="fr-CA" w:eastAsia="en-US"/>
        </w:rPr>
        <w:footnoteReference w:id="3"/>
      </w:r>
      <w:r w:rsidRPr="00217EFC">
        <w:rPr>
          <w:rFonts w:eastAsia="Calibri"/>
          <w:sz w:val="22"/>
          <w:szCs w:val="22"/>
          <w:lang w:val="fr-CA" w:eastAsia="en-US"/>
        </w:rPr>
        <w:t xml:space="preserve">. </w:t>
      </w:r>
      <w:r>
        <w:rPr>
          <w:rFonts w:eastAsia="Calibri"/>
          <w:sz w:val="22"/>
          <w:szCs w:val="22"/>
          <w:lang w:val="fr-CA" w:eastAsia="en-US"/>
        </w:rPr>
        <w:t xml:space="preserve">Nous pouvons néanmoins affirmer que </w:t>
      </w:r>
      <w:r w:rsidRPr="00217EFC">
        <w:rPr>
          <w:rFonts w:eastAsia="Calibri"/>
          <w:sz w:val="22"/>
          <w:szCs w:val="22"/>
          <w:lang w:val="fr-CA" w:eastAsia="en-US"/>
        </w:rPr>
        <w:t>l’influence de ces groupes ne semble pas avoir</w:t>
      </w:r>
      <w:r>
        <w:rPr>
          <w:rFonts w:eastAsia="Calibri"/>
          <w:sz w:val="22"/>
          <w:szCs w:val="22"/>
          <w:lang w:val="fr-CA" w:eastAsia="en-US"/>
        </w:rPr>
        <w:t xml:space="preserve"> produit </w:t>
      </w:r>
      <w:r w:rsidRPr="00217EFC">
        <w:rPr>
          <w:rFonts w:eastAsia="Calibri"/>
          <w:sz w:val="22"/>
          <w:szCs w:val="22"/>
          <w:lang w:val="fr-CA" w:eastAsia="en-US"/>
        </w:rPr>
        <w:t xml:space="preserve">d’effets </w:t>
      </w:r>
      <w:r>
        <w:rPr>
          <w:rFonts w:eastAsia="Calibri"/>
          <w:sz w:val="22"/>
          <w:szCs w:val="22"/>
          <w:lang w:val="fr-CA" w:eastAsia="en-US"/>
        </w:rPr>
        <w:t xml:space="preserve">significatifs par rapport </w:t>
      </w:r>
      <w:r w:rsidRPr="00C022D4">
        <w:rPr>
          <w:rFonts w:eastAsia="Calibri"/>
          <w:sz w:val="22"/>
          <w:szCs w:val="22"/>
          <w:lang w:val="fr-CA" w:eastAsia="en-US"/>
        </w:rPr>
        <w:t>à</w:t>
      </w:r>
      <w:r>
        <w:rPr>
          <w:rFonts w:eastAsia="Calibri"/>
          <w:sz w:val="22"/>
          <w:szCs w:val="22"/>
          <w:lang w:val="fr-CA" w:eastAsia="en-US"/>
        </w:rPr>
        <w:t xml:space="preserve"> celle du mouvement </w:t>
      </w:r>
      <w:r w:rsidRPr="00217EFC">
        <w:rPr>
          <w:rFonts w:eastAsia="Calibri"/>
          <w:sz w:val="22"/>
          <w:szCs w:val="22"/>
          <w:lang w:val="fr-CA" w:eastAsia="en-US"/>
        </w:rPr>
        <w:t>nativiste</w:t>
      </w:r>
      <w:r>
        <w:rPr>
          <w:rFonts w:eastAsia="Calibri"/>
          <w:sz w:val="22"/>
          <w:szCs w:val="22"/>
          <w:lang w:val="fr-CA" w:eastAsia="en-US"/>
        </w:rPr>
        <w:t xml:space="preserve"> qui a reçu une plus grande attention de la part de la population américaine à cette époque. D’ailleurs, après la Première Guerre mondiale, nous constatons un rejet de la diversité culturelle et linguistique dans la législation américaine</w:t>
      </w:r>
      <w:r w:rsidRPr="00217EFC">
        <w:rPr>
          <w:rFonts w:eastAsia="Calibri"/>
          <w:sz w:val="22"/>
          <w:szCs w:val="22"/>
          <w:lang w:val="fr-CA" w:eastAsia="en-US"/>
        </w:rPr>
        <w:t>.</w:t>
      </w:r>
      <w:r>
        <w:rPr>
          <w:rFonts w:eastAsia="Calibri"/>
          <w:sz w:val="22"/>
          <w:szCs w:val="22"/>
          <w:lang w:val="fr-CA" w:eastAsia="en-US"/>
        </w:rPr>
        <w:t xml:space="preserve"> </w:t>
      </w:r>
      <w:r w:rsidRPr="00217EFC">
        <w:rPr>
          <w:rFonts w:eastAsia="Calibri"/>
          <w:sz w:val="22"/>
          <w:szCs w:val="22"/>
          <w:lang w:val="fr-CA" w:eastAsia="en-US"/>
        </w:rPr>
        <w:t>Par conséquent, le</w:t>
      </w:r>
      <w:r>
        <w:rPr>
          <w:rFonts w:eastAsia="Calibri"/>
          <w:sz w:val="22"/>
          <w:szCs w:val="22"/>
          <w:lang w:val="fr-CA" w:eastAsia="en-US"/>
        </w:rPr>
        <w:t xml:space="preserve">s </w:t>
      </w:r>
      <w:r w:rsidRPr="00217EFC">
        <w:rPr>
          <w:rFonts w:eastAsia="Calibri"/>
          <w:sz w:val="22"/>
          <w:szCs w:val="22"/>
          <w:lang w:val="fr-CA" w:eastAsia="en-US"/>
        </w:rPr>
        <w:t xml:space="preserve">luttes </w:t>
      </w:r>
      <w:r>
        <w:rPr>
          <w:rFonts w:eastAsia="Calibri"/>
          <w:sz w:val="22"/>
          <w:szCs w:val="22"/>
          <w:lang w:val="fr-CA" w:eastAsia="en-US"/>
        </w:rPr>
        <w:t xml:space="preserve">de ces groupes ethniques </w:t>
      </w:r>
      <w:r w:rsidRPr="00217EFC">
        <w:rPr>
          <w:rFonts w:eastAsia="Calibri"/>
          <w:sz w:val="22"/>
          <w:szCs w:val="22"/>
          <w:lang w:val="fr-CA" w:eastAsia="en-US"/>
        </w:rPr>
        <w:t xml:space="preserve">pour </w:t>
      </w:r>
      <w:r>
        <w:rPr>
          <w:rFonts w:eastAsia="Calibri"/>
          <w:sz w:val="22"/>
          <w:szCs w:val="22"/>
          <w:lang w:val="fr-CA" w:eastAsia="en-US"/>
        </w:rPr>
        <w:t xml:space="preserve">assurer </w:t>
      </w:r>
      <w:r w:rsidRPr="00217EFC">
        <w:rPr>
          <w:rFonts w:eastAsia="Calibri"/>
          <w:sz w:val="22"/>
          <w:szCs w:val="22"/>
          <w:lang w:val="fr-CA" w:eastAsia="en-US"/>
        </w:rPr>
        <w:t>leur pérennité culturelle sont souvent délaissées par rapport aux principaux thèmes relatifs à l’historiographie américaine du conflit.</w:t>
      </w:r>
      <w:r>
        <w:rPr>
          <w:rFonts w:eastAsia="Calibri"/>
          <w:sz w:val="22"/>
          <w:szCs w:val="22"/>
          <w:lang w:val="fr-CA" w:eastAsia="en-US"/>
        </w:rPr>
        <w:t xml:space="preserve"> </w:t>
      </w:r>
      <w:r w:rsidRPr="00217EFC">
        <w:rPr>
          <w:rFonts w:eastAsia="Calibri"/>
          <w:sz w:val="22"/>
          <w:szCs w:val="22"/>
          <w:lang w:val="fr-CA" w:eastAsia="en-US"/>
        </w:rPr>
        <w:t>Certes, le</w:t>
      </w:r>
      <w:r>
        <w:rPr>
          <w:rFonts w:eastAsia="Calibri"/>
          <w:sz w:val="22"/>
          <w:szCs w:val="22"/>
          <w:lang w:val="fr-CA" w:eastAsia="en-US"/>
        </w:rPr>
        <w:t>s</w:t>
      </w:r>
      <w:r w:rsidRPr="00217EFC">
        <w:rPr>
          <w:rFonts w:eastAsia="Calibri"/>
          <w:sz w:val="22"/>
          <w:szCs w:val="22"/>
          <w:lang w:val="fr-CA" w:eastAsia="en-US"/>
        </w:rPr>
        <w:t xml:space="preserve"> enjeux culturels </w:t>
      </w:r>
      <w:r>
        <w:rPr>
          <w:rFonts w:eastAsia="Calibri"/>
          <w:sz w:val="22"/>
          <w:szCs w:val="22"/>
          <w:lang w:val="fr-CA" w:eastAsia="en-US"/>
        </w:rPr>
        <w:t xml:space="preserve">sont importants pour ces minorités ethniques elles-mêmes, mais ils </w:t>
      </w:r>
      <w:r w:rsidRPr="00217EFC">
        <w:rPr>
          <w:rFonts w:eastAsia="Calibri"/>
          <w:sz w:val="22"/>
          <w:szCs w:val="22"/>
          <w:lang w:val="fr-CA" w:eastAsia="en-US"/>
        </w:rPr>
        <w:t>ne représentent qu’un</w:t>
      </w:r>
      <w:r>
        <w:rPr>
          <w:rFonts w:eastAsia="Calibri"/>
          <w:sz w:val="22"/>
          <w:szCs w:val="22"/>
          <w:lang w:val="fr-CA" w:eastAsia="en-US"/>
        </w:rPr>
        <w:t>e</w:t>
      </w:r>
      <w:r w:rsidRPr="00217EFC">
        <w:rPr>
          <w:rFonts w:eastAsia="Calibri"/>
          <w:sz w:val="22"/>
          <w:szCs w:val="22"/>
          <w:lang w:val="fr-CA" w:eastAsia="en-US"/>
        </w:rPr>
        <w:t xml:space="preserve"> infime </w:t>
      </w:r>
      <w:r>
        <w:rPr>
          <w:rFonts w:eastAsia="Calibri"/>
          <w:sz w:val="22"/>
          <w:szCs w:val="22"/>
          <w:lang w:val="fr-CA" w:eastAsia="en-US"/>
        </w:rPr>
        <w:t xml:space="preserve">préoccupation </w:t>
      </w:r>
      <w:r w:rsidRPr="00217EFC">
        <w:rPr>
          <w:rFonts w:eastAsia="Calibri"/>
          <w:sz w:val="22"/>
          <w:szCs w:val="22"/>
          <w:lang w:val="fr-CA" w:eastAsia="en-US"/>
        </w:rPr>
        <w:t xml:space="preserve">comparativement au </w:t>
      </w:r>
      <w:r>
        <w:rPr>
          <w:rFonts w:eastAsia="Calibri"/>
          <w:sz w:val="22"/>
          <w:szCs w:val="22"/>
          <w:lang w:val="fr-CA" w:eastAsia="en-US"/>
        </w:rPr>
        <w:t>lobby exercé sur l</w:t>
      </w:r>
      <w:r w:rsidRPr="00217EFC">
        <w:rPr>
          <w:rFonts w:eastAsia="Calibri"/>
          <w:sz w:val="22"/>
          <w:szCs w:val="22"/>
          <w:lang w:val="fr-CA" w:eastAsia="en-US"/>
        </w:rPr>
        <w:t>es dirigeants politiques</w:t>
      </w:r>
      <w:r>
        <w:rPr>
          <w:rFonts w:eastAsia="Calibri"/>
          <w:sz w:val="22"/>
          <w:szCs w:val="22"/>
          <w:lang w:val="fr-CA" w:eastAsia="en-US"/>
        </w:rPr>
        <w:t xml:space="preserve">, par la majorité en faveur de l’américanisation à 100 %. Pour les protagonistes du nativisme, cette </w:t>
      </w:r>
      <w:r w:rsidRPr="003C57D5">
        <w:rPr>
          <w:rFonts w:eastAsia="Calibri"/>
          <w:i/>
          <w:iCs/>
          <w:sz w:val="22"/>
          <w:szCs w:val="22"/>
          <w:lang w:val="fr-CA" w:eastAsia="en-US"/>
        </w:rPr>
        <w:t>double citoyenneté</w:t>
      </w:r>
      <w:r>
        <w:rPr>
          <w:rFonts w:eastAsia="Calibri"/>
          <w:sz w:val="22"/>
          <w:szCs w:val="22"/>
          <w:lang w:val="fr-CA" w:eastAsia="en-US"/>
        </w:rPr>
        <w:t xml:space="preserve"> des nouveaux immigrants est suspecte et génère un doute quant à la loyauté réelle et le patriotisme des membres de ces groupes ethniques d’identités mixtes</w:t>
      </w:r>
      <w:r w:rsidRPr="00217EFC">
        <w:rPr>
          <w:rFonts w:eastAsia="Calibri"/>
          <w:sz w:val="22"/>
          <w:szCs w:val="22"/>
          <w:lang w:val="fr-CA" w:eastAsia="en-US"/>
        </w:rPr>
        <w:t>.</w:t>
      </w:r>
      <w:r>
        <w:rPr>
          <w:rFonts w:eastAsia="Calibri"/>
          <w:sz w:val="22"/>
          <w:szCs w:val="22"/>
          <w:lang w:val="fr-CA" w:eastAsia="en-US"/>
        </w:rPr>
        <w:t xml:space="preserve"> </w:t>
      </w:r>
      <w:r w:rsidRPr="00217EFC">
        <w:rPr>
          <w:rFonts w:eastAsia="Calibri"/>
          <w:sz w:val="22"/>
          <w:szCs w:val="22"/>
          <w:lang w:val="fr-CA" w:eastAsia="en-US"/>
        </w:rPr>
        <w:t>Parmi ces groupes d’immigrants minoritaires</w:t>
      </w:r>
      <w:r>
        <w:rPr>
          <w:rFonts w:eastAsia="Calibri"/>
          <w:sz w:val="22"/>
          <w:szCs w:val="22"/>
          <w:lang w:val="fr-CA" w:eastAsia="en-US"/>
        </w:rPr>
        <w:t xml:space="preserve"> qui seront grandement affectés par les mesures législatives linguistiques, les </w:t>
      </w:r>
      <w:r w:rsidRPr="00217EFC">
        <w:rPr>
          <w:rFonts w:eastAsia="Calibri"/>
          <w:sz w:val="22"/>
          <w:szCs w:val="22"/>
          <w:lang w:val="fr-CA" w:eastAsia="en-US"/>
        </w:rPr>
        <w:t>émigrants canadiens-français constitue</w:t>
      </w:r>
      <w:r>
        <w:rPr>
          <w:rFonts w:eastAsia="Calibri"/>
          <w:sz w:val="22"/>
          <w:szCs w:val="22"/>
          <w:lang w:val="fr-CA" w:eastAsia="en-US"/>
        </w:rPr>
        <w:t>nt</w:t>
      </w:r>
      <w:r w:rsidRPr="00217EFC">
        <w:rPr>
          <w:rFonts w:eastAsia="Calibri"/>
          <w:sz w:val="22"/>
          <w:szCs w:val="22"/>
          <w:lang w:val="fr-CA" w:eastAsia="en-US"/>
        </w:rPr>
        <w:t xml:space="preserve"> un bon exemple.</w:t>
      </w:r>
      <w:r>
        <w:rPr>
          <w:rFonts w:eastAsia="Calibri"/>
          <w:sz w:val="22"/>
          <w:szCs w:val="22"/>
          <w:lang w:val="fr-CA" w:eastAsia="en-US"/>
        </w:rPr>
        <w:t xml:space="preserve"> </w:t>
      </w:r>
      <w:r w:rsidRPr="00217EFC">
        <w:rPr>
          <w:rFonts w:eastAsia="Calibri"/>
          <w:sz w:val="22"/>
          <w:szCs w:val="22"/>
          <w:lang w:val="fr-CA" w:eastAsia="en-US"/>
        </w:rPr>
        <w:t>E</w:t>
      </w:r>
      <w:r>
        <w:rPr>
          <w:rFonts w:eastAsia="Calibri"/>
          <w:sz w:val="22"/>
          <w:szCs w:val="22"/>
          <w:lang w:val="fr-CA" w:eastAsia="en-US"/>
        </w:rPr>
        <w:t>n 1914</w:t>
      </w:r>
      <w:r w:rsidRPr="00217EFC">
        <w:rPr>
          <w:rFonts w:eastAsia="Calibri"/>
          <w:sz w:val="22"/>
          <w:szCs w:val="22"/>
          <w:lang w:val="fr-CA" w:eastAsia="en-US"/>
        </w:rPr>
        <w:t xml:space="preserve">, l’assimilation </w:t>
      </w:r>
      <w:r>
        <w:rPr>
          <w:rFonts w:eastAsia="Calibri"/>
          <w:sz w:val="22"/>
          <w:szCs w:val="22"/>
          <w:lang w:val="fr-CA" w:eastAsia="en-US"/>
        </w:rPr>
        <w:t xml:space="preserve">culturelle </w:t>
      </w:r>
      <w:r w:rsidRPr="00217EFC">
        <w:rPr>
          <w:rFonts w:eastAsia="Calibri"/>
          <w:sz w:val="22"/>
          <w:szCs w:val="22"/>
          <w:lang w:val="fr-CA" w:eastAsia="en-US"/>
        </w:rPr>
        <w:t>de la communauté franco-américaine</w:t>
      </w:r>
      <w:r>
        <w:rPr>
          <w:rFonts w:eastAsia="Calibri"/>
          <w:sz w:val="22"/>
          <w:szCs w:val="22"/>
          <w:lang w:val="fr-CA" w:eastAsia="en-US"/>
        </w:rPr>
        <w:t xml:space="preserve">, </w:t>
      </w:r>
      <w:r w:rsidRPr="00217EFC">
        <w:rPr>
          <w:rFonts w:eastAsia="Calibri"/>
          <w:sz w:val="22"/>
          <w:szCs w:val="22"/>
          <w:lang w:val="fr-CA" w:eastAsia="en-US"/>
        </w:rPr>
        <w:t>qui</w:t>
      </w:r>
      <w:r>
        <w:rPr>
          <w:rFonts w:eastAsia="Calibri"/>
          <w:sz w:val="22"/>
          <w:szCs w:val="22"/>
          <w:lang w:val="fr-CA" w:eastAsia="en-US"/>
        </w:rPr>
        <w:t xml:space="preserve"> </w:t>
      </w:r>
      <w:r w:rsidRPr="00217EFC">
        <w:rPr>
          <w:rFonts w:eastAsia="Calibri"/>
          <w:sz w:val="22"/>
          <w:szCs w:val="22"/>
          <w:lang w:val="fr-CA" w:eastAsia="en-US"/>
        </w:rPr>
        <w:t>est pourtant bien établie</w:t>
      </w:r>
      <w:r>
        <w:rPr>
          <w:rFonts w:eastAsia="Calibri"/>
          <w:sz w:val="22"/>
          <w:szCs w:val="22"/>
          <w:lang w:val="fr-CA" w:eastAsia="en-US"/>
        </w:rPr>
        <w:t xml:space="preserve"> </w:t>
      </w:r>
      <w:r w:rsidRPr="00217EFC">
        <w:rPr>
          <w:rFonts w:eastAsia="Calibri"/>
          <w:sz w:val="22"/>
          <w:szCs w:val="22"/>
          <w:lang w:val="fr-CA" w:eastAsia="en-US"/>
        </w:rPr>
        <w:t>depuis une ou deux générations</w:t>
      </w:r>
      <w:r>
        <w:rPr>
          <w:rFonts w:eastAsia="Calibri"/>
          <w:sz w:val="22"/>
          <w:szCs w:val="22"/>
          <w:lang w:val="fr-CA" w:eastAsia="en-US"/>
        </w:rPr>
        <w:t xml:space="preserve">, </w:t>
      </w:r>
      <w:r w:rsidRPr="00217EFC">
        <w:rPr>
          <w:rFonts w:eastAsia="Calibri"/>
          <w:sz w:val="22"/>
          <w:szCs w:val="22"/>
          <w:lang w:val="fr-CA" w:eastAsia="en-US"/>
        </w:rPr>
        <w:t>se déroule beaucoup plus lentement comparativement à celle d’autres groupes d’immigrants installés aux États-Unis.</w:t>
      </w:r>
      <w:r>
        <w:rPr>
          <w:rFonts w:eastAsia="Calibri"/>
          <w:sz w:val="22"/>
          <w:szCs w:val="22"/>
          <w:lang w:val="fr-CA" w:eastAsia="en-US"/>
        </w:rPr>
        <w:t xml:space="preserve"> </w:t>
      </w:r>
      <w:r w:rsidRPr="00217EFC">
        <w:rPr>
          <w:rFonts w:eastAsia="Calibri"/>
          <w:sz w:val="22"/>
          <w:szCs w:val="22"/>
          <w:lang w:val="fr-CA" w:eastAsia="en-US"/>
        </w:rPr>
        <w:t>On remarque que le débat sur la naturalisation des Canadiens français est encore bien vivant au début du conflit mondial</w:t>
      </w:r>
      <w:r>
        <w:rPr>
          <w:rFonts w:eastAsia="Calibri"/>
          <w:sz w:val="22"/>
          <w:szCs w:val="22"/>
          <w:lang w:val="fr-CA" w:eastAsia="en-US"/>
        </w:rPr>
        <w:t xml:space="preserve">. </w:t>
      </w:r>
      <w:r w:rsidRPr="00217EFC">
        <w:rPr>
          <w:rFonts w:eastAsia="Calibri"/>
          <w:sz w:val="22"/>
          <w:szCs w:val="22"/>
          <w:lang w:val="fr-CA" w:eastAsia="en-US"/>
        </w:rPr>
        <w:t>Toute proportion gardée</w:t>
      </w:r>
      <w:r>
        <w:rPr>
          <w:rFonts w:eastAsia="Calibri"/>
          <w:sz w:val="22"/>
          <w:szCs w:val="22"/>
          <w:lang w:val="fr-CA" w:eastAsia="en-US"/>
        </w:rPr>
        <w:t>,</w:t>
      </w:r>
      <w:r w:rsidRPr="00217EFC">
        <w:rPr>
          <w:rFonts w:eastAsia="Calibri"/>
          <w:sz w:val="22"/>
          <w:szCs w:val="22"/>
          <w:lang w:val="fr-CA" w:eastAsia="en-US"/>
        </w:rPr>
        <w:t xml:space="preserve"> face aux autres groupes</w:t>
      </w:r>
      <w:r>
        <w:rPr>
          <w:rFonts w:eastAsia="Calibri"/>
          <w:sz w:val="22"/>
          <w:szCs w:val="22"/>
          <w:lang w:val="fr-CA" w:eastAsia="en-US"/>
        </w:rPr>
        <w:t xml:space="preserve"> ethniques</w:t>
      </w:r>
      <w:r w:rsidRPr="00217EFC">
        <w:rPr>
          <w:rFonts w:eastAsia="Calibri"/>
          <w:sz w:val="22"/>
          <w:szCs w:val="22"/>
          <w:lang w:val="fr-CA" w:eastAsia="en-US"/>
        </w:rPr>
        <w:t>, la nature temporaire de la migration des travailleurs canadiens-français, due à leur proximité géographique avec leur pays d’origine, rend la population franco-américaine plus difficilement intégrable.</w:t>
      </w:r>
      <w:r>
        <w:rPr>
          <w:rFonts w:eastAsia="Calibri"/>
          <w:sz w:val="22"/>
          <w:szCs w:val="22"/>
          <w:lang w:val="fr-CA" w:eastAsia="en-US"/>
        </w:rPr>
        <w:t xml:space="preserve"> Alors que l’élite franco-américaine considè</w:t>
      </w:r>
      <w:r w:rsidRPr="006B080A">
        <w:rPr>
          <w:rFonts w:eastAsia="Calibri"/>
          <w:sz w:val="22"/>
          <w:szCs w:val="22"/>
          <w:lang w:val="fr-CA" w:eastAsia="en-US"/>
        </w:rPr>
        <w:t>r</w:t>
      </w:r>
      <w:r>
        <w:rPr>
          <w:rFonts w:eastAsia="Calibri"/>
          <w:sz w:val="22"/>
          <w:szCs w:val="22"/>
          <w:lang w:val="fr-CA" w:eastAsia="en-US"/>
        </w:rPr>
        <w:t xml:space="preserve">e que sa population est </w:t>
      </w:r>
      <w:r w:rsidRPr="00217EFC">
        <w:rPr>
          <w:rFonts w:eastAsia="Calibri"/>
          <w:sz w:val="22"/>
          <w:szCs w:val="22"/>
          <w:lang w:val="fr-CA" w:eastAsia="en-US"/>
        </w:rPr>
        <w:t>désormais américain</w:t>
      </w:r>
      <w:r>
        <w:rPr>
          <w:rFonts w:eastAsia="Calibri"/>
          <w:sz w:val="22"/>
          <w:szCs w:val="22"/>
          <w:lang w:val="fr-CA" w:eastAsia="en-US"/>
        </w:rPr>
        <w:t xml:space="preserve">e, </w:t>
      </w:r>
      <w:r w:rsidRPr="00217EFC">
        <w:rPr>
          <w:rFonts w:eastAsia="Calibri"/>
          <w:sz w:val="22"/>
          <w:szCs w:val="22"/>
          <w:lang w:val="fr-CA" w:eastAsia="en-US"/>
        </w:rPr>
        <w:t xml:space="preserve">plusieurs </w:t>
      </w:r>
      <w:r>
        <w:rPr>
          <w:rFonts w:eastAsia="Calibri"/>
          <w:sz w:val="22"/>
          <w:szCs w:val="22"/>
          <w:lang w:val="fr-CA" w:eastAsia="en-US"/>
        </w:rPr>
        <w:t xml:space="preserve">Canadiens français </w:t>
      </w:r>
      <w:r w:rsidRPr="00217EFC">
        <w:rPr>
          <w:rFonts w:eastAsia="Calibri"/>
          <w:sz w:val="22"/>
          <w:szCs w:val="22"/>
          <w:lang w:val="fr-CA" w:eastAsia="en-US"/>
        </w:rPr>
        <w:t>refusent de se naturaliser</w:t>
      </w:r>
      <w:r w:rsidRPr="00217EFC">
        <w:rPr>
          <w:rStyle w:val="FootnoteReference"/>
          <w:rFonts w:eastAsia="Calibri"/>
          <w:sz w:val="22"/>
          <w:szCs w:val="22"/>
          <w:lang w:val="fr-CA" w:eastAsia="en-US"/>
        </w:rPr>
        <w:footnoteReference w:id="4"/>
      </w:r>
      <w:r w:rsidRPr="00217EFC">
        <w:rPr>
          <w:rFonts w:eastAsia="Calibri"/>
          <w:sz w:val="22"/>
          <w:szCs w:val="22"/>
          <w:lang w:val="fr-CA" w:eastAsia="en-US"/>
        </w:rPr>
        <w:t>.</w:t>
      </w:r>
      <w:r>
        <w:rPr>
          <w:rFonts w:eastAsia="Calibri"/>
          <w:sz w:val="22"/>
          <w:szCs w:val="22"/>
          <w:lang w:val="fr-CA" w:eastAsia="en-US"/>
        </w:rPr>
        <w:t xml:space="preserve"> Contrairement aux propos des protagonistes du nativisme, l’intelligentsia franco-américaine croit que les Franco-Américains peuvent être à la fois de bons patriotes et francophones. Toutefois, parce que les Franco-Américains conservent des liens culturels très étroits </w:t>
      </w:r>
      <w:r w:rsidRPr="00217EFC">
        <w:rPr>
          <w:rFonts w:eastAsia="Calibri"/>
          <w:sz w:val="22"/>
          <w:szCs w:val="22"/>
          <w:lang w:val="fr-CA" w:eastAsia="en-US"/>
        </w:rPr>
        <w:t>avec leur pays d’origine</w:t>
      </w:r>
      <w:r>
        <w:rPr>
          <w:rFonts w:eastAsia="Calibri"/>
          <w:sz w:val="22"/>
          <w:szCs w:val="22"/>
          <w:lang w:val="fr-CA" w:eastAsia="en-US"/>
        </w:rPr>
        <w:t>,</w:t>
      </w:r>
      <w:r w:rsidRPr="00217EFC">
        <w:rPr>
          <w:rFonts w:eastAsia="Calibri"/>
          <w:sz w:val="22"/>
          <w:szCs w:val="22"/>
          <w:lang w:val="fr-CA" w:eastAsia="en-US"/>
        </w:rPr>
        <w:t xml:space="preserve"> pendant le conflit</w:t>
      </w:r>
      <w:r>
        <w:rPr>
          <w:rFonts w:eastAsia="Calibri"/>
          <w:sz w:val="22"/>
          <w:szCs w:val="22"/>
          <w:lang w:val="fr-CA" w:eastAsia="en-US"/>
        </w:rPr>
        <w:t>, l</w:t>
      </w:r>
      <w:r w:rsidRPr="00217EFC">
        <w:rPr>
          <w:rFonts w:eastAsia="Calibri"/>
          <w:sz w:val="22"/>
          <w:szCs w:val="22"/>
          <w:lang w:val="fr-CA" w:eastAsia="en-US"/>
        </w:rPr>
        <w:t>es dirigeants américains doutent de leur patriotisme et de leurs intentions réelles</w:t>
      </w:r>
      <w:r>
        <w:rPr>
          <w:rFonts w:eastAsia="Calibri"/>
          <w:sz w:val="22"/>
          <w:szCs w:val="22"/>
          <w:lang w:val="fr-CA" w:eastAsia="en-US"/>
        </w:rPr>
        <w:t xml:space="preserve">. Par conséquent, les Franco-Américains </w:t>
      </w:r>
      <w:r w:rsidRPr="00217EFC">
        <w:rPr>
          <w:rFonts w:eastAsia="Calibri"/>
          <w:sz w:val="22"/>
          <w:szCs w:val="22"/>
          <w:lang w:val="fr-CA" w:eastAsia="en-US"/>
        </w:rPr>
        <w:t>d</w:t>
      </w:r>
      <w:r>
        <w:rPr>
          <w:rFonts w:eastAsia="Calibri"/>
          <w:sz w:val="22"/>
          <w:szCs w:val="22"/>
          <w:lang w:val="fr-CA" w:eastAsia="en-US"/>
        </w:rPr>
        <w:t xml:space="preserve">oivent </w:t>
      </w:r>
      <w:r w:rsidRPr="00217EFC">
        <w:rPr>
          <w:rFonts w:eastAsia="Calibri"/>
          <w:sz w:val="22"/>
          <w:szCs w:val="22"/>
          <w:lang w:val="fr-CA" w:eastAsia="en-US"/>
        </w:rPr>
        <w:t>démontrer</w:t>
      </w:r>
      <w:r>
        <w:rPr>
          <w:rFonts w:eastAsia="Calibri"/>
          <w:sz w:val="22"/>
          <w:szCs w:val="22"/>
          <w:lang w:val="fr-CA" w:eastAsia="en-US"/>
        </w:rPr>
        <w:t xml:space="preserve"> sans ambiguïté et</w:t>
      </w:r>
      <w:r w:rsidRPr="00217EFC">
        <w:rPr>
          <w:rFonts w:eastAsia="Calibri"/>
          <w:sz w:val="22"/>
          <w:szCs w:val="22"/>
          <w:lang w:val="fr-CA" w:eastAsia="en-US"/>
        </w:rPr>
        <w:t xml:space="preserve"> à l’instar de tous les </w:t>
      </w:r>
      <w:r>
        <w:rPr>
          <w:rFonts w:eastAsia="Calibri"/>
          <w:sz w:val="22"/>
          <w:szCs w:val="22"/>
          <w:lang w:val="fr-CA" w:eastAsia="en-US"/>
        </w:rPr>
        <w:t>groupes d’</w:t>
      </w:r>
      <w:r w:rsidRPr="00217EFC">
        <w:rPr>
          <w:rFonts w:eastAsia="Calibri"/>
          <w:sz w:val="22"/>
          <w:szCs w:val="22"/>
          <w:lang w:val="fr-CA" w:eastAsia="en-US"/>
        </w:rPr>
        <w:t>immigrants, leur loyauté envers leur pays d’adoption</w:t>
      </w:r>
      <w:r>
        <w:rPr>
          <w:rFonts w:eastAsia="Calibri"/>
          <w:sz w:val="22"/>
          <w:szCs w:val="22"/>
          <w:lang w:val="fr-CA" w:eastAsia="en-US"/>
        </w:rPr>
        <w:t xml:space="preserve">, mais leurs gestes resteront peu étudiés ou oubliés. </w:t>
      </w:r>
    </w:p>
    <w:p w14:paraId="3046A681" w14:textId="77777777" w:rsidR="000264D6" w:rsidRDefault="000264D6" w:rsidP="002B5319">
      <w:pPr>
        <w:spacing w:before="100" w:beforeAutospacing="1" w:after="100" w:afterAutospacing="1"/>
        <w:ind w:firstLine="720"/>
        <w:jc w:val="both"/>
        <w:rPr>
          <w:rFonts w:eastAsia="Calibri"/>
          <w:sz w:val="22"/>
          <w:szCs w:val="22"/>
          <w:lang w:val="fr-CA" w:eastAsia="en-US"/>
        </w:rPr>
      </w:pPr>
      <w:r w:rsidRPr="00217EFC">
        <w:rPr>
          <w:sz w:val="22"/>
          <w:szCs w:val="22"/>
          <w:lang w:val="fr-CA"/>
        </w:rPr>
        <w:t xml:space="preserve">C’est en tenant compte des travaux scientifiques de Lemelin et de notre source première que nous analyserons et comparerons l’attachement, pendant la Grande Guerre, de la communauté franco-américaine de Manchester à </w:t>
      </w:r>
      <w:r>
        <w:rPr>
          <w:sz w:val="22"/>
          <w:szCs w:val="22"/>
          <w:lang w:val="fr-CA"/>
        </w:rPr>
        <w:t xml:space="preserve">sa </w:t>
      </w:r>
      <w:r w:rsidRPr="00217EFC">
        <w:rPr>
          <w:sz w:val="22"/>
          <w:szCs w:val="22"/>
          <w:lang w:val="fr-CA"/>
        </w:rPr>
        <w:t xml:space="preserve">nation d’adoption. </w:t>
      </w:r>
      <w:r w:rsidRPr="00217EFC">
        <w:rPr>
          <w:rFonts w:eastAsia="Calibri"/>
          <w:sz w:val="22"/>
          <w:szCs w:val="22"/>
          <w:lang w:val="fr-CA" w:eastAsia="en-US"/>
        </w:rPr>
        <w:t>Nous tentons de répondre principalement à la question suivante : quelles sont l’attitude et la contribution des Franco-Américains de Manchester, New Hampshire, à l’effort de guerre pour la cause des Alliés pendant la Première Guerre mondiale</w:t>
      </w:r>
      <w:r>
        <w:rPr>
          <w:rFonts w:eastAsia="Calibri"/>
          <w:sz w:val="22"/>
          <w:szCs w:val="22"/>
          <w:lang w:val="fr-CA" w:eastAsia="en-US"/>
        </w:rPr>
        <w:t> ?</w:t>
      </w:r>
      <w:r w:rsidRPr="00217EFC">
        <w:rPr>
          <w:rFonts w:eastAsia="Calibri"/>
          <w:sz w:val="22"/>
          <w:szCs w:val="22"/>
          <w:lang w:val="fr-CA" w:eastAsia="en-US"/>
        </w:rPr>
        <w:t xml:space="preserve"> </w:t>
      </w:r>
    </w:p>
    <w:p w14:paraId="216E8300" w14:textId="3AC1B7A4" w:rsidR="000264D6" w:rsidRPr="00217EFC" w:rsidRDefault="00707707" w:rsidP="002B5319">
      <w:pPr>
        <w:spacing w:before="100" w:beforeAutospacing="1" w:after="100" w:afterAutospacing="1"/>
        <w:ind w:firstLine="720"/>
        <w:jc w:val="both"/>
        <w:rPr>
          <w:sz w:val="22"/>
          <w:szCs w:val="22"/>
          <w:lang w:val="fr-CA"/>
        </w:rPr>
      </w:pPr>
      <w:r>
        <w:rPr>
          <w:rFonts w:eastAsia="Calibri"/>
          <w:sz w:val="22"/>
          <w:szCs w:val="22"/>
          <w:lang w:val="fr-CA" w:eastAsia="en-US"/>
        </w:rPr>
        <w:lastRenderedPageBreak/>
        <w:t>En dernier lieu, n</w:t>
      </w:r>
      <w:r w:rsidR="000264D6">
        <w:rPr>
          <w:rFonts w:eastAsia="Calibri"/>
          <w:sz w:val="22"/>
          <w:szCs w:val="22"/>
          <w:lang w:val="fr-CA" w:eastAsia="en-US"/>
        </w:rPr>
        <w:t xml:space="preserve">otre </w:t>
      </w:r>
      <w:r w:rsidR="000264D6" w:rsidRPr="00217EFC">
        <w:rPr>
          <w:rFonts w:eastAsia="Calibri"/>
          <w:sz w:val="22"/>
          <w:szCs w:val="22"/>
          <w:lang w:val="fr-CA" w:eastAsia="en-US"/>
        </w:rPr>
        <w:t>objectif est d’offrir à la communauté scientifique une nouvelle étude qualitative sur le sujet</w:t>
      </w:r>
      <w:r w:rsidR="000264D6">
        <w:rPr>
          <w:rFonts w:eastAsia="Calibri"/>
          <w:sz w:val="22"/>
          <w:szCs w:val="22"/>
          <w:lang w:val="fr-CA" w:eastAsia="en-US"/>
        </w:rPr>
        <w:t>, étude</w:t>
      </w:r>
      <w:r w:rsidR="000264D6" w:rsidRPr="00217EFC">
        <w:rPr>
          <w:rFonts w:eastAsia="Calibri"/>
          <w:sz w:val="22"/>
          <w:szCs w:val="22"/>
          <w:lang w:val="fr-CA" w:eastAsia="en-US"/>
        </w:rPr>
        <w:t xml:space="preserve"> qui </w:t>
      </w:r>
      <w:r w:rsidR="000264D6" w:rsidRPr="00217EFC">
        <w:rPr>
          <w:sz w:val="22"/>
          <w:szCs w:val="22"/>
          <w:lang w:val="fr-CA"/>
        </w:rPr>
        <w:t xml:space="preserve">accroîtra </w:t>
      </w:r>
      <w:r w:rsidR="000264D6">
        <w:rPr>
          <w:sz w:val="22"/>
          <w:szCs w:val="22"/>
          <w:lang w:val="fr-CA"/>
        </w:rPr>
        <w:t xml:space="preserve">à la fois </w:t>
      </w:r>
      <w:r w:rsidR="000264D6" w:rsidRPr="00217EFC">
        <w:rPr>
          <w:sz w:val="22"/>
          <w:szCs w:val="22"/>
          <w:lang w:val="fr-CA"/>
        </w:rPr>
        <w:t>nos connaissances sur le comportement des Franco-Américains</w:t>
      </w:r>
      <w:r w:rsidR="000264D6" w:rsidRPr="00A6612D">
        <w:rPr>
          <w:sz w:val="22"/>
          <w:szCs w:val="22"/>
          <w:lang w:val="fr-CA"/>
        </w:rPr>
        <w:t xml:space="preserve"> </w:t>
      </w:r>
      <w:r w:rsidR="000264D6">
        <w:rPr>
          <w:sz w:val="22"/>
          <w:szCs w:val="22"/>
          <w:lang w:val="fr-CA"/>
        </w:rPr>
        <w:t xml:space="preserve">et qui </w:t>
      </w:r>
      <w:r w:rsidR="000264D6" w:rsidRPr="00217EFC">
        <w:rPr>
          <w:sz w:val="22"/>
          <w:szCs w:val="22"/>
          <w:lang w:val="fr-CA"/>
        </w:rPr>
        <w:t>s’ajoutera à la recherche précédente de Lemelin, à l’époque de la Première Guerre mondiale.</w:t>
      </w:r>
    </w:p>
    <w:p w14:paraId="27A44C33" w14:textId="2A0495D5" w:rsidR="000264D6" w:rsidRPr="00217EFC" w:rsidRDefault="000264D6" w:rsidP="002B5319">
      <w:pPr>
        <w:spacing w:before="100" w:beforeAutospacing="1" w:after="100" w:afterAutospacing="1"/>
        <w:ind w:firstLine="720"/>
        <w:jc w:val="both"/>
        <w:rPr>
          <w:rFonts w:eastAsia="Calibri"/>
          <w:sz w:val="22"/>
          <w:szCs w:val="22"/>
          <w:lang w:val="fr-CA" w:eastAsia="en-US"/>
        </w:rPr>
      </w:pPr>
      <w:r>
        <w:rPr>
          <w:rFonts w:eastAsia="Calibri"/>
          <w:sz w:val="22"/>
          <w:szCs w:val="22"/>
          <w:lang w:val="fr-CA" w:eastAsia="en-US"/>
        </w:rPr>
        <w:t>N</w:t>
      </w:r>
      <w:r w:rsidRPr="00217EFC">
        <w:rPr>
          <w:rFonts w:eastAsia="Calibri"/>
          <w:sz w:val="22"/>
          <w:szCs w:val="22"/>
          <w:lang w:val="fr-CA" w:eastAsia="en-US"/>
        </w:rPr>
        <w:t xml:space="preserve">ous harmonisons notre modèle de recherche avec </w:t>
      </w:r>
      <w:r w:rsidR="007E7B10">
        <w:rPr>
          <w:rFonts w:eastAsia="Calibri"/>
          <w:sz w:val="22"/>
          <w:szCs w:val="22"/>
          <w:lang w:val="fr-CA" w:eastAsia="en-US"/>
        </w:rPr>
        <w:t>ce</w:t>
      </w:r>
      <w:r w:rsidR="00707707">
        <w:rPr>
          <w:rFonts w:eastAsia="Calibri"/>
          <w:sz w:val="22"/>
          <w:szCs w:val="22"/>
          <w:lang w:val="fr-CA" w:eastAsia="en-US"/>
        </w:rPr>
        <w:t xml:space="preserve">lui </w:t>
      </w:r>
      <w:r w:rsidRPr="00217EFC">
        <w:rPr>
          <w:rFonts w:eastAsia="Calibri"/>
          <w:sz w:val="22"/>
          <w:szCs w:val="22"/>
          <w:lang w:val="fr-CA" w:eastAsia="en-US"/>
        </w:rPr>
        <w:t>de Lemelin</w:t>
      </w:r>
      <w:r w:rsidRPr="00217EFC">
        <w:rPr>
          <w:rStyle w:val="FootnoteReference"/>
          <w:rFonts w:eastAsia="Calibri"/>
          <w:sz w:val="22"/>
          <w:szCs w:val="22"/>
          <w:lang w:val="fr-CA" w:eastAsia="en-US"/>
        </w:rPr>
        <w:footnoteReference w:id="5"/>
      </w:r>
      <w:r w:rsidRPr="00217EFC">
        <w:rPr>
          <w:rFonts w:eastAsia="Calibri"/>
          <w:sz w:val="22"/>
          <w:szCs w:val="22"/>
          <w:lang w:val="fr-CA" w:eastAsia="en-US"/>
        </w:rPr>
        <w:t xml:space="preserve">. </w:t>
      </w:r>
      <w:r>
        <w:rPr>
          <w:rFonts w:eastAsia="Calibri"/>
          <w:sz w:val="22"/>
          <w:szCs w:val="22"/>
          <w:lang w:val="fr-CA" w:eastAsia="en-US"/>
        </w:rPr>
        <w:t>N</w:t>
      </w:r>
      <w:r w:rsidRPr="00217EFC">
        <w:rPr>
          <w:rFonts w:eastAsia="Calibri"/>
          <w:sz w:val="22"/>
          <w:szCs w:val="22"/>
          <w:lang w:val="fr-CA" w:eastAsia="en-US"/>
        </w:rPr>
        <w:t xml:space="preserve">otre analyse </w:t>
      </w:r>
      <w:r>
        <w:rPr>
          <w:rFonts w:eastAsia="Calibri"/>
          <w:sz w:val="22"/>
          <w:szCs w:val="22"/>
          <w:lang w:val="fr-CA" w:eastAsia="en-US"/>
        </w:rPr>
        <w:t xml:space="preserve">emploie </w:t>
      </w:r>
      <w:r w:rsidRPr="00217EFC">
        <w:rPr>
          <w:rFonts w:eastAsia="Calibri"/>
          <w:sz w:val="22"/>
          <w:szCs w:val="22"/>
          <w:lang w:val="fr-CA" w:eastAsia="en-US"/>
        </w:rPr>
        <w:t xml:space="preserve">les mêmes </w:t>
      </w:r>
      <w:r w:rsidR="007E7B10">
        <w:rPr>
          <w:rFonts w:eastAsia="Calibri"/>
          <w:sz w:val="22"/>
          <w:szCs w:val="22"/>
          <w:lang w:val="fr-CA" w:eastAsia="en-US"/>
        </w:rPr>
        <w:t xml:space="preserve">critères </w:t>
      </w:r>
      <w:r w:rsidRPr="00217EFC">
        <w:rPr>
          <w:rFonts w:eastAsia="Calibri"/>
          <w:sz w:val="22"/>
          <w:szCs w:val="22"/>
          <w:lang w:val="fr-CA" w:eastAsia="en-US"/>
        </w:rPr>
        <w:t>de recherche</w:t>
      </w:r>
      <w:r>
        <w:rPr>
          <w:rFonts w:eastAsia="Calibri"/>
          <w:sz w:val="22"/>
          <w:szCs w:val="22"/>
          <w:lang w:val="fr-CA" w:eastAsia="en-US"/>
        </w:rPr>
        <w:t> </w:t>
      </w:r>
      <w:r w:rsidRPr="00217EFC">
        <w:rPr>
          <w:rFonts w:eastAsia="Calibri"/>
          <w:sz w:val="22"/>
          <w:szCs w:val="22"/>
          <w:lang w:val="fr-CA" w:eastAsia="en-US"/>
        </w:rPr>
        <w:t xml:space="preserve">afin de déterminer avec </w:t>
      </w:r>
      <w:r>
        <w:rPr>
          <w:rFonts w:eastAsia="Calibri"/>
          <w:sz w:val="22"/>
          <w:szCs w:val="22"/>
          <w:lang w:val="fr-CA" w:eastAsia="en-US"/>
        </w:rPr>
        <w:t xml:space="preserve">certitude </w:t>
      </w:r>
      <w:r w:rsidRPr="00217EFC">
        <w:rPr>
          <w:rFonts w:eastAsia="Calibri"/>
          <w:sz w:val="22"/>
          <w:szCs w:val="22"/>
          <w:lang w:val="fr-CA" w:eastAsia="en-US"/>
        </w:rPr>
        <w:t xml:space="preserve">si le comportement des Franco-Américains de Manchester, New Hampshire, est semblable ou différent de ceux de Woonsocket, Rhode Island. </w:t>
      </w:r>
      <w:r>
        <w:rPr>
          <w:rFonts w:eastAsia="Calibri"/>
          <w:sz w:val="22"/>
          <w:szCs w:val="22"/>
          <w:lang w:val="fr-CA" w:eastAsia="en-US"/>
        </w:rPr>
        <w:t>Éventuellement</w:t>
      </w:r>
      <w:r w:rsidRPr="00217EFC">
        <w:rPr>
          <w:rFonts w:eastAsia="Calibri"/>
          <w:sz w:val="22"/>
          <w:szCs w:val="22"/>
          <w:lang w:val="fr-CA" w:eastAsia="en-US"/>
        </w:rPr>
        <w:t xml:space="preserve">, </w:t>
      </w:r>
      <w:r>
        <w:rPr>
          <w:rFonts w:eastAsia="Calibri"/>
          <w:sz w:val="22"/>
          <w:szCs w:val="22"/>
          <w:lang w:val="fr-CA" w:eastAsia="en-US"/>
        </w:rPr>
        <w:t xml:space="preserve">notre travail </w:t>
      </w:r>
      <w:r w:rsidRPr="00217EFC">
        <w:rPr>
          <w:sz w:val="22"/>
          <w:szCs w:val="22"/>
          <w:lang w:val="fr-CA"/>
        </w:rPr>
        <w:t xml:space="preserve">servira à </w:t>
      </w:r>
      <w:r>
        <w:rPr>
          <w:sz w:val="22"/>
          <w:szCs w:val="22"/>
          <w:lang w:val="fr-CA"/>
        </w:rPr>
        <w:t xml:space="preserve">mettre en évidence </w:t>
      </w:r>
      <w:r w:rsidRPr="00217EFC">
        <w:rPr>
          <w:sz w:val="22"/>
          <w:szCs w:val="22"/>
          <w:lang w:val="fr-CA"/>
        </w:rPr>
        <w:t xml:space="preserve">l’existence </w:t>
      </w:r>
      <w:r>
        <w:rPr>
          <w:sz w:val="22"/>
          <w:szCs w:val="22"/>
          <w:lang w:val="fr-CA"/>
        </w:rPr>
        <w:t xml:space="preserve">ou non </w:t>
      </w:r>
      <w:r w:rsidRPr="00217EFC">
        <w:rPr>
          <w:sz w:val="22"/>
          <w:szCs w:val="22"/>
          <w:lang w:val="fr-CA"/>
        </w:rPr>
        <w:t>de tendances comportementales similaires entre ces deux villes</w:t>
      </w:r>
      <w:r>
        <w:rPr>
          <w:sz w:val="22"/>
          <w:szCs w:val="22"/>
          <w:lang w:val="fr-CA"/>
        </w:rPr>
        <w:t xml:space="preserve">. Nous </w:t>
      </w:r>
      <w:r w:rsidRPr="00217EFC">
        <w:rPr>
          <w:sz w:val="22"/>
          <w:szCs w:val="22"/>
          <w:lang w:val="fr-CA"/>
        </w:rPr>
        <w:t>confirmer</w:t>
      </w:r>
      <w:r>
        <w:rPr>
          <w:sz w:val="22"/>
          <w:szCs w:val="22"/>
          <w:lang w:val="fr-CA"/>
        </w:rPr>
        <w:t xml:space="preserve">ons </w:t>
      </w:r>
      <w:r w:rsidRPr="00217EFC">
        <w:rPr>
          <w:sz w:val="22"/>
          <w:szCs w:val="22"/>
          <w:lang w:val="fr-CA"/>
        </w:rPr>
        <w:t>ou infirmer</w:t>
      </w:r>
      <w:r>
        <w:rPr>
          <w:sz w:val="22"/>
          <w:szCs w:val="22"/>
          <w:lang w:val="fr-CA"/>
        </w:rPr>
        <w:t>ons</w:t>
      </w:r>
      <w:r w:rsidRPr="00217EFC">
        <w:rPr>
          <w:sz w:val="22"/>
          <w:szCs w:val="22"/>
          <w:lang w:val="fr-CA"/>
        </w:rPr>
        <w:t xml:space="preserve"> </w:t>
      </w:r>
      <w:r>
        <w:rPr>
          <w:sz w:val="22"/>
          <w:szCs w:val="22"/>
          <w:lang w:val="fr-CA"/>
        </w:rPr>
        <w:t>l</w:t>
      </w:r>
      <w:r w:rsidRPr="00F62AB9">
        <w:rPr>
          <w:sz w:val="22"/>
          <w:szCs w:val="22"/>
          <w:lang w:val="fr-CA"/>
        </w:rPr>
        <w:t>’</w:t>
      </w:r>
      <w:r>
        <w:rPr>
          <w:sz w:val="22"/>
          <w:szCs w:val="22"/>
          <w:lang w:val="fr-CA"/>
        </w:rPr>
        <w:t>hypothèse d’</w:t>
      </w:r>
      <w:r w:rsidRPr="00217EFC">
        <w:rPr>
          <w:sz w:val="22"/>
          <w:szCs w:val="22"/>
          <w:lang w:val="fr-CA"/>
        </w:rPr>
        <w:t xml:space="preserve">un comportement </w:t>
      </w:r>
      <w:r>
        <w:rPr>
          <w:sz w:val="22"/>
          <w:szCs w:val="22"/>
          <w:lang w:val="fr-CA"/>
        </w:rPr>
        <w:t xml:space="preserve">caractéristique des </w:t>
      </w:r>
      <w:r w:rsidRPr="00217EFC">
        <w:rPr>
          <w:sz w:val="22"/>
          <w:szCs w:val="22"/>
          <w:lang w:val="fr-CA"/>
        </w:rPr>
        <w:t xml:space="preserve">différentes communautés franco-américaines de la Nouvelle-Angleterre. À l’instar de </w:t>
      </w:r>
      <w:r>
        <w:rPr>
          <w:sz w:val="22"/>
          <w:szCs w:val="22"/>
          <w:lang w:val="fr-CA"/>
        </w:rPr>
        <w:t>Lemelin</w:t>
      </w:r>
      <w:r w:rsidRPr="00217EFC">
        <w:rPr>
          <w:sz w:val="22"/>
          <w:szCs w:val="22"/>
          <w:lang w:val="fr-CA"/>
        </w:rPr>
        <w:t xml:space="preserve">, </w:t>
      </w:r>
      <w:r>
        <w:rPr>
          <w:sz w:val="22"/>
          <w:szCs w:val="22"/>
          <w:lang w:val="fr-CA"/>
        </w:rPr>
        <w:t xml:space="preserve">par ailleurs, </w:t>
      </w:r>
      <w:r w:rsidRPr="00217EFC">
        <w:rPr>
          <w:sz w:val="22"/>
          <w:szCs w:val="22"/>
          <w:lang w:val="fr-CA"/>
        </w:rPr>
        <w:t>nous croyons qu’une recherche sur toute la population franco-américaine de la Nouvelle-Angleterre s’avérerait trop ambitieuse pour un projet de maîtrise</w:t>
      </w:r>
      <w:r>
        <w:rPr>
          <w:rStyle w:val="FootnoteReference"/>
          <w:sz w:val="22"/>
          <w:szCs w:val="22"/>
          <w:lang w:val="fr-CA"/>
        </w:rPr>
        <w:footnoteReference w:id="6"/>
      </w:r>
      <w:r w:rsidRPr="00217EFC">
        <w:rPr>
          <w:sz w:val="22"/>
          <w:szCs w:val="22"/>
          <w:lang w:val="fr-CA"/>
        </w:rPr>
        <w:t>.</w:t>
      </w:r>
    </w:p>
    <w:p w14:paraId="650C1904" w14:textId="77777777" w:rsidR="000264D6" w:rsidRPr="00217EFC" w:rsidRDefault="000264D6" w:rsidP="003C57D5">
      <w:pPr>
        <w:spacing w:before="100" w:beforeAutospacing="1" w:after="100" w:afterAutospacing="1" w:line="480" w:lineRule="auto"/>
        <w:jc w:val="both"/>
        <w:rPr>
          <w:rFonts w:eastAsia="Calibri"/>
          <w:b/>
          <w:bCs/>
          <w:strike/>
          <w:sz w:val="22"/>
          <w:szCs w:val="22"/>
          <w:lang w:val="fr-CA" w:eastAsia="en-US"/>
        </w:rPr>
      </w:pPr>
      <w:r w:rsidRPr="00704DB0">
        <w:rPr>
          <w:b/>
          <w:bCs/>
          <w:sz w:val="22"/>
          <w:szCs w:val="22"/>
          <w:lang w:val="fr-CA"/>
        </w:rPr>
        <w:t>Explication de l’approche scientifique</w:t>
      </w:r>
    </w:p>
    <w:p w14:paraId="1C289C27" w14:textId="4159019C" w:rsidR="000264D6" w:rsidRPr="00217EFC" w:rsidRDefault="000264D6" w:rsidP="002B5319">
      <w:pPr>
        <w:spacing w:before="100" w:beforeAutospacing="1" w:after="100" w:afterAutospacing="1"/>
        <w:jc w:val="both"/>
        <w:rPr>
          <w:rFonts w:eastAsia="Calibri"/>
          <w:sz w:val="22"/>
          <w:szCs w:val="22"/>
          <w:u w:val="single"/>
          <w:lang w:val="fr-CA" w:eastAsia="en-US"/>
        </w:rPr>
      </w:pPr>
      <w:r w:rsidRPr="00217EFC">
        <w:rPr>
          <w:rFonts w:eastAsia="Calibri"/>
          <w:sz w:val="22"/>
          <w:szCs w:val="22"/>
          <w:lang w:val="fr-CA" w:eastAsia="en-US"/>
        </w:rPr>
        <w:tab/>
      </w:r>
      <w:r>
        <w:rPr>
          <w:rFonts w:eastAsia="Calibri"/>
          <w:sz w:val="22"/>
          <w:szCs w:val="22"/>
          <w:lang w:val="fr-CA" w:eastAsia="en-US"/>
        </w:rPr>
        <w:t xml:space="preserve">Le quotidien </w:t>
      </w:r>
      <w:r w:rsidRPr="00217EFC">
        <w:rPr>
          <w:rFonts w:eastAsia="Calibri"/>
          <w:sz w:val="22"/>
          <w:szCs w:val="22"/>
          <w:lang w:val="fr-CA" w:eastAsia="en-US"/>
        </w:rPr>
        <w:t>franco-américain de Manchester</w:t>
      </w:r>
      <w:r w:rsidRPr="00217EFC">
        <w:rPr>
          <w:rFonts w:eastAsia="Calibri"/>
          <w:i/>
          <w:sz w:val="22"/>
          <w:szCs w:val="22"/>
          <w:lang w:val="fr-CA" w:eastAsia="en-US"/>
        </w:rPr>
        <w:t xml:space="preserve"> L’Avenir National</w:t>
      </w:r>
      <w:r>
        <w:rPr>
          <w:rFonts w:eastAsia="Calibri"/>
          <w:i/>
          <w:sz w:val="22"/>
          <w:szCs w:val="22"/>
          <w:lang w:val="fr-CA" w:eastAsia="en-US"/>
        </w:rPr>
        <w:t xml:space="preserve"> </w:t>
      </w:r>
      <w:r w:rsidRPr="00217EFC">
        <w:rPr>
          <w:rFonts w:eastAsia="Calibri"/>
          <w:sz w:val="22"/>
          <w:szCs w:val="22"/>
          <w:lang w:val="fr-CA" w:eastAsia="en-US"/>
        </w:rPr>
        <w:t xml:space="preserve">constitue la source </w:t>
      </w:r>
      <w:r>
        <w:rPr>
          <w:rFonts w:eastAsia="Calibri"/>
          <w:sz w:val="22"/>
          <w:szCs w:val="22"/>
          <w:lang w:val="fr-CA" w:eastAsia="en-US"/>
        </w:rPr>
        <w:t xml:space="preserve">principale </w:t>
      </w:r>
      <w:r w:rsidRPr="00217EFC">
        <w:rPr>
          <w:rFonts w:eastAsia="Calibri"/>
          <w:sz w:val="22"/>
          <w:szCs w:val="22"/>
          <w:lang w:val="fr-CA" w:eastAsia="en-US"/>
        </w:rPr>
        <w:t xml:space="preserve">de cette étude. </w:t>
      </w:r>
      <w:r>
        <w:rPr>
          <w:rFonts w:eastAsia="Calibri"/>
          <w:sz w:val="22"/>
          <w:szCs w:val="22"/>
          <w:lang w:val="fr-CA" w:eastAsia="en-US"/>
        </w:rPr>
        <w:t>Lors de n</w:t>
      </w:r>
      <w:r w:rsidRPr="00217EFC">
        <w:rPr>
          <w:rFonts w:eastAsia="Calibri"/>
          <w:sz w:val="22"/>
          <w:szCs w:val="22"/>
          <w:lang w:val="fr-CA" w:eastAsia="en-US"/>
        </w:rPr>
        <w:t>os recherches préliminaires</w:t>
      </w:r>
      <w:r>
        <w:rPr>
          <w:rFonts w:eastAsia="Calibri"/>
          <w:sz w:val="22"/>
          <w:szCs w:val="22"/>
          <w:lang w:val="fr-CA" w:eastAsia="en-US"/>
        </w:rPr>
        <w:t xml:space="preserve">, nous avons </w:t>
      </w:r>
      <w:r w:rsidRPr="00217EFC">
        <w:rPr>
          <w:rFonts w:eastAsia="Calibri"/>
          <w:sz w:val="22"/>
          <w:szCs w:val="22"/>
          <w:lang w:val="fr-CA" w:eastAsia="en-US"/>
        </w:rPr>
        <w:t>recens</w:t>
      </w:r>
      <w:r>
        <w:rPr>
          <w:rFonts w:eastAsia="Calibri"/>
          <w:sz w:val="22"/>
          <w:szCs w:val="22"/>
          <w:lang w:val="fr-CA" w:eastAsia="en-US"/>
        </w:rPr>
        <w:t>é</w:t>
      </w:r>
      <w:r w:rsidRPr="00217EFC">
        <w:rPr>
          <w:rFonts w:eastAsia="Calibri"/>
          <w:sz w:val="22"/>
          <w:szCs w:val="22"/>
          <w:lang w:val="fr-CA" w:eastAsia="en-US"/>
        </w:rPr>
        <w:t xml:space="preserve"> au-delà de 1</w:t>
      </w:r>
      <w:r>
        <w:rPr>
          <w:rFonts w:eastAsia="Calibri"/>
          <w:sz w:val="22"/>
          <w:szCs w:val="22"/>
          <w:lang w:val="fr-CA" w:eastAsia="en-US"/>
        </w:rPr>
        <w:t> </w:t>
      </w:r>
      <w:r w:rsidRPr="00217EFC">
        <w:rPr>
          <w:rFonts w:eastAsia="Calibri"/>
          <w:sz w:val="22"/>
          <w:szCs w:val="22"/>
          <w:lang w:val="fr-CA" w:eastAsia="en-US"/>
        </w:rPr>
        <w:t>300 articles</w:t>
      </w:r>
      <w:r>
        <w:rPr>
          <w:rFonts w:eastAsia="Calibri"/>
          <w:sz w:val="22"/>
          <w:szCs w:val="22"/>
          <w:lang w:val="fr-CA" w:eastAsia="en-US"/>
        </w:rPr>
        <w:t>,</w:t>
      </w:r>
      <w:r w:rsidRPr="00217EFC">
        <w:rPr>
          <w:rFonts w:eastAsia="Calibri"/>
          <w:sz w:val="22"/>
          <w:szCs w:val="22"/>
          <w:lang w:val="fr-CA" w:eastAsia="en-US"/>
        </w:rPr>
        <w:t xml:space="preserve"> </w:t>
      </w:r>
      <w:r>
        <w:rPr>
          <w:rFonts w:eastAsia="Calibri"/>
          <w:sz w:val="22"/>
          <w:szCs w:val="22"/>
          <w:lang w:val="fr-CA" w:eastAsia="en-US"/>
        </w:rPr>
        <w:t xml:space="preserve">publiés </w:t>
      </w:r>
      <w:r w:rsidRPr="00217EFC">
        <w:rPr>
          <w:rFonts w:eastAsia="Calibri"/>
          <w:sz w:val="22"/>
          <w:szCs w:val="22"/>
          <w:lang w:val="fr-CA" w:eastAsia="en-US"/>
        </w:rPr>
        <w:t>entre juin 1914 et avril 1920</w:t>
      </w:r>
      <w:r>
        <w:rPr>
          <w:rFonts w:eastAsia="Calibri"/>
          <w:sz w:val="22"/>
          <w:szCs w:val="22"/>
          <w:lang w:val="fr-CA" w:eastAsia="en-US"/>
        </w:rPr>
        <w:t xml:space="preserve">, </w:t>
      </w:r>
      <w:r w:rsidRPr="00217EFC">
        <w:rPr>
          <w:rFonts w:eastAsia="Calibri"/>
          <w:sz w:val="22"/>
          <w:szCs w:val="22"/>
          <w:lang w:val="fr-CA" w:eastAsia="en-US"/>
        </w:rPr>
        <w:t>portant sur le thème de la contribution des Franco-Américains à l’effort de guerre. Ce journal ser</w:t>
      </w:r>
      <w:r>
        <w:rPr>
          <w:rFonts w:eastAsia="Calibri"/>
          <w:sz w:val="22"/>
          <w:szCs w:val="22"/>
          <w:lang w:val="fr-CA" w:eastAsia="en-US"/>
        </w:rPr>
        <w:t xml:space="preserve">t </w:t>
      </w:r>
      <w:r w:rsidRPr="00217EFC">
        <w:rPr>
          <w:rFonts w:eastAsia="Calibri"/>
          <w:sz w:val="22"/>
          <w:szCs w:val="22"/>
          <w:lang w:val="fr-CA" w:eastAsia="en-US"/>
        </w:rPr>
        <w:t xml:space="preserve">de fondation </w:t>
      </w:r>
      <w:r>
        <w:rPr>
          <w:rFonts w:eastAsia="Calibri"/>
          <w:sz w:val="22"/>
          <w:szCs w:val="22"/>
          <w:lang w:val="fr-CA" w:eastAsia="en-US"/>
        </w:rPr>
        <w:t xml:space="preserve">pour </w:t>
      </w:r>
      <w:r w:rsidRPr="00217EFC">
        <w:rPr>
          <w:rFonts w:eastAsia="Calibri"/>
          <w:sz w:val="22"/>
          <w:szCs w:val="22"/>
          <w:lang w:val="fr-CA" w:eastAsia="en-US"/>
        </w:rPr>
        <w:t xml:space="preserve">évaluer la contribution des Franco-Américains de Manchester à l’effort de guerre. Les résultats obtenus sont ainsi comparés </w:t>
      </w:r>
      <w:r>
        <w:rPr>
          <w:rFonts w:eastAsia="Calibri"/>
          <w:sz w:val="22"/>
          <w:szCs w:val="22"/>
          <w:lang w:val="fr-CA" w:eastAsia="en-US"/>
        </w:rPr>
        <w:t>avec d’</w:t>
      </w:r>
      <w:r w:rsidRPr="00217EFC">
        <w:rPr>
          <w:rFonts w:eastAsia="Calibri"/>
          <w:sz w:val="22"/>
          <w:szCs w:val="22"/>
          <w:lang w:val="fr-CA" w:eastAsia="en-US"/>
        </w:rPr>
        <w:t>autres sources</w:t>
      </w:r>
      <w:r>
        <w:rPr>
          <w:rFonts w:eastAsia="Calibri"/>
          <w:sz w:val="22"/>
          <w:szCs w:val="22"/>
          <w:lang w:val="fr-CA" w:eastAsia="en-US"/>
        </w:rPr>
        <w:t xml:space="preserve">, </w:t>
      </w:r>
      <w:r w:rsidRPr="00217EFC">
        <w:rPr>
          <w:rFonts w:eastAsia="Calibri"/>
          <w:sz w:val="22"/>
          <w:szCs w:val="22"/>
          <w:lang w:val="fr-CA" w:eastAsia="en-US"/>
        </w:rPr>
        <w:t xml:space="preserve">dont notamment le </w:t>
      </w:r>
      <w:r w:rsidRPr="00217EFC">
        <w:rPr>
          <w:rFonts w:eastAsia="Calibri"/>
          <w:i/>
          <w:sz w:val="22"/>
          <w:szCs w:val="22"/>
          <w:lang w:val="fr-CA" w:eastAsia="en-US"/>
        </w:rPr>
        <w:t>Guide des Franco-Américains</w:t>
      </w:r>
      <w:r w:rsidRPr="00217EFC">
        <w:rPr>
          <w:rStyle w:val="FootnoteReference"/>
          <w:rFonts w:eastAsia="Calibri"/>
          <w:sz w:val="22"/>
          <w:szCs w:val="22"/>
          <w:lang w:val="fr-CA" w:eastAsia="en-US"/>
        </w:rPr>
        <w:footnoteReference w:id="7"/>
      </w:r>
      <w:r w:rsidRPr="00217EFC">
        <w:rPr>
          <w:rFonts w:eastAsia="Calibri"/>
          <w:sz w:val="22"/>
          <w:szCs w:val="22"/>
          <w:lang w:val="fr-CA" w:eastAsia="en-US"/>
        </w:rPr>
        <w:t>, les statistiques d’enrôlement du 22</w:t>
      </w:r>
      <w:r w:rsidRPr="00217EFC">
        <w:rPr>
          <w:rFonts w:eastAsia="Calibri"/>
          <w:sz w:val="22"/>
          <w:szCs w:val="22"/>
          <w:vertAlign w:val="superscript"/>
          <w:lang w:val="fr-CA" w:eastAsia="en-US"/>
        </w:rPr>
        <w:t>e</w:t>
      </w:r>
      <w:r w:rsidRPr="00217EFC">
        <w:rPr>
          <w:rFonts w:eastAsia="Calibri"/>
          <w:sz w:val="22"/>
          <w:szCs w:val="22"/>
          <w:lang w:val="fr-CA" w:eastAsia="en-US"/>
        </w:rPr>
        <w:t xml:space="preserve"> </w:t>
      </w:r>
      <w:r>
        <w:rPr>
          <w:rFonts w:eastAsia="Calibri"/>
          <w:sz w:val="22"/>
          <w:szCs w:val="22"/>
          <w:lang w:val="fr-CA" w:eastAsia="en-US"/>
        </w:rPr>
        <w:t>Bataillon</w:t>
      </w:r>
      <w:r w:rsidRPr="00217EFC">
        <w:rPr>
          <w:rFonts w:eastAsia="Calibri"/>
          <w:sz w:val="22"/>
          <w:szCs w:val="22"/>
          <w:lang w:val="fr-CA" w:eastAsia="en-US"/>
        </w:rPr>
        <w:t xml:space="preserve"> (canadien-français) révélées par les études de Jean-Pierre Gagnon</w:t>
      </w:r>
      <w:r w:rsidRPr="00217EFC">
        <w:rPr>
          <w:rStyle w:val="FootnoteReference"/>
          <w:rFonts w:eastAsia="Calibri"/>
          <w:sz w:val="22"/>
          <w:szCs w:val="22"/>
          <w:lang w:val="fr-CA" w:eastAsia="en-US"/>
        </w:rPr>
        <w:footnoteReference w:id="8"/>
      </w:r>
      <w:r w:rsidRPr="00217EFC">
        <w:rPr>
          <w:rFonts w:eastAsia="Calibri"/>
          <w:sz w:val="22"/>
          <w:szCs w:val="22"/>
          <w:lang w:val="fr-CA" w:eastAsia="en-US"/>
        </w:rPr>
        <w:t xml:space="preserve"> et les travaux de</w:t>
      </w:r>
      <w:r>
        <w:rPr>
          <w:rFonts w:eastAsia="Calibri"/>
          <w:sz w:val="22"/>
          <w:szCs w:val="22"/>
          <w:lang w:val="fr-CA" w:eastAsia="en-US"/>
        </w:rPr>
        <w:t> </w:t>
      </w:r>
      <w:r w:rsidRPr="00217EFC">
        <w:rPr>
          <w:rFonts w:eastAsia="Calibri"/>
          <w:sz w:val="22"/>
          <w:szCs w:val="22"/>
          <w:lang w:val="fr-CA" w:eastAsia="en-US"/>
        </w:rPr>
        <w:t xml:space="preserve">Lemelin, afin de valider le degré de crédibilité de nos statistiques. </w:t>
      </w:r>
    </w:p>
    <w:p w14:paraId="5CFB34A5" w14:textId="77777777" w:rsidR="000264D6" w:rsidRPr="00DA4DAF" w:rsidRDefault="000264D6" w:rsidP="002B5319">
      <w:pPr>
        <w:spacing w:before="100" w:beforeAutospacing="1" w:after="100" w:afterAutospacing="1"/>
        <w:ind w:firstLine="720"/>
        <w:jc w:val="both"/>
        <w:rPr>
          <w:b/>
          <w:color w:val="000000"/>
          <w:sz w:val="22"/>
          <w:szCs w:val="22"/>
          <w:lang w:val="fr-CA"/>
        </w:rPr>
      </w:pPr>
      <w:r w:rsidRPr="00217EFC">
        <w:rPr>
          <w:sz w:val="22"/>
          <w:szCs w:val="22"/>
          <w:lang w:val="fr-CA"/>
        </w:rPr>
        <w:t xml:space="preserve">Ainsi, </w:t>
      </w:r>
      <w:r>
        <w:rPr>
          <w:sz w:val="22"/>
          <w:szCs w:val="22"/>
          <w:lang w:val="fr-CA"/>
        </w:rPr>
        <w:t xml:space="preserve">notre </w:t>
      </w:r>
      <w:r w:rsidRPr="00217EFC">
        <w:rPr>
          <w:rFonts w:eastAsia="Calibri"/>
          <w:sz w:val="22"/>
          <w:szCs w:val="22"/>
          <w:lang w:val="fr-CA" w:eastAsia="en-US"/>
        </w:rPr>
        <w:t xml:space="preserve">approche repose sur l’étude chronologique du comportement et des intérêts des Franco-Américains </w:t>
      </w:r>
      <w:r w:rsidRPr="00217EFC">
        <w:rPr>
          <w:sz w:val="22"/>
          <w:szCs w:val="22"/>
          <w:lang w:val="fr-CA"/>
        </w:rPr>
        <w:t>de la Nouvelle-Angleterre</w:t>
      </w:r>
      <w:r w:rsidRPr="00217EFC">
        <w:rPr>
          <w:rFonts w:eastAsia="Calibri"/>
          <w:sz w:val="22"/>
          <w:szCs w:val="22"/>
          <w:lang w:val="fr-CA" w:eastAsia="en-US"/>
        </w:rPr>
        <w:t xml:space="preserve"> en fonction </w:t>
      </w:r>
      <w:r w:rsidRPr="00217EFC">
        <w:rPr>
          <w:sz w:val="22"/>
          <w:szCs w:val="22"/>
          <w:lang w:val="fr-CA"/>
        </w:rPr>
        <w:t xml:space="preserve">des événements marquants de la Grande Guerre, qui se sont respectivement déroulés aux États-Unis, au Canada ou en Europe. C’est </w:t>
      </w:r>
      <w:r>
        <w:rPr>
          <w:sz w:val="22"/>
          <w:szCs w:val="22"/>
          <w:lang w:val="fr-CA"/>
        </w:rPr>
        <w:t xml:space="preserve">sur </w:t>
      </w:r>
      <w:r w:rsidRPr="00217EFC">
        <w:rPr>
          <w:sz w:val="22"/>
          <w:szCs w:val="22"/>
          <w:lang w:val="fr-CA"/>
        </w:rPr>
        <w:t xml:space="preserve">les articles de </w:t>
      </w:r>
      <w:r w:rsidRPr="00217EFC">
        <w:rPr>
          <w:i/>
          <w:sz w:val="22"/>
          <w:szCs w:val="22"/>
          <w:lang w:val="fr-CA"/>
        </w:rPr>
        <w:t>L’Avenir National</w:t>
      </w:r>
      <w:r w:rsidRPr="00217EFC">
        <w:rPr>
          <w:sz w:val="22"/>
          <w:szCs w:val="22"/>
          <w:lang w:val="fr-CA"/>
        </w:rPr>
        <w:t xml:space="preserve"> que nous basons notre analyse des événements pour ensuite décrire les effets qu’ils </w:t>
      </w:r>
      <w:r>
        <w:rPr>
          <w:sz w:val="22"/>
          <w:szCs w:val="22"/>
          <w:lang w:val="fr-CA"/>
        </w:rPr>
        <w:t xml:space="preserve">produisent </w:t>
      </w:r>
      <w:r w:rsidRPr="00217EFC">
        <w:rPr>
          <w:sz w:val="22"/>
          <w:szCs w:val="22"/>
          <w:lang w:val="fr-CA"/>
        </w:rPr>
        <w:t>sur la population franco-américaine de Manchester.</w:t>
      </w:r>
      <w:r>
        <w:rPr>
          <w:sz w:val="22"/>
          <w:szCs w:val="22"/>
          <w:lang w:val="fr-CA"/>
        </w:rPr>
        <w:t xml:space="preserve"> </w:t>
      </w:r>
      <w:r w:rsidRPr="00217EFC">
        <w:rPr>
          <w:rFonts w:eastAsia="Calibri"/>
          <w:sz w:val="22"/>
          <w:szCs w:val="22"/>
          <w:lang w:val="fr-CA" w:eastAsia="en-US"/>
        </w:rPr>
        <w:t xml:space="preserve">Ultimement, cette recherche </w:t>
      </w:r>
      <w:r>
        <w:rPr>
          <w:rFonts w:eastAsia="Calibri"/>
          <w:sz w:val="22"/>
          <w:szCs w:val="22"/>
          <w:lang w:val="fr-CA" w:eastAsia="en-US"/>
        </w:rPr>
        <w:t xml:space="preserve">vise </w:t>
      </w:r>
      <w:r w:rsidRPr="00AB2828">
        <w:rPr>
          <w:rFonts w:eastAsia="Calibri"/>
          <w:sz w:val="22"/>
          <w:szCs w:val="22"/>
          <w:lang w:val="fr-CA" w:eastAsia="en-US"/>
        </w:rPr>
        <w:t>à</w:t>
      </w:r>
      <w:r>
        <w:rPr>
          <w:rFonts w:eastAsia="Calibri"/>
          <w:sz w:val="22"/>
          <w:szCs w:val="22"/>
          <w:lang w:val="fr-CA" w:eastAsia="en-US"/>
        </w:rPr>
        <w:t xml:space="preserve"> décrire de manière plus précise </w:t>
      </w:r>
      <w:r w:rsidRPr="00217EFC">
        <w:rPr>
          <w:rFonts w:eastAsia="Calibri"/>
          <w:sz w:val="22"/>
          <w:szCs w:val="22"/>
          <w:lang w:val="fr-CA" w:eastAsia="en-US"/>
        </w:rPr>
        <w:t>la contribution et l’appui des Franco-Américains de la Nouvelle-Angleterre aux Alliés pendant la Première Guerre mondiale.</w:t>
      </w:r>
      <w:r w:rsidRPr="003433E9">
        <w:rPr>
          <w:color w:val="000000"/>
          <w:sz w:val="22"/>
          <w:szCs w:val="22"/>
          <w:lang w:val="fr-CA"/>
        </w:rPr>
        <w:br w:type="page"/>
      </w:r>
      <w:r w:rsidRPr="00DA4DAF">
        <w:rPr>
          <w:b/>
          <w:bCs/>
          <w:color w:val="000000"/>
          <w:sz w:val="22"/>
          <w:szCs w:val="22"/>
          <w:lang w:val="fr-CA"/>
        </w:rPr>
        <w:lastRenderedPageBreak/>
        <w:t>Premier chapitre : Historiographie des principaux thèmes relatifs aux populations franco-américaines de la Nouvelle-Angleterre.</w:t>
      </w:r>
    </w:p>
    <w:p w14:paraId="2C1F8BCA" w14:textId="77777777" w:rsidR="000264D6" w:rsidRPr="00217EFC" w:rsidRDefault="000264D6" w:rsidP="002B5319">
      <w:pPr>
        <w:spacing w:before="100" w:beforeAutospacing="1" w:after="100" w:afterAutospacing="1"/>
        <w:ind w:firstLine="720"/>
        <w:jc w:val="both"/>
        <w:rPr>
          <w:rFonts w:eastAsia="Calibri"/>
          <w:color w:val="000000"/>
          <w:sz w:val="22"/>
          <w:szCs w:val="22"/>
          <w:lang w:val="fr-CA" w:eastAsia="en-US"/>
        </w:rPr>
      </w:pPr>
      <w:r w:rsidRPr="00217EFC">
        <w:rPr>
          <w:rFonts w:eastAsia="Calibri"/>
          <w:color w:val="000000"/>
          <w:sz w:val="22"/>
          <w:szCs w:val="22"/>
          <w:lang w:val="fr-CA" w:eastAsia="en-US"/>
        </w:rPr>
        <w:t>Le phénomène de l’émigration des Canadiens</w:t>
      </w:r>
      <w:r>
        <w:rPr>
          <w:rFonts w:eastAsia="Calibri"/>
          <w:color w:val="000000"/>
          <w:sz w:val="22"/>
          <w:szCs w:val="22"/>
          <w:lang w:val="fr-CA" w:eastAsia="en-US"/>
        </w:rPr>
        <w:t xml:space="preserve"> </w:t>
      </w:r>
      <w:r w:rsidRPr="00217EFC">
        <w:rPr>
          <w:rFonts w:eastAsia="Calibri"/>
          <w:color w:val="000000"/>
          <w:sz w:val="22"/>
          <w:szCs w:val="22"/>
          <w:lang w:val="fr-CA" w:eastAsia="en-US"/>
        </w:rPr>
        <w:t xml:space="preserve">français vers les États-Unis est de plus en plus étudié. Ces études portent principalement sur la mouvance de cette population vers la Nouvelle-Angleterre qui </w:t>
      </w:r>
      <w:r>
        <w:rPr>
          <w:rFonts w:eastAsia="Calibri"/>
          <w:color w:val="000000"/>
          <w:sz w:val="22"/>
          <w:szCs w:val="22"/>
          <w:lang w:val="fr-CA" w:eastAsia="en-US"/>
        </w:rPr>
        <w:t xml:space="preserve">commence </w:t>
      </w:r>
      <w:r w:rsidRPr="00217EFC">
        <w:rPr>
          <w:rFonts w:eastAsia="Calibri"/>
          <w:color w:val="000000"/>
          <w:sz w:val="22"/>
          <w:szCs w:val="22"/>
          <w:lang w:val="fr-CA" w:eastAsia="en-US"/>
        </w:rPr>
        <w:t>avec le début de l’expansion des États-Unis au XIX</w:t>
      </w:r>
      <w:r w:rsidRPr="00217EFC">
        <w:rPr>
          <w:rFonts w:eastAsia="Calibri"/>
          <w:color w:val="000000"/>
          <w:sz w:val="22"/>
          <w:szCs w:val="22"/>
          <w:vertAlign w:val="superscript"/>
          <w:lang w:val="fr-CA" w:eastAsia="en-US"/>
        </w:rPr>
        <w:t>e</w:t>
      </w:r>
      <w:r w:rsidRPr="00217EFC">
        <w:rPr>
          <w:rFonts w:eastAsia="Calibri"/>
          <w:color w:val="000000"/>
          <w:sz w:val="22"/>
          <w:szCs w:val="22"/>
          <w:lang w:val="fr-CA" w:eastAsia="en-US"/>
        </w:rPr>
        <w:t xml:space="preserve"> siècle</w:t>
      </w:r>
      <w:r w:rsidRPr="00217EFC">
        <w:rPr>
          <w:rFonts w:eastAsia="Calibri"/>
          <w:color w:val="000000"/>
          <w:sz w:val="22"/>
          <w:szCs w:val="22"/>
          <w:vertAlign w:val="superscript"/>
          <w:lang w:val="fr-CA" w:eastAsia="en-US"/>
        </w:rPr>
        <w:footnoteReference w:id="9"/>
      </w:r>
      <w:r w:rsidRPr="00217EFC">
        <w:rPr>
          <w:rFonts w:eastAsia="Calibri"/>
          <w:color w:val="000000"/>
          <w:sz w:val="22"/>
          <w:szCs w:val="22"/>
          <w:lang w:val="fr-CA" w:eastAsia="en-US"/>
        </w:rPr>
        <w:t>. Or, on évalue que 325</w:t>
      </w:r>
      <w:r>
        <w:rPr>
          <w:rFonts w:eastAsia="Calibri"/>
          <w:color w:val="000000"/>
          <w:sz w:val="22"/>
          <w:szCs w:val="22"/>
          <w:lang w:val="fr-CA" w:eastAsia="en-US"/>
        </w:rPr>
        <w:t> </w:t>
      </w:r>
      <w:r w:rsidRPr="00217EFC">
        <w:rPr>
          <w:rFonts w:eastAsia="Calibri"/>
          <w:color w:val="000000"/>
          <w:sz w:val="22"/>
          <w:szCs w:val="22"/>
          <w:lang w:val="fr-CA" w:eastAsia="en-US"/>
        </w:rPr>
        <w:t>000 à 327</w:t>
      </w:r>
      <w:r>
        <w:rPr>
          <w:rFonts w:eastAsia="Calibri"/>
          <w:color w:val="000000"/>
          <w:sz w:val="22"/>
          <w:szCs w:val="22"/>
          <w:lang w:val="fr-CA" w:eastAsia="en-US"/>
        </w:rPr>
        <w:t> </w:t>
      </w:r>
      <w:r w:rsidRPr="00217EFC">
        <w:rPr>
          <w:rFonts w:eastAsia="Calibri"/>
          <w:color w:val="000000"/>
          <w:sz w:val="22"/>
          <w:szCs w:val="22"/>
          <w:lang w:val="fr-CA" w:eastAsia="en-US"/>
        </w:rPr>
        <w:t xml:space="preserve">000 Canadiens français </w:t>
      </w:r>
      <w:r>
        <w:rPr>
          <w:rFonts w:eastAsia="Calibri"/>
          <w:color w:val="000000"/>
          <w:sz w:val="22"/>
          <w:szCs w:val="22"/>
          <w:lang w:val="fr-CA" w:eastAsia="en-US"/>
        </w:rPr>
        <w:t xml:space="preserve">auraient </w:t>
      </w:r>
      <w:r w:rsidRPr="00217EFC">
        <w:rPr>
          <w:rFonts w:eastAsia="Calibri"/>
          <w:color w:val="000000"/>
          <w:sz w:val="22"/>
          <w:szCs w:val="22"/>
          <w:lang w:val="fr-CA" w:eastAsia="en-US"/>
        </w:rPr>
        <w:t>immigré en Nouvelle-Angleterre</w:t>
      </w:r>
      <w:r>
        <w:rPr>
          <w:rFonts w:eastAsia="Calibri"/>
          <w:color w:val="000000"/>
          <w:sz w:val="22"/>
          <w:szCs w:val="22"/>
          <w:lang w:val="fr-CA" w:eastAsia="en-US"/>
        </w:rPr>
        <w:t>,</w:t>
      </w:r>
      <w:r w:rsidRPr="00217EFC">
        <w:rPr>
          <w:rFonts w:eastAsia="Calibri"/>
          <w:color w:val="000000"/>
          <w:sz w:val="22"/>
          <w:szCs w:val="22"/>
          <w:lang w:val="fr-CA" w:eastAsia="en-US"/>
        </w:rPr>
        <w:t xml:space="preserve"> entre le commencement de la révolution industrielle aux États-Unis, vers la décennie</w:t>
      </w:r>
      <w:r>
        <w:rPr>
          <w:rFonts w:eastAsia="Calibri"/>
          <w:color w:val="000000"/>
          <w:sz w:val="22"/>
          <w:szCs w:val="22"/>
          <w:lang w:val="fr-CA" w:eastAsia="en-US"/>
        </w:rPr>
        <w:t> </w:t>
      </w:r>
      <w:r w:rsidRPr="00217EFC">
        <w:rPr>
          <w:rFonts w:eastAsia="Calibri"/>
          <w:color w:val="000000"/>
          <w:sz w:val="22"/>
          <w:szCs w:val="22"/>
          <w:lang w:val="fr-CA" w:eastAsia="en-US"/>
        </w:rPr>
        <w:t>1860, jusqu’au début du XX</w:t>
      </w:r>
      <w:r w:rsidRPr="00217EFC">
        <w:rPr>
          <w:rFonts w:eastAsia="Calibri"/>
          <w:color w:val="000000"/>
          <w:sz w:val="22"/>
          <w:szCs w:val="22"/>
          <w:vertAlign w:val="superscript"/>
          <w:lang w:val="fr-CA" w:eastAsia="en-US"/>
        </w:rPr>
        <w:t>e</w:t>
      </w:r>
      <w:r w:rsidRPr="00217EFC">
        <w:rPr>
          <w:rFonts w:eastAsia="Calibri"/>
          <w:color w:val="000000"/>
          <w:sz w:val="22"/>
          <w:szCs w:val="22"/>
          <w:lang w:val="fr-CA" w:eastAsia="en-US"/>
        </w:rPr>
        <w:t xml:space="preserve"> siècle</w:t>
      </w:r>
      <w:r w:rsidRPr="00217EFC">
        <w:rPr>
          <w:rFonts w:eastAsia="Calibri"/>
          <w:color w:val="000000"/>
          <w:sz w:val="22"/>
          <w:szCs w:val="22"/>
          <w:vertAlign w:val="superscript"/>
          <w:lang w:val="fr-CA" w:eastAsia="en-US"/>
        </w:rPr>
        <w:footnoteReference w:id="10"/>
      </w:r>
      <w:r w:rsidRPr="00217EFC">
        <w:rPr>
          <w:rFonts w:eastAsia="Calibri"/>
          <w:color w:val="000000"/>
          <w:sz w:val="22"/>
          <w:szCs w:val="22"/>
          <w:lang w:val="fr-CA" w:eastAsia="en-US"/>
        </w:rPr>
        <w:t>. Nous notons que l’historiographie de l’époque porte sur le thème de la «</w:t>
      </w:r>
      <w:r>
        <w:rPr>
          <w:rFonts w:eastAsia="Calibri"/>
          <w:color w:val="000000"/>
          <w:sz w:val="22"/>
          <w:szCs w:val="22"/>
          <w:lang w:val="fr-CA" w:eastAsia="en-US"/>
        </w:rPr>
        <w:t> </w:t>
      </w:r>
      <w:r w:rsidRPr="00217EFC">
        <w:rPr>
          <w:rFonts w:eastAsia="Calibri"/>
          <w:color w:val="000000"/>
          <w:sz w:val="22"/>
          <w:szCs w:val="22"/>
          <w:lang w:val="fr-CA" w:eastAsia="en-US"/>
        </w:rPr>
        <w:t>Survivance</w:t>
      </w:r>
      <w:r>
        <w:rPr>
          <w:rFonts w:eastAsia="Calibri"/>
          <w:color w:val="000000"/>
          <w:sz w:val="22"/>
          <w:szCs w:val="22"/>
          <w:lang w:val="fr-CA" w:eastAsia="en-US"/>
        </w:rPr>
        <w:t> </w:t>
      </w:r>
      <w:r w:rsidRPr="00217EFC">
        <w:rPr>
          <w:rFonts w:eastAsia="Calibri"/>
          <w:color w:val="000000"/>
          <w:sz w:val="22"/>
          <w:szCs w:val="22"/>
          <w:lang w:val="fr-CA" w:eastAsia="en-US"/>
        </w:rPr>
        <w:t xml:space="preserve">» du peuple </w:t>
      </w:r>
      <w:r>
        <w:rPr>
          <w:rFonts w:eastAsia="Calibri"/>
          <w:color w:val="000000"/>
          <w:sz w:val="22"/>
          <w:szCs w:val="22"/>
          <w:lang w:val="fr-CA" w:eastAsia="en-US"/>
        </w:rPr>
        <w:t>c</w:t>
      </w:r>
      <w:r w:rsidRPr="00217EFC">
        <w:rPr>
          <w:rFonts w:eastAsia="Calibri"/>
          <w:color w:val="000000"/>
          <w:sz w:val="22"/>
          <w:szCs w:val="22"/>
          <w:lang w:val="fr-CA" w:eastAsia="en-US"/>
        </w:rPr>
        <w:t>anadien</w:t>
      </w:r>
      <w:r>
        <w:rPr>
          <w:rFonts w:eastAsia="Calibri"/>
          <w:color w:val="000000"/>
          <w:sz w:val="22"/>
          <w:szCs w:val="22"/>
          <w:lang w:val="fr-CA" w:eastAsia="en-US"/>
        </w:rPr>
        <w:t>-</w:t>
      </w:r>
      <w:r w:rsidRPr="00217EFC">
        <w:rPr>
          <w:rFonts w:eastAsia="Calibri"/>
          <w:color w:val="000000"/>
          <w:sz w:val="22"/>
          <w:szCs w:val="22"/>
          <w:lang w:val="fr-CA" w:eastAsia="en-US"/>
        </w:rPr>
        <w:t>français. Elle pren</w:t>
      </w:r>
      <w:r>
        <w:rPr>
          <w:rFonts w:eastAsia="Calibri"/>
          <w:color w:val="000000"/>
          <w:sz w:val="22"/>
          <w:szCs w:val="22"/>
          <w:lang w:val="fr-CA" w:eastAsia="en-US"/>
        </w:rPr>
        <w:t>d</w:t>
      </w:r>
      <w:r w:rsidRPr="00217EFC">
        <w:rPr>
          <w:rFonts w:eastAsia="Calibri"/>
          <w:color w:val="000000"/>
          <w:sz w:val="22"/>
          <w:szCs w:val="22"/>
          <w:lang w:val="fr-CA" w:eastAsia="en-US"/>
        </w:rPr>
        <w:t xml:space="preserve"> la forme d’une lutte dirigée par l’intelligentsia pour ainsi permettre la perpétuité du fait français en Amérique</w:t>
      </w:r>
      <w:r w:rsidRPr="00217EFC">
        <w:rPr>
          <w:rFonts w:eastAsia="Calibri"/>
          <w:color w:val="000000"/>
          <w:sz w:val="22"/>
          <w:szCs w:val="22"/>
          <w:vertAlign w:val="superscript"/>
          <w:lang w:val="fr-CA" w:eastAsia="en-US"/>
        </w:rPr>
        <w:footnoteReference w:id="11"/>
      </w:r>
      <w:r w:rsidRPr="00217EFC">
        <w:rPr>
          <w:rFonts w:eastAsia="Calibri"/>
          <w:color w:val="000000"/>
          <w:sz w:val="22"/>
          <w:szCs w:val="22"/>
          <w:lang w:val="fr-CA" w:eastAsia="en-US"/>
        </w:rPr>
        <w:t>. Comme l’explique Yves Frenette, «</w:t>
      </w:r>
      <w:r>
        <w:rPr>
          <w:rFonts w:eastAsia="Calibri"/>
          <w:color w:val="000000"/>
          <w:sz w:val="22"/>
          <w:szCs w:val="22"/>
          <w:lang w:val="fr-CA" w:eastAsia="en-US"/>
        </w:rPr>
        <w:t> </w:t>
      </w:r>
      <w:r w:rsidRPr="00217EFC">
        <w:rPr>
          <w:rFonts w:eastAsia="Calibri"/>
          <w:color w:val="000000"/>
          <w:sz w:val="22"/>
          <w:szCs w:val="22"/>
          <w:lang w:val="fr-CA" w:eastAsia="en-US"/>
        </w:rPr>
        <w:t>l’historiographie franco-américaine était donc engagée, voire utilitaire</w:t>
      </w:r>
      <w:r>
        <w:rPr>
          <w:rFonts w:eastAsia="Calibri"/>
          <w:color w:val="000000"/>
          <w:sz w:val="22"/>
          <w:szCs w:val="22"/>
          <w:lang w:val="fr-CA" w:eastAsia="en-US"/>
        </w:rPr>
        <w:t> </w:t>
      </w:r>
      <w:r w:rsidRPr="00217EFC">
        <w:rPr>
          <w:rFonts w:eastAsia="Calibri"/>
          <w:color w:val="000000"/>
          <w:sz w:val="22"/>
          <w:szCs w:val="22"/>
          <w:lang w:val="fr-CA" w:eastAsia="en-US"/>
        </w:rPr>
        <w:t xml:space="preserve">; elle visait à former la mémoire collective du groupe, plus spécifiquement à abreuver l’idéologie de la </w:t>
      </w:r>
      <w:r>
        <w:rPr>
          <w:rFonts w:eastAsia="Calibri"/>
          <w:color w:val="000000"/>
          <w:sz w:val="22"/>
          <w:szCs w:val="22"/>
          <w:lang w:val="fr-CA" w:eastAsia="en-US"/>
        </w:rPr>
        <w:t>“</w:t>
      </w:r>
      <w:r w:rsidRPr="00217EFC">
        <w:rPr>
          <w:rFonts w:eastAsia="Calibri"/>
          <w:color w:val="000000"/>
          <w:sz w:val="22"/>
          <w:szCs w:val="22"/>
          <w:lang w:val="fr-CA" w:eastAsia="en-US"/>
        </w:rPr>
        <w:t>Survivance</w:t>
      </w:r>
      <w:r>
        <w:rPr>
          <w:rFonts w:eastAsia="Calibri"/>
          <w:color w:val="000000"/>
          <w:sz w:val="22"/>
          <w:szCs w:val="22"/>
          <w:lang w:val="fr-CA" w:eastAsia="en-US"/>
        </w:rPr>
        <w:t>”</w:t>
      </w:r>
      <w:r w:rsidRPr="00217EFC">
        <w:rPr>
          <w:rFonts w:eastAsia="Calibri"/>
          <w:color w:val="000000"/>
          <w:sz w:val="22"/>
          <w:szCs w:val="22"/>
          <w:lang w:val="fr-CA" w:eastAsia="en-US"/>
        </w:rPr>
        <w:t xml:space="preserve"> dans un milieu souvent hostile, ce qui intensifiait la fonction d’arme de combat de l’histoire</w:t>
      </w:r>
      <w:r>
        <w:rPr>
          <w:rFonts w:eastAsia="Calibri"/>
          <w:color w:val="000000"/>
          <w:sz w:val="22"/>
          <w:szCs w:val="22"/>
          <w:lang w:val="fr-CA" w:eastAsia="en-US"/>
        </w:rPr>
        <w:t> </w:t>
      </w:r>
      <w:r w:rsidRPr="00217EFC">
        <w:rPr>
          <w:rFonts w:eastAsia="Calibri"/>
          <w:color w:val="000000"/>
          <w:sz w:val="22"/>
          <w:szCs w:val="22"/>
          <w:lang w:val="fr-CA" w:eastAsia="en-US"/>
        </w:rPr>
        <w:t>»</w:t>
      </w:r>
      <w:r w:rsidRPr="00217EFC">
        <w:rPr>
          <w:rFonts w:eastAsia="Calibri"/>
          <w:color w:val="000000"/>
          <w:sz w:val="22"/>
          <w:szCs w:val="22"/>
          <w:vertAlign w:val="superscript"/>
          <w:lang w:val="fr-CA" w:eastAsia="en-US"/>
        </w:rPr>
        <w:footnoteReference w:id="12"/>
      </w:r>
      <w:r w:rsidRPr="00217EFC">
        <w:rPr>
          <w:rFonts w:eastAsia="Calibri"/>
          <w:color w:val="000000"/>
          <w:sz w:val="22"/>
          <w:szCs w:val="22"/>
          <w:lang w:val="fr-CA" w:eastAsia="en-US"/>
        </w:rPr>
        <w:t xml:space="preserve">. Ainsi donc, on retrouve des monographies paroissiales, des guides sur les Canadiens français et des écrits idéologiques rédigés à l’époque par des auteurs comme l’abbé Lionel Groulx, l’avocat Hugo Dubuque, l’abbé Thomas-Aimé Chandonnet (1872) et le jésuite Édouard Hamon (1891). Non seulement, ils tiennent tous un discours idéologique </w:t>
      </w:r>
      <w:r>
        <w:rPr>
          <w:rFonts w:eastAsia="Calibri"/>
          <w:color w:val="000000"/>
          <w:sz w:val="22"/>
          <w:szCs w:val="22"/>
          <w:lang w:val="fr-CA" w:eastAsia="en-US"/>
        </w:rPr>
        <w:t xml:space="preserve">apologétique de </w:t>
      </w:r>
      <w:r w:rsidRPr="00217EFC">
        <w:rPr>
          <w:rFonts w:eastAsia="Calibri"/>
          <w:color w:val="000000"/>
          <w:sz w:val="22"/>
          <w:szCs w:val="22"/>
          <w:lang w:val="fr-CA" w:eastAsia="en-US"/>
        </w:rPr>
        <w:t xml:space="preserve">la cause des immigrants Canadiens français en Nouvelle-Angleterre, mais ils préviennent </w:t>
      </w:r>
      <w:r>
        <w:rPr>
          <w:rFonts w:eastAsia="Calibri"/>
          <w:color w:val="000000"/>
          <w:sz w:val="22"/>
          <w:szCs w:val="22"/>
          <w:lang w:val="fr-CA" w:eastAsia="en-US"/>
        </w:rPr>
        <w:t xml:space="preserve">les lecteurs </w:t>
      </w:r>
      <w:r w:rsidRPr="00217EFC">
        <w:rPr>
          <w:rFonts w:eastAsia="Calibri"/>
          <w:color w:val="000000"/>
          <w:sz w:val="22"/>
          <w:szCs w:val="22"/>
          <w:lang w:val="fr-CA" w:eastAsia="en-US"/>
        </w:rPr>
        <w:t xml:space="preserve">qui </w:t>
      </w:r>
      <w:r>
        <w:rPr>
          <w:rFonts w:eastAsia="Calibri"/>
          <w:color w:val="000000"/>
          <w:sz w:val="22"/>
          <w:szCs w:val="22"/>
          <w:lang w:val="fr-CA" w:eastAsia="en-US"/>
        </w:rPr>
        <w:t xml:space="preserve">envisageraient de </w:t>
      </w:r>
      <w:r w:rsidRPr="00217EFC">
        <w:rPr>
          <w:rFonts w:eastAsia="Calibri"/>
          <w:color w:val="000000"/>
          <w:sz w:val="22"/>
          <w:szCs w:val="22"/>
          <w:lang w:val="fr-CA" w:eastAsia="en-US"/>
        </w:rPr>
        <w:t xml:space="preserve">quitter le Canada français, des risques de perdition associés à cette entreprise. En fait, ces migrants se retrouvent dans un environnement hostile, où la menace d’acculturation </w:t>
      </w:r>
      <w:r>
        <w:rPr>
          <w:rFonts w:eastAsia="Calibri"/>
          <w:color w:val="000000"/>
          <w:sz w:val="22"/>
          <w:szCs w:val="22"/>
          <w:lang w:val="fr-CA" w:eastAsia="en-US"/>
        </w:rPr>
        <w:t xml:space="preserve">est </w:t>
      </w:r>
      <w:r w:rsidRPr="00217EFC">
        <w:rPr>
          <w:rFonts w:eastAsia="Calibri"/>
          <w:color w:val="000000"/>
          <w:sz w:val="22"/>
          <w:szCs w:val="22"/>
          <w:lang w:val="fr-CA" w:eastAsia="en-US"/>
        </w:rPr>
        <w:t xml:space="preserve">réelle. Cette hostilité </w:t>
      </w:r>
      <w:r>
        <w:rPr>
          <w:rFonts w:eastAsia="Calibri"/>
          <w:color w:val="000000"/>
          <w:sz w:val="22"/>
          <w:szCs w:val="22"/>
          <w:lang w:val="fr-CA" w:eastAsia="en-US"/>
        </w:rPr>
        <w:t xml:space="preserve">est </w:t>
      </w:r>
      <w:r w:rsidRPr="00217EFC">
        <w:rPr>
          <w:rFonts w:eastAsia="Calibri"/>
          <w:color w:val="000000"/>
          <w:sz w:val="22"/>
          <w:szCs w:val="22"/>
          <w:lang w:val="fr-CA" w:eastAsia="en-US"/>
        </w:rPr>
        <w:t xml:space="preserve">ressentie d’une part, parce que les immigrants </w:t>
      </w:r>
      <w:r>
        <w:rPr>
          <w:rFonts w:eastAsia="Calibri"/>
          <w:color w:val="000000"/>
          <w:sz w:val="22"/>
          <w:szCs w:val="22"/>
          <w:lang w:val="fr-CA" w:eastAsia="en-US"/>
        </w:rPr>
        <w:t>catholiques et</w:t>
      </w:r>
      <w:r w:rsidRPr="00217EFC">
        <w:rPr>
          <w:rFonts w:eastAsia="Calibri"/>
          <w:color w:val="000000"/>
          <w:sz w:val="22"/>
          <w:szCs w:val="22"/>
          <w:lang w:val="fr-CA" w:eastAsia="en-US"/>
        </w:rPr>
        <w:t xml:space="preserve"> francophones doivent s’intégrer à une société protestante et anglophone qui ne partage pas les mêmes valeurs qu’eux. </w:t>
      </w:r>
      <w:r>
        <w:rPr>
          <w:rFonts w:eastAsia="Calibri"/>
          <w:color w:val="000000"/>
          <w:sz w:val="22"/>
          <w:szCs w:val="22"/>
          <w:lang w:val="fr-CA" w:eastAsia="en-US"/>
        </w:rPr>
        <w:t xml:space="preserve">Elle émane soit </w:t>
      </w:r>
      <w:r w:rsidRPr="00217EFC">
        <w:rPr>
          <w:rFonts w:eastAsia="Calibri"/>
          <w:color w:val="000000"/>
          <w:sz w:val="22"/>
          <w:szCs w:val="22"/>
          <w:lang w:val="fr-CA" w:eastAsia="en-US"/>
        </w:rPr>
        <w:t>d</w:t>
      </w:r>
      <w:r>
        <w:rPr>
          <w:rFonts w:eastAsia="Calibri"/>
          <w:color w:val="000000"/>
          <w:sz w:val="22"/>
          <w:szCs w:val="22"/>
          <w:lang w:val="fr-CA" w:eastAsia="en-US"/>
        </w:rPr>
        <w:t>’</w:t>
      </w:r>
      <w:r w:rsidRPr="00217EFC">
        <w:rPr>
          <w:rFonts w:eastAsia="Calibri"/>
          <w:color w:val="000000"/>
          <w:sz w:val="22"/>
          <w:szCs w:val="22"/>
          <w:lang w:val="fr-CA" w:eastAsia="en-US"/>
        </w:rPr>
        <w:t>Américains protestant</w:t>
      </w:r>
      <w:r>
        <w:rPr>
          <w:rFonts w:eastAsia="Calibri"/>
          <w:color w:val="000000"/>
          <w:sz w:val="22"/>
          <w:szCs w:val="22"/>
          <w:lang w:val="fr-CA" w:eastAsia="en-US"/>
        </w:rPr>
        <w:t>s</w:t>
      </w:r>
      <w:r w:rsidRPr="00217EFC">
        <w:rPr>
          <w:rFonts w:eastAsia="Calibri"/>
          <w:color w:val="000000"/>
          <w:sz w:val="22"/>
          <w:szCs w:val="22"/>
          <w:lang w:val="fr-CA" w:eastAsia="en-US"/>
        </w:rPr>
        <w:t xml:space="preserve"> qui les perçoivent comme un groupe ethnique </w:t>
      </w:r>
      <w:r>
        <w:rPr>
          <w:rFonts w:eastAsia="Calibri"/>
          <w:color w:val="000000"/>
          <w:sz w:val="22"/>
          <w:szCs w:val="22"/>
          <w:lang w:val="fr-CA" w:eastAsia="en-US"/>
        </w:rPr>
        <w:t>non d</w:t>
      </w:r>
      <w:r w:rsidRPr="006D31BB">
        <w:rPr>
          <w:rFonts w:eastAsia="Calibri"/>
          <w:color w:val="000000"/>
          <w:sz w:val="22"/>
          <w:szCs w:val="22"/>
          <w:lang w:val="fr-CA" w:eastAsia="en-US"/>
        </w:rPr>
        <w:t>és</w:t>
      </w:r>
      <w:r>
        <w:rPr>
          <w:rFonts w:eastAsia="Calibri"/>
          <w:color w:val="000000"/>
          <w:sz w:val="22"/>
          <w:szCs w:val="22"/>
          <w:lang w:val="fr-CA" w:eastAsia="en-US"/>
        </w:rPr>
        <w:t xml:space="preserve">ireux de </w:t>
      </w:r>
      <w:r w:rsidRPr="00217EFC">
        <w:rPr>
          <w:rFonts w:eastAsia="Calibri"/>
          <w:color w:val="000000"/>
          <w:sz w:val="22"/>
          <w:szCs w:val="22"/>
          <w:lang w:val="fr-CA" w:eastAsia="en-US"/>
        </w:rPr>
        <w:t xml:space="preserve">s’intégrer à la société américaine, soit </w:t>
      </w:r>
      <w:r>
        <w:rPr>
          <w:rFonts w:eastAsia="Calibri"/>
          <w:color w:val="000000"/>
          <w:sz w:val="22"/>
          <w:szCs w:val="22"/>
          <w:lang w:val="fr-CA" w:eastAsia="en-US"/>
        </w:rPr>
        <w:t xml:space="preserve">comme </w:t>
      </w:r>
      <w:r w:rsidRPr="00217EFC">
        <w:rPr>
          <w:rFonts w:eastAsia="Calibri"/>
          <w:color w:val="000000"/>
          <w:sz w:val="22"/>
          <w:szCs w:val="22"/>
          <w:lang w:val="fr-CA" w:eastAsia="en-US"/>
        </w:rPr>
        <w:t xml:space="preserve">des Irlandais, réfractaires à la façon dont ils souhaitent exprimer et vivre leur foi catholique en français. D’autre part, au Canada, </w:t>
      </w:r>
      <w:r>
        <w:rPr>
          <w:rFonts w:eastAsia="Calibri"/>
          <w:color w:val="000000"/>
          <w:sz w:val="22"/>
          <w:szCs w:val="22"/>
          <w:lang w:val="fr-CA" w:eastAsia="en-US"/>
        </w:rPr>
        <w:t xml:space="preserve">même si </w:t>
      </w:r>
      <w:r w:rsidRPr="00217EFC">
        <w:rPr>
          <w:rFonts w:eastAsia="Calibri"/>
          <w:color w:val="000000"/>
          <w:sz w:val="22"/>
          <w:szCs w:val="22"/>
          <w:lang w:val="fr-CA" w:eastAsia="en-US"/>
        </w:rPr>
        <w:t>la révolution industrielle attire de plus en plus de fermiers vers les centres urbains manufacturiers</w:t>
      </w:r>
      <w:r>
        <w:rPr>
          <w:rFonts w:eastAsia="Calibri"/>
          <w:color w:val="000000"/>
          <w:sz w:val="22"/>
          <w:szCs w:val="22"/>
          <w:lang w:val="fr-CA" w:eastAsia="en-US"/>
        </w:rPr>
        <w:t>, l</w:t>
      </w:r>
      <w:r w:rsidRPr="00217EFC">
        <w:rPr>
          <w:rFonts w:eastAsia="Calibri"/>
          <w:color w:val="000000"/>
          <w:sz w:val="22"/>
          <w:szCs w:val="22"/>
          <w:lang w:val="fr-CA" w:eastAsia="en-US"/>
        </w:rPr>
        <w:t>es élites cléricales</w:t>
      </w:r>
      <w:r>
        <w:rPr>
          <w:rFonts w:eastAsia="Calibri"/>
          <w:color w:val="000000"/>
          <w:sz w:val="22"/>
          <w:szCs w:val="22"/>
          <w:lang w:val="fr-CA" w:eastAsia="en-US"/>
        </w:rPr>
        <w:t xml:space="preserve"> dénoncent l’urbanisation. Elles craignent que ce phénomène mène </w:t>
      </w:r>
      <w:r w:rsidRPr="00217EFC">
        <w:rPr>
          <w:rFonts w:eastAsia="Calibri"/>
          <w:color w:val="000000"/>
          <w:sz w:val="22"/>
          <w:szCs w:val="22"/>
          <w:lang w:val="fr-CA" w:eastAsia="en-US"/>
        </w:rPr>
        <w:t xml:space="preserve">leurs </w:t>
      </w:r>
      <w:r>
        <w:rPr>
          <w:rFonts w:eastAsia="Calibri"/>
          <w:color w:val="000000"/>
          <w:sz w:val="22"/>
          <w:szCs w:val="22"/>
          <w:lang w:val="fr-CA" w:eastAsia="en-US"/>
        </w:rPr>
        <w:t xml:space="preserve">ouailles à la perdition </w:t>
      </w:r>
      <w:r w:rsidRPr="00217EFC">
        <w:rPr>
          <w:rFonts w:eastAsia="Calibri"/>
          <w:color w:val="000000"/>
          <w:sz w:val="22"/>
          <w:szCs w:val="22"/>
          <w:lang w:val="fr-CA" w:eastAsia="en-US"/>
        </w:rPr>
        <w:t>et</w:t>
      </w:r>
      <w:r>
        <w:rPr>
          <w:rFonts w:eastAsia="Calibri"/>
          <w:color w:val="000000"/>
          <w:sz w:val="22"/>
          <w:szCs w:val="22"/>
          <w:lang w:val="fr-CA" w:eastAsia="en-US"/>
        </w:rPr>
        <w:t>,</w:t>
      </w:r>
      <w:r w:rsidRPr="00217EFC">
        <w:rPr>
          <w:rFonts w:eastAsia="Calibri"/>
          <w:color w:val="000000"/>
          <w:sz w:val="22"/>
          <w:szCs w:val="22"/>
          <w:lang w:val="fr-CA" w:eastAsia="en-US"/>
        </w:rPr>
        <w:t xml:space="preserve"> </w:t>
      </w:r>
      <w:r>
        <w:rPr>
          <w:rFonts w:eastAsia="Calibri"/>
          <w:color w:val="000000"/>
          <w:sz w:val="22"/>
          <w:szCs w:val="22"/>
          <w:lang w:val="fr-CA" w:eastAsia="en-US"/>
        </w:rPr>
        <w:t xml:space="preserve">conséquemment, à la diminution du </w:t>
      </w:r>
      <w:r w:rsidRPr="00217EFC">
        <w:rPr>
          <w:rFonts w:eastAsia="Calibri"/>
          <w:color w:val="000000"/>
          <w:sz w:val="22"/>
          <w:szCs w:val="22"/>
          <w:lang w:val="fr-CA" w:eastAsia="en-US"/>
        </w:rPr>
        <w:t xml:space="preserve">pouvoir qu’elles </w:t>
      </w:r>
      <w:r>
        <w:rPr>
          <w:rFonts w:eastAsia="Calibri"/>
          <w:color w:val="000000"/>
          <w:sz w:val="22"/>
          <w:szCs w:val="22"/>
          <w:lang w:val="fr-CA" w:eastAsia="en-US"/>
        </w:rPr>
        <w:t xml:space="preserve">exercent </w:t>
      </w:r>
      <w:r w:rsidRPr="00217EFC">
        <w:rPr>
          <w:rFonts w:eastAsia="Calibri"/>
          <w:color w:val="000000"/>
          <w:sz w:val="22"/>
          <w:szCs w:val="22"/>
          <w:lang w:val="fr-CA" w:eastAsia="en-US"/>
        </w:rPr>
        <w:t>sur e</w:t>
      </w:r>
      <w:r>
        <w:rPr>
          <w:rFonts w:eastAsia="Calibri"/>
          <w:color w:val="000000"/>
          <w:sz w:val="22"/>
          <w:szCs w:val="22"/>
          <w:lang w:val="fr-CA" w:eastAsia="en-US"/>
        </w:rPr>
        <w:t xml:space="preserve">lles. Le clergé </w:t>
      </w:r>
      <w:r w:rsidRPr="00217EFC">
        <w:rPr>
          <w:rFonts w:eastAsia="Calibri"/>
          <w:color w:val="000000"/>
          <w:sz w:val="22"/>
          <w:szCs w:val="22"/>
          <w:lang w:val="fr-CA" w:eastAsia="en-US"/>
        </w:rPr>
        <w:t xml:space="preserve">dénonce les émigrants </w:t>
      </w:r>
      <w:r>
        <w:rPr>
          <w:rFonts w:eastAsia="Calibri"/>
          <w:color w:val="000000"/>
          <w:sz w:val="22"/>
          <w:szCs w:val="22"/>
          <w:lang w:val="fr-CA" w:eastAsia="en-US"/>
        </w:rPr>
        <w:t xml:space="preserve">en </w:t>
      </w:r>
      <w:r w:rsidRPr="00217EFC">
        <w:rPr>
          <w:rFonts w:eastAsia="Calibri"/>
          <w:color w:val="000000"/>
          <w:sz w:val="22"/>
          <w:szCs w:val="22"/>
          <w:lang w:val="fr-CA" w:eastAsia="en-US"/>
        </w:rPr>
        <w:t>les traitant de traître</w:t>
      </w:r>
      <w:r>
        <w:rPr>
          <w:rFonts w:eastAsia="Calibri"/>
          <w:color w:val="000000"/>
          <w:sz w:val="22"/>
          <w:szCs w:val="22"/>
          <w:lang w:val="fr-CA" w:eastAsia="en-US"/>
        </w:rPr>
        <w:t>s</w:t>
      </w:r>
      <w:r w:rsidRPr="00217EFC">
        <w:rPr>
          <w:rFonts w:eastAsia="Calibri"/>
          <w:color w:val="000000"/>
          <w:sz w:val="22"/>
          <w:szCs w:val="22"/>
          <w:lang w:val="fr-CA" w:eastAsia="en-US"/>
        </w:rPr>
        <w:t xml:space="preserve"> à la patrie, d’ivrognes et de dévoyés </w:t>
      </w:r>
      <w:r>
        <w:rPr>
          <w:rFonts w:eastAsia="Calibri"/>
          <w:color w:val="000000"/>
          <w:sz w:val="22"/>
          <w:szCs w:val="22"/>
          <w:lang w:val="fr-CA" w:eastAsia="en-US"/>
        </w:rPr>
        <w:t xml:space="preserve">qui vont </w:t>
      </w:r>
      <w:r w:rsidRPr="00217EFC">
        <w:rPr>
          <w:rFonts w:eastAsia="Calibri"/>
          <w:color w:val="000000"/>
          <w:sz w:val="22"/>
          <w:szCs w:val="22"/>
          <w:lang w:val="fr-CA" w:eastAsia="en-US"/>
        </w:rPr>
        <w:t>aux États-Unis</w:t>
      </w:r>
      <w:r>
        <w:rPr>
          <w:rFonts w:eastAsia="Calibri"/>
          <w:color w:val="000000"/>
          <w:sz w:val="22"/>
          <w:szCs w:val="22"/>
          <w:lang w:val="fr-CA" w:eastAsia="en-US"/>
        </w:rPr>
        <w:t xml:space="preserve"> pour </w:t>
      </w:r>
      <w:r w:rsidRPr="00217EFC">
        <w:rPr>
          <w:rFonts w:eastAsia="Calibri"/>
          <w:color w:val="000000"/>
          <w:sz w:val="22"/>
          <w:szCs w:val="22"/>
          <w:lang w:val="fr-CA" w:eastAsia="en-US"/>
        </w:rPr>
        <w:t>perdre leur langue et leur foi</w:t>
      </w:r>
      <w:r>
        <w:rPr>
          <w:rFonts w:eastAsia="Calibri"/>
          <w:color w:val="000000"/>
          <w:sz w:val="22"/>
          <w:szCs w:val="22"/>
          <w:lang w:val="fr-CA" w:eastAsia="en-US"/>
        </w:rPr>
        <w:t>. En réalité</w:t>
      </w:r>
      <w:r w:rsidRPr="00217EFC">
        <w:rPr>
          <w:rFonts w:eastAsia="Calibri"/>
          <w:color w:val="000000"/>
          <w:sz w:val="22"/>
          <w:szCs w:val="22"/>
          <w:lang w:val="fr-CA" w:eastAsia="en-US"/>
        </w:rPr>
        <w:t xml:space="preserve">, </w:t>
      </w:r>
      <w:r>
        <w:rPr>
          <w:rFonts w:eastAsia="Calibri"/>
          <w:color w:val="000000"/>
          <w:sz w:val="22"/>
          <w:szCs w:val="22"/>
          <w:lang w:val="fr-CA" w:eastAsia="en-US"/>
        </w:rPr>
        <w:t xml:space="preserve">on leur reproche de </w:t>
      </w:r>
      <w:r w:rsidRPr="00217EFC">
        <w:rPr>
          <w:rFonts w:eastAsia="Calibri"/>
          <w:color w:val="000000"/>
          <w:sz w:val="22"/>
          <w:szCs w:val="22"/>
          <w:lang w:val="fr-CA" w:eastAsia="en-US"/>
        </w:rPr>
        <w:t>quitt</w:t>
      </w:r>
      <w:r>
        <w:rPr>
          <w:rFonts w:eastAsia="Calibri"/>
          <w:color w:val="000000"/>
          <w:sz w:val="22"/>
          <w:szCs w:val="22"/>
          <w:lang w:val="fr-CA" w:eastAsia="en-US"/>
        </w:rPr>
        <w:t xml:space="preserve">er </w:t>
      </w:r>
      <w:r w:rsidRPr="00217EFC">
        <w:rPr>
          <w:rFonts w:eastAsia="Calibri"/>
          <w:color w:val="000000"/>
          <w:sz w:val="22"/>
          <w:szCs w:val="22"/>
          <w:lang w:val="fr-CA" w:eastAsia="en-US"/>
        </w:rPr>
        <w:t>le pays pour obtenir de meilleures conditions de vie matérielle que celle</w:t>
      </w:r>
      <w:r>
        <w:rPr>
          <w:rFonts w:eastAsia="Calibri"/>
          <w:color w:val="000000"/>
          <w:sz w:val="22"/>
          <w:szCs w:val="22"/>
          <w:lang w:val="fr-CA" w:eastAsia="en-US"/>
        </w:rPr>
        <w:t>s</w:t>
      </w:r>
      <w:r w:rsidRPr="00217EFC">
        <w:rPr>
          <w:rFonts w:eastAsia="Calibri"/>
          <w:color w:val="000000"/>
          <w:sz w:val="22"/>
          <w:szCs w:val="22"/>
          <w:lang w:val="fr-CA" w:eastAsia="en-US"/>
        </w:rPr>
        <w:t xml:space="preserve"> de leurs ancêtres</w:t>
      </w:r>
      <w:r w:rsidRPr="00217EFC">
        <w:rPr>
          <w:rStyle w:val="FootnoteReference"/>
          <w:rFonts w:eastAsia="Calibri"/>
          <w:color w:val="000000"/>
          <w:sz w:val="22"/>
          <w:szCs w:val="22"/>
          <w:lang w:val="fr-CA" w:eastAsia="en-US"/>
        </w:rPr>
        <w:footnoteReference w:id="13"/>
      </w:r>
      <w:r w:rsidRPr="00217EFC">
        <w:rPr>
          <w:rFonts w:eastAsia="Calibri"/>
          <w:color w:val="000000"/>
          <w:sz w:val="22"/>
          <w:szCs w:val="22"/>
          <w:lang w:val="fr-CA" w:eastAsia="en-US"/>
        </w:rPr>
        <w:t>. C’est seulement vers la fin du XIX</w:t>
      </w:r>
      <w:r w:rsidRPr="00217EFC">
        <w:rPr>
          <w:rFonts w:eastAsia="Calibri"/>
          <w:color w:val="000000"/>
          <w:sz w:val="22"/>
          <w:szCs w:val="22"/>
          <w:vertAlign w:val="superscript"/>
          <w:lang w:val="fr-CA" w:eastAsia="en-US"/>
        </w:rPr>
        <w:t>e</w:t>
      </w:r>
      <w:r w:rsidRPr="00217EFC">
        <w:rPr>
          <w:rFonts w:eastAsia="Calibri"/>
          <w:color w:val="000000"/>
          <w:sz w:val="22"/>
          <w:szCs w:val="22"/>
          <w:lang w:val="fr-CA" w:eastAsia="en-US"/>
        </w:rPr>
        <w:t xml:space="preserve"> siècle que le haut clergé au Québec réalise </w:t>
      </w:r>
      <w:r w:rsidRPr="002A278A">
        <w:rPr>
          <w:rFonts w:eastAsia="Calibri"/>
          <w:color w:val="000000"/>
          <w:sz w:val="22"/>
          <w:szCs w:val="22"/>
          <w:lang w:val="fr-CA" w:eastAsia="en-US"/>
        </w:rPr>
        <w:t>qu’il ne peut rien faire pour contrer l’émigration et il s’affaire</w:t>
      </w:r>
      <w:r w:rsidRPr="002A278A">
        <w:rPr>
          <w:rFonts w:eastAsia="Calibri"/>
          <w:sz w:val="22"/>
          <w:szCs w:val="22"/>
          <w:lang w:val="fr-CA" w:eastAsia="en-US"/>
        </w:rPr>
        <w:t>,</w:t>
      </w:r>
      <w:r w:rsidRPr="002A278A">
        <w:rPr>
          <w:rFonts w:eastAsia="Calibri"/>
          <w:color w:val="000000"/>
          <w:sz w:val="22"/>
          <w:szCs w:val="22"/>
          <w:lang w:val="fr-CA" w:eastAsia="en-US"/>
        </w:rPr>
        <w:t xml:space="preserve"> </w:t>
      </w:r>
      <w:r w:rsidRPr="002A278A">
        <w:rPr>
          <w:rFonts w:eastAsia="Calibri"/>
          <w:sz w:val="22"/>
          <w:szCs w:val="22"/>
          <w:lang w:val="fr-CA" w:eastAsia="en-US"/>
        </w:rPr>
        <w:t xml:space="preserve">dès lors, </w:t>
      </w:r>
      <w:r w:rsidRPr="002A278A">
        <w:rPr>
          <w:rFonts w:eastAsia="Calibri"/>
          <w:color w:val="000000"/>
          <w:sz w:val="22"/>
          <w:szCs w:val="22"/>
          <w:lang w:val="fr-CA" w:eastAsia="en-US"/>
        </w:rPr>
        <w:t xml:space="preserve">à fournir des </w:t>
      </w:r>
      <w:r w:rsidR="00F62A8D" w:rsidRPr="002A278A">
        <w:rPr>
          <w:rFonts w:eastAsia="Calibri"/>
          <w:color w:val="000000"/>
          <w:sz w:val="22"/>
          <w:szCs w:val="22"/>
          <w:lang w:val="fr-CA" w:eastAsia="en-US"/>
        </w:rPr>
        <w:t>É</w:t>
      </w:r>
      <w:r w:rsidRPr="002A278A">
        <w:rPr>
          <w:rFonts w:eastAsia="Calibri"/>
          <w:color w:val="000000"/>
          <w:sz w:val="22"/>
          <w:szCs w:val="22"/>
          <w:lang w:val="fr-CA" w:eastAsia="en-US"/>
        </w:rPr>
        <w:t>glises</w:t>
      </w:r>
      <w:r w:rsidRPr="00217EFC">
        <w:rPr>
          <w:rFonts w:eastAsia="Calibri"/>
          <w:color w:val="000000"/>
          <w:sz w:val="22"/>
          <w:szCs w:val="22"/>
          <w:lang w:val="fr-CA" w:eastAsia="en-US"/>
        </w:rPr>
        <w:t xml:space="preserve"> aux Franco-Américains</w:t>
      </w:r>
      <w:r w:rsidRPr="00217EFC">
        <w:rPr>
          <w:rStyle w:val="FootnoteReference"/>
          <w:rFonts w:eastAsia="Calibri"/>
          <w:color w:val="000000"/>
          <w:sz w:val="22"/>
          <w:szCs w:val="22"/>
          <w:lang w:val="fr-CA" w:eastAsia="en-US"/>
        </w:rPr>
        <w:footnoteReference w:id="14"/>
      </w:r>
      <w:r w:rsidRPr="00217EFC">
        <w:rPr>
          <w:rFonts w:eastAsia="Calibri"/>
          <w:color w:val="000000"/>
          <w:sz w:val="22"/>
          <w:szCs w:val="22"/>
          <w:lang w:val="fr-CA" w:eastAsia="en-US"/>
        </w:rPr>
        <w:t xml:space="preserve">. </w:t>
      </w:r>
      <w:r>
        <w:rPr>
          <w:rFonts w:eastAsia="Calibri"/>
          <w:color w:val="000000"/>
          <w:sz w:val="22"/>
          <w:szCs w:val="22"/>
          <w:lang w:val="fr-CA" w:eastAsia="en-US"/>
        </w:rPr>
        <w:t>Effectivement, l</w:t>
      </w:r>
      <w:r w:rsidRPr="00217EFC">
        <w:rPr>
          <w:rFonts w:eastAsia="Calibri"/>
          <w:color w:val="000000"/>
          <w:sz w:val="22"/>
          <w:szCs w:val="22"/>
          <w:lang w:val="fr-CA" w:eastAsia="en-US"/>
        </w:rPr>
        <w:t>e clergé change ainsi son fusil d’épaule lorsqu’il réalise que les Canadiens français qui s</w:t>
      </w:r>
      <w:r>
        <w:rPr>
          <w:rFonts w:eastAsia="Calibri"/>
          <w:color w:val="000000"/>
          <w:sz w:val="22"/>
          <w:szCs w:val="22"/>
          <w:lang w:val="fr-CA" w:eastAsia="en-US"/>
        </w:rPr>
        <w:t>’</w:t>
      </w:r>
      <w:r w:rsidRPr="00217EFC">
        <w:rPr>
          <w:rFonts w:eastAsia="Calibri"/>
          <w:color w:val="000000"/>
          <w:sz w:val="22"/>
          <w:szCs w:val="22"/>
          <w:lang w:val="fr-CA" w:eastAsia="en-US"/>
        </w:rPr>
        <w:t>installent aux États-Unis recréent des institutions semblables à celles qu’ils avaient quitté</w:t>
      </w:r>
      <w:r>
        <w:rPr>
          <w:rFonts w:eastAsia="Calibri"/>
          <w:color w:val="000000"/>
          <w:sz w:val="22"/>
          <w:szCs w:val="22"/>
          <w:lang w:val="fr-CA" w:eastAsia="en-US"/>
        </w:rPr>
        <w:t>es</w:t>
      </w:r>
      <w:r w:rsidRPr="00217EFC">
        <w:rPr>
          <w:rFonts w:eastAsia="Calibri"/>
          <w:color w:val="000000"/>
          <w:sz w:val="22"/>
          <w:szCs w:val="22"/>
          <w:lang w:val="fr-CA" w:eastAsia="en-US"/>
        </w:rPr>
        <w:t xml:space="preserve"> et désirent conserver leur langue et leur foi en établissant des paroisses </w:t>
      </w:r>
      <w:r w:rsidRPr="00217EFC">
        <w:rPr>
          <w:rFonts w:eastAsia="Calibri"/>
          <w:color w:val="000000"/>
          <w:sz w:val="22"/>
          <w:szCs w:val="22"/>
          <w:lang w:val="fr-CA" w:eastAsia="en-US"/>
        </w:rPr>
        <w:lastRenderedPageBreak/>
        <w:t xml:space="preserve">franco-catholiques et des églises où la messe est dite en français. </w:t>
      </w:r>
      <w:r>
        <w:rPr>
          <w:rFonts w:eastAsia="Calibri"/>
          <w:color w:val="000000"/>
          <w:sz w:val="22"/>
          <w:szCs w:val="22"/>
          <w:lang w:val="fr-CA" w:eastAsia="en-US"/>
        </w:rPr>
        <w:t>Ainsi donc, l</w:t>
      </w:r>
      <w:r w:rsidRPr="00217EFC">
        <w:rPr>
          <w:rFonts w:eastAsia="Calibri"/>
          <w:color w:val="000000"/>
          <w:sz w:val="22"/>
          <w:szCs w:val="22"/>
          <w:lang w:val="fr-CA" w:eastAsia="en-US"/>
        </w:rPr>
        <w:t xml:space="preserve">es élites cessent de critiquer les </w:t>
      </w:r>
      <w:r w:rsidRPr="002A278A">
        <w:rPr>
          <w:rFonts w:eastAsia="Calibri"/>
          <w:color w:val="000000"/>
          <w:sz w:val="22"/>
          <w:szCs w:val="22"/>
          <w:lang w:val="fr-CA" w:eastAsia="en-US"/>
        </w:rPr>
        <w:t>migrants</w:t>
      </w:r>
      <w:r w:rsidRPr="00217EFC">
        <w:rPr>
          <w:rFonts w:eastAsia="Calibri"/>
          <w:color w:val="000000"/>
          <w:sz w:val="22"/>
          <w:szCs w:val="22"/>
          <w:lang w:val="fr-CA" w:eastAsia="en-US"/>
        </w:rPr>
        <w:t xml:space="preserve"> et vont plutôt en Nouvelle-Angleterre encadrer les </w:t>
      </w:r>
      <w:r>
        <w:rPr>
          <w:rFonts w:eastAsia="Calibri"/>
          <w:color w:val="000000"/>
          <w:sz w:val="22"/>
          <w:szCs w:val="22"/>
          <w:lang w:val="fr-CA" w:eastAsia="en-US"/>
        </w:rPr>
        <w:t>F</w:t>
      </w:r>
      <w:r w:rsidRPr="00217EFC">
        <w:rPr>
          <w:rFonts w:eastAsia="Calibri"/>
          <w:color w:val="000000"/>
          <w:sz w:val="22"/>
          <w:szCs w:val="22"/>
          <w:lang w:val="fr-CA" w:eastAsia="en-US"/>
        </w:rPr>
        <w:t>ranco-</w:t>
      </w:r>
      <w:r>
        <w:rPr>
          <w:rFonts w:eastAsia="Calibri"/>
          <w:color w:val="000000"/>
          <w:sz w:val="22"/>
          <w:szCs w:val="22"/>
          <w:lang w:val="fr-CA" w:eastAsia="en-US"/>
        </w:rPr>
        <w:t>A</w:t>
      </w:r>
      <w:r w:rsidRPr="00217EFC">
        <w:rPr>
          <w:rFonts w:eastAsia="Calibri"/>
          <w:color w:val="000000"/>
          <w:sz w:val="22"/>
          <w:szCs w:val="22"/>
          <w:lang w:val="fr-CA" w:eastAsia="en-US"/>
        </w:rPr>
        <w:t>méricains</w:t>
      </w:r>
      <w:r w:rsidRPr="00217EFC">
        <w:rPr>
          <w:rStyle w:val="FootnoteReference"/>
          <w:rFonts w:eastAsia="Calibri"/>
          <w:color w:val="000000"/>
          <w:sz w:val="22"/>
          <w:szCs w:val="22"/>
          <w:lang w:val="fr-CA" w:eastAsia="en-US"/>
        </w:rPr>
        <w:footnoteReference w:id="15"/>
      </w:r>
      <w:r w:rsidRPr="00217EFC">
        <w:rPr>
          <w:rFonts w:eastAsia="Calibri"/>
          <w:color w:val="000000"/>
          <w:sz w:val="22"/>
          <w:szCs w:val="22"/>
          <w:lang w:val="fr-CA" w:eastAsia="en-US"/>
        </w:rPr>
        <w:t xml:space="preserve">. </w:t>
      </w:r>
    </w:p>
    <w:p w14:paraId="514282CC" w14:textId="77777777" w:rsidR="000264D6" w:rsidRPr="00217EFC" w:rsidRDefault="000264D6" w:rsidP="002B5319">
      <w:pPr>
        <w:spacing w:before="100" w:beforeAutospacing="1" w:after="100" w:afterAutospacing="1"/>
        <w:ind w:firstLine="720"/>
        <w:jc w:val="both"/>
        <w:rPr>
          <w:rFonts w:eastAsia="Calibri"/>
          <w:color w:val="000000"/>
          <w:sz w:val="22"/>
          <w:szCs w:val="22"/>
          <w:lang w:val="fr-CA" w:eastAsia="en-US"/>
        </w:rPr>
      </w:pPr>
      <w:r w:rsidRPr="00217EFC">
        <w:rPr>
          <w:rFonts w:eastAsia="Calibri"/>
          <w:color w:val="000000"/>
          <w:sz w:val="22"/>
          <w:szCs w:val="22"/>
          <w:lang w:val="fr-CA" w:eastAsia="en-US"/>
        </w:rPr>
        <w:t>Or, au début du XX</w:t>
      </w:r>
      <w:r w:rsidRPr="00217EFC">
        <w:rPr>
          <w:rFonts w:eastAsia="Calibri"/>
          <w:color w:val="000000"/>
          <w:sz w:val="22"/>
          <w:szCs w:val="22"/>
          <w:vertAlign w:val="superscript"/>
          <w:lang w:val="fr-CA" w:eastAsia="en-US"/>
        </w:rPr>
        <w:t>e</w:t>
      </w:r>
      <w:r w:rsidRPr="00217EFC">
        <w:rPr>
          <w:rFonts w:eastAsia="Calibri"/>
          <w:color w:val="000000"/>
          <w:sz w:val="22"/>
          <w:szCs w:val="22"/>
          <w:lang w:val="fr-CA" w:eastAsia="en-US"/>
        </w:rPr>
        <w:t xml:space="preserve"> siècle, avec les premières et deuxièmes générations d’immigrants qui sont maintenant établies en Nouvelle-Angleterre, l’historiographie relative à l’identité franco-américaine se précise et se multiplie. Bien que le discours idéologique relatif à la Survivance et son aspect combatif du siècle précédent perdurent, le contexte socioculturel, la population et le discours des élites locales sont en pleine mutation. En effet, les Franco-</w:t>
      </w:r>
      <w:r>
        <w:rPr>
          <w:rFonts w:eastAsia="Calibri"/>
          <w:color w:val="000000"/>
          <w:sz w:val="22"/>
          <w:szCs w:val="22"/>
          <w:lang w:val="fr-CA" w:eastAsia="en-US"/>
        </w:rPr>
        <w:t>A</w:t>
      </w:r>
      <w:r w:rsidRPr="00217EFC">
        <w:rPr>
          <w:rFonts w:eastAsia="Calibri"/>
          <w:color w:val="000000"/>
          <w:sz w:val="22"/>
          <w:szCs w:val="22"/>
          <w:lang w:val="fr-CA" w:eastAsia="en-US"/>
        </w:rPr>
        <w:t xml:space="preserve">méricains revendiquent désormais une identité </w:t>
      </w:r>
      <w:r>
        <w:rPr>
          <w:rFonts w:eastAsia="Calibri"/>
          <w:color w:val="000000"/>
          <w:sz w:val="22"/>
          <w:szCs w:val="22"/>
          <w:lang w:val="fr-CA" w:eastAsia="en-US"/>
        </w:rPr>
        <w:t>propre à eux</w:t>
      </w:r>
      <w:r w:rsidRPr="00217EFC">
        <w:rPr>
          <w:rFonts w:eastAsia="Calibri"/>
          <w:color w:val="000000"/>
          <w:sz w:val="22"/>
          <w:szCs w:val="22"/>
          <w:lang w:val="fr-CA" w:eastAsia="en-US"/>
        </w:rPr>
        <w:t>, plutôt que canadienne-française</w:t>
      </w:r>
      <w:r w:rsidRPr="00217EFC">
        <w:rPr>
          <w:rStyle w:val="FootnoteReference"/>
          <w:rFonts w:eastAsia="Calibri"/>
          <w:color w:val="000000"/>
          <w:sz w:val="22"/>
          <w:szCs w:val="22"/>
          <w:lang w:val="fr-CA" w:eastAsia="en-US"/>
        </w:rPr>
        <w:footnoteReference w:id="16"/>
      </w:r>
      <w:r w:rsidRPr="00217EFC">
        <w:rPr>
          <w:rFonts w:eastAsia="Calibri"/>
          <w:color w:val="000000"/>
          <w:sz w:val="22"/>
          <w:szCs w:val="22"/>
          <w:lang w:val="fr-CA" w:eastAsia="en-US"/>
        </w:rPr>
        <w:t>. Selon, Yves Frenette, le discours franco-américain de l’époque s’appropriera des origines françaises «</w:t>
      </w:r>
      <w:r>
        <w:rPr>
          <w:rFonts w:eastAsia="Calibri"/>
          <w:color w:val="000000"/>
          <w:sz w:val="22"/>
          <w:szCs w:val="22"/>
          <w:lang w:val="fr-CA" w:eastAsia="en-US"/>
        </w:rPr>
        <w:t> </w:t>
      </w:r>
      <w:r w:rsidRPr="00217EFC">
        <w:rPr>
          <w:rFonts w:eastAsia="Calibri"/>
          <w:color w:val="000000"/>
          <w:sz w:val="22"/>
          <w:szCs w:val="22"/>
          <w:lang w:val="fr-CA" w:eastAsia="en-US"/>
        </w:rPr>
        <w:t>et l’affirmation ethnoculturelle devint tellement forte que les perspectives furent inversées</w:t>
      </w:r>
      <w:r>
        <w:rPr>
          <w:rFonts w:eastAsia="Calibri"/>
          <w:color w:val="000000"/>
          <w:sz w:val="22"/>
          <w:szCs w:val="22"/>
          <w:lang w:val="fr-CA" w:eastAsia="en-US"/>
        </w:rPr>
        <w:t> </w:t>
      </w:r>
      <w:r w:rsidRPr="00217EFC">
        <w:rPr>
          <w:rFonts w:eastAsia="Calibri"/>
          <w:color w:val="000000"/>
          <w:sz w:val="22"/>
          <w:szCs w:val="22"/>
          <w:lang w:val="fr-CA" w:eastAsia="en-US"/>
        </w:rPr>
        <w:t xml:space="preserve">: les héros glorieux de l’aventure française en terre étatsunienne étaient désormais présentés comme </w:t>
      </w:r>
      <w:r>
        <w:rPr>
          <w:rFonts w:eastAsia="Calibri"/>
          <w:color w:val="000000"/>
          <w:sz w:val="22"/>
          <w:szCs w:val="22"/>
          <w:lang w:val="fr-CA" w:eastAsia="en-US"/>
        </w:rPr>
        <w:t>F</w:t>
      </w:r>
      <w:r w:rsidRPr="00217EFC">
        <w:rPr>
          <w:rFonts w:eastAsia="Calibri"/>
          <w:color w:val="000000"/>
          <w:sz w:val="22"/>
          <w:szCs w:val="22"/>
          <w:lang w:val="fr-CA" w:eastAsia="en-US"/>
        </w:rPr>
        <w:t>ranco-</w:t>
      </w:r>
      <w:r>
        <w:rPr>
          <w:rFonts w:eastAsia="Calibri"/>
          <w:color w:val="000000"/>
          <w:sz w:val="22"/>
          <w:szCs w:val="22"/>
          <w:lang w:val="fr-CA" w:eastAsia="en-US"/>
        </w:rPr>
        <w:t>A</w:t>
      </w:r>
      <w:r w:rsidRPr="00217EFC">
        <w:rPr>
          <w:rFonts w:eastAsia="Calibri"/>
          <w:color w:val="000000"/>
          <w:sz w:val="22"/>
          <w:szCs w:val="22"/>
          <w:lang w:val="fr-CA" w:eastAsia="en-US"/>
        </w:rPr>
        <w:t>méricains</w:t>
      </w:r>
      <w:r>
        <w:rPr>
          <w:rFonts w:eastAsia="Calibri"/>
          <w:color w:val="000000"/>
          <w:sz w:val="22"/>
          <w:szCs w:val="22"/>
          <w:lang w:val="fr-CA" w:eastAsia="en-US"/>
        </w:rPr>
        <w:t> </w:t>
      </w:r>
      <w:r w:rsidRPr="00217EFC">
        <w:rPr>
          <w:rFonts w:eastAsia="Calibri"/>
          <w:color w:val="000000"/>
          <w:sz w:val="22"/>
          <w:szCs w:val="22"/>
          <w:lang w:val="fr-CA" w:eastAsia="en-US"/>
        </w:rPr>
        <w:t>»</w:t>
      </w:r>
      <w:r w:rsidRPr="00217EFC">
        <w:rPr>
          <w:rStyle w:val="FootnoteReference"/>
          <w:rFonts w:eastAsia="Calibri"/>
          <w:color w:val="000000"/>
          <w:sz w:val="22"/>
          <w:szCs w:val="22"/>
          <w:lang w:val="fr-CA" w:eastAsia="en-US"/>
        </w:rPr>
        <w:footnoteReference w:id="17"/>
      </w:r>
      <w:r w:rsidRPr="00217EFC">
        <w:rPr>
          <w:rFonts w:eastAsia="Calibri"/>
          <w:color w:val="000000"/>
          <w:sz w:val="22"/>
          <w:szCs w:val="22"/>
          <w:lang w:val="fr-CA" w:eastAsia="en-US"/>
        </w:rPr>
        <w:t xml:space="preserve">. On présente alors ces héros comme des pionniers franco-américains qui </w:t>
      </w:r>
      <w:r>
        <w:rPr>
          <w:rFonts w:eastAsia="Calibri"/>
          <w:color w:val="000000"/>
          <w:sz w:val="22"/>
          <w:szCs w:val="22"/>
          <w:lang w:val="fr-CA" w:eastAsia="en-US"/>
        </w:rPr>
        <w:t xml:space="preserve">ont </w:t>
      </w:r>
      <w:r w:rsidRPr="00217EFC">
        <w:rPr>
          <w:rFonts w:eastAsia="Calibri"/>
          <w:color w:val="000000"/>
          <w:sz w:val="22"/>
          <w:szCs w:val="22"/>
          <w:lang w:val="fr-CA" w:eastAsia="en-US"/>
        </w:rPr>
        <w:t>contribué au développement des États-Unis et qui méritent tous les honneurs de la pat</w:t>
      </w:r>
      <w:r>
        <w:rPr>
          <w:rFonts w:eastAsia="Calibri"/>
          <w:color w:val="000000"/>
          <w:sz w:val="22"/>
          <w:szCs w:val="22"/>
          <w:lang w:val="fr-CA" w:eastAsia="en-US"/>
        </w:rPr>
        <w:t>r</w:t>
      </w:r>
      <w:r w:rsidRPr="00217EFC">
        <w:rPr>
          <w:rFonts w:eastAsia="Calibri"/>
          <w:color w:val="000000"/>
          <w:sz w:val="22"/>
          <w:szCs w:val="22"/>
          <w:lang w:val="fr-CA" w:eastAsia="en-US"/>
        </w:rPr>
        <w:t xml:space="preserve">ie. </w:t>
      </w:r>
      <w:r>
        <w:rPr>
          <w:rFonts w:eastAsia="Calibri"/>
          <w:color w:val="000000"/>
          <w:sz w:val="22"/>
          <w:szCs w:val="22"/>
          <w:lang w:val="fr-CA" w:eastAsia="en-US"/>
        </w:rPr>
        <w:t>En fait, l</w:t>
      </w:r>
      <w:r w:rsidRPr="00217EFC">
        <w:rPr>
          <w:rFonts w:eastAsia="Calibri"/>
          <w:color w:val="000000"/>
          <w:sz w:val="22"/>
          <w:szCs w:val="22"/>
          <w:lang w:val="fr-CA" w:eastAsia="en-US"/>
        </w:rPr>
        <w:t xml:space="preserve">ors du dépouillement de notre source primaire, nous </w:t>
      </w:r>
      <w:r>
        <w:rPr>
          <w:rFonts w:eastAsia="Calibri"/>
          <w:color w:val="000000"/>
          <w:sz w:val="22"/>
          <w:szCs w:val="22"/>
          <w:lang w:val="fr-CA" w:eastAsia="en-US"/>
        </w:rPr>
        <w:t>avons constat</w:t>
      </w:r>
      <w:r w:rsidRPr="00611054">
        <w:rPr>
          <w:rFonts w:eastAsia="Calibri"/>
          <w:color w:val="000000"/>
          <w:sz w:val="22"/>
          <w:szCs w:val="22"/>
          <w:lang w:val="fr-CA" w:eastAsia="en-US"/>
        </w:rPr>
        <w:t>é</w:t>
      </w:r>
      <w:r>
        <w:rPr>
          <w:rFonts w:eastAsia="Calibri"/>
          <w:color w:val="000000"/>
          <w:sz w:val="22"/>
          <w:szCs w:val="22"/>
          <w:lang w:val="fr-CA" w:eastAsia="en-US"/>
        </w:rPr>
        <w:t xml:space="preserve"> </w:t>
      </w:r>
      <w:r w:rsidRPr="00217EFC">
        <w:rPr>
          <w:rFonts w:eastAsia="Calibri"/>
          <w:color w:val="000000"/>
          <w:sz w:val="22"/>
          <w:szCs w:val="22"/>
          <w:lang w:val="fr-CA" w:eastAsia="en-US"/>
        </w:rPr>
        <w:t xml:space="preserve">à </w:t>
      </w:r>
      <w:r>
        <w:rPr>
          <w:rFonts w:eastAsia="Calibri"/>
          <w:color w:val="000000"/>
          <w:sz w:val="22"/>
          <w:szCs w:val="22"/>
          <w:lang w:val="fr-CA" w:eastAsia="en-US"/>
        </w:rPr>
        <w:t xml:space="preserve">plusieurs </w:t>
      </w:r>
      <w:r w:rsidRPr="00217EFC">
        <w:rPr>
          <w:rFonts w:eastAsia="Calibri"/>
          <w:color w:val="000000"/>
          <w:sz w:val="22"/>
          <w:szCs w:val="22"/>
          <w:lang w:val="fr-CA" w:eastAsia="en-US"/>
        </w:rPr>
        <w:t>reprises que Lafayette sert de modèle afin d’illustrer la profonde solidarité entre les Franco-Américains et les États-Unis</w:t>
      </w:r>
      <w:r>
        <w:rPr>
          <w:rFonts w:eastAsia="Calibri"/>
          <w:color w:val="000000"/>
          <w:sz w:val="22"/>
          <w:szCs w:val="22"/>
          <w:lang w:val="fr-CA" w:eastAsia="en-US"/>
        </w:rPr>
        <w:t xml:space="preserve">. Ce héros de la révolution américaine est employé comme véhicule idéologique pour </w:t>
      </w:r>
      <w:r w:rsidRPr="00217EFC">
        <w:rPr>
          <w:rFonts w:eastAsia="Calibri"/>
          <w:color w:val="000000"/>
          <w:sz w:val="22"/>
          <w:szCs w:val="22"/>
          <w:lang w:val="fr-CA" w:eastAsia="en-US"/>
        </w:rPr>
        <w:t>inciter la population franco-américaine à contribuer aux différentes activités qui appuieron</w:t>
      </w:r>
      <w:r>
        <w:rPr>
          <w:rFonts w:eastAsia="Calibri"/>
          <w:color w:val="000000"/>
          <w:sz w:val="22"/>
          <w:szCs w:val="22"/>
          <w:lang w:val="fr-CA" w:eastAsia="en-US"/>
        </w:rPr>
        <w:t>t</w:t>
      </w:r>
      <w:r w:rsidRPr="00217EFC">
        <w:rPr>
          <w:rFonts w:eastAsia="Calibri"/>
          <w:color w:val="000000"/>
          <w:sz w:val="22"/>
          <w:szCs w:val="22"/>
          <w:lang w:val="fr-CA" w:eastAsia="en-US"/>
        </w:rPr>
        <w:t xml:space="preserve"> l’effort de guerre américain pendant le Premier conflit mondial. </w:t>
      </w:r>
      <w:r>
        <w:rPr>
          <w:rFonts w:eastAsia="Calibri"/>
          <w:color w:val="000000"/>
          <w:sz w:val="22"/>
          <w:szCs w:val="22"/>
          <w:lang w:val="fr-CA" w:eastAsia="en-US"/>
        </w:rPr>
        <w:t>D’ailleurs, c</w:t>
      </w:r>
      <w:r w:rsidRPr="00217EFC">
        <w:rPr>
          <w:rFonts w:eastAsia="Calibri"/>
          <w:color w:val="000000"/>
          <w:sz w:val="22"/>
          <w:szCs w:val="22"/>
          <w:lang w:val="fr-CA" w:eastAsia="en-US"/>
        </w:rPr>
        <w:t>’est ainsi que la Société historique franco-américaine</w:t>
      </w:r>
      <w:r>
        <w:rPr>
          <w:rFonts w:eastAsia="Calibri"/>
          <w:color w:val="000000"/>
          <w:sz w:val="22"/>
          <w:szCs w:val="22"/>
          <w:lang w:val="fr-CA" w:eastAsia="en-US"/>
        </w:rPr>
        <w:t xml:space="preserve"> </w:t>
      </w:r>
      <w:r w:rsidRPr="00217EFC">
        <w:rPr>
          <w:rFonts w:eastAsia="Calibri"/>
          <w:color w:val="000000"/>
          <w:sz w:val="22"/>
          <w:szCs w:val="22"/>
          <w:lang w:val="fr-CA" w:eastAsia="en-US"/>
        </w:rPr>
        <w:t>est fondée en 1899</w:t>
      </w:r>
      <w:r>
        <w:rPr>
          <w:rFonts w:eastAsia="Calibri"/>
          <w:color w:val="000000"/>
          <w:sz w:val="22"/>
          <w:szCs w:val="22"/>
          <w:lang w:val="fr-CA" w:eastAsia="en-US"/>
        </w:rPr>
        <w:t xml:space="preserve"> et elle </w:t>
      </w:r>
      <w:r w:rsidRPr="00217EFC">
        <w:rPr>
          <w:rFonts w:eastAsia="Calibri"/>
          <w:color w:val="000000"/>
          <w:sz w:val="22"/>
          <w:szCs w:val="22"/>
          <w:lang w:val="fr-CA" w:eastAsia="en-US"/>
        </w:rPr>
        <w:t>agi</w:t>
      </w:r>
      <w:r w:rsidRPr="00217EFC">
        <w:rPr>
          <w:rFonts w:eastAsia="Calibri"/>
          <w:sz w:val="22"/>
          <w:szCs w:val="22"/>
          <w:lang w:val="fr-CA" w:eastAsia="en-US"/>
        </w:rPr>
        <w:t>t</w:t>
      </w:r>
      <w:r w:rsidRPr="00217EFC">
        <w:rPr>
          <w:rFonts w:eastAsia="Calibri"/>
          <w:color w:val="000000"/>
          <w:sz w:val="22"/>
          <w:szCs w:val="22"/>
          <w:lang w:val="fr-CA" w:eastAsia="en-US"/>
        </w:rPr>
        <w:t xml:space="preserve"> initialement comme organisme de propagation de cette idéologie</w:t>
      </w:r>
      <w:r w:rsidRPr="00217EFC">
        <w:rPr>
          <w:rFonts w:eastAsia="Calibri"/>
          <w:sz w:val="22"/>
          <w:szCs w:val="22"/>
          <w:lang w:val="fr-CA" w:eastAsia="en-US"/>
        </w:rPr>
        <w:t>. D</w:t>
      </w:r>
      <w:r w:rsidRPr="00217EFC">
        <w:rPr>
          <w:rFonts w:eastAsia="Calibri"/>
          <w:color w:val="000000"/>
          <w:sz w:val="22"/>
          <w:szCs w:val="22"/>
          <w:lang w:val="fr-CA" w:eastAsia="en-US"/>
        </w:rPr>
        <w:t>ans les années</w:t>
      </w:r>
      <w:r>
        <w:rPr>
          <w:rFonts w:eastAsia="Calibri"/>
          <w:color w:val="000000"/>
          <w:sz w:val="22"/>
          <w:szCs w:val="22"/>
          <w:lang w:val="fr-CA" w:eastAsia="en-US"/>
        </w:rPr>
        <w:t> </w:t>
      </w:r>
      <w:r w:rsidRPr="00217EFC">
        <w:rPr>
          <w:rFonts w:eastAsia="Calibri"/>
          <w:color w:val="000000"/>
          <w:sz w:val="22"/>
          <w:szCs w:val="22"/>
          <w:lang w:val="fr-CA" w:eastAsia="en-US"/>
        </w:rPr>
        <w:t>1930</w:t>
      </w:r>
      <w:r w:rsidRPr="00217EFC">
        <w:rPr>
          <w:rFonts w:eastAsia="Calibri"/>
          <w:sz w:val="22"/>
          <w:szCs w:val="22"/>
          <w:lang w:val="fr-CA" w:eastAsia="en-US"/>
        </w:rPr>
        <w:t>,</w:t>
      </w:r>
      <w:r w:rsidRPr="00217EFC">
        <w:rPr>
          <w:rFonts w:eastAsia="Calibri"/>
          <w:color w:val="000000"/>
          <w:sz w:val="22"/>
          <w:szCs w:val="22"/>
          <w:lang w:val="fr-CA" w:eastAsia="en-US"/>
        </w:rPr>
        <w:t xml:space="preserve"> des auteurs</w:t>
      </w:r>
      <w:r w:rsidRPr="00217EFC">
        <w:rPr>
          <w:sz w:val="22"/>
          <w:szCs w:val="22"/>
          <w:lang w:val="fr-CA"/>
        </w:rPr>
        <w:t xml:space="preserve"> </w:t>
      </w:r>
      <w:r>
        <w:rPr>
          <w:sz w:val="22"/>
          <w:szCs w:val="22"/>
          <w:lang w:val="fr-CA"/>
        </w:rPr>
        <w:t xml:space="preserve">comme </w:t>
      </w:r>
      <w:r w:rsidRPr="00217EFC">
        <w:rPr>
          <w:color w:val="000000"/>
          <w:sz w:val="22"/>
          <w:szCs w:val="22"/>
          <w:lang w:val="fr-CA"/>
        </w:rPr>
        <w:t xml:space="preserve">Josaphat Benoit et </w:t>
      </w:r>
      <w:r w:rsidRPr="00217EFC">
        <w:rPr>
          <w:rFonts w:eastAsia="Calibri"/>
          <w:color w:val="000000"/>
          <w:sz w:val="22"/>
          <w:szCs w:val="22"/>
          <w:lang w:val="fr-CA" w:eastAsia="en-US"/>
        </w:rPr>
        <w:t>Robert Rumilly</w:t>
      </w:r>
      <w:r>
        <w:rPr>
          <w:rFonts w:eastAsia="Calibri"/>
          <w:color w:val="000000"/>
          <w:sz w:val="22"/>
          <w:szCs w:val="22"/>
          <w:lang w:val="fr-CA" w:eastAsia="en-US"/>
        </w:rPr>
        <w:t>,</w:t>
      </w:r>
      <w:r w:rsidRPr="00217EFC">
        <w:rPr>
          <w:rFonts w:eastAsia="Calibri"/>
          <w:color w:val="000000"/>
          <w:sz w:val="22"/>
          <w:szCs w:val="22"/>
          <w:lang w:val="fr-CA" w:eastAsia="en-US"/>
        </w:rPr>
        <w:t xml:space="preserve"> qui rédig</w:t>
      </w:r>
      <w:r>
        <w:rPr>
          <w:rFonts w:eastAsia="Calibri"/>
          <w:color w:val="000000"/>
          <w:sz w:val="22"/>
          <w:szCs w:val="22"/>
          <w:lang w:val="fr-CA" w:eastAsia="en-US"/>
        </w:rPr>
        <w:t>e</w:t>
      </w:r>
      <w:r w:rsidRPr="00217EFC">
        <w:rPr>
          <w:rFonts w:eastAsia="Calibri"/>
          <w:sz w:val="22"/>
          <w:szCs w:val="22"/>
          <w:lang w:val="fr-CA" w:eastAsia="en-US"/>
        </w:rPr>
        <w:t xml:space="preserve">, en 1958, </w:t>
      </w:r>
      <w:r w:rsidRPr="00217EFC">
        <w:rPr>
          <w:rFonts w:eastAsia="Calibri"/>
          <w:color w:val="000000"/>
          <w:sz w:val="22"/>
          <w:szCs w:val="22"/>
          <w:lang w:val="fr-CA" w:eastAsia="en-US"/>
        </w:rPr>
        <w:t>l’</w:t>
      </w:r>
      <w:r w:rsidRPr="00217EFC">
        <w:rPr>
          <w:rFonts w:eastAsia="Calibri"/>
          <w:i/>
          <w:iCs/>
          <w:color w:val="000000"/>
          <w:sz w:val="22"/>
          <w:szCs w:val="22"/>
          <w:lang w:val="fr-CA" w:eastAsia="en-US"/>
        </w:rPr>
        <w:t>Histoire des Franco-Américains</w:t>
      </w:r>
      <w:r w:rsidRPr="00611054">
        <w:rPr>
          <w:rStyle w:val="FootnoteReference"/>
          <w:rFonts w:eastAsia="Calibri"/>
          <w:color w:val="000000"/>
          <w:sz w:val="22"/>
          <w:szCs w:val="22"/>
          <w:lang w:val="fr-CA" w:eastAsia="en-US"/>
        </w:rPr>
        <w:footnoteReference w:id="18"/>
      </w:r>
      <w:r w:rsidRPr="00611054">
        <w:rPr>
          <w:rFonts w:eastAsia="Calibri"/>
          <w:color w:val="000000"/>
          <w:sz w:val="22"/>
          <w:szCs w:val="22"/>
          <w:lang w:val="fr-CA" w:eastAsia="en-US"/>
        </w:rPr>
        <w:t>,</w:t>
      </w:r>
      <w:r>
        <w:rPr>
          <w:rFonts w:eastAsia="Calibri"/>
          <w:i/>
          <w:iCs/>
          <w:color w:val="000000"/>
          <w:sz w:val="22"/>
          <w:szCs w:val="22"/>
          <w:lang w:val="fr-CA" w:eastAsia="en-US"/>
        </w:rPr>
        <w:t xml:space="preserve"> </w:t>
      </w:r>
      <w:r w:rsidRPr="00217EFC">
        <w:rPr>
          <w:sz w:val="22"/>
          <w:szCs w:val="22"/>
          <w:lang w:val="fr-CA"/>
        </w:rPr>
        <w:t xml:space="preserve">collaborent </w:t>
      </w:r>
      <w:r w:rsidRPr="00217EFC">
        <w:rPr>
          <w:color w:val="000000"/>
          <w:sz w:val="22"/>
          <w:szCs w:val="22"/>
          <w:lang w:val="fr-CA"/>
        </w:rPr>
        <w:t>avec cette société dans sa lutte pour la survivance du fait francophone</w:t>
      </w:r>
      <w:r>
        <w:rPr>
          <w:color w:val="000000"/>
          <w:sz w:val="22"/>
          <w:szCs w:val="22"/>
          <w:lang w:val="fr-CA"/>
        </w:rPr>
        <w:t>.</w:t>
      </w:r>
      <w:r>
        <w:rPr>
          <w:rFonts w:eastAsia="Calibri"/>
          <w:sz w:val="22"/>
          <w:szCs w:val="22"/>
          <w:lang w:val="fr-CA" w:eastAsia="en-US"/>
        </w:rPr>
        <w:t xml:space="preserve"> </w:t>
      </w:r>
    </w:p>
    <w:p w14:paraId="7FA0B1B5" w14:textId="77777777" w:rsidR="000264D6" w:rsidRDefault="000264D6" w:rsidP="002B5319">
      <w:pPr>
        <w:spacing w:before="100" w:beforeAutospacing="1" w:after="100" w:afterAutospacing="1"/>
        <w:ind w:firstLine="720"/>
        <w:jc w:val="both"/>
        <w:rPr>
          <w:rFonts w:eastAsia="Calibri"/>
          <w:color w:val="000000"/>
          <w:sz w:val="22"/>
          <w:szCs w:val="22"/>
          <w:lang w:val="fr-CA" w:eastAsia="en-US"/>
        </w:rPr>
      </w:pPr>
      <w:r w:rsidRPr="00217EFC">
        <w:rPr>
          <w:rFonts w:eastAsia="Calibri"/>
          <w:color w:val="000000"/>
          <w:sz w:val="22"/>
          <w:szCs w:val="22"/>
          <w:lang w:val="fr-CA" w:eastAsia="en-US"/>
        </w:rPr>
        <w:t>À partir des années</w:t>
      </w:r>
      <w:r>
        <w:rPr>
          <w:rFonts w:eastAsia="Calibri"/>
          <w:color w:val="000000"/>
          <w:sz w:val="22"/>
          <w:szCs w:val="22"/>
          <w:lang w:val="fr-CA" w:eastAsia="en-US"/>
        </w:rPr>
        <w:t> </w:t>
      </w:r>
      <w:r w:rsidRPr="00217EFC">
        <w:rPr>
          <w:rFonts w:eastAsia="Calibri"/>
          <w:color w:val="000000"/>
          <w:sz w:val="22"/>
          <w:szCs w:val="22"/>
          <w:lang w:val="fr-CA" w:eastAsia="en-US"/>
        </w:rPr>
        <w:t>1960, des études scientifiques viennent enrichir l’historiographie. Elles abondent de part et d’autre de chaque côté de la frontière canado-américaine. Certaines cherchent à démontrer les conditions de vie difficiles et misérables des premiers immigrants franco-américains installés dans la région</w:t>
      </w:r>
      <w:r w:rsidRPr="00217EFC">
        <w:rPr>
          <w:rStyle w:val="FootnoteReference"/>
          <w:rFonts w:eastAsia="Calibri"/>
          <w:color w:val="000000"/>
          <w:sz w:val="22"/>
          <w:szCs w:val="22"/>
          <w:lang w:val="fr-CA" w:eastAsia="en-US"/>
        </w:rPr>
        <w:footnoteReference w:id="19"/>
      </w:r>
      <w:r w:rsidRPr="00217EFC">
        <w:rPr>
          <w:rFonts w:eastAsia="Calibri"/>
          <w:color w:val="000000"/>
          <w:sz w:val="22"/>
          <w:szCs w:val="22"/>
          <w:lang w:val="fr-CA" w:eastAsia="en-US"/>
        </w:rPr>
        <w:t>. En 1979, le Collège de l’Assomption fonde l’Institut français sous la direction de Claire Quintal. Cette initiative permet un dialogue entre les tenants de l’idéologie de la survivance et la communauté scientifique</w:t>
      </w:r>
      <w:r w:rsidRPr="00217EFC">
        <w:rPr>
          <w:rStyle w:val="FootnoteReference"/>
          <w:rFonts w:eastAsia="Calibri"/>
          <w:color w:val="000000"/>
          <w:sz w:val="22"/>
          <w:szCs w:val="22"/>
          <w:lang w:val="fr-CA" w:eastAsia="en-US"/>
        </w:rPr>
        <w:footnoteReference w:id="20"/>
      </w:r>
      <w:r w:rsidRPr="00217EFC">
        <w:rPr>
          <w:rFonts w:eastAsia="Calibri"/>
          <w:color w:val="000000"/>
          <w:sz w:val="22"/>
          <w:szCs w:val="22"/>
          <w:lang w:val="fr-CA" w:eastAsia="en-US"/>
        </w:rPr>
        <w:t xml:space="preserve">. Les champs d’études </w:t>
      </w:r>
      <w:r>
        <w:rPr>
          <w:rFonts w:eastAsia="Calibri"/>
          <w:color w:val="000000"/>
          <w:sz w:val="22"/>
          <w:szCs w:val="22"/>
          <w:lang w:val="fr-CA" w:eastAsia="en-US"/>
        </w:rPr>
        <w:t xml:space="preserve">deviennent </w:t>
      </w:r>
      <w:r w:rsidRPr="00217EFC">
        <w:rPr>
          <w:rFonts w:eastAsia="Calibri"/>
          <w:color w:val="000000"/>
          <w:sz w:val="22"/>
          <w:szCs w:val="22"/>
          <w:lang w:val="fr-CA" w:eastAsia="en-US"/>
        </w:rPr>
        <w:t>très diversifiés. Dans un premier temps, la vie des immigrants, qui travaill</w:t>
      </w:r>
      <w:r>
        <w:rPr>
          <w:rFonts w:eastAsia="Calibri"/>
          <w:color w:val="000000"/>
          <w:sz w:val="22"/>
          <w:szCs w:val="22"/>
          <w:lang w:val="fr-CA" w:eastAsia="en-US"/>
        </w:rPr>
        <w:t>ent</w:t>
      </w:r>
      <w:r w:rsidRPr="00217EFC">
        <w:rPr>
          <w:rFonts w:eastAsia="Calibri"/>
          <w:color w:val="000000"/>
          <w:sz w:val="22"/>
          <w:szCs w:val="22"/>
          <w:lang w:val="fr-CA" w:eastAsia="en-US"/>
        </w:rPr>
        <w:t xml:space="preserve"> dans les villes industrielles du textile de la Nouvelle-Angleterre, est expliquée et reconnue.</w:t>
      </w:r>
    </w:p>
    <w:p w14:paraId="52CE78A5" w14:textId="77777777" w:rsidR="000264D6" w:rsidRDefault="000264D6" w:rsidP="002B5319">
      <w:pPr>
        <w:spacing w:before="100" w:beforeAutospacing="1" w:after="100" w:afterAutospacing="1"/>
        <w:ind w:firstLine="720"/>
        <w:jc w:val="both"/>
        <w:rPr>
          <w:rFonts w:eastAsia="Calibri"/>
          <w:color w:val="000000"/>
          <w:sz w:val="22"/>
          <w:szCs w:val="22"/>
          <w:lang w:val="fr-CA" w:eastAsia="en-US"/>
        </w:rPr>
      </w:pPr>
      <w:r w:rsidRPr="00217EFC">
        <w:rPr>
          <w:rFonts w:eastAsia="Calibri"/>
          <w:color w:val="000000"/>
          <w:sz w:val="22"/>
          <w:szCs w:val="22"/>
          <w:lang w:val="fr-CA" w:eastAsia="en-US"/>
        </w:rPr>
        <w:t xml:space="preserve"> D’autres recherches sociographiques et démographiques portent sur le phénomène de la mouvance des populations du Québec vers les États-Unis, </w:t>
      </w:r>
      <w:r>
        <w:rPr>
          <w:rFonts w:eastAsia="Calibri"/>
          <w:color w:val="000000"/>
          <w:sz w:val="22"/>
          <w:szCs w:val="22"/>
          <w:lang w:val="fr-CA" w:eastAsia="en-US"/>
        </w:rPr>
        <w:t xml:space="preserve">comme </w:t>
      </w:r>
      <w:r w:rsidRPr="00217EFC">
        <w:rPr>
          <w:rFonts w:eastAsia="Calibri"/>
          <w:color w:val="000000"/>
          <w:sz w:val="22"/>
          <w:szCs w:val="22"/>
          <w:lang w:val="fr-CA" w:eastAsia="en-US"/>
        </w:rPr>
        <w:t xml:space="preserve">leur histoire et </w:t>
      </w:r>
      <w:r>
        <w:rPr>
          <w:rFonts w:eastAsia="Calibri"/>
          <w:color w:val="000000"/>
          <w:sz w:val="22"/>
          <w:szCs w:val="22"/>
          <w:lang w:val="fr-CA" w:eastAsia="en-US"/>
        </w:rPr>
        <w:t xml:space="preserve">les conséquences démographiques et économiques à </w:t>
      </w:r>
      <w:r w:rsidRPr="00217EFC">
        <w:rPr>
          <w:rFonts w:eastAsia="Calibri"/>
          <w:color w:val="000000"/>
          <w:sz w:val="22"/>
          <w:szCs w:val="22"/>
          <w:lang w:val="fr-CA" w:eastAsia="en-US"/>
        </w:rPr>
        <w:t>long terme</w:t>
      </w:r>
      <w:r>
        <w:rPr>
          <w:rFonts w:eastAsia="Calibri"/>
          <w:color w:val="000000"/>
          <w:sz w:val="22"/>
          <w:szCs w:val="22"/>
          <w:lang w:val="fr-CA" w:eastAsia="en-US"/>
        </w:rPr>
        <w:t xml:space="preserve"> de leur immigration aux États-Unis</w:t>
      </w:r>
      <w:r w:rsidRPr="00217EFC">
        <w:rPr>
          <w:rStyle w:val="FootnoteReference"/>
          <w:rFonts w:eastAsia="Calibri"/>
          <w:color w:val="000000"/>
          <w:sz w:val="22"/>
          <w:szCs w:val="22"/>
          <w:lang w:val="fr-CA" w:eastAsia="en-US"/>
        </w:rPr>
        <w:footnoteReference w:id="21"/>
      </w:r>
      <w:r>
        <w:rPr>
          <w:rFonts w:eastAsia="Calibri"/>
          <w:color w:val="000000"/>
          <w:sz w:val="22"/>
          <w:szCs w:val="22"/>
          <w:lang w:val="fr-CA" w:eastAsia="en-US"/>
        </w:rPr>
        <w:t>,</w:t>
      </w:r>
      <w:r w:rsidRPr="00217EFC">
        <w:rPr>
          <w:rFonts w:eastAsia="Calibri"/>
          <w:color w:val="000000"/>
          <w:sz w:val="22"/>
          <w:szCs w:val="22"/>
          <w:lang w:val="fr-CA" w:eastAsia="en-US"/>
        </w:rPr>
        <w:t xml:space="preserve"> </w:t>
      </w:r>
      <w:r w:rsidRPr="004F0A83">
        <w:rPr>
          <w:rFonts w:eastAsia="Calibri"/>
          <w:color w:val="000000"/>
          <w:sz w:val="22"/>
          <w:szCs w:val="22"/>
          <w:lang w:val="fr-CA" w:eastAsia="en-US"/>
        </w:rPr>
        <w:t>ta</w:t>
      </w:r>
      <w:r>
        <w:rPr>
          <w:rFonts w:eastAsia="Calibri"/>
          <w:color w:val="000000"/>
          <w:sz w:val="22"/>
          <w:szCs w:val="22"/>
          <w:lang w:val="fr-CA" w:eastAsia="en-US"/>
        </w:rPr>
        <w:t>nt pour le Canada que pour l</w:t>
      </w:r>
      <w:r w:rsidRPr="00217EFC">
        <w:rPr>
          <w:rFonts w:eastAsia="Calibri"/>
          <w:color w:val="000000"/>
          <w:sz w:val="22"/>
          <w:szCs w:val="22"/>
          <w:lang w:val="fr-CA" w:eastAsia="en-US"/>
        </w:rPr>
        <w:t>es États-Unis</w:t>
      </w:r>
      <w:r w:rsidRPr="00217EFC">
        <w:rPr>
          <w:rStyle w:val="FootnoteReference"/>
          <w:rFonts w:eastAsia="Calibri"/>
          <w:color w:val="000000"/>
          <w:sz w:val="22"/>
          <w:szCs w:val="22"/>
          <w:lang w:val="fr-CA" w:eastAsia="en-US"/>
        </w:rPr>
        <w:footnoteReference w:id="22"/>
      </w:r>
      <w:r w:rsidRPr="00217EFC">
        <w:rPr>
          <w:rFonts w:eastAsia="Calibri"/>
          <w:color w:val="000000"/>
          <w:sz w:val="22"/>
          <w:szCs w:val="22"/>
          <w:lang w:val="fr-CA" w:eastAsia="en-US"/>
        </w:rPr>
        <w:t>.</w:t>
      </w:r>
      <w:r>
        <w:rPr>
          <w:rFonts w:eastAsia="Calibri"/>
          <w:color w:val="000000"/>
          <w:sz w:val="22"/>
          <w:szCs w:val="22"/>
          <w:lang w:val="fr-CA" w:eastAsia="en-US"/>
        </w:rPr>
        <w:t xml:space="preserve"> </w:t>
      </w:r>
      <w:r w:rsidRPr="00217EFC">
        <w:rPr>
          <w:rFonts w:eastAsia="Calibri"/>
          <w:color w:val="000000"/>
          <w:sz w:val="22"/>
          <w:szCs w:val="22"/>
          <w:lang w:val="fr-CA" w:eastAsia="en-US"/>
        </w:rPr>
        <w:t xml:space="preserve">Pareillement, des études portent sur les relations de travail qui </w:t>
      </w:r>
      <w:r w:rsidRPr="00217EFC">
        <w:rPr>
          <w:rFonts w:eastAsia="Calibri"/>
          <w:color w:val="000000"/>
          <w:sz w:val="22"/>
          <w:szCs w:val="22"/>
          <w:lang w:val="fr-CA" w:eastAsia="en-US"/>
        </w:rPr>
        <w:lastRenderedPageBreak/>
        <w:t>existaient entre les propriétaires des manufactures et les autres groupes ethniques lors</w:t>
      </w:r>
      <w:r>
        <w:rPr>
          <w:rFonts w:eastAsia="Calibri"/>
          <w:color w:val="000000"/>
          <w:sz w:val="22"/>
          <w:szCs w:val="22"/>
          <w:lang w:val="fr-CA" w:eastAsia="en-US"/>
        </w:rPr>
        <w:t>que l</w:t>
      </w:r>
      <w:r w:rsidRPr="00217EFC">
        <w:rPr>
          <w:rFonts w:eastAsia="Calibri"/>
          <w:color w:val="000000"/>
          <w:sz w:val="22"/>
          <w:szCs w:val="22"/>
          <w:lang w:val="fr-CA" w:eastAsia="en-US"/>
        </w:rPr>
        <w:t>es travailleurs revend</w:t>
      </w:r>
      <w:r>
        <w:rPr>
          <w:rFonts w:eastAsia="Calibri"/>
          <w:color w:val="000000"/>
          <w:sz w:val="22"/>
          <w:szCs w:val="22"/>
          <w:lang w:val="fr-CA" w:eastAsia="en-US"/>
        </w:rPr>
        <w:t>ique</w:t>
      </w:r>
      <w:r w:rsidRPr="00217EFC">
        <w:rPr>
          <w:rFonts w:eastAsia="Calibri"/>
          <w:color w:val="000000"/>
          <w:sz w:val="22"/>
          <w:szCs w:val="22"/>
          <w:lang w:val="fr-CA" w:eastAsia="en-US"/>
        </w:rPr>
        <w:t>nt de meilleur</w:t>
      </w:r>
      <w:r>
        <w:rPr>
          <w:rFonts w:eastAsia="Calibri"/>
          <w:color w:val="000000"/>
          <w:sz w:val="22"/>
          <w:szCs w:val="22"/>
          <w:lang w:val="fr-CA" w:eastAsia="en-US"/>
        </w:rPr>
        <w:t>e</w:t>
      </w:r>
      <w:r w:rsidRPr="00217EFC">
        <w:rPr>
          <w:rFonts w:eastAsia="Calibri"/>
          <w:color w:val="000000"/>
          <w:sz w:val="22"/>
          <w:szCs w:val="22"/>
          <w:lang w:val="fr-CA" w:eastAsia="en-US"/>
        </w:rPr>
        <w:t>s conditions d</w:t>
      </w:r>
      <w:r>
        <w:rPr>
          <w:rFonts w:eastAsia="Calibri"/>
          <w:color w:val="000000"/>
          <w:sz w:val="22"/>
          <w:szCs w:val="22"/>
          <w:lang w:val="fr-CA" w:eastAsia="en-US"/>
        </w:rPr>
        <w:t>’emploi</w:t>
      </w:r>
      <w:r w:rsidRPr="00217EFC">
        <w:rPr>
          <w:rFonts w:eastAsia="Calibri"/>
          <w:color w:val="000000"/>
          <w:sz w:val="22"/>
          <w:szCs w:val="22"/>
          <w:lang w:val="fr-CA" w:eastAsia="en-US"/>
        </w:rPr>
        <w:t xml:space="preserve"> </w:t>
      </w:r>
      <w:r>
        <w:rPr>
          <w:rFonts w:eastAsia="Calibri"/>
          <w:color w:val="000000"/>
          <w:sz w:val="22"/>
          <w:szCs w:val="22"/>
          <w:lang w:val="fr-CA" w:eastAsia="en-US"/>
        </w:rPr>
        <w:t xml:space="preserve">et de meilleurs </w:t>
      </w:r>
      <w:r w:rsidRPr="00217EFC">
        <w:rPr>
          <w:rFonts w:eastAsia="Calibri"/>
          <w:color w:val="000000"/>
          <w:sz w:val="22"/>
          <w:szCs w:val="22"/>
          <w:lang w:val="fr-CA" w:eastAsia="en-US"/>
        </w:rPr>
        <w:t>sala</w:t>
      </w:r>
      <w:r>
        <w:rPr>
          <w:rFonts w:eastAsia="Calibri"/>
          <w:color w:val="000000"/>
          <w:sz w:val="22"/>
          <w:szCs w:val="22"/>
          <w:lang w:val="fr-CA" w:eastAsia="en-US"/>
        </w:rPr>
        <w:t>ires</w:t>
      </w:r>
      <w:r w:rsidRPr="00217EFC">
        <w:rPr>
          <w:rFonts w:eastAsia="Calibri"/>
          <w:color w:val="000000"/>
          <w:sz w:val="22"/>
          <w:szCs w:val="22"/>
          <w:lang w:val="fr-CA" w:eastAsia="en-US"/>
        </w:rPr>
        <w:t>. Dans ce champ d’études</w:t>
      </w:r>
      <w:r>
        <w:rPr>
          <w:rFonts w:eastAsia="Calibri"/>
          <w:color w:val="000000"/>
          <w:sz w:val="22"/>
          <w:szCs w:val="22"/>
          <w:lang w:val="fr-CA" w:eastAsia="en-US"/>
        </w:rPr>
        <w:t>,</w:t>
      </w:r>
      <w:r w:rsidRPr="00217EFC">
        <w:rPr>
          <w:rFonts w:eastAsia="Calibri"/>
          <w:color w:val="000000"/>
          <w:sz w:val="22"/>
          <w:szCs w:val="22"/>
          <w:lang w:val="fr-CA" w:eastAsia="en-US"/>
        </w:rPr>
        <w:t xml:space="preserve"> on retrouve des chercheurs comme </w:t>
      </w:r>
      <w:r w:rsidRPr="00217EFC">
        <w:rPr>
          <w:color w:val="000000"/>
          <w:sz w:val="22"/>
          <w:szCs w:val="22"/>
          <w:lang w:val="fr-CA"/>
        </w:rPr>
        <w:t>Gerard Brault, Yves Roby, Robert LeBlanc, Jean Lamarre, Pierre Anctil, Yolande Lavoie, François Weil, Ralph Dominic Vicero, Bruno Ramirez, Yves Frenette et Stewart Doty</w:t>
      </w:r>
      <w:r w:rsidRPr="00217EFC">
        <w:rPr>
          <w:rFonts w:eastAsia="Calibri"/>
          <w:color w:val="000000"/>
          <w:sz w:val="22"/>
          <w:szCs w:val="22"/>
          <w:lang w:val="fr-CA" w:eastAsia="en-US"/>
        </w:rPr>
        <w:t xml:space="preserve">. </w:t>
      </w:r>
      <w:r>
        <w:rPr>
          <w:rFonts w:eastAsia="Calibri"/>
          <w:color w:val="000000"/>
          <w:sz w:val="22"/>
          <w:szCs w:val="22"/>
          <w:lang w:val="fr-CA" w:eastAsia="en-US"/>
        </w:rPr>
        <w:t xml:space="preserve">De plus, </w:t>
      </w:r>
      <w:r w:rsidRPr="00217EFC">
        <w:rPr>
          <w:rFonts w:eastAsia="Calibri"/>
          <w:color w:val="000000"/>
          <w:sz w:val="22"/>
          <w:szCs w:val="22"/>
          <w:lang w:val="fr-CA" w:eastAsia="en-US"/>
        </w:rPr>
        <w:t>Ramirez recueil</w:t>
      </w:r>
      <w:r>
        <w:rPr>
          <w:rFonts w:eastAsia="Calibri"/>
          <w:color w:val="000000"/>
          <w:sz w:val="22"/>
          <w:szCs w:val="22"/>
          <w:lang w:val="fr-CA" w:eastAsia="en-US"/>
        </w:rPr>
        <w:t xml:space="preserve">le </w:t>
      </w:r>
      <w:r w:rsidRPr="00217EFC">
        <w:rPr>
          <w:rFonts w:eastAsia="Calibri"/>
          <w:color w:val="000000"/>
          <w:sz w:val="22"/>
          <w:szCs w:val="22"/>
          <w:lang w:val="fr-CA" w:eastAsia="en-US"/>
        </w:rPr>
        <w:t xml:space="preserve">beaucoup de témoignages sur la vie des travailleurs des manufactures de textile à l’époque de la Première Guerre mondiale. Toutefois, </w:t>
      </w:r>
      <w:r>
        <w:rPr>
          <w:rFonts w:eastAsia="Calibri"/>
          <w:color w:val="000000"/>
          <w:sz w:val="22"/>
          <w:szCs w:val="22"/>
          <w:lang w:val="fr-CA" w:eastAsia="en-US"/>
        </w:rPr>
        <w:t xml:space="preserve">en </w:t>
      </w:r>
      <w:r w:rsidRPr="00217EFC">
        <w:rPr>
          <w:rFonts w:eastAsia="Calibri"/>
          <w:color w:val="000000"/>
          <w:sz w:val="22"/>
          <w:szCs w:val="22"/>
          <w:lang w:val="fr-CA" w:eastAsia="en-US"/>
        </w:rPr>
        <w:t xml:space="preserve">ce qui concerne les témoignages des populations de Manchester, la plupart des personnes affectées, de loin ou de près, par la Grande Guerre </w:t>
      </w:r>
      <w:r>
        <w:rPr>
          <w:rFonts w:eastAsia="Calibri"/>
          <w:color w:val="000000"/>
          <w:sz w:val="22"/>
          <w:szCs w:val="22"/>
          <w:lang w:val="fr-CA" w:eastAsia="en-US"/>
        </w:rPr>
        <w:t xml:space="preserve">ne </w:t>
      </w:r>
      <w:r w:rsidRPr="00217EFC">
        <w:rPr>
          <w:rFonts w:eastAsia="Calibri"/>
          <w:color w:val="000000"/>
          <w:sz w:val="22"/>
          <w:szCs w:val="22"/>
          <w:lang w:val="fr-CA" w:eastAsia="en-US"/>
        </w:rPr>
        <w:t>mention</w:t>
      </w:r>
      <w:r>
        <w:rPr>
          <w:rFonts w:eastAsia="Calibri"/>
          <w:color w:val="000000"/>
          <w:sz w:val="22"/>
          <w:szCs w:val="22"/>
          <w:lang w:val="fr-CA" w:eastAsia="en-US"/>
        </w:rPr>
        <w:t xml:space="preserve">nent que brièvement, </w:t>
      </w:r>
      <w:r w:rsidRPr="00217EFC">
        <w:rPr>
          <w:rFonts w:eastAsia="Calibri"/>
          <w:color w:val="000000"/>
          <w:sz w:val="22"/>
          <w:szCs w:val="22"/>
          <w:lang w:val="fr-CA" w:eastAsia="en-US"/>
        </w:rPr>
        <w:t>dans leur témoignage</w:t>
      </w:r>
      <w:r>
        <w:rPr>
          <w:rFonts w:eastAsia="Calibri"/>
          <w:color w:val="000000"/>
          <w:sz w:val="22"/>
          <w:szCs w:val="22"/>
          <w:lang w:val="fr-CA" w:eastAsia="en-US"/>
        </w:rPr>
        <w:t>,</w:t>
      </w:r>
      <w:r w:rsidRPr="00217EFC">
        <w:rPr>
          <w:rFonts w:eastAsia="Calibri"/>
          <w:color w:val="000000"/>
          <w:sz w:val="22"/>
          <w:szCs w:val="22"/>
          <w:lang w:val="fr-CA" w:eastAsia="en-US"/>
        </w:rPr>
        <w:t xml:space="preserve"> la participation au conflit d</w:t>
      </w:r>
      <w:r>
        <w:rPr>
          <w:rFonts w:eastAsia="Calibri"/>
          <w:color w:val="000000"/>
          <w:sz w:val="22"/>
          <w:szCs w:val="22"/>
          <w:lang w:val="fr-CA" w:eastAsia="en-US"/>
        </w:rPr>
        <w:t>’un ainé</w:t>
      </w:r>
      <w:r w:rsidRPr="00217EFC">
        <w:rPr>
          <w:rFonts w:eastAsia="Calibri"/>
          <w:color w:val="000000"/>
          <w:sz w:val="22"/>
          <w:szCs w:val="22"/>
          <w:lang w:val="fr-CA" w:eastAsia="en-US"/>
        </w:rPr>
        <w:t xml:space="preserve">, </w:t>
      </w:r>
      <w:r>
        <w:rPr>
          <w:rFonts w:eastAsia="Calibri"/>
          <w:color w:val="000000"/>
          <w:sz w:val="22"/>
          <w:szCs w:val="22"/>
          <w:lang w:val="fr-CA" w:eastAsia="en-US"/>
        </w:rPr>
        <w:t xml:space="preserve">de </w:t>
      </w:r>
      <w:r w:rsidRPr="00217EFC">
        <w:rPr>
          <w:rFonts w:eastAsia="Calibri"/>
          <w:color w:val="000000"/>
          <w:sz w:val="22"/>
          <w:szCs w:val="22"/>
          <w:lang w:val="fr-CA" w:eastAsia="en-US"/>
        </w:rPr>
        <w:t>leur époux ou d’un parent</w:t>
      </w:r>
      <w:r w:rsidRPr="00217EFC">
        <w:rPr>
          <w:rStyle w:val="FootnoteReference"/>
          <w:rFonts w:eastAsia="Calibri"/>
          <w:color w:val="000000"/>
          <w:sz w:val="22"/>
          <w:szCs w:val="22"/>
          <w:lang w:val="fr-CA" w:eastAsia="en-US"/>
        </w:rPr>
        <w:footnoteReference w:id="23"/>
      </w:r>
      <w:r w:rsidRPr="00217EFC">
        <w:rPr>
          <w:rFonts w:eastAsia="Calibri"/>
          <w:color w:val="000000"/>
          <w:sz w:val="22"/>
          <w:szCs w:val="22"/>
          <w:lang w:val="fr-CA" w:eastAsia="en-US"/>
        </w:rPr>
        <w:t>.</w:t>
      </w:r>
    </w:p>
    <w:p w14:paraId="55F73093" w14:textId="77777777" w:rsidR="000264D6" w:rsidRPr="00217EFC" w:rsidRDefault="000264D6" w:rsidP="002B5319">
      <w:pPr>
        <w:spacing w:before="100" w:beforeAutospacing="1" w:after="100" w:afterAutospacing="1"/>
        <w:ind w:firstLine="720"/>
        <w:jc w:val="both"/>
        <w:rPr>
          <w:rFonts w:eastAsia="Calibri"/>
          <w:color w:val="000000"/>
          <w:sz w:val="22"/>
          <w:szCs w:val="22"/>
          <w:lang w:val="fr-CA" w:eastAsia="en-US"/>
        </w:rPr>
      </w:pPr>
      <w:r w:rsidRPr="00217EFC">
        <w:rPr>
          <w:rFonts w:eastAsia="Calibri"/>
          <w:color w:val="000000"/>
          <w:sz w:val="22"/>
          <w:szCs w:val="22"/>
          <w:lang w:val="fr-CA" w:eastAsia="en-US"/>
        </w:rPr>
        <w:t>Finalement, au tournant du XXI</w:t>
      </w:r>
      <w:r w:rsidRPr="00217EFC">
        <w:rPr>
          <w:rFonts w:eastAsia="Calibri"/>
          <w:color w:val="000000"/>
          <w:sz w:val="22"/>
          <w:szCs w:val="22"/>
          <w:vertAlign w:val="superscript"/>
          <w:lang w:val="fr-CA" w:eastAsia="en-US"/>
        </w:rPr>
        <w:t>e</w:t>
      </w:r>
      <w:r w:rsidRPr="00217EFC">
        <w:rPr>
          <w:rFonts w:eastAsia="Calibri"/>
          <w:color w:val="000000"/>
          <w:sz w:val="22"/>
          <w:szCs w:val="22"/>
          <w:lang w:val="fr-CA" w:eastAsia="en-US"/>
        </w:rPr>
        <w:t xml:space="preserve"> siècle</w:t>
      </w:r>
      <w:r>
        <w:rPr>
          <w:rFonts w:eastAsia="Calibri"/>
          <w:color w:val="000000"/>
          <w:sz w:val="22"/>
          <w:szCs w:val="22"/>
          <w:lang w:val="fr-CA" w:eastAsia="en-US"/>
        </w:rPr>
        <w:t>,</w:t>
      </w:r>
      <w:r w:rsidRPr="00217EFC">
        <w:rPr>
          <w:rFonts w:eastAsia="Calibri"/>
          <w:color w:val="000000"/>
          <w:sz w:val="22"/>
          <w:szCs w:val="22"/>
          <w:lang w:val="fr-CA" w:eastAsia="en-US"/>
        </w:rPr>
        <w:t xml:space="preserve"> les recherches portant sur les Franco-Américains diminu</w:t>
      </w:r>
      <w:r>
        <w:rPr>
          <w:rFonts w:eastAsia="Calibri"/>
          <w:color w:val="000000"/>
          <w:sz w:val="22"/>
          <w:szCs w:val="22"/>
          <w:lang w:val="fr-CA" w:eastAsia="en-US"/>
        </w:rPr>
        <w:t xml:space="preserve">ent </w:t>
      </w:r>
      <w:r w:rsidRPr="00217EFC">
        <w:rPr>
          <w:rFonts w:eastAsia="Calibri"/>
          <w:color w:val="000000"/>
          <w:sz w:val="22"/>
          <w:szCs w:val="22"/>
          <w:lang w:val="fr-CA" w:eastAsia="en-US"/>
        </w:rPr>
        <w:t>grandement</w:t>
      </w:r>
      <w:r w:rsidRPr="00217EFC">
        <w:rPr>
          <w:rStyle w:val="FootnoteReference"/>
          <w:rFonts w:eastAsia="Calibri"/>
          <w:color w:val="000000"/>
          <w:sz w:val="22"/>
          <w:szCs w:val="22"/>
          <w:lang w:val="fr-CA" w:eastAsia="en-US"/>
        </w:rPr>
        <w:footnoteReference w:id="24"/>
      </w:r>
      <w:r w:rsidRPr="00217EFC">
        <w:rPr>
          <w:rFonts w:eastAsia="Calibri"/>
          <w:color w:val="000000"/>
          <w:sz w:val="22"/>
          <w:szCs w:val="22"/>
          <w:lang w:val="fr-CA" w:eastAsia="en-US"/>
        </w:rPr>
        <w:t>. De nos jours, on retrouve une dizaine de chercheurs dont les travaux portent sur l’histoire</w:t>
      </w:r>
      <w:r>
        <w:rPr>
          <w:rFonts w:eastAsia="Calibri"/>
          <w:color w:val="000000"/>
          <w:sz w:val="22"/>
          <w:szCs w:val="22"/>
          <w:lang w:val="fr-CA" w:eastAsia="en-US"/>
        </w:rPr>
        <w:t xml:space="preserve"> et </w:t>
      </w:r>
      <w:r w:rsidRPr="00217EFC">
        <w:rPr>
          <w:rFonts w:eastAsia="Calibri"/>
          <w:color w:val="000000"/>
          <w:sz w:val="22"/>
          <w:szCs w:val="22"/>
          <w:lang w:val="fr-CA" w:eastAsia="en-US"/>
        </w:rPr>
        <w:t xml:space="preserve">l’interprétation de témoignages de Franco-Américains quant à leur séjour en Nouvelle-Angleterre et </w:t>
      </w:r>
      <w:r>
        <w:rPr>
          <w:rFonts w:eastAsia="Calibri"/>
          <w:color w:val="000000"/>
          <w:sz w:val="22"/>
          <w:szCs w:val="22"/>
          <w:lang w:val="fr-CA" w:eastAsia="en-US"/>
        </w:rPr>
        <w:t xml:space="preserve">sur le </w:t>
      </w:r>
      <w:r w:rsidRPr="00217EFC">
        <w:rPr>
          <w:rFonts w:eastAsia="Calibri"/>
          <w:color w:val="000000"/>
          <w:sz w:val="22"/>
          <w:szCs w:val="22"/>
          <w:lang w:val="fr-CA" w:eastAsia="en-US"/>
        </w:rPr>
        <w:t>processus d’acculturation</w:t>
      </w:r>
      <w:r w:rsidRPr="00217EFC">
        <w:rPr>
          <w:rStyle w:val="FootnoteReference"/>
          <w:rFonts w:eastAsia="Calibri"/>
          <w:color w:val="000000"/>
          <w:sz w:val="22"/>
          <w:szCs w:val="22"/>
          <w:lang w:val="fr-CA" w:eastAsia="en-US"/>
        </w:rPr>
        <w:footnoteReference w:id="25"/>
      </w:r>
      <w:r w:rsidRPr="00217EFC">
        <w:rPr>
          <w:rFonts w:eastAsia="Calibri"/>
          <w:color w:val="000000"/>
          <w:sz w:val="22"/>
          <w:szCs w:val="22"/>
          <w:lang w:val="fr-CA" w:eastAsia="en-US"/>
        </w:rPr>
        <w:t xml:space="preserve">. Mark Richard a </w:t>
      </w:r>
      <w:r>
        <w:rPr>
          <w:rFonts w:eastAsia="Calibri"/>
          <w:color w:val="000000"/>
          <w:sz w:val="22"/>
          <w:szCs w:val="22"/>
          <w:lang w:val="fr-CA" w:eastAsia="en-US"/>
        </w:rPr>
        <w:t xml:space="preserve">notamment </w:t>
      </w:r>
      <w:r w:rsidRPr="00217EFC">
        <w:rPr>
          <w:rFonts w:eastAsia="Calibri"/>
          <w:color w:val="000000"/>
          <w:sz w:val="22"/>
          <w:szCs w:val="22"/>
          <w:lang w:val="fr-CA" w:eastAsia="en-US"/>
        </w:rPr>
        <w:t>étudié le phénomène de l</w:t>
      </w:r>
      <w:r>
        <w:rPr>
          <w:rFonts w:eastAsia="Calibri"/>
          <w:color w:val="000000"/>
          <w:sz w:val="22"/>
          <w:szCs w:val="22"/>
          <w:lang w:val="fr-CA" w:eastAsia="en-US"/>
        </w:rPr>
        <w:t>’</w:t>
      </w:r>
      <w:r w:rsidRPr="00217EFC">
        <w:rPr>
          <w:rFonts w:eastAsia="Calibri"/>
          <w:color w:val="000000"/>
          <w:sz w:val="22"/>
          <w:szCs w:val="22"/>
          <w:lang w:val="fr-CA" w:eastAsia="en-US"/>
        </w:rPr>
        <w:t xml:space="preserve">identité </w:t>
      </w:r>
      <w:r>
        <w:rPr>
          <w:rFonts w:eastAsia="Calibri"/>
          <w:color w:val="000000"/>
          <w:sz w:val="22"/>
          <w:szCs w:val="22"/>
          <w:lang w:val="fr-CA" w:eastAsia="en-US"/>
        </w:rPr>
        <w:t>franco-</w:t>
      </w:r>
      <w:r w:rsidRPr="00217EFC">
        <w:rPr>
          <w:rFonts w:eastAsia="Calibri"/>
          <w:color w:val="000000"/>
          <w:sz w:val="22"/>
          <w:szCs w:val="22"/>
          <w:lang w:val="fr-CA" w:eastAsia="en-US"/>
        </w:rPr>
        <w:t>américain</w:t>
      </w:r>
      <w:r>
        <w:rPr>
          <w:rFonts w:eastAsia="Calibri"/>
          <w:color w:val="000000"/>
          <w:sz w:val="22"/>
          <w:szCs w:val="22"/>
          <w:lang w:val="fr-CA" w:eastAsia="en-US"/>
        </w:rPr>
        <w:t>e</w:t>
      </w:r>
      <w:r w:rsidRPr="00217EFC">
        <w:rPr>
          <w:rFonts w:eastAsia="Calibri"/>
          <w:color w:val="000000"/>
          <w:sz w:val="22"/>
          <w:szCs w:val="22"/>
          <w:lang w:val="fr-CA" w:eastAsia="en-US"/>
        </w:rPr>
        <w:t xml:space="preserve"> au Maine et l’influence des mouvements nativistes en Nouvelle-Angleterre dans les années</w:t>
      </w:r>
      <w:r>
        <w:rPr>
          <w:rFonts w:eastAsia="Calibri"/>
          <w:color w:val="000000"/>
          <w:sz w:val="22"/>
          <w:szCs w:val="22"/>
          <w:lang w:val="fr-CA" w:eastAsia="en-US"/>
        </w:rPr>
        <w:t> </w:t>
      </w:r>
      <w:r w:rsidRPr="00217EFC">
        <w:rPr>
          <w:rFonts w:eastAsia="Calibri"/>
          <w:color w:val="000000"/>
          <w:sz w:val="22"/>
          <w:szCs w:val="22"/>
          <w:lang w:val="fr-CA" w:eastAsia="en-US"/>
        </w:rPr>
        <w:t xml:space="preserve">1930. </w:t>
      </w:r>
      <w:r>
        <w:rPr>
          <w:rFonts w:eastAsia="Calibri"/>
          <w:color w:val="000000"/>
          <w:sz w:val="22"/>
          <w:szCs w:val="22"/>
          <w:lang w:val="fr-CA" w:eastAsia="en-US"/>
        </w:rPr>
        <w:t xml:space="preserve">D’autres </w:t>
      </w:r>
      <w:r w:rsidRPr="00217EFC">
        <w:rPr>
          <w:rFonts w:eastAsia="Calibri"/>
          <w:color w:val="000000"/>
          <w:sz w:val="22"/>
          <w:szCs w:val="22"/>
          <w:lang w:val="fr-CA" w:eastAsia="en-US"/>
        </w:rPr>
        <w:t xml:space="preserve">études portent sur l’influence des religieuses et </w:t>
      </w:r>
      <w:r>
        <w:rPr>
          <w:rFonts w:eastAsia="Calibri"/>
          <w:color w:val="000000"/>
          <w:sz w:val="22"/>
          <w:szCs w:val="22"/>
          <w:lang w:val="fr-CA" w:eastAsia="en-US"/>
        </w:rPr>
        <w:t xml:space="preserve">sur </w:t>
      </w:r>
      <w:r w:rsidRPr="00217EFC">
        <w:rPr>
          <w:rFonts w:eastAsia="Calibri"/>
          <w:color w:val="000000"/>
          <w:sz w:val="22"/>
          <w:szCs w:val="22"/>
          <w:lang w:val="fr-CA" w:eastAsia="en-US"/>
        </w:rPr>
        <w:t>le rôle de la femme sur l</w:t>
      </w:r>
      <w:r>
        <w:rPr>
          <w:rFonts w:eastAsia="Calibri"/>
          <w:color w:val="000000"/>
          <w:sz w:val="22"/>
          <w:szCs w:val="22"/>
          <w:lang w:val="fr-CA" w:eastAsia="en-US"/>
        </w:rPr>
        <w:t>’</w:t>
      </w:r>
      <w:r w:rsidRPr="00217EFC">
        <w:rPr>
          <w:rFonts w:eastAsia="Calibri"/>
          <w:color w:val="000000"/>
          <w:sz w:val="22"/>
          <w:szCs w:val="22"/>
          <w:lang w:val="fr-CA" w:eastAsia="en-US"/>
        </w:rPr>
        <w:t xml:space="preserve">évolution des </w:t>
      </w:r>
      <w:r>
        <w:rPr>
          <w:rFonts w:eastAsia="Calibri"/>
          <w:color w:val="000000"/>
          <w:sz w:val="22"/>
          <w:szCs w:val="22"/>
          <w:lang w:val="fr-CA" w:eastAsia="en-US"/>
        </w:rPr>
        <w:t>mœurs</w:t>
      </w:r>
      <w:r w:rsidRPr="00217EFC">
        <w:rPr>
          <w:rFonts w:eastAsia="Calibri"/>
          <w:color w:val="000000"/>
          <w:sz w:val="22"/>
          <w:szCs w:val="22"/>
          <w:lang w:val="fr-CA" w:eastAsia="en-US"/>
        </w:rPr>
        <w:t xml:space="preserve"> en Nouvelle-Angleterre</w:t>
      </w:r>
      <w:r>
        <w:rPr>
          <w:rFonts w:eastAsia="Calibri"/>
          <w:color w:val="000000"/>
          <w:sz w:val="22"/>
          <w:szCs w:val="22"/>
          <w:lang w:val="fr-CA" w:eastAsia="en-US"/>
        </w:rPr>
        <w:t xml:space="preserve">, comme </w:t>
      </w:r>
      <w:r w:rsidRPr="00217EFC">
        <w:rPr>
          <w:rFonts w:eastAsia="Calibri"/>
          <w:color w:val="000000"/>
          <w:sz w:val="22"/>
          <w:szCs w:val="22"/>
          <w:lang w:val="fr-CA" w:eastAsia="en-US"/>
        </w:rPr>
        <w:t xml:space="preserve">les travaux de Magda Fahrni, de Yukari Takai et de Florence Mae Waldron. </w:t>
      </w:r>
    </w:p>
    <w:p w14:paraId="070F610E" w14:textId="77777777" w:rsidR="000264D6" w:rsidRPr="00217EFC" w:rsidRDefault="000264D6" w:rsidP="003452D0">
      <w:pPr>
        <w:spacing w:before="100" w:beforeAutospacing="1" w:after="100" w:afterAutospacing="1" w:line="480" w:lineRule="auto"/>
        <w:rPr>
          <w:b/>
          <w:bCs/>
          <w:color w:val="000000"/>
          <w:sz w:val="22"/>
          <w:szCs w:val="22"/>
          <w:lang w:val="fr-CA"/>
        </w:rPr>
      </w:pPr>
      <w:r w:rsidRPr="00217EFC">
        <w:rPr>
          <w:b/>
          <w:bCs/>
          <w:color w:val="000000"/>
          <w:sz w:val="22"/>
          <w:szCs w:val="22"/>
          <w:lang w:val="fr-CA"/>
        </w:rPr>
        <w:t>Littérature associée à l’effort de guerre à l’époque de la Première Guerre mondiale</w:t>
      </w:r>
    </w:p>
    <w:p w14:paraId="740B0DE8"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color w:val="000000"/>
          <w:sz w:val="22"/>
          <w:szCs w:val="22"/>
          <w:lang w:val="fr-CA" w:eastAsia="en-US"/>
        </w:rPr>
        <w:t>Quant au sujet de notre recherche, nous constatons qu’il existe seulement deux documents dignes d’intérêt</w:t>
      </w:r>
      <w:r>
        <w:rPr>
          <w:rFonts w:eastAsia="Calibri"/>
          <w:color w:val="000000"/>
          <w:sz w:val="22"/>
          <w:szCs w:val="22"/>
          <w:lang w:val="fr-CA" w:eastAsia="en-US"/>
        </w:rPr>
        <w:t xml:space="preserve"> pour notre étude</w:t>
      </w:r>
      <w:r w:rsidRPr="00217EFC">
        <w:rPr>
          <w:rFonts w:eastAsia="Calibri"/>
          <w:color w:val="000000"/>
          <w:sz w:val="22"/>
          <w:szCs w:val="22"/>
          <w:lang w:val="fr-CA" w:eastAsia="en-US"/>
        </w:rPr>
        <w:t xml:space="preserve">. Dans un premier temps, </w:t>
      </w:r>
      <w:r>
        <w:rPr>
          <w:rFonts w:eastAsia="Calibri"/>
          <w:color w:val="000000"/>
          <w:sz w:val="22"/>
          <w:szCs w:val="22"/>
          <w:lang w:val="fr-CA" w:eastAsia="en-US"/>
        </w:rPr>
        <w:t>e</w:t>
      </w:r>
      <w:r w:rsidRPr="00217EFC">
        <w:rPr>
          <w:rFonts w:eastAsia="Calibri"/>
          <w:color w:val="000000"/>
          <w:sz w:val="22"/>
          <w:szCs w:val="22"/>
          <w:lang w:val="fr-CA" w:eastAsia="en-US"/>
        </w:rPr>
        <w:t>ntre 1921 et 1938, Albert Bélanger publi</w:t>
      </w:r>
      <w:r w:rsidRPr="00217EFC">
        <w:rPr>
          <w:rFonts w:eastAsia="Calibri"/>
          <w:sz w:val="22"/>
          <w:szCs w:val="22"/>
          <w:lang w:val="fr-CA" w:eastAsia="en-US"/>
        </w:rPr>
        <w:t>e</w:t>
      </w:r>
      <w:r w:rsidRPr="00217EFC">
        <w:rPr>
          <w:rFonts w:eastAsia="Calibri"/>
          <w:color w:val="000000"/>
          <w:sz w:val="22"/>
          <w:szCs w:val="22"/>
          <w:lang w:val="fr-CA" w:eastAsia="en-US"/>
        </w:rPr>
        <w:t xml:space="preserve"> neuf des douze éditions d</w:t>
      </w:r>
      <w:r>
        <w:rPr>
          <w:rFonts w:eastAsia="Calibri"/>
          <w:color w:val="000000"/>
          <w:sz w:val="22"/>
          <w:szCs w:val="22"/>
          <w:lang w:val="fr-CA" w:eastAsia="en-US"/>
        </w:rPr>
        <w:t xml:space="preserve">u </w:t>
      </w:r>
      <w:r w:rsidRPr="00217EFC">
        <w:rPr>
          <w:rFonts w:eastAsia="Calibri"/>
          <w:i/>
          <w:color w:val="000000"/>
          <w:sz w:val="22"/>
          <w:szCs w:val="22"/>
          <w:lang w:val="fr-CA" w:eastAsia="en-US"/>
        </w:rPr>
        <w:t>Guide Franco-Américain</w:t>
      </w:r>
      <w:r w:rsidRPr="00B769EF">
        <w:rPr>
          <w:rStyle w:val="FootnoteReference"/>
          <w:rFonts w:eastAsia="Calibri"/>
          <w:color w:val="000000"/>
          <w:sz w:val="22"/>
          <w:szCs w:val="22"/>
          <w:lang w:val="fr-CA" w:eastAsia="en-US"/>
        </w:rPr>
        <w:footnoteReference w:id="26"/>
      </w:r>
      <w:r w:rsidRPr="00B769EF">
        <w:rPr>
          <w:rFonts w:eastAsia="Calibri"/>
          <w:color w:val="000000"/>
          <w:sz w:val="22"/>
          <w:szCs w:val="22"/>
          <w:lang w:val="fr-CA" w:eastAsia="en-US"/>
        </w:rPr>
        <w:t xml:space="preserve">. </w:t>
      </w:r>
      <w:r>
        <w:rPr>
          <w:rFonts w:eastAsia="Calibri"/>
          <w:color w:val="000000"/>
          <w:sz w:val="22"/>
          <w:szCs w:val="22"/>
          <w:lang w:val="fr-CA" w:eastAsia="en-US"/>
        </w:rPr>
        <w:t xml:space="preserve">D’ailleurs, il </w:t>
      </w:r>
      <w:r w:rsidRPr="00217EFC">
        <w:rPr>
          <w:rFonts w:eastAsia="Calibri"/>
          <w:color w:val="000000"/>
          <w:sz w:val="22"/>
          <w:szCs w:val="22"/>
          <w:lang w:val="fr-CA" w:eastAsia="en-US"/>
        </w:rPr>
        <w:t>édit</w:t>
      </w:r>
      <w:r>
        <w:rPr>
          <w:rFonts w:eastAsia="Calibri"/>
          <w:color w:val="000000"/>
          <w:sz w:val="22"/>
          <w:szCs w:val="22"/>
          <w:lang w:val="fr-CA" w:eastAsia="en-US"/>
        </w:rPr>
        <w:t xml:space="preserve">e </w:t>
      </w:r>
      <w:r w:rsidRPr="00217EFC">
        <w:rPr>
          <w:rFonts w:eastAsia="Calibri"/>
          <w:color w:val="000000"/>
          <w:sz w:val="22"/>
          <w:szCs w:val="22"/>
          <w:lang w:val="fr-CA" w:eastAsia="en-US"/>
        </w:rPr>
        <w:t>plusieurs ouvrages sur les Franco-Américains</w:t>
      </w:r>
      <w:r>
        <w:rPr>
          <w:rFonts w:eastAsia="Calibri"/>
          <w:color w:val="000000"/>
          <w:sz w:val="22"/>
          <w:szCs w:val="22"/>
          <w:lang w:val="fr-CA" w:eastAsia="en-US"/>
        </w:rPr>
        <w:t xml:space="preserve">, mais le </w:t>
      </w:r>
      <w:r w:rsidRPr="00217EFC">
        <w:rPr>
          <w:rFonts w:eastAsia="Calibri"/>
          <w:i/>
          <w:color w:val="000000"/>
          <w:sz w:val="22"/>
          <w:szCs w:val="22"/>
          <w:lang w:val="fr-CA" w:eastAsia="en-US"/>
        </w:rPr>
        <w:t>Guide Franco-Américain</w:t>
      </w:r>
      <w:r>
        <w:rPr>
          <w:rFonts w:eastAsia="Calibri"/>
          <w:i/>
          <w:color w:val="000000"/>
          <w:sz w:val="22"/>
          <w:szCs w:val="22"/>
          <w:lang w:val="fr-CA" w:eastAsia="en-US"/>
        </w:rPr>
        <w:t> </w:t>
      </w:r>
      <w:r w:rsidRPr="00217EFC">
        <w:rPr>
          <w:rFonts w:eastAsia="Calibri"/>
          <w:i/>
          <w:color w:val="000000"/>
          <w:sz w:val="22"/>
          <w:szCs w:val="22"/>
          <w:lang w:val="fr-CA" w:eastAsia="en-US"/>
        </w:rPr>
        <w:t xml:space="preserve">1921 </w:t>
      </w:r>
      <w:r>
        <w:rPr>
          <w:rFonts w:eastAsia="Calibri"/>
          <w:i/>
          <w:color w:val="000000"/>
          <w:sz w:val="22"/>
          <w:szCs w:val="22"/>
          <w:lang w:val="fr-CA" w:eastAsia="en-US"/>
        </w:rPr>
        <w:t>—</w:t>
      </w:r>
      <w:r w:rsidRPr="00217EFC">
        <w:rPr>
          <w:rFonts w:eastAsia="Calibri"/>
          <w:i/>
          <w:color w:val="000000"/>
          <w:sz w:val="22"/>
          <w:szCs w:val="22"/>
          <w:lang w:val="fr-CA" w:eastAsia="en-US"/>
        </w:rPr>
        <w:t xml:space="preserve"> Les Franco-Américains et la Guerre mondiale</w:t>
      </w:r>
      <w:r>
        <w:rPr>
          <w:rFonts w:eastAsia="Calibri"/>
          <w:iCs/>
          <w:color w:val="000000"/>
          <w:sz w:val="22"/>
          <w:szCs w:val="22"/>
          <w:lang w:val="fr-CA" w:eastAsia="en-US"/>
        </w:rPr>
        <w:t xml:space="preserve"> est l’édition qui est importante pour nous</w:t>
      </w:r>
      <w:r>
        <w:rPr>
          <w:rFonts w:eastAsia="Calibri"/>
          <w:color w:val="000000"/>
          <w:sz w:val="22"/>
          <w:szCs w:val="22"/>
          <w:lang w:val="fr-CA" w:eastAsia="en-US"/>
        </w:rPr>
        <w:t xml:space="preserve">. </w:t>
      </w:r>
      <w:r w:rsidRPr="00217EFC">
        <w:rPr>
          <w:rFonts w:eastAsia="Calibri"/>
          <w:color w:val="000000"/>
          <w:sz w:val="22"/>
          <w:szCs w:val="22"/>
          <w:lang w:val="fr-CA" w:eastAsia="en-US"/>
        </w:rPr>
        <w:t xml:space="preserve">Ce volume est </w:t>
      </w:r>
      <w:r w:rsidRPr="00217EFC">
        <w:rPr>
          <w:rFonts w:eastAsia="Calibri"/>
          <w:sz w:val="22"/>
          <w:szCs w:val="22"/>
          <w:lang w:val="fr-CA" w:eastAsia="en-US"/>
        </w:rPr>
        <w:t xml:space="preserve">principalement </w:t>
      </w:r>
      <w:r w:rsidRPr="00217EFC">
        <w:rPr>
          <w:rFonts w:eastAsia="Calibri"/>
          <w:color w:val="000000"/>
          <w:sz w:val="22"/>
          <w:szCs w:val="22"/>
          <w:lang w:val="fr-CA" w:eastAsia="en-US"/>
        </w:rPr>
        <w:t>un registre</w:t>
      </w:r>
      <w:r>
        <w:rPr>
          <w:rFonts w:eastAsia="Calibri"/>
          <w:color w:val="000000"/>
          <w:sz w:val="22"/>
          <w:szCs w:val="22"/>
          <w:lang w:val="fr-CA" w:eastAsia="en-US"/>
        </w:rPr>
        <w:t>,</w:t>
      </w:r>
      <w:r w:rsidRPr="00217EFC">
        <w:rPr>
          <w:rFonts w:eastAsia="Calibri"/>
          <w:color w:val="000000"/>
          <w:sz w:val="22"/>
          <w:szCs w:val="22"/>
          <w:lang w:val="fr-CA" w:eastAsia="en-US"/>
        </w:rPr>
        <w:t xml:space="preserve"> </w:t>
      </w:r>
      <w:r>
        <w:rPr>
          <w:rFonts w:eastAsia="Calibri"/>
          <w:color w:val="000000"/>
          <w:sz w:val="22"/>
          <w:szCs w:val="22"/>
          <w:lang w:val="fr-CA" w:eastAsia="en-US"/>
        </w:rPr>
        <w:t xml:space="preserve">par État, </w:t>
      </w:r>
      <w:r w:rsidRPr="00217EFC">
        <w:rPr>
          <w:rFonts w:eastAsia="Calibri"/>
          <w:color w:val="000000"/>
          <w:sz w:val="22"/>
          <w:szCs w:val="22"/>
          <w:lang w:val="fr-CA" w:eastAsia="en-US"/>
        </w:rPr>
        <w:t>des membres de l’intelligentsia franco-américaine</w:t>
      </w:r>
      <w:r>
        <w:rPr>
          <w:rFonts w:eastAsia="Calibri"/>
          <w:color w:val="000000"/>
          <w:sz w:val="22"/>
          <w:szCs w:val="22"/>
          <w:lang w:val="fr-CA" w:eastAsia="en-US"/>
        </w:rPr>
        <w:t>. On retrouve la liste de</w:t>
      </w:r>
      <w:r w:rsidRPr="00217EFC">
        <w:rPr>
          <w:rFonts w:eastAsia="Calibri"/>
          <w:color w:val="000000"/>
          <w:sz w:val="22"/>
          <w:szCs w:val="22"/>
          <w:lang w:val="fr-CA" w:eastAsia="en-US"/>
        </w:rPr>
        <w:t xml:space="preserve">s membres du clergé, </w:t>
      </w:r>
      <w:r>
        <w:rPr>
          <w:rFonts w:eastAsia="Calibri"/>
          <w:color w:val="000000"/>
          <w:sz w:val="22"/>
          <w:szCs w:val="22"/>
          <w:lang w:val="fr-CA" w:eastAsia="en-US"/>
        </w:rPr>
        <w:t>d</w:t>
      </w:r>
      <w:r w:rsidRPr="00217EFC">
        <w:rPr>
          <w:rFonts w:eastAsia="Calibri"/>
          <w:color w:val="000000"/>
          <w:sz w:val="22"/>
          <w:szCs w:val="22"/>
          <w:lang w:val="fr-CA" w:eastAsia="en-US"/>
        </w:rPr>
        <w:t xml:space="preserve">es hommes de lettres et </w:t>
      </w:r>
      <w:r>
        <w:rPr>
          <w:rFonts w:eastAsia="Calibri"/>
          <w:color w:val="000000"/>
          <w:sz w:val="22"/>
          <w:szCs w:val="22"/>
          <w:lang w:val="fr-CA" w:eastAsia="en-US"/>
        </w:rPr>
        <w:t>d</w:t>
      </w:r>
      <w:r w:rsidRPr="00217EFC">
        <w:rPr>
          <w:rFonts w:eastAsia="Calibri"/>
          <w:color w:val="000000"/>
          <w:sz w:val="22"/>
          <w:szCs w:val="22"/>
          <w:lang w:val="fr-CA" w:eastAsia="en-US"/>
        </w:rPr>
        <w:t xml:space="preserve">e divers entrepreneurs de l’époque. L’édition de 1921 </w:t>
      </w:r>
      <w:r>
        <w:rPr>
          <w:rFonts w:eastAsia="Calibri"/>
          <w:color w:val="000000"/>
          <w:sz w:val="22"/>
          <w:szCs w:val="22"/>
          <w:lang w:val="fr-CA" w:eastAsia="en-US"/>
        </w:rPr>
        <w:t xml:space="preserve">nous intéresse </w:t>
      </w:r>
      <w:r w:rsidRPr="00217EFC">
        <w:rPr>
          <w:rFonts w:eastAsia="Calibri"/>
          <w:color w:val="000000"/>
          <w:sz w:val="22"/>
          <w:szCs w:val="22"/>
          <w:lang w:val="fr-CA" w:eastAsia="en-US"/>
        </w:rPr>
        <w:t>particulièrement</w:t>
      </w:r>
      <w:r>
        <w:rPr>
          <w:rFonts w:eastAsia="Calibri"/>
          <w:color w:val="000000"/>
          <w:sz w:val="22"/>
          <w:szCs w:val="22"/>
          <w:lang w:val="fr-CA" w:eastAsia="en-US"/>
        </w:rPr>
        <w:t xml:space="preserve">, </w:t>
      </w:r>
      <w:r w:rsidRPr="00217EFC">
        <w:rPr>
          <w:rFonts w:eastAsia="Calibri"/>
          <w:color w:val="000000"/>
          <w:sz w:val="22"/>
          <w:szCs w:val="22"/>
          <w:lang w:val="fr-CA" w:eastAsia="en-US"/>
        </w:rPr>
        <w:t>car pour chaque paroisse, Bélanger inscri</w:t>
      </w:r>
      <w:r w:rsidRPr="00217EFC">
        <w:rPr>
          <w:rFonts w:eastAsia="Calibri"/>
          <w:sz w:val="22"/>
          <w:szCs w:val="22"/>
          <w:lang w:val="fr-CA" w:eastAsia="en-US"/>
        </w:rPr>
        <w:t xml:space="preserve">t </w:t>
      </w:r>
      <w:r w:rsidRPr="00217EFC">
        <w:rPr>
          <w:rFonts w:eastAsia="Calibri"/>
          <w:color w:val="000000"/>
          <w:sz w:val="22"/>
          <w:szCs w:val="22"/>
          <w:lang w:val="fr-CA" w:eastAsia="en-US"/>
        </w:rPr>
        <w:t xml:space="preserve">le nombre de Franco-Américains qui </w:t>
      </w:r>
      <w:r>
        <w:rPr>
          <w:rFonts w:eastAsia="Calibri"/>
          <w:color w:val="000000"/>
          <w:sz w:val="22"/>
          <w:szCs w:val="22"/>
          <w:lang w:val="fr-CA" w:eastAsia="en-US"/>
        </w:rPr>
        <w:t xml:space="preserve">ont </w:t>
      </w:r>
      <w:r w:rsidRPr="00217EFC">
        <w:rPr>
          <w:rFonts w:eastAsia="Calibri"/>
          <w:color w:val="000000"/>
          <w:sz w:val="22"/>
          <w:szCs w:val="22"/>
          <w:lang w:val="fr-CA" w:eastAsia="en-US"/>
        </w:rPr>
        <w:t>participé au conflit. De plus, en annexe, Bélanger inclut une liste nominative des volontaires et leur grade pour chaque communauté</w:t>
      </w:r>
      <w:r>
        <w:rPr>
          <w:rFonts w:eastAsia="Calibri"/>
          <w:color w:val="000000"/>
          <w:sz w:val="22"/>
          <w:szCs w:val="22"/>
          <w:lang w:val="fr-CA" w:eastAsia="en-US"/>
        </w:rPr>
        <w:t xml:space="preserve"> franco-américaine</w:t>
      </w:r>
      <w:r w:rsidRPr="00217EFC">
        <w:rPr>
          <w:rFonts w:eastAsia="Calibri"/>
          <w:color w:val="000000"/>
          <w:sz w:val="22"/>
          <w:szCs w:val="22"/>
          <w:lang w:val="fr-CA" w:eastAsia="en-US"/>
        </w:rPr>
        <w:t>. Toutefois, il est difficile pour le chercheur d</w:t>
      </w:r>
      <w:r>
        <w:rPr>
          <w:rFonts w:eastAsia="Calibri"/>
          <w:color w:val="000000"/>
          <w:sz w:val="22"/>
          <w:szCs w:val="22"/>
          <w:lang w:val="fr-CA" w:eastAsia="en-US"/>
        </w:rPr>
        <w:t>’</w:t>
      </w:r>
      <w:r w:rsidRPr="00217EFC">
        <w:rPr>
          <w:rFonts w:eastAsia="Calibri"/>
          <w:color w:val="000000"/>
          <w:sz w:val="22"/>
          <w:szCs w:val="22"/>
          <w:lang w:val="fr-CA" w:eastAsia="en-US"/>
        </w:rPr>
        <w:t>évaluer l’authenticité de la méthode de travail et de</w:t>
      </w:r>
      <w:r>
        <w:rPr>
          <w:rFonts w:eastAsia="Calibri"/>
          <w:color w:val="000000"/>
          <w:sz w:val="22"/>
          <w:szCs w:val="22"/>
          <w:lang w:val="fr-CA" w:eastAsia="en-US"/>
        </w:rPr>
        <w:t xml:space="preserve"> la </w:t>
      </w:r>
      <w:r w:rsidRPr="00217EFC">
        <w:rPr>
          <w:rFonts w:eastAsia="Calibri"/>
          <w:color w:val="000000"/>
          <w:sz w:val="22"/>
          <w:szCs w:val="22"/>
          <w:lang w:val="fr-CA" w:eastAsia="en-US"/>
        </w:rPr>
        <w:t>cueillette des données employées par Bélanger.</w:t>
      </w:r>
      <w:r>
        <w:rPr>
          <w:rFonts w:eastAsia="Calibri"/>
          <w:color w:val="000000"/>
          <w:sz w:val="22"/>
          <w:szCs w:val="22"/>
          <w:lang w:val="fr-CA" w:eastAsia="en-US"/>
        </w:rPr>
        <w:t xml:space="preserve"> Néanmoins, nous savons qu’il écrivait aux différentes paroisses et municipalités afin d’obtenir des informations.</w:t>
      </w:r>
    </w:p>
    <w:p w14:paraId="6721637B" w14:textId="77777777" w:rsidR="000264D6" w:rsidRPr="00217EFC" w:rsidRDefault="000264D6" w:rsidP="002B5319">
      <w:pPr>
        <w:spacing w:before="100" w:beforeAutospacing="1" w:after="100" w:afterAutospacing="1"/>
        <w:ind w:firstLine="720"/>
        <w:jc w:val="both"/>
        <w:rPr>
          <w:rFonts w:eastAsia="Calibri"/>
          <w:color w:val="000000"/>
          <w:sz w:val="22"/>
          <w:szCs w:val="22"/>
          <w:lang w:val="fr-CA" w:eastAsia="en-US"/>
        </w:rPr>
      </w:pPr>
      <w:r w:rsidRPr="00217EFC">
        <w:rPr>
          <w:rFonts w:eastAsia="Calibri"/>
          <w:color w:val="000000"/>
          <w:sz w:val="22"/>
          <w:szCs w:val="22"/>
          <w:lang w:val="fr-CA" w:eastAsia="en-US"/>
        </w:rPr>
        <w:lastRenderedPageBreak/>
        <w:t xml:space="preserve">Le deuxième document, </w:t>
      </w:r>
      <w:r>
        <w:rPr>
          <w:rFonts w:eastAsia="Calibri"/>
          <w:color w:val="000000"/>
          <w:sz w:val="22"/>
          <w:szCs w:val="22"/>
          <w:lang w:val="fr-CA" w:eastAsia="en-US"/>
        </w:rPr>
        <w:t xml:space="preserve">nous en avons </w:t>
      </w:r>
      <w:r w:rsidRPr="00217EFC">
        <w:rPr>
          <w:rFonts w:eastAsia="Calibri"/>
          <w:color w:val="000000"/>
          <w:sz w:val="22"/>
          <w:szCs w:val="22"/>
          <w:lang w:val="fr-CA" w:eastAsia="en-US"/>
        </w:rPr>
        <w:t>déjà parlé, est une monographie portant sur la contribution des Franco-Américains de la ville de Woonsocket, Rhode Island, pendant la Première Guerre mondiale. Cet</w:t>
      </w:r>
      <w:r>
        <w:rPr>
          <w:rFonts w:eastAsia="Calibri"/>
          <w:color w:val="000000"/>
          <w:sz w:val="22"/>
          <w:szCs w:val="22"/>
          <w:lang w:val="fr-CA" w:eastAsia="en-US"/>
        </w:rPr>
        <w:t xml:space="preserve"> essai </w:t>
      </w:r>
      <w:r w:rsidRPr="00217EFC">
        <w:rPr>
          <w:rFonts w:eastAsia="Calibri"/>
          <w:color w:val="000000"/>
          <w:sz w:val="22"/>
          <w:szCs w:val="22"/>
          <w:lang w:val="fr-CA" w:eastAsia="en-US"/>
        </w:rPr>
        <w:t>est publié par Bernard Lemelin, en 1987, dans le cadre d’un mémoire de maîtrise</w:t>
      </w:r>
      <w:r w:rsidRPr="00217EFC">
        <w:rPr>
          <w:rStyle w:val="FootnoteReference"/>
          <w:rFonts w:eastAsia="Calibri"/>
          <w:color w:val="000000"/>
          <w:sz w:val="22"/>
          <w:szCs w:val="22"/>
          <w:lang w:val="fr-CA" w:eastAsia="en-US"/>
        </w:rPr>
        <w:footnoteReference w:id="27"/>
      </w:r>
      <w:r w:rsidRPr="00217EFC">
        <w:rPr>
          <w:rFonts w:eastAsia="Calibri"/>
          <w:color w:val="000000"/>
          <w:sz w:val="22"/>
          <w:szCs w:val="22"/>
          <w:lang w:val="fr-CA" w:eastAsia="en-US"/>
        </w:rPr>
        <w:t>.</w:t>
      </w:r>
      <w:r>
        <w:rPr>
          <w:rFonts w:eastAsia="Calibri"/>
          <w:color w:val="000000"/>
          <w:sz w:val="22"/>
          <w:szCs w:val="22"/>
          <w:lang w:val="fr-CA" w:eastAsia="en-US"/>
        </w:rPr>
        <w:t xml:space="preserve"> </w:t>
      </w:r>
      <w:r w:rsidRPr="00217EFC">
        <w:rPr>
          <w:rFonts w:eastAsia="Calibri"/>
          <w:color w:val="000000"/>
          <w:sz w:val="22"/>
          <w:szCs w:val="22"/>
          <w:lang w:val="fr-CA" w:eastAsia="en-US"/>
        </w:rPr>
        <w:t>Sa thèse port</w:t>
      </w:r>
      <w:r>
        <w:rPr>
          <w:rFonts w:eastAsia="Calibri"/>
          <w:color w:val="000000"/>
          <w:sz w:val="22"/>
          <w:szCs w:val="22"/>
          <w:lang w:val="fr-CA" w:eastAsia="en-US"/>
        </w:rPr>
        <w:t xml:space="preserve">e </w:t>
      </w:r>
      <w:r w:rsidRPr="00217EFC">
        <w:rPr>
          <w:rFonts w:eastAsia="Calibri"/>
          <w:color w:val="000000"/>
          <w:sz w:val="22"/>
          <w:szCs w:val="22"/>
          <w:lang w:val="fr-CA" w:eastAsia="en-US"/>
        </w:rPr>
        <w:t>sur l’analyse du comportement</w:t>
      </w:r>
      <w:r>
        <w:rPr>
          <w:rFonts w:eastAsia="Calibri"/>
          <w:color w:val="000000"/>
          <w:sz w:val="22"/>
          <w:szCs w:val="22"/>
          <w:lang w:val="fr-CA" w:eastAsia="en-US"/>
        </w:rPr>
        <w:t xml:space="preserve"> patriotique </w:t>
      </w:r>
      <w:r w:rsidRPr="00217EFC">
        <w:rPr>
          <w:rFonts w:eastAsia="Calibri"/>
          <w:color w:val="000000"/>
          <w:sz w:val="22"/>
          <w:szCs w:val="22"/>
          <w:lang w:val="fr-CA" w:eastAsia="en-US"/>
        </w:rPr>
        <w:t>de cette communauté</w:t>
      </w:r>
      <w:r>
        <w:rPr>
          <w:rFonts w:eastAsia="Calibri"/>
          <w:color w:val="000000"/>
          <w:sz w:val="22"/>
          <w:szCs w:val="22"/>
          <w:lang w:val="fr-CA" w:eastAsia="en-US"/>
        </w:rPr>
        <w:t xml:space="preserve"> et sur </w:t>
      </w:r>
      <w:r w:rsidRPr="00217EFC">
        <w:rPr>
          <w:rFonts w:eastAsia="Calibri"/>
          <w:color w:val="000000"/>
          <w:sz w:val="22"/>
          <w:szCs w:val="22"/>
          <w:lang w:val="fr-CA" w:eastAsia="en-US"/>
        </w:rPr>
        <w:t>l’étud</w:t>
      </w:r>
      <w:r>
        <w:rPr>
          <w:rFonts w:eastAsia="Calibri"/>
          <w:color w:val="000000"/>
          <w:sz w:val="22"/>
          <w:szCs w:val="22"/>
          <w:lang w:val="fr-CA" w:eastAsia="en-US"/>
        </w:rPr>
        <w:t>e</w:t>
      </w:r>
      <w:r w:rsidRPr="00217EFC">
        <w:rPr>
          <w:rFonts w:eastAsia="Calibri"/>
          <w:color w:val="000000"/>
          <w:sz w:val="22"/>
          <w:szCs w:val="22"/>
          <w:lang w:val="fr-CA" w:eastAsia="en-US"/>
        </w:rPr>
        <w:t xml:space="preserve"> des commentaires de Gustave Hurel</w:t>
      </w:r>
      <w:r>
        <w:rPr>
          <w:rFonts w:eastAsia="Calibri"/>
          <w:color w:val="000000"/>
          <w:sz w:val="22"/>
          <w:szCs w:val="22"/>
          <w:lang w:val="fr-CA" w:eastAsia="en-US"/>
        </w:rPr>
        <w:t xml:space="preserve">, </w:t>
      </w:r>
      <w:r w:rsidRPr="00217EFC">
        <w:rPr>
          <w:rFonts w:eastAsia="Calibri"/>
          <w:color w:val="000000"/>
          <w:sz w:val="22"/>
          <w:szCs w:val="22"/>
          <w:lang w:val="fr-CA" w:eastAsia="en-US"/>
        </w:rPr>
        <w:t xml:space="preserve">un émigrant français, l’éditorialiste du journal </w:t>
      </w:r>
      <w:r w:rsidRPr="00217EFC">
        <w:rPr>
          <w:rFonts w:eastAsia="Calibri"/>
          <w:i/>
          <w:color w:val="000000"/>
          <w:sz w:val="22"/>
          <w:szCs w:val="22"/>
          <w:lang w:val="fr-CA" w:eastAsia="en-US"/>
        </w:rPr>
        <w:t xml:space="preserve">La Tribune </w:t>
      </w:r>
      <w:r w:rsidRPr="00217EFC">
        <w:rPr>
          <w:rFonts w:eastAsia="Calibri"/>
          <w:color w:val="000000"/>
          <w:sz w:val="22"/>
          <w:szCs w:val="22"/>
          <w:lang w:val="fr-CA" w:eastAsia="en-US"/>
        </w:rPr>
        <w:t>de Woonsocket,</w:t>
      </w:r>
      <w:r w:rsidRPr="00217EFC">
        <w:rPr>
          <w:rFonts w:eastAsia="Calibri"/>
          <w:i/>
          <w:color w:val="000000"/>
          <w:sz w:val="22"/>
          <w:szCs w:val="22"/>
          <w:lang w:val="fr-CA" w:eastAsia="en-US"/>
        </w:rPr>
        <w:t xml:space="preserve"> </w:t>
      </w:r>
      <w:r w:rsidRPr="00217EFC">
        <w:rPr>
          <w:rFonts w:eastAsia="Calibri"/>
          <w:color w:val="000000"/>
          <w:sz w:val="22"/>
          <w:szCs w:val="22"/>
          <w:lang w:val="fr-CA" w:eastAsia="en-US"/>
        </w:rPr>
        <w:t>pendant toute la période du conflit.</w:t>
      </w:r>
      <w:r>
        <w:rPr>
          <w:rFonts w:eastAsia="Calibri"/>
          <w:color w:val="000000"/>
          <w:sz w:val="22"/>
          <w:szCs w:val="22"/>
          <w:lang w:val="fr-CA" w:eastAsia="en-US"/>
        </w:rPr>
        <w:t xml:space="preserve"> </w:t>
      </w:r>
      <w:r w:rsidRPr="00217EFC">
        <w:rPr>
          <w:rFonts w:eastAsia="Calibri"/>
          <w:sz w:val="22"/>
          <w:szCs w:val="22"/>
          <w:lang w:val="fr-CA" w:eastAsia="en-US"/>
        </w:rPr>
        <w:t xml:space="preserve">Pour Lemelin, </w:t>
      </w:r>
      <w:r w:rsidRPr="00217EFC">
        <w:rPr>
          <w:rFonts w:eastAsia="Calibri"/>
          <w:i/>
          <w:color w:val="000000"/>
          <w:sz w:val="22"/>
          <w:szCs w:val="22"/>
          <w:lang w:val="fr-CA" w:eastAsia="en-US"/>
        </w:rPr>
        <w:t>La Tribune</w:t>
      </w:r>
      <w:r w:rsidRPr="00217EFC">
        <w:rPr>
          <w:rFonts w:eastAsia="Calibri"/>
          <w:color w:val="000000"/>
          <w:sz w:val="22"/>
          <w:szCs w:val="22"/>
          <w:lang w:val="fr-CA" w:eastAsia="en-US"/>
        </w:rPr>
        <w:t xml:space="preserve"> </w:t>
      </w:r>
      <w:r>
        <w:rPr>
          <w:rFonts w:eastAsia="Calibri"/>
          <w:color w:val="000000"/>
          <w:sz w:val="22"/>
          <w:szCs w:val="22"/>
          <w:lang w:val="fr-CA" w:eastAsia="en-US"/>
        </w:rPr>
        <w:t xml:space="preserve">a été </w:t>
      </w:r>
      <w:r w:rsidRPr="00217EFC">
        <w:rPr>
          <w:rFonts w:eastAsia="Calibri"/>
          <w:sz w:val="22"/>
          <w:szCs w:val="22"/>
          <w:lang w:val="fr-CA" w:eastAsia="en-US"/>
        </w:rPr>
        <w:t>l</w:t>
      </w:r>
      <w:r w:rsidRPr="00217EFC">
        <w:rPr>
          <w:rFonts w:eastAsia="Calibri"/>
          <w:color w:val="000000"/>
          <w:sz w:val="22"/>
          <w:szCs w:val="22"/>
          <w:lang w:val="fr-CA" w:eastAsia="en-US"/>
        </w:rPr>
        <w:t xml:space="preserve">’outil principal </w:t>
      </w:r>
      <w:r>
        <w:rPr>
          <w:rFonts w:eastAsia="Calibri"/>
          <w:sz w:val="22"/>
          <w:szCs w:val="22"/>
          <w:lang w:val="fr-CA" w:eastAsia="en-US"/>
        </w:rPr>
        <w:t xml:space="preserve">d’évaluation de </w:t>
      </w:r>
      <w:r w:rsidRPr="00217EFC">
        <w:rPr>
          <w:rFonts w:eastAsia="Calibri"/>
          <w:color w:val="000000"/>
          <w:sz w:val="22"/>
          <w:szCs w:val="22"/>
          <w:lang w:val="fr-CA" w:eastAsia="en-US"/>
        </w:rPr>
        <w:t xml:space="preserve">la contribution des Franco-Américains aux œuvres de bienfaisance et à l’effort de guerre, tant </w:t>
      </w:r>
      <w:r>
        <w:rPr>
          <w:rFonts w:eastAsia="Calibri"/>
          <w:color w:val="000000"/>
          <w:sz w:val="22"/>
          <w:szCs w:val="22"/>
          <w:lang w:val="fr-CA" w:eastAsia="en-US"/>
        </w:rPr>
        <w:t xml:space="preserve">en </w:t>
      </w:r>
      <w:r w:rsidRPr="00217EFC">
        <w:rPr>
          <w:rFonts w:eastAsia="Calibri"/>
          <w:color w:val="000000"/>
          <w:sz w:val="22"/>
          <w:szCs w:val="22"/>
          <w:lang w:val="fr-CA" w:eastAsia="en-US"/>
        </w:rPr>
        <w:t>volontaires qu’en soutien financier lors des campagnes de financement de la guerre</w:t>
      </w:r>
      <w:r>
        <w:rPr>
          <w:rFonts w:eastAsia="Calibri"/>
          <w:color w:val="000000"/>
          <w:sz w:val="22"/>
          <w:szCs w:val="22"/>
          <w:lang w:val="fr-CA" w:eastAsia="en-US"/>
        </w:rPr>
        <w:t> (</w:t>
      </w:r>
      <w:r w:rsidRPr="00217EFC">
        <w:rPr>
          <w:rFonts w:eastAsia="Calibri"/>
          <w:color w:val="000000"/>
          <w:sz w:val="22"/>
          <w:szCs w:val="22"/>
          <w:lang w:val="fr-CA" w:eastAsia="en-US"/>
        </w:rPr>
        <w:t>les emprunts de la guerre du gouvernement américain</w:t>
      </w:r>
      <w:r>
        <w:rPr>
          <w:rFonts w:eastAsia="Calibri"/>
          <w:color w:val="000000"/>
          <w:sz w:val="22"/>
          <w:szCs w:val="22"/>
          <w:lang w:val="fr-CA" w:eastAsia="en-US"/>
        </w:rPr>
        <w:t>)</w:t>
      </w:r>
      <w:r w:rsidRPr="00217EFC">
        <w:rPr>
          <w:rFonts w:eastAsia="Calibri"/>
          <w:color w:val="000000"/>
          <w:sz w:val="22"/>
          <w:szCs w:val="22"/>
          <w:lang w:val="fr-CA" w:eastAsia="en-US"/>
        </w:rPr>
        <w:t xml:space="preserve"> et </w:t>
      </w:r>
      <w:r>
        <w:rPr>
          <w:rFonts w:eastAsia="Calibri"/>
          <w:color w:val="000000"/>
          <w:sz w:val="22"/>
          <w:szCs w:val="22"/>
          <w:lang w:val="fr-CA" w:eastAsia="en-US"/>
        </w:rPr>
        <w:t xml:space="preserve">les campagnes </w:t>
      </w:r>
      <w:r w:rsidRPr="00217EFC">
        <w:rPr>
          <w:rFonts w:eastAsia="Calibri"/>
          <w:color w:val="000000"/>
          <w:sz w:val="22"/>
          <w:szCs w:val="22"/>
          <w:lang w:val="fr-CA" w:eastAsia="en-US"/>
        </w:rPr>
        <w:t>de la Croix-Rouge.</w:t>
      </w:r>
    </w:p>
    <w:p w14:paraId="06F25C99" w14:textId="77777777" w:rsidR="000264D6" w:rsidRPr="00217EFC" w:rsidRDefault="000264D6" w:rsidP="00C27DBC">
      <w:pPr>
        <w:spacing w:before="100" w:beforeAutospacing="1" w:after="100" w:afterAutospacing="1"/>
        <w:jc w:val="both"/>
        <w:rPr>
          <w:b/>
          <w:sz w:val="22"/>
          <w:szCs w:val="22"/>
          <w:lang w:val="fr-CA"/>
        </w:rPr>
      </w:pPr>
      <w:r>
        <w:rPr>
          <w:b/>
          <w:sz w:val="22"/>
          <w:szCs w:val="22"/>
          <w:u w:val="single"/>
          <w:lang w:val="fr-CA"/>
        </w:rPr>
        <w:br w:type="page"/>
      </w:r>
      <w:r w:rsidRPr="00217EFC">
        <w:rPr>
          <w:b/>
          <w:sz w:val="22"/>
          <w:szCs w:val="22"/>
          <w:u w:val="single"/>
          <w:lang w:val="fr-CA"/>
        </w:rPr>
        <w:lastRenderedPageBreak/>
        <w:t>Deuxième chapitre</w:t>
      </w:r>
      <w:r w:rsidRPr="00217EFC">
        <w:rPr>
          <w:b/>
          <w:sz w:val="22"/>
          <w:szCs w:val="22"/>
          <w:lang w:val="fr-CA"/>
        </w:rPr>
        <w:t> :</w:t>
      </w:r>
      <w:r>
        <w:rPr>
          <w:b/>
          <w:sz w:val="22"/>
          <w:szCs w:val="22"/>
          <w:lang w:val="fr-CA"/>
        </w:rPr>
        <w:t xml:space="preserve"> </w:t>
      </w:r>
      <w:r w:rsidRPr="00217EFC">
        <w:rPr>
          <w:b/>
          <w:sz w:val="22"/>
          <w:szCs w:val="22"/>
          <w:lang w:val="fr-CA"/>
        </w:rPr>
        <w:t>Situation sociopolitique des Franco-Américains en Nouvelle-Angleterre au début du XX</w:t>
      </w:r>
      <w:r w:rsidRPr="00217EFC">
        <w:rPr>
          <w:b/>
          <w:sz w:val="22"/>
          <w:szCs w:val="22"/>
          <w:vertAlign w:val="superscript"/>
          <w:lang w:val="fr-CA"/>
        </w:rPr>
        <w:t>e</w:t>
      </w:r>
      <w:r w:rsidRPr="00217EFC">
        <w:rPr>
          <w:b/>
          <w:sz w:val="22"/>
          <w:szCs w:val="22"/>
          <w:lang w:val="fr-CA"/>
        </w:rPr>
        <w:t xml:space="preserve"> siècle</w:t>
      </w:r>
    </w:p>
    <w:p w14:paraId="1AD7172D" w14:textId="77777777" w:rsidR="000264D6" w:rsidRPr="00734BEC" w:rsidRDefault="000264D6" w:rsidP="00505A05">
      <w:pPr>
        <w:spacing w:before="100" w:beforeAutospacing="1" w:after="100" w:afterAutospacing="1"/>
        <w:rPr>
          <w:rFonts w:eastAsia="Calibri"/>
          <w:b/>
          <w:bCs/>
          <w:sz w:val="22"/>
          <w:szCs w:val="22"/>
          <w:lang w:val="fr-CA"/>
        </w:rPr>
      </w:pPr>
      <w:bookmarkStart w:id="3" w:name="_Hlk27837676"/>
      <w:r w:rsidRPr="00734BEC">
        <w:rPr>
          <w:rFonts w:eastAsia="Calibri"/>
          <w:b/>
          <w:bCs/>
          <w:sz w:val="22"/>
          <w:szCs w:val="22"/>
          <w:lang w:val="fr-CA"/>
        </w:rPr>
        <w:t>Rétrospective historique des vagues d’émigration canadiennes-françaises</w:t>
      </w:r>
      <w:r>
        <w:rPr>
          <w:rFonts w:eastAsia="Calibri"/>
          <w:b/>
          <w:bCs/>
          <w:sz w:val="22"/>
          <w:szCs w:val="22"/>
          <w:lang w:val="fr-CA"/>
        </w:rPr>
        <w:t xml:space="preserve"> </w:t>
      </w:r>
      <w:r w:rsidRPr="00734BEC">
        <w:rPr>
          <w:rFonts w:eastAsia="Calibri"/>
          <w:b/>
          <w:bCs/>
          <w:sz w:val="22"/>
          <w:szCs w:val="22"/>
          <w:lang w:val="fr-CA"/>
        </w:rPr>
        <w:t>lors du XIX</w:t>
      </w:r>
      <w:r w:rsidRPr="00734BEC">
        <w:rPr>
          <w:rFonts w:eastAsia="Calibri"/>
          <w:b/>
          <w:bCs/>
          <w:sz w:val="22"/>
          <w:szCs w:val="22"/>
          <w:vertAlign w:val="superscript"/>
          <w:lang w:val="fr-CA"/>
        </w:rPr>
        <w:t xml:space="preserve">e </w:t>
      </w:r>
      <w:r w:rsidRPr="00734BEC">
        <w:rPr>
          <w:rFonts w:eastAsia="Calibri"/>
          <w:b/>
          <w:bCs/>
          <w:sz w:val="22"/>
          <w:szCs w:val="22"/>
          <w:lang w:val="fr-CA"/>
        </w:rPr>
        <w:t>et durant le début du XX</w:t>
      </w:r>
      <w:r w:rsidRPr="00734BEC">
        <w:rPr>
          <w:rFonts w:eastAsia="Calibri"/>
          <w:b/>
          <w:bCs/>
          <w:sz w:val="22"/>
          <w:szCs w:val="22"/>
          <w:vertAlign w:val="superscript"/>
          <w:lang w:val="fr-CA"/>
        </w:rPr>
        <w:t xml:space="preserve">e </w:t>
      </w:r>
      <w:r w:rsidRPr="00734BEC">
        <w:rPr>
          <w:rFonts w:eastAsia="Calibri"/>
          <w:b/>
          <w:bCs/>
          <w:sz w:val="22"/>
          <w:szCs w:val="22"/>
          <w:lang w:val="fr-CA"/>
        </w:rPr>
        <w:t>siècle en Nouvelle-Angleterre</w:t>
      </w:r>
    </w:p>
    <w:bookmarkEnd w:id="3"/>
    <w:p w14:paraId="48A0D8A9"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Dans le contexte global de l’immigration américaine, les Canadiens français qui s</w:t>
      </w:r>
      <w:r>
        <w:rPr>
          <w:rFonts w:eastAsia="Calibri"/>
          <w:sz w:val="22"/>
          <w:szCs w:val="22"/>
          <w:lang w:val="fr-CA" w:eastAsia="en-US"/>
        </w:rPr>
        <w:t xml:space="preserve">’établissent </w:t>
      </w:r>
      <w:r w:rsidRPr="00217EFC">
        <w:rPr>
          <w:rFonts w:eastAsia="Calibri"/>
          <w:sz w:val="22"/>
          <w:szCs w:val="22"/>
          <w:lang w:val="fr-CA" w:eastAsia="en-US"/>
        </w:rPr>
        <w:t xml:space="preserve">en Nouvelle-Angleterre </w:t>
      </w:r>
      <w:r>
        <w:rPr>
          <w:rFonts w:eastAsia="Calibri"/>
          <w:sz w:val="22"/>
          <w:szCs w:val="22"/>
          <w:lang w:val="fr-CA" w:eastAsia="en-US"/>
        </w:rPr>
        <w:t xml:space="preserve">ne </w:t>
      </w:r>
      <w:r w:rsidRPr="00217EFC">
        <w:rPr>
          <w:rFonts w:eastAsia="Calibri"/>
          <w:sz w:val="22"/>
          <w:szCs w:val="22"/>
          <w:lang w:val="fr-CA" w:eastAsia="en-US"/>
        </w:rPr>
        <w:t>représentent qu’un demi-pour</w:t>
      </w:r>
      <w:r w:rsidR="00C35903">
        <w:rPr>
          <w:rFonts w:eastAsia="Calibri"/>
          <w:sz w:val="22"/>
          <w:szCs w:val="22"/>
          <w:lang w:val="fr-CA" w:eastAsia="en-US"/>
        </w:rPr>
        <w:t xml:space="preserve"> </w:t>
      </w:r>
      <w:r w:rsidRPr="00217EFC">
        <w:rPr>
          <w:rFonts w:eastAsia="Calibri"/>
          <w:sz w:val="22"/>
          <w:szCs w:val="22"/>
          <w:lang w:val="fr-CA" w:eastAsia="en-US"/>
        </w:rPr>
        <w:t xml:space="preserve">cent du flux migratoire total sur les </w:t>
      </w:r>
      <w:r w:rsidRPr="00C726C8">
        <w:rPr>
          <w:rFonts w:eastAsia="Calibri"/>
          <w:bCs/>
          <w:sz w:val="22"/>
          <w:lang w:val="fr-CA"/>
        </w:rPr>
        <w:t>22</w:t>
      </w:r>
      <w:r w:rsidR="00C35903">
        <w:rPr>
          <w:rFonts w:eastAsia="Calibri"/>
          <w:bCs/>
          <w:sz w:val="22"/>
          <w:szCs w:val="22"/>
          <w:lang w:val="fr-CA" w:eastAsia="en-US"/>
        </w:rPr>
        <w:t> </w:t>
      </w:r>
      <w:r w:rsidRPr="00C726C8">
        <w:rPr>
          <w:rFonts w:eastAsia="Calibri"/>
          <w:bCs/>
          <w:sz w:val="22"/>
          <w:szCs w:val="22"/>
          <w:lang w:val="fr-CA" w:eastAsia="en-US"/>
        </w:rPr>
        <w:t>860</w:t>
      </w:r>
      <w:r w:rsidRPr="00217EFC">
        <w:rPr>
          <w:rFonts w:eastAsia="Calibri"/>
          <w:sz w:val="22"/>
          <w:szCs w:val="22"/>
          <w:lang w:val="fr-CA" w:eastAsia="en-US"/>
        </w:rPr>
        <w:t xml:space="preserve"> millions </w:t>
      </w:r>
      <w:r>
        <w:rPr>
          <w:rFonts w:eastAsia="Calibri"/>
          <w:sz w:val="22"/>
          <w:szCs w:val="22"/>
          <w:lang w:val="fr-CA" w:eastAsia="en-US"/>
        </w:rPr>
        <w:t xml:space="preserve">de </w:t>
      </w:r>
      <w:r w:rsidRPr="00217EFC">
        <w:rPr>
          <w:rFonts w:eastAsia="Calibri"/>
          <w:sz w:val="22"/>
          <w:szCs w:val="22"/>
          <w:lang w:val="fr-CA" w:eastAsia="en-US"/>
        </w:rPr>
        <w:t>personnes qui se sont établi</w:t>
      </w:r>
      <w:r>
        <w:rPr>
          <w:rFonts w:eastAsia="Calibri"/>
          <w:sz w:val="22"/>
          <w:szCs w:val="22"/>
          <w:lang w:val="fr-CA" w:eastAsia="en-US"/>
        </w:rPr>
        <w:t>e</w:t>
      </w:r>
      <w:r w:rsidRPr="00217EFC">
        <w:rPr>
          <w:rFonts w:eastAsia="Calibri"/>
          <w:sz w:val="22"/>
          <w:szCs w:val="22"/>
          <w:lang w:val="fr-CA" w:eastAsia="en-US"/>
        </w:rPr>
        <w:t>s aux États-Unis, entre 1860 et 1910</w:t>
      </w:r>
      <w:r w:rsidRPr="00217EFC">
        <w:rPr>
          <w:rStyle w:val="FootnoteReference"/>
          <w:rFonts w:eastAsia="Calibri"/>
          <w:sz w:val="22"/>
          <w:szCs w:val="22"/>
          <w:lang w:val="fr-CA" w:eastAsia="en-US"/>
        </w:rPr>
        <w:footnoteReference w:id="28"/>
      </w:r>
      <w:r w:rsidRPr="00217EFC">
        <w:rPr>
          <w:rFonts w:eastAsia="Calibri"/>
          <w:sz w:val="22"/>
          <w:szCs w:val="22"/>
          <w:lang w:val="fr-CA" w:eastAsia="en-US"/>
        </w:rPr>
        <w:t xml:space="preserve">. Ce n’est vraiment qu’après 1865, avec </w:t>
      </w:r>
      <w:r w:rsidRPr="00C726C8">
        <w:rPr>
          <w:rFonts w:eastAsia="Calibri"/>
          <w:bCs/>
          <w:sz w:val="22"/>
          <w:szCs w:val="22"/>
          <w:lang w:val="fr-CA" w:eastAsia="en-US"/>
        </w:rPr>
        <w:t>la seconde vague</w:t>
      </w:r>
      <w:r w:rsidRPr="00C726C8">
        <w:rPr>
          <w:rFonts w:eastAsia="Calibri"/>
          <w:bCs/>
          <w:sz w:val="22"/>
          <w:lang w:val="fr-CA"/>
        </w:rPr>
        <w:t xml:space="preserve"> de l’industrialisation</w:t>
      </w:r>
      <w:r w:rsidRPr="00217EFC">
        <w:rPr>
          <w:rFonts w:eastAsia="Calibri"/>
          <w:sz w:val="22"/>
          <w:szCs w:val="22"/>
          <w:lang w:val="fr-CA" w:eastAsia="en-US"/>
        </w:rPr>
        <w:t xml:space="preserve"> aux États-Unis, que les Canadiens français commencent à émigrer en grand nombre et de manière plus permanente vers les centres urbains de la Nouvelle-Angleterre. Préalablement à cette époque, durant la première moitié du XIX</w:t>
      </w:r>
      <w:r w:rsidRPr="00217EFC">
        <w:rPr>
          <w:rFonts w:eastAsia="Calibri"/>
          <w:sz w:val="22"/>
          <w:szCs w:val="22"/>
          <w:vertAlign w:val="superscript"/>
          <w:lang w:val="fr-CA" w:eastAsia="en-US"/>
        </w:rPr>
        <w:t>e</w:t>
      </w:r>
      <w:r w:rsidRPr="00217EFC">
        <w:rPr>
          <w:rFonts w:eastAsia="Calibri"/>
          <w:sz w:val="22"/>
          <w:szCs w:val="22"/>
          <w:lang w:val="fr-CA" w:eastAsia="en-US"/>
        </w:rPr>
        <w:t xml:space="preserve"> siècle, on parle plutôt de migrations </w:t>
      </w:r>
      <w:r w:rsidRPr="00C726C8">
        <w:rPr>
          <w:rFonts w:eastAsia="Calibri"/>
          <w:sz w:val="22"/>
          <w:szCs w:val="22"/>
          <w:lang w:val="fr-CA" w:eastAsia="en-US"/>
        </w:rPr>
        <w:t>alternantes ou temporaires</w:t>
      </w:r>
      <w:r>
        <w:rPr>
          <w:rFonts w:eastAsia="Calibri"/>
          <w:sz w:val="22"/>
          <w:szCs w:val="22"/>
          <w:lang w:val="fr-CA" w:eastAsia="en-US"/>
        </w:rPr>
        <w:t xml:space="preserve"> </w:t>
      </w:r>
      <w:r w:rsidRPr="00217EFC">
        <w:rPr>
          <w:rFonts w:eastAsia="Calibri"/>
          <w:sz w:val="22"/>
          <w:szCs w:val="22"/>
          <w:lang w:val="fr-CA" w:eastAsia="en-US"/>
        </w:rPr>
        <w:t>que d’immigration, car les déplacements des Canadiens français aux États-Unis sont de nature temporaire.</w:t>
      </w:r>
      <w:r w:rsidR="00C35903">
        <w:rPr>
          <w:rFonts w:eastAsia="Calibri"/>
          <w:sz w:val="22"/>
          <w:szCs w:val="22"/>
          <w:lang w:val="fr-CA" w:eastAsia="en-US"/>
        </w:rPr>
        <w:t xml:space="preserve"> </w:t>
      </w:r>
      <w:r w:rsidRPr="00217EFC">
        <w:rPr>
          <w:rFonts w:eastAsia="Calibri"/>
          <w:sz w:val="22"/>
          <w:szCs w:val="22"/>
          <w:lang w:val="fr-CA" w:eastAsia="en-US"/>
        </w:rPr>
        <w:t>À cet effet, l’historien américain Mason Wade qualifie cette phase comme étant «</w:t>
      </w:r>
      <w:r w:rsidR="00C35903">
        <w:rPr>
          <w:rFonts w:eastAsia="Calibri"/>
          <w:sz w:val="22"/>
          <w:szCs w:val="22"/>
          <w:lang w:val="fr-CA" w:eastAsia="en-US"/>
        </w:rPr>
        <w:t> </w:t>
      </w:r>
      <w:r w:rsidRPr="00217EFC">
        <w:rPr>
          <w:rFonts w:eastAsia="Calibri"/>
          <w:sz w:val="22"/>
          <w:szCs w:val="22"/>
          <w:lang w:val="fr-CA" w:eastAsia="en-US"/>
        </w:rPr>
        <w:t>l’âge noir de la Franco-Américanie</w:t>
      </w:r>
      <w:r w:rsidR="00C35903">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29"/>
      </w:r>
      <w:r w:rsidRPr="00217EFC">
        <w:rPr>
          <w:rFonts w:eastAsia="Calibri"/>
          <w:sz w:val="22"/>
          <w:szCs w:val="22"/>
          <w:lang w:val="fr-CA" w:eastAsia="en-US"/>
        </w:rPr>
        <w:t xml:space="preserve"> où ces immigrants sont dispersés dans l’ensemble des États-Unis et ils sont généralement regroupés en petites collectivités </w:t>
      </w:r>
      <w:r>
        <w:rPr>
          <w:rFonts w:eastAsia="Calibri"/>
          <w:sz w:val="22"/>
          <w:szCs w:val="22"/>
          <w:lang w:val="fr-CA" w:eastAsia="en-US"/>
        </w:rPr>
        <w:t xml:space="preserve">tout au plus </w:t>
      </w:r>
      <w:r w:rsidRPr="00217EFC">
        <w:rPr>
          <w:rFonts w:eastAsia="Calibri"/>
          <w:sz w:val="22"/>
          <w:szCs w:val="22"/>
          <w:lang w:val="fr-CA" w:eastAsia="en-US"/>
        </w:rPr>
        <w:t>d’une centaine de personnes</w:t>
      </w:r>
      <w:r w:rsidRPr="00217EFC">
        <w:rPr>
          <w:rStyle w:val="FootnoteReference"/>
          <w:rFonts w:eastAsia="Calibri"/>
          <w:sz w:val="22"/>
          <w:szCs w:val="22"/>
          <w:lang w:val="fr-CA" w:eastAsia="en-US"/>
        </w:rPr>
        <w:footnoteReference w:id="30"/>
      </w:r>
      <w:r w:rsidRPr="00217EFC">
        <w:rPr>
          <w:rFonts w:eastAsia="Calibri"/>
          <w:sz w:val="22"/>
          <w:szCs w:val="22"/>
          <w:lang w:val="fr-CA" w:eastAsia="en-US"/>
        </w:rPr>
        <w:t xml:space="preserve">. Or, les Canadiens français se retrouvent souvent isolés au sein d’une terre hostile à leur langue et </w:t>
      </w:r>
      <w:r>
        <w:rPr>
          <w:rFonts w:eastAsia="Calibri"/>
          <w:sz w:val="22"/>
          <w:szCs w:val="22"/>
          <w:lang w:val="fr-CA" w:eastAsia="en-US"/>
        </w:rPr>
        <w:t xml:space="preserve">à </w:t>
      </w:r>
      <w:r w:rsidRPr="00217EFC">
        <w:rPr>
          <w:rFonts w:eastAsia="Calibri"/>
          <w:sz w:val="22"/>
          <w:szCs w:val="22"/>
          <w:lang w:val="fr-CA" w:eastAsia="en-US"/>
        </w:rPr>
        <w:t xml:space="preserve">leur religion et, par conséquent, ils se sentent sans appui moral dans une société où il </w:t>
      </w:r>
      <w:r>
        <w:rPr>
          <w:rFonts w:eastAsia="Calibri"/>
          <w:sz w:val="22"/>
          <w:szCs w:val="22"/>
          <w:lang w:val="fr-CA" w:eastAsia="en-US"/>
        </w:rPr>
        <w:t xml:space="preserve">leur </w:t>
      </w:r>
      <w:r w:rsidRPr="00217EFC">
        <w:rPr>
          <w:rFonts w:eastAsia="Calibri"/>
          <w:sz w:val="22"/>
          <w:szCs w:val="22"/>
          <w:lang w:val="fr-CA" w:eastAsia="en-US"/>
        </w:rPr>
        <w:t>est difficile</w:t>
      </w:r>
      <w:r w:rsidR="00C35903">
        <w:rPr>
          <w:rFonts w:eastAsia="Calibri"/>
          <w:sz w:val="22"/>
          <w:szCs w:val="22"/>
          <w:lang w:val="fr-CA" w:eastAsia="en-US"/>
        </w:rPr>
        <w:t xml:space="preserve"> </w:t>
      </w:r>
      <w:r w:rsidRPr="00217EFC">
        <w:rPr>
          <w:rFonts w:eastAsia="Calibri"/>
          <w:sz w:val="22"/>
          <w:szCs w:val="22"/>
          <w:lang w:val="fr-CA" w:eastAsia="en-US"/>
        </w:rPr>
        <w:t>de s’intégrer. D’ailleurs, ils n’exercent aucune influence sociale ou politique, car ils se considèrent «</w:t>
      </w:r>
      <w:r w:rsidR="00C35903">
        <w:rPr>
          <w:rFonts w:eastAsia="Calibri"/>
          <w:sz w:val="22"/>
          <w:szCs w:val="22"/>
          <w:lang w:val="fr-CA" w:eastAsia="en-US"/>
        </w:rPr>
        <w:t> </w:t>
      </w:r>
      <w:r w:rsidRPr="00217EFC">
        <w:rPr>
          <w:rFonts w:eastAsia="Calibri"/>
          <w:sz w:val="22"/>
          <w:szCs w:val="22"/>
          <w:lang w:val="fr-CA" w:eastAsia="en-US"/>
        </w:rPr>
        <w:t>Canadiens français de passage aux États-Unis</w:t>
      </w:r>
      <w:r w:rsidR="00C35903">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31"/>
      </w:r>
      <w:r w:rsidRPr="00217EFC">
        <w:rPr>
          <w:rFonts w:eastAsia="Calibri"/>
          <w:sz w:val="22"/>
          <w:szCs w:val="22"/>
          <w:lang w:val="fr-CA" w:eastAsia="en-US"/>
        </w:rPr>
        <w:t xml:space="preserve">. Enfin, ils n’envisagent pas et ils n’ont surtout pas intérêt à devenir citoyens américains, car leur objectif </w:t>
      </w:r>
      <w:r>
        <w:rPr>
          <w:rFonts w:eastAsia="Calibri"/>
          <w:sz w:val="22"/>
          <w:szCs w:val="22"/>
          <w:lang w:val="fr-CA" w:eastAsia="en-US"/>
        </w:rPr>
        <w:t xml:space="preserve">ultime est </w:t>
      </w:r>
      <w:r w:rsidRPr="00217EFC">
        <w:rPr>
          <w:rFonts w:eastAsia="Calibri"/>
          <w:sz w:val="22"/>
          <w:szCs w:val="22"/>
          <w:lang w:val="fr-CA" w:eastAsia="en-US"/>
        </w:rPr>
        <w:t>d’accumuler suffisamment d’argent pour revenir au Canada et soutenir leur famille restée au pays.</w:t>
      </w:r>
    </w:p>
    <w:p w14:paraId="5DA4B7E4"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Par contraste frappant, la population canadienne</w:t>
      </w:r>
      <w:r w:rsidR="00C35903">
        <w:rPr>
          <w:rFonts w:eastAsia="Calibri"/>
          <w:sz w:val="22"/>
          <w:szCs w:val="22"/>
          <w:lang w:val="fr-CA" w:eastAsia="en-US"/>
        </w:rPr>
        <w:t>-</w:t>
      </w:r>
      <w:r w:rsidRPr="00217EFC">
        <w:rPr>
          <w:rFonts w:eastAsia="Calibri"/>
          <w:sz w:val="22"/>
          <w:szCs w:val="22"/>
          <w:lang w:val="fr-CA" w:eastAsia="en-US"/>
        </w:rPr>
        <w:t>française vivant en Nouvelle-Angleterre passe de 37</w:t>
      </w:r>
      <w:r w:rsidR="00C35903">
        <w:rPr>
          <w:rFonts w:eastAsia="Calibri"/>
          <w:sz w:val="22"/>
          <w:szCs w:val="22"/>
          <w:lang w:val="fr-CA" w:eastAsia="en-US"/>
        </w:rPr>
        <w:t> </w:t>
      </w:r>
      <w:r w:rsidRPr="00217EFC">
        <w:rPr>
          <w:rFonts w:eastAsia="Calibri"/>
          <w:sz w:val="22"/>
          <w:szCs w:val="22"/>
          <w:lang w:val="fr-CA" w:eastAsia="en-US"/>
        </w:rPr>
        <w:t>420 à 573</w:t>
      </w:r>
      <w:r w:rsidR="00C35903">
        <w:rPr>
          <w:rFonts w:eastAsia="Calibri"/>
          <w:sz w:val="22"/>
          <w:szCs w:val="22"/>
          <w:lang w:val="fr-CA" w:eastAsia="en-US"/>
        </w:rPr>
        <w:t> </w:t>
      </w:r>
      <w:r w:rsidRPr="00217EFC">
        <w:rPr>
          <w:rFonts w:eastAsia="Calibri"/>
          <w:sz w:val="22"/>
          <w:szCs w:val="22"/>
          <w:lang w:val="fr-CA" w:eastAsia="en-US"/>
        </w:rPr>
        <w:t>000 habitants pendant la seconde moitié du XIX</w:t>
      </w:r>
      <w:r w:rsidRPr="00217EFC">
        <w:rPr>
          <w:rFonts w:eastAsia="Calibri"/>
          <w:sz w:val="22"/>
          <w:szCs w:val="22"/>
          <w:vertAlign w:val="superscript"/>
          <w:lang w:val="fr-CA" w:eastAsia="en-US"/>
        </w:rPr>
        <w:t>e</w:t>
      </w:r>
      <w:r w:rsidRPr="00217EFC">
        <w:rPr>
          <w:rFonts w:eastAsia="Calibri"/>
          <w:sz w:val="22"/>
          <w:szCs w:val="22"/>
          <w:lang w:val="fr-CA" w:eastAsia="en-US"/>
        </w:rPr>
        <w:t xml:space="preserve"> siècle. Or, c’est la croissance de la demande en main-d’œuvre due à l’industrialisation massive qui cause l’exode des Canadiens français vers </w:t>
      </w:r>
      <w:r>
        <w:rPr>
          <w:rFonts w:eastAsia="Calibri"/>
          <w:sz w:val="22"/>
          <w:szCs w:val="22"/>
          <w:lang w:val="fr-CA" w:eastAsia="en-US"/>
        </w:rPr>
        <w:t xml:space="preserve">les </w:t>
      </w:r>
      <w:r w:rsidRPr="00217EFC">
        <w:rPr>
          <w:rFonts w:eastAsia="Calibri"/>
          <w:sz w:val="22"/>
          <w:szCs w:val="22"/>
          <w:lang w:val="fr-CA" w:eastAsia="en-US"/>
        </w:rPr>
        <w:t>États-Unis. Ces derniers sont majoritairement employés dans le secteur manufacturier du textile en tant que main-d’œuvre non spécialisée. De plus, on estime que la grande majorité des Canadiens français, soit entre 208</w:t>
      </w:r>
      <w:r w:rsidR="00C35903">
        <w:rPr>
          <w:rFonts w:eastAsia="Calibri"/>
          <w:sz w:val="22"/>
          <w:szCs w:val="22"/>
          <w:lang w:val="fr-CA" w:eastAsia="en-US"/>
        </w:rPr>
        <w:t> </w:t>
      </w:r>
      <w:r w:rsidRPr="00217EFC">
        <w:rPr>
          <w:rFonts w:eastAsia="Calibri"/>
          <w:sz w:val="22"/>
          <w:szCs w:val="22"/>
          <w:lang w:val="fr-CA" w:eastAsia="en-US"/>
        </w:rPr>
        <w:t>000 et 211</w:t>
      </w:r>
      <w:r w:rsidR="00C35903">
        <w:rPr>
          <w:rFonts w:eastAsia="Calibri"/>
          <w:sz w:val="22"/>
          <w:szCs w:val="22"/>
          <w:lang w:val="fr-CA" w:eastAsia="en-US"/>
        </w:rPr>
        <w:t> </w:t>
      </w:r>
      <w:r w:rsidRPr="00217EFC">
        <w:rPr>
          <w:rFonts w:eastAsia="Calibri"/>
          <w:sz w:val="22"/>
          <w:szCs w:val="22"/>
          <w:lang w:val="fr-CA" w:eastAsia="en-US"/>
        </w:rPr>
        <w:t>000,</w:t>
      </w:r>
      <w:r>
        <w:rPr>
          <w:rFonts w:eastAsia="Calibri"/>
          <w:sz w:val="22"/>
          <w:szCs w:val="22"/>
          <w:lang w:val="fr-CA" w:eastAsia="en-US"/>
        </w:rPr>
        <w:t xml:space="preserve"> </w:t>
      </w:r>
      <w:r w:rsidRPr="00217EFC">
        <w:rPr>
          <w:rFonts w:eastAsia="Calibri"/>
          <w:sz w:val="22"/>
          <w:szCs w:val="22"/>
          <w:lang w:val="fr-CA" w:eastAsia="en-US"/>
        </w:rPr>
        <w:t>immigr</w:t>
      </w:r>
      <w:r>
        <w:rPr>
          <w:rFonts w:eastAsia="Calibri"/>
          <w:sz w:val="22"/>
          <w:szCs w:val="22"/>
          <w:lang w:val="fr-CA" w:eastAsia="en-US"/>
        </w:rPr>
        <w:t xml:space="preserve">ent </w:t>
      </w:r>
      <w:r w:rsidRPr="00217EFC">
        <w:rPr>
          <w:rFonts w:eastAsia="Calibri"/>
          <w:sz w:val="22"/>
          <w:szCs w:val="22"/>
          <w:lang w:val="fr-CA" w:eastAsia="en-US"/>
        </w:rPr>
        <w:t>en Nouvelle-Angleterre pendant les décennies</w:t>
      </w:r>
      <w:r w:rsidR="00C35903">
        <w:rPr>
          <w:rFonts w:eastAsia="Calibri"/>
          <w:sz w:val="22"/>
          <w:szCs w:val="22"/>
          <w:lang w:val="fr-CA" w:eastAsia="en-US"/>
        </w:rPr>
        <w:t> </w:t>
      </w:r>
      <w:r w:rsidRPr="00217EFC">
        <w:rPr>
          <w:rFonts w:eastAsia="Calibri"/>
          <w:sz w:val="22"/>
          <w:szCs w:val="22"/>
          <w:lang w:val="fr-CA" w:eastAsia="en-US"/>
        </w:rPr>
        <w:t>1880 et 1890</w:t>
      </w:r>
      <w:r w:rsidRPr="00217EFC">
        <w:rPr>
          <w:rStyle w:val="FootnoteReference"/>
          <w:rFonts w:eastAsia="Calibri"/>
          <w:sz w:val="22"/>
          <w:szCs w:val="22"/>
          <w:lang w:val="fr-CA" w:eastAsia="en-US"/>
        </w:rPr>
        <w:footnoteReference w:id="32"/>
      </w:r>
      <w:r w:rsidRPr="00217EFC">
        <w:rPr>
          <w:rFonts w:eastAsia="Calibri"/>
          <w:sz w:val="22"/>
          <w:szCs w:val="22"/>
          <w:lang w:val="fr-CA" w:eastAsia="en-US"/>
        </w:rPr>
        <w:t>. Cette deuxième vague migratoire est beaucoup mieux coordonnée et structurée que les déplacements temporaires précédents qui ont lieu au début du XIX</w:t>
      </w:r>
      <w:r w:rsidRPr="00217EFC">
        <w:rPr>
          <w:rFonts w:eastAsia="Calibri"/>
          <w:sz w:val="22"/>
          <w:szCs w:val="22"/>
          <w:vertAlign w:val="superscript"/>
          <w:lang w:val="fr-CA" w:eastAsia="en-US"/>
        </w:rPr>
        <w:t>e</w:t>
      </w:r>
      <w:r w:rsidRPr="00217EFC">
        <w:rPr>
          <w:rFonts w:eastAsia="Calibri"/>
          <w:sz w:val="22"/>
          <w:szCs w:val="22"/>
          <w:lang w:val="fr-CA" w:eastAsia="en-US"/>
        </w:rPr>
        <w:t> siècle. Non seulement les gens quittent le Canada pour travailler dans les manufactures de la Nouvelle-Angleterre, mais les besoins de ces travailleurs font en sorte de créer un marché de distribution de services spécifiques aux Canadiens français, qui ne peuvent pas s’exprimer en anglais. Cette structure sociale</w:t>
      </w:r>
      <w:r>
        <w:rPr>
          <w:rFonts w:eastAsia="Calibri"/>
          <w:sz w:val="22"/>
          <w:szCs w:val="22"/>
          <w:lang w:val="fr-CA" w:eastAsia="en-US"/>
        </w:rPr>
        <w:t xml:space="preserve">, </w:t>
      </w:r>
      <w:r w:rsidRPr="00217EFC">
        <w:rPr>
          <w:rFonts w:eastAsia="Calibri"/>
          <w:sz w:val="22"/>
          <w:szCs w:val="22"/>
          <w:lang w:val="fr-CA" w:eastAsia="en-US"/>
        </w:rPr>
        <w:t xml:space="preserve">appelée soit quartier français, </w:t>
      </w:r>
      <w:r>
        <w:rPr>
          <w:rFonts w:eastAsia="Calibri"/>
          <w:sz w:val="22"/>
          <w:szCs w:val="22"/>
          <w:lang w:val="fr-CA" w:eastAsia="en-US"/>
        </w:rPr>
        <w:t xml:space="preserve">soit </w:t>
      </w:r>
      <w:r w:rsidRPr="00217EFC">
        <w:rPr>
          <w:rFonts w:eastAsia="Calibri"/>
          <w:sz w:val="22"/>
          <w:szCs w:val="22"/>
          <w:lang w:val="fr-CA" w:eastAsia="en-US"/>
        </w:rPr>
        <w:t xml:space="preserve">ghettos culturels ou Petits </w:t>
      </w:r>
      <w:r w:rsidRPr="00217EFC">
        <w:rPr>
          <w:rFonts w:eastAsia="Calibri"/>
          <w:sz w:val="22"/>
          <w:szCs w:val="22"/>
          <w:lang w:val="fr-CA" w:eastAsia="en-US"/>
        </w:rPr>
        <w:lastRenderedPageBreak/>
        <w:t>Canadas</w:t>
      </w:r>
      <w:r w:rsidRPr="00217EFC">
        <w:rPr>
          <w:rStyle w:val="FootnoteReference"/>
          <w:rFonts w:eastAsia="Calibri"/>
          <w:sz w:val="22"/>
          <w:szCs w:val="22"/>
          <w:lang w:val="fr-CA" w:eastAsia="en-US"/>
        </w:rPr>
        <w:footnoteReference w:id="33"/>
      </w:r>
      <w:r w:rsidRPr="00217EFC">
        <w:rPr>
          <w:rFonts w:eastAsia="Calibri"/>
          <w:sz w:val="22"/>
          <w:szCs w:val="22"/>
          <w:lang w:val="fr-CA" w:eastAsia="en-US"/>
        </w:rPr>
        <w:t>, permet à ces immigrants de ne pas se sentir déracinés et de faire de leur séjour aux États-Unis une expérience moins irritante</w:t>
      </w:r>
      <w:r w:rsidRPr="00217EFC">
        <w:rPr>
          <w:rStyle w:val="FootnoteReference"/>
          <w:rFonts w:eastAsia="Calibri"/>
          <w:sz w:val="22"/>
          <w:szCs w:val="22"/>
          <w:lang w:val="fr-CA" w:eastAsia="en-US"/>
        </w:rPr>
        <w:footnoteReference w:id="34"/>
      </w:r>
      <w:r w:rsidRPr="00217EFC">
        <w:rPr>
          <w:rFonts w:eastAsia="Calibri"/>
          <w:sz w:val="22"/>
          <w:szCs w:val="22"/>
          <w:lang w:val="fr-CA" w:eastAsia="en-US"/>
        </w:rPr>
        <w:t>. À Manchester</w:t>
      </w:r>
      <w:r>
        <w:rPr>
          <w:rFonts w:eastAsia="Calibri"/>
          <w:sz w:val="22"/>
          <w:szCs w:val="22"/>
          <w:lang w:val="fr-CA" w:eastAsia="en-US"/>
        </w:rPr>
        <w:t>,</w:t>
      </w:r>
      <w:r w:rsidRPr="00217EFC">
        <w:rPr>
          <w:rFonts w:eastAsia="Calibri"/>
          <w:sz w:val="22"/>
          <w:szCs w:val="22"/>
          <w:lang w:val="fr-CA" w:eastAsia="en-US"/>
        </w:rPr>
        <w:t xml:space="preserve"> les Franco-Américains </w:t>
      </w:r>
      <w:r>
        <w:rPr>
          <w:rFonts w:eastAsia="Calibri"/>
          <w:sz w:val="22"/>
          <w:szCs w:val="22"/>
          <w:lang w:val="fr-CA" w:eastAsia="en-US"/>
        </w:rPr>
        <w:t xml:space="preserve">se </w:t>
      </w:r>
      <w:r w:rsidRPr="00217EFC">
        <w:rPr>
          <w:sz w:val="22"/>
          <w:szCs w:val="22"/>
          <w:lang w:val="fr-CA"/>
        </w:rPr>
        <w:t>regroup</w:t>
      </w:r>
      <w:r>
        <w:rPr>
          <w:sz w:val="22"/>
          <w:szCs w:val="22"/>
          <w:lang w:val="fr-CA"/>
        </w:rPr>
        <w:t xml:space="preserve">ent </w:t>
      </w:r>
      <w:r w:rsidRPr="00217EFC">
        <w:rPr>
          <w:sz w:val="22"/>
          <w:szCs w:val="22"/>
          <w:lang w:val="fr-CA"/>
        </w:rPr>
        <w:t xml:space="preserve">dans </w:t>
      </w:r>
      <w:r w:rsidRPr="005647D0">
        <w:rPr>
          <w:sz w:val="22"/>
          <w:szCs w:val="22"/>
          <w:lang w:val="fr-CA"/>
        </w:rPr>
        <w:t>«</w:t>
      </w:r>
      <w:r w:rsidR="00C35903">
        <w:rPr>
          <w:sz w:val="22"/>
          <w:szCs w:val="22"/>
          <w:lang w:val="fr-CA"/>
        </w:rPr>
        <w:t> </w:t>
      </w:r>
      <w:r w:rsidRPr="005647D0">
        <w:rPr>
          <w:sz w:val="22"/>
          <w:szCs w:val="22"/>
          <w:lang w:val="fr-CA"/>
        </w:rPr>
        <w:t xml:space="preserve">la paroisse Sainte-Marie, du côté ouest de la </w:t>
      </w:r>
      <w:r w:rsidRPr="00C726C8">
        <w:rPr>
          <w:bCs/>
          <w:sz w:val="22"/>
          <w:szCs w:val="22"/>
          <w:lang w:val="fr-CA"/>
        </w:rPr>
        <w:t>rivière</w:t>
      </w:r>
      <w:r w:rsidRPr="005647D0">
        <w:rPr>
          <w:sz w:val="22"/>
          <w:szCs w:val="22"/>
          <w:lang w:val="fr-CA"/>
        </w:rPr>
        <w:t xml:space="preserve"> Merrimack et la paroisse Saint-Augustin, à proximité du quartier des Irlandais</w:t>
      </w:r>
      <w:r w:rsidR="00C35903">
        <w:rPr>
          <w:sz w:val="22"/>
          <w:szCs w:val="22"/>
          <w:lang w:val="fr-CA"/>
        </w:rPr>
        <w:t> </w:t>
      </w:r>
      <w:r w:rsidRPr="005647D0">
        <w:rPr>
          <w:sz w:val="22"/>
          <w:szCs w:val="22"/>
          <w:lang w:val="fr-CA"/>
        </w:rPr>
        <w:t>»</w:t>
      </w:r>
      <w:r w:rsidRPr="005647D0">
        <w:rPr>
          <w:rStyle w:val="FootnoteReference"/>
          <w:sz w:val="22"/>
          <w:szCs w:val="22"/>
          <w:lang w:val="fr-CA"/>
        </w:rPr>
        <w:footnoteReference w:id="35"/>
      </w:r>
      <w:r w:rsidRPr="00217EFC">
        <w:rPr>
          <w:sz w:val="22"/>
          <w:szCs w:val="22"/>
          <w:lang w:val="fr-CA"/>
        </w:rPr>
        <w:t xml:space="preserve">, les paroisses constituaient en soi chacun un </w:t>
      </w:r>
      <w:r w:rsidRPr="00217EFC">
        <w:rPr>
          <w:iCs/>
          <w:sz w:val="22"/>
          <w:szCs w:val="22"/>
          <w:lang w:val="fr-CA"/>
        </w:rPr>
        <w:t>Petit Canada.</w:t>
      </w:r>
      <w:r>
        <w:rPr>
          <w:iCs/>
          <w:sz w:val="22"/>
          <w:szCs w:val="22"/>
          <w:lang w:val="fr-CA"/>
        </w:rPr>
        <w:t xml:space="preserve"> </w:t>
      </w:r>
      <w:r w:rsidRPr="00217EFC">
        <w:rPr>
          <w:rFonts w:eastAsia="Calibri"/>
          <w:sz w:val="22"/>
          <w:szCs w:val="22"/>
          <w:lang w:val="fr-CA" w:eastAsia="en-US"/>
        </w:rPr>
        <w:t>Ainsi, la migration principale des travailleurs manufacturiers a comme effet secondaire d’attirer d’autres gens qui occupent différents types d’emplois manuels souvent dans la même manufacture</w:t>
      </w:r>
      <w:r w:rsidRPr="00217EFC">
        <w:rPr>
          <w:rStyle w:val="FootnoteReference"/>
          <w:rFonts w:eastAsia="Calibri"/>
          <w:sz w:val="22"/>
          <w:szCs w:val="22"/>
          <w:lang w:val="fr-CA" w:eastAsia="en-US"/>
        </w:rPr>
        <w:footnoteReference w:id="36"/>
      </w:r>
      <w:r w:rsidRPr="00217EFC">
        <w:rPr>
          <w:rFonts w:eastAsia="Calibri"/>
          <w:sz w:val="22"/>
          <w:szCs w:val="22"/>
          <w:lang w:val="fr-CA" w:eastAsia="en-US"/>
        </w:rPr>
        <w:t>.</w:t>
      </w:r>
      <w:r>
        <w:rPr>
          <w:rFonts w:eastAsia="Calibri"/>
          <w:sz w:val="22"/>
          <w:szCs w:val="22"/>
          <w:lang w:val="fr-CA" w:eastAsia="en-US"/>
        </w:rPr>
        <w:t xml:space="preserve"> En fait, certains </w:t>
      </w:r>
      <w:r w:rsidRPr="00217EFC">
        <w:rPr>
          <w:rFonts w:eastAsia="Calibri"/>
          <w:sz w:val="22"/>
          <w:szCs w:val="22"/>
          <w:lang w:val="fr-CA" w:eastAsia="en-US"/>
        </w:rPr>
        <w:t>emplois ne sont pas directement reliés à l’industrie d</w:t>
      </w:r>
      <w:r>
        <w:rPr>
          <w:rFonts w:eastAsia="Calibri"/>
          <w:sz w:val="22"/>
          <w:szCs w:val="22"/>
          <w:lang w:val="fr-CA" w:eastAsia="en-US"/>
        </w:rPr>
        <w:t>u</w:t>
      </w:r>
      <w:r w:rsidRPr="00217EFC">
        <w:rPr>
          <w:rFonts w:eastAsia="Calibri"/>
          <w:sz w:val="22"/>
          <w:szCs w:val="22"/>
          <w:lang w:val="fr-CA" w:eastAsia="en-US"/>
        </w:rPr>
        <w:t xml:space="preserve"> coton, mais ils sont plutôt associés aux </w:t>
      </w:r>
      <w:r>
        <w:rPr>
          <w:rFonts w:eastAsia="Calibri"/>
          <w:sz w:val="22"/>
          <w:szCs w:val="22"/>
          <w:lang w:val="fr-CA" w:eastAsia="en-US"/>
        </w:rPr>
        <w:t xml:space="preserve">besoins </w:t>
      </w:r>
      <w:r w:rsidRPr="00217EFC">
        <w:rPr>
          <w:rFonts w:eastAsia="Calibri"/>
          <w:sz w:val="22"/>
          <w:szCs w:val="22"/>
          <w:lang w:val="fr-CA" w:eastAsia="en-US"/>
        </w:rPr>
        <w:t xml:space="preserve">de l’urbanisation des populations. Par exemple, ce mouvement massif de travailleurs </w:t>
      </w:r>
      <w:r>
        <w:rPr>
          <w:rFonts w:eastAsia="Calibri"/>
          <w:sz w:val="22"/>
          <w:szCs w:val="22"/>
          <w:lang w:val="fr-CA" w:eastAsia="en-US"/>
        </w:rPr>
        <w:t xml:space="preserve">occasionne </w:t>
      </w:r>
      <w:r w:rsidRPr="00217EFC">
        <w:rPr>
          <w:rFonts w:eastAsia="Calibri"/>
          <w:sz w:val="22"/>
          <w:szCs w:val="22"/>
          <w:lang w:val="fr-CA" w:eastAsia="en-US"/>
        </w:rPr>
        <w:t xml:space="preserve">la venue de commis, de professionnels et des membres du clergé </w:t>
      </w:r>
      <w:r>
        <w:rPr>
          <w:rFonts w:eastAsia="Calibri"/>
          <w:sz w:val="22"/>
          <w:szCs w:val="22"/>
          <w:lang w:val="fr-CA" w:eastAsia="en-US"/>
        </w:rPr>
        <w:t xml:space="preserve">qui </w:t>
      </w:r>
      <w:r w:rsidRPr="00217EFC">
        <w:rPr>
          <w:rFonts w:eastAsia="Calibri"/>
          <w:sz w:val="22"/>
          <w:szCs w:val="22"/>
          <w:lang w:val="fr-CA" w:eastAsia="en-US"/>
        </w:rPr>
        <w:t>sui</w:t>
      </w:r>
      <w:r>
        <w:rPr>
          <w:rFonts w:eastAsia="Calibri"/>
          <w:sz w:val="22"/>
          <w:szCs w:val="22"/>
          <w:lang w:val="fr-CA" w:eastAsia="en-US"/>
        </w:rPr>
        <w:t xml:space="preserve">vent </w:t>
      </w:r>
      <w:r w:rsidRPr="00217EFC">
        <w:rPr>
          <w:rFonts w:eastAsia="Calibri"/>
          <w:sz w:val="22"/>
          <w:szCs w:val="22"/>
          <w:lang w:val="fr-CA" w:eastAsia="en-US"/>
        </w:rPr>
        <w:t xml:space="preserve">le flux d’immigrants. </w:t>
      </w:r>
      <w:r>
        <w:rPr>
          <w:rFonts w:eastAsia="Calibri"/>
          <w:sz w:val="22"/>
          <w:szCs w:val="22"/>
          <w:lang w:val="fr-CA" w:eastAsia="en-US"/>
        </w:rPr>
        <w:t>C</w:t>
      </w:r>
      <w:r w:rsidRPr="00217EFC">
        <w:rPr>
          <w:rFonts w:eastAsia="Calibri"/>
          <w:sz w:val="22"/>
          <w:szCs w:val="22"/>
          <w:lang w:val="fr-CA" w:eastAsia="en-US"/>
        </w:rPr>
        <w:t xml:space="preserve">es deux derniers groupes formeront </w:t>
      </w:r>
      <w:r>
        <w:rPr>
          <w:rFonts w:eastAsia="Calibri"/>
          <w:sz w:val="22"/>
          <w:szCs w:val="22"/>
          <w:lang w:val="fr-CA" w:eastAsia="en-US"/>
        </w:rPr>
        <w:t xml:space="preserve">notamment </w:t>
      </w:r>
      <w:r w:rsidRPr="00217EFC">
        <w:rPr>
          <w:rFonts w:eastAsia="Calibri"/>
          <w:sz w:val="22"/>
          <w:szCs w:val="22"/>
          <w:lang w:val="fr-CA" w:eastAsia="en-US"/>
        </w:rPr>
        <w:t>l’intelligentsia franco-américaine.</w:t>
      </w:r>
    </w:p>
    <w:p w14:paraId="132F8045"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En 1900, 573</w:t>
      </w:r>
      <w:r w:rsidR="00C35903">
        <w:rPr>
          <w:rFonts w:eastAsia="Calibri"/>
          <w:sz w:val="22"/>
          <w:szCs w:val="22"/>
          <w:lang w:val="fr-CA" w:eastAsia="en-US"/>
        </w:rPr>
        <w:t> </w:t>
      </w:r>
      <w:r w:rsidRPr="00217EFC">
        <w:rPr>
          <w:rFonts w:eastAsia="Calibri"/>
          <w:sz w:val="22"/>
          <w:szCs w:val="22"/>
          <w:lang w:val="fr-CA" w:eastAsia="en-US"/>
        </w:rPr>
        <w:t xml:space="preserve">000 Canadiens français demeurent en Nouvelle-Angleterre et ils </w:t>
      </w:r>
      <w:r>
        <w:rPr>
          <w:rFonts w:eastAsia="Calibri"/>
          <w:sz w:val="22"/>
          <w:szCs w:val="22"/>
          <w:lang w:val="fr-CA" w:eastAsia="en-US"/>
        </w:rPr>
        <w:t xml:space="preserve">étaient </w:t>
      </w:r>
      <w:r w:rsidRPr="00217EFC">
        <w:rPr>
          <w:rFonts w:eastAsia="Calibri"/>
          <w:sz w:val="22"/>
          <w:szCs w:val="22"/>
          <w:lang w:val="fr-CA" w:eastAsia="en-US"/>
        </w:rPr>
        <w:t xml:space="preserve">répartis dans vingt-huit différentes villes, dont dix </w:t>
      </w:r>
      <w:r>
        <w:rPr>
          <w:rFonts w:eastAsia="Calibri"/>
          <w:sz w:val="22"/>
          <w:szCs w:val="22"/>
          <w:lang w:val="fr-CA" w:eastAsia="en-US"/>
        </w:rPr>
        <w:t xml:space="preserve">étaient </w:t>
      </w:r>
      <w:r w:rsidRPr="00217EFC">
        <w:rPr>
          <w:rFonts w:eastAsia="Calibri"/>
          <w:sz w:val="22"/>
          <w:szCs w:val="22"/>
          <w:lang w:val="fr-CA" w:eastAsia="en-US"/>
        </w:rPr>
        <w:t>des agglomérations comprenant plus de 10</w:t>
      </w:r>
      <w:r w:rsidR="00C35903">
        <w:rPr>
          <w:rFonts w:eastAsia="Calibri"/>
          <w:sz w:val="22"/>
          <w:szCs w:val="22"/>
          <w:lang w:val="fr-CA" w:eastAsia="en-US"/>
        </w:rPr>
        <w:t> </w:t>
      </w:r>
      <w:r w:rsidRPr="00217EFC">
        <w:rPr>
          <w:rFonts w:eastAsia="Calibri"/>
          <w:sz w:val="22"/>
          <w:szCs w:val="22"/>
          <w:lang w:val="fr-CA" w:eastAsia="en-US"/>
        </w:rPr>
        <w:t>000 Canadiens français. Au début du XX</w:t>
      </w:r>
      <w:r w:rsidRPr="00217EFC">
        <w:rPr>
          <w:rFonts w:eastAsia="Calibri"/>
          <w:sz w:val="22"/>
          <w:szCs w:val="22"/>
          <w:vertAlign w:val="superscript"/>
          <w:lang w:val="fr-CA" w:eastAsia="en-US"/>
        </w:rPr>
        <w:t>e</w:t>
      </w:r>
      <w:r w:rsidRPr="00217EFC">
        <w:rPr>
          <w:rFonts w:eastAsia="Calibri"/>
          <w:sz w:val="22"/>
          <w:szCs w:val="22"/>
          <w:lang w:val="fr-CA" w:eastAsia="en-US"/>
        </w:rPr>
        <w:t xml:space="preserve"> siècle, l’immigration canadienne-française dans cette région voit son flux ralentir grandement comparativement au siècle </w:t>
      </w:r>
      <w:r>
        <w:rPr>
          <w:rFonts w:eastAsia="Calibri"/>
          <w:sz w:val="22"/>
          <w:szCs w:val="22"/>
          <w:lang w:val="fr-CA" w:eastAsia="en-US"/>
        </w:rPr>
        <w:t>précédent</w:t>
      </w:r>
      <w:r w:rsidRPr="00217EFC">
        <w:rPr>
          <w:rFonts w:eastAsia="Calibri"/>
          <w:sz w:val="22"/>
          <w:szCs w:val="22"/>
          <w:lang w:val="fr-CA" w:eastAsia="en-US"/>
        </w:rPr>
        <w:t>. Or, pour cette première décennie, seulement 15</w:t>
      </w:r>
      <w:r w:rsidR="00C35903">
        <w:rPr>
          <w:rFonts w:eastAsia="Calibri"/>
          <w:sz w:val="22"/>
          <w:szCs w:val="22"/>
          <w:lang w:val="fr-CA" w:eastAsia="en-US"/>
        </w:rPr>
        <w:t> </w:t>
      </w:r>
      <w:r w:rsidRPr="00217EFC">
        <w:rPr>
          <w:rFonts w:eastAsia="Calibri"/>
          <w:sz w:val="22"/>
          <w:szCs w:val="22"/>
          <w:lang w:val="fr-CA" w:eastAsia="en-US"/>
        </w:rPr>
        <w:t>049 immigrants canadiens s’établiront en Nouvelle-Angleterre</w:t>
      </w:r>
      <w:r w:rsidRPr="00217EFC">
        <w:rPr>
          <w:rStyle w:val="FootnoteReference"/>
          <w:rFonts w:eastAsia="Calibri"/>
          <w:sz w:val="22"/>
          <w:szCs w:val="22"/>
          <w:lang w:val="fr-CA" w:eastAsia="en-US"/>
        </w:rPr>
        <w:footnoteReference w:id="37"/>
      </w:r>
      <w:r w:rsidRPr="00217EFC">
        <w:rPr>
          <w:rFonts w:eastAsia="Calibri"/>
          <w:sz w:val="22"/>
          <w:szCs w:val="22"/>
          <w:lang w:val="fr-CA" w:eastAsia="en-US"/>
        </w:rPr>
        <w:t>. Gilles Paquet et Wayne Smith ont déterminé par synthèse que 100</w:t>
      </w:r>
      <w:r w:rsidR="00C35903">
        <w:rPr>
          <w:rFonts w:eastAsia="Calibri"/>
          <w:sz w:val="22"/>
          <w:szCs w:val="22"/>
          <w:lang w:val="fr-CA" w:eastAsia="en-US"/>
        </w:rPr>
        <w:t> </w:t>
      </w:r>
      <w:r w:rsidRPr="00217EFC">
        <w:rPr>
          <w:rFonts w:eastAsia="Calibri"/>
          <w:sz w:val="22"/>
          <w:szCs w:val="22"/>
          <w:lang w:val="fr-CA" w:eastAsia="en-US"/>
        </w:rPr>
        <w:t>000 Canadiens français auraient immigré aux États-Unis entre 1910 et 1920</w:t>
      </w:r>
      <w:r w:rsidRPr="00217EFC">
        <w:rPr>
          <w:rStyle w:val="FootnoteReference"/>
          <w:rFonts w:eastAsia="Calibri"/>
          <w:sz w:val="22"/>
          <w:szCs w:val="22"/>
          <w:lang w:val="fr-CA" w:eastAsia="en-US"/>
        </w:rPr>
        <w:footnoteReference w:id="38"/>
      </w:r>
      <w:r w:rsidRPr="00217EFC">
        <w:rPr>
          <w:rFonts w:eastAsia="Calibri"/>
          <w:sz w:val="22"/>
          <w:szCs w:val="22"/>
          <w:lang w:val="fr-CA" w:eastAsia="en-US"/>
        </w:rPr>
        <w:t xml:space="preserve">. Quant à la population franco-américaine résidant en Nouvelle-Angleterre en 1908, </w:t>
      </w:r>
      <w:r w:rsidRPr="001E56B6">
        <w:rPr>
          <w:rFonts w:eastAsia="Calibri"/>
          <w:sz w:val="22"/>
          <w:szCs w:val="22"/>
          <w:lang w:val="fr-CA" w:eastAsia="en-US"/>
        </w:rPr>
        <w:t>Paquet et Smith</w:t>
      </w:r>
      <w:r w:rsidR="00A701D9">
        <w:rPr>
          <w:rFonts w:eastAsia="Calibri"/>
          <w:sz w:val="22"/>
          <w:szCs w:val="22"/>
          <w:lang w:val="fr-CA" w:eastAsia="en-US"/>
        </w:rPr>
        <w:t xml:space="preserve"> </w:t>
      </w:r>
      <w:r w:rsidRPr="00217EFC">
        <w:rPr>
          <w:rFonts w:eastAsia="Calibri"/>
          <w:sz w:val="22"/>
          <w:szCs w:val="22"/>
          <w:lang w:val="fr-CA" w:eastAsia="en-US"/>
        </w:rPr>
        <w:t>évalue</w:t>
      </w:r>
      <w:r>
        <w:rPr>
          <w:rFonts w:eastAsia="Calibri"/>
          <w:sz w:val="22"/>
          <w:szCs w:val="22"/>
          <w:lang w:val="fr-CA" w:eastAsia="en-US"/>
        </w:rPr>
        <w:t>nt</w:t>
      </w:r>
      <w:r w:rsidRPr="00217EFC">
        <w:rPr>
          <w:rFonts w:eastAsia="Calibri"/>
          <w:sz w:val="22"/>
          <w:szCs w:val="22"/>
          <w:lang w:val="fr-CA" w:eastAsia="en-US"/>
        </w:rPr>
        <w:t xml:space="preserve"> qu’elle se situait à 723</w:t>
      </w:r>
      <w:r w:rsidR="00C35903">
        <w:rPr>
          <w:rFonts w:eastAsia="Calibri"/>
          <w:sz w:val="22"/>
          <w:szCs w:val="22"/>
          <w:lang w:val="fr-CA" w:eastAsia="en-US"/>
        </w:rPr>
        <w:t> </w:t>
      </w:r>
      <w:r w:rsidRPr="00217EFC">
        <w:rPr>
          <w:rFonts w:eastAsia="Calibri"/>
          <w:sz w:val="22"/>
          <w:szCs w:val="22"/>
          <w:lang w:val="fr-CA" w:eastAsia="en-US"/>
        </w:rPr>
        <w:t>532 habitants</w:t>
      </w:r>
      <w:r w:rsidRPr="00217EFC">
        <w:rPr>
          <w:rStyle w:val="FootnoteReference"/>
          <w:rFonts w:eastAsia="Calibri"/>
          <w:sz w:val="22"/>
          <w:szCs w:val="22"/>
          <w:lang w:val="fr-CA" w:eastAsia="en-US"/>
        </w:rPr>
        <w:footnoteReference w:id="39"/>
      </w:r>
      <w:r w:rsidRPr="00217EFC">
        <w:rPr>
          <w:rFonts w:eastAsia="Calibri"/>
          <w:sz w:val="22"/>
          <w:szCs w:val="22"/>
          <w:lang w:val="fr-CA" w:eastAsia="en-US"/>
        </w:rPr>
        <w:t xml:space="preserve">. Ainsi, la majorité de la population francophone de la région à cette époque est constituée de Franco-Américains issues des </w:t>
      </w:r>
      <w:r>
        <w:rPr>
          <w:rFonts w:eastAsia="Calibri"/>
          <w:sz w:val="22"/>
          <w:szCs w:val="22"/>
          <w:lang w:val="fr-CA" w:eastAsia="en-US"/>
        </w:rPr>
        <w:t xml:space="preserve">descendants </w:t>
      </w:r>
      <w:r w:rsidRPr="00217EFC">
        <w:rPr>
          <w:rFonts w:eastAsia="Calibri"/>
          <w:sz w:val="22"/>
          <w:szCs w:val="22"/>
          <w:lang w:val="fr-CA" w:eastAsia="en-US"/>
        </w:rPr>
        <w:t>des premiers groupes d’immigrants du siècle précédent. Or, au</w:t>
      </w:r>
      <w:r w:rsidRPr="00217EFC">
        <w:rPr>
          <w:sz w:val="22"/>
          <w:szCs w:val="22"/>
          <w:lang w:val="fr-CA"/>
        </w:rPr>
        <w:t xml:space="preserve"> début du XX</w:t>
      </w:r>
      <w:r w:rsidRPr="00217EFC">
        <w:rPr>
          <w:sz w:val="22"/>
          <w:szCs w:val="22"/>
          <w:vertAlign w:val="superscript"/>
          <w:lang w:val="fr-CA"/>
        </w:rPr>
        <w:t>e</w:t>
      </w:r>
      <w:r w:rsidRPr="00217EFC">
        <w:rPr>
          <w:sz w:val="22"/>
          <w:szCs w:val="22"/>
          <w:lang w:val="fr-CA"/>
        </w:rPr>
        <w:t xml:space="preserve"> siècle, le New Hampshire a une population de 410</w:t>
      </w:r>
      <w:r w:rsidR="00C35903">
        <w:rPr>
          <w:sz w:val="22"/>
          <w:szCs w:val="22"/>
          <w:lang w:val="fr-CA"/>
        </w:rPr>
        <w:t> </w:t>
      </w:r>
      <w:r w:rsidRPr="00217EFC">
        <w:rPr>
          <w:sz w:val="22"/>
          <w:szCs w:val="22"/>
          <w:lang w:val="fr-CA"/>
        </w:rPr>
        <w:t xml:space="preserve">938 et on y dénombre </w:t>
      </w:r>
      <w:r w:rsidRPr="00217EFC">
        <w:rPr>
          <w:rFonts w:eastAsia="Calibri"/>
          <w:sz w:val="22"/>
          <w:szCs w:val="22"/>
          <w:lang w:val="fr-CA" w:eastAsia="en-US"/>
        </w:rPr>
        <w:t>34</w:t>
      </w:r>
      <w:r w:rsidR="00C35903">
        <w:rPr>
          <w:rFonts w:eastAsia="Calibri"/>
          <w:sz w:val="22"/>
          <w:szCs w:val="22"/>
          <w:lang w:val="fr-CA" w:eastAsia="en-US"/>
        </w:rPr>
        <w:t> </w:t>
      </w:r>
      <w:r w:rsidRPr="00217EFC">
        <w:rPr>
          <w:rFonts w:eastAsia="Calibri"/>
          <w:sz w:val="22"/>
          <w:szCs w:val="22"/>
          <w:lang w:val="fr-CA" w:eastAsia="en-US"/>
        </w:rPr>
        <w:t>200 Canadiens français</w:t>
      </w:r>
      <w:r w:rsidRPr="00217EFC">
        <w:rPr>
          <w:rStyle w:val="FootnoteReference"/>
          <w:sz w:val="22"/>
          <w:szCs w:val="22"/>
          <w:lang w:val="fr-CA"/>
        </w:rPr>
        <w:footnoteReference w:id="40"/>
      </w:r>
      <w:r w:rsidRPr="00217EFC">
        <w:rPr>
          <w:sz w:val="22"/>
          <w:szCs w:val="22"/>
          <w:lang w:val="fr-CA"/>
        </w:rPr>
        <w:t xml:space="preserve">. Quant à la population franco-américaine du New Hampshire en 1910, </w:t>
      </w:r>
      <w:r w:rsidRPr="00217EFC">
        <w:rPr>
          <w:rFonts w:eastAsia="Calibri"/>
          <w:sz w:val="22"/>
          <w:szCs w:val="22"/>
          <w:lang w:val="fr-CA" w:eastAsia="en-US"/>
        </w:rPr>
        <w:t xml:space="preserve">Paquet </w:t>
      </w:r>
      <w:r w:rsidR="00F45FCC">
        <w:rPr>
          <w:rFonts w:eastAsia="Calibri"/>
          <w:sz w:val="22"/>
          <w:szCs w:val="22"/>
          <w:lang w:val="fr-CA" w:eastAsia="en-US"/>
        </w:rPr>
        <w:t>et Smith l’</w:t>
      </w:r>
      <w:r w:rsidRPr="00217EFC">
        <w:rPr>
          <w:rFonts w:eastAsia="Calibri"/>
          <w:sz w:val="22"/>
          <w:szCs w:val="22"/>
          <w:lang w:val="fr-CA" w:eastAsia="en-US"/>
        </w:rPr>
        <w:t>estime</w:t>
      </w:r>
      <w:r w:rsidR="00F45FCC">
        <w:rPr>
          <w:rFonts w:eastAsia="Calibri"/>
          <w:sz w:val="22"/>
          <w:szCs w:val="22"/>
          <w:lang w:val="fr-CA" w:eastAsia="en-US"/>
        </w:rPr>
        <w:t>nt</w:t>
      </w:r>
      <w:r w:rsidRPr="00217EFC">
        <w:rPr>
          <w:rFonts w:eastAsia="Calibri"/>
          <w:sz w:val="22"/>
          <w:szCs w:val="22"/>
          <w:lang w:val="fr-CA" w:eastAsia="en-US"/>
        </w:rPr>
        <w:t xml:space="preserve"> </w:t>
      </w:r>
      <w:r>
        <w:rPr>
          <w:rFonts w:eastAsia="Calibri"/>
          <w:sz w:val="22"/>
          <w:szCs w:val="22"/>
          <w:lang w:val="fr-CA" w:eastAsia="en-US"/>
        </w:rPr>
        <w:t>à</w:t>
      </w:r>
      <w:r w:rsidRPr="00217EFC">
        <w:rPr>
          <w:rFonts w:eastAsia="Calibri"/>
          <w:sz w:val="22"/>
          <w:szCs w:val="22"/>
          <w:lang w:val="fr-CA" w:eastAsia="en-US"/>
        </w:rPr>
        <w:t xml:space="preserve"> 40</w:t>
      </w:r>
      <w:r w:rsidR="00C35903">
        <w:rPr>
          <w:rFonts w:eastAsia="Calibri"/>
          <w:sz w:val="22"/>
          <w:szCs w:val="22"/>
          <w:lang w:val="fr-CA" w:eastAsia="en-US"/>
        </w:rPr>
        <w:t> </w:t>
      </w:r>
      <w:r w:rsidRPr="00217EFC">
        <w:rPr>
          <w:rFonts w:eastAsia="Calibri"/>
          <w:sz w:val="22"/>
          <w:szCs w:val="22"/>
          <w:lang w:val="fr-CA" w:eastAsia="en-US"/>
        </w:rPr>
        <w:t>865 habitants</w:t>
      </w:r>
      <w:r w:rsidRPr="00217EFC">
        <w:rPr>
          <w:rStyle w:val="FootnoteReference"/>
          <w:rFonts w:eastAsia="Calibri"/>
          <w:sz w:val="22"/>
          <w:szCs w:val="22"/>
          <w:lang w:val="fr-CA" w:eastAsia="en-US"/>
        </w:rPr>
        <w:footnoteReference w:id="41"/>
      </w:r>
      <w:r w:rsidRPr="00217EFC">
        <w:rPr>
          <w:rFonts w:eastAsia="Calibri"/>
          <w:sz w:val="22"/>
          <w:szCs w:val="22"/>
          <w:lang w:val="fr-CA" w:eastAsia="en-US"/>
        </w:rPr>
        <w:t>.</w:t>
      </w:r>
    </w:p>
    <w:p w14:paraId="205893C3" w14:textId="77777777" w:rsidR="000264D6" w:rsidRPr="00A54A77" w:rsidRDefault="000264D6" w:rsidP="00A54A77">
      <w:pPr>
        <w:spacing w:before="100" w:beforeAutospacing="1" w:after="100" w:afterAutospacing="1" w:line="480" w:lineRule="auto"/>
        <w:jc w:val="both"/>
        <w:rPr>
          <w:rFonts w:eastAsia="Calibri"/>
          <w:b/>
          <w:bCs/>
          <w:color w:val="70AD47"/>
          <w:sz w:val="22"/>
          <w:szCs w:val="22"/>
          <w:lang w:val="fr-CA" w:eastAsia="en-US"/>
        </w:rPr>
      </w:pPr>
      <w:r w:rsidRPr="00A54A77">
        <w:rPr>
          <w:b/>
          <w:bCs/>
          <w:sz w:val="22"/>
          <w:szCs w:val="22"/>
          <w:lang w:val="fr-CA"/>
        </w:rPr>
        <w:t>Description de la communauté de Manchester </w:t>
      </w:r>
      <w:r w:rsidRPr="00A54A77">
        <w:rPr>
          <w:rFonts w:eastAsia="Calibri"/>
          <w:b/>
          <w:bCs/>
          <w:color w:val="70AD47"/>
          <w:sz w:val="22"/>
          <w:szCs w:val="22"/>
          <w:lang w:val="fr-CA" w:eastAsia="en-US"/>
        </w:rPr>
        <w:t xml:space="preserve"> </w:t>
      </w:r>
    </w:p>
    <w:p w14:paraId="01295844"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Dès 1837, le développement de la ville de Manchester est coordonné par le conglomérat </w:t>
      </w:r>
      <w:r w:rsidRPr="00217EFC">
        <w:rPr>
          <w:i/>
          <w:iCs/>
          <w:sz w:val="22"/>
          <w:szCs w:val="22"/>
          <w:lang w:val="fr-CA"/>
        </w:rPr>
        <w:t>Boston Group</w:t>
      </w:r>
      <w:r w:rsidRPr="00217EFC">
        <w:rPr>
          <w:sz w:val="22"/>
          <w:szCs w:val="22"/>
          <w:lang w:val="fr-CA"/>
        </w:rPr>
        <w:t xml:space="preserve"> dans le but d’établir une ville industrielle où la manufacture de textile </w:t>
      </w:r>
      <w:r w:rsidRPr="005C74B9">
        <w:rPr>
          <w:sz w:val="22"/>
          <w:szCs w:val="22"/>
          <w:lang w:val="fr-CA"/>
        </w:rPr>
        <w:t>Amoskeag Manufaturing Company</w:t>
      </w:r>
      <w:r w:rsidRPr="00217EFC">
        <w:rPr>
          <w:sz w:val="22"/>
          <w:szCs w:val="22"/>
          <w:lang w:val="fr-CA"/>
        </w:rPr>
        <w:t xml:space="preserve"> sera érigée. Le consortium achète tous les droits hydroélectriques de la rivière Merrima</w:t>
      </w:r>
      <w:r>
        <w:rPr>
          <w:sz w:val="22"/>
          <w:szCs w:val="22"/>
          <w:lang w:val="fr-CA"/>
        </w:rPr>
        <w:t>c</w:t>
      </w:r>
      <w:r w:rsidRPr="00217EFC">
        <w:rPr>
          <w:sz w:val="22"/>
          <w:szCs w:val="22"/>
          <w:lang w:val="fr-CA"/>
        </w:rPr>
        <w:t>k</w:t>
      </w:r>
      <w:r>
        <w:rPr>
          <w:sz w:val="22"/>
          <w:szCs w:val="22"/>
          <w:lang w:val="fr-CA"/>
        </w:rPr>
        <w:t xml:space="preserve">, qui </w:t>
      </w:r>
      <w:r w:rsidRPr="00217EFC">
        <w:rPr>
          <w:sz w:val="22"/>
          <w:szCs w:val="22"/>
          <w:lang w:val="fr-CA"/>
        </w:rPr>
        <w:t xml:space="preserve">est la principale rivière de l’État du New Hampshire et la deuxième en </w:t>
      </w:r>
      <w:r w:rsidRPr="00217EFC">
        <w:rPr>
          <w:sz w:val="22"/>
          <w:szCs w:val="22"/>
          <w:lang w:val="fr-CA"/>
        </w:rPr>
        <w:lastRenderedPageBreak/>
        <w:t>importance en Nouvelle-Angleterre. À l’époque, le modèle utilisé pour le développement de Manchester est celui de la ville de Lowell, Massachusetts, qui est établie depuis 1817. De plus, lors de la planification de leur projet, le consortium de Boston s’assure d’obtenir le contrôle exclusif de tous les lots industriels de la ville. Par conséquent, jusqu’aux années</w:t>
      </w:r>
      <w:r w:rsidR="00AF5153">
        <w:rPr>
          <w:sz w:val="22"/>
          <w:szCs w:val="22"/>
          <w:lang w:val="fr-CA"/>
        </w:rPr>
        <w:t> </w:t>
      </w:r>
      <w:r w:rsidRPr="00217EFC">
        <w:rPr>
          <w:sz w:val="22"/>
          <w:szCs w:val="22"/>
          <w:lang w:val="fr-CA"/>
        </w:rPr>
        <w:t xml:space="preserve">1930, aucune entreprise ne peux s’établir dans la ville sans le consentement du </w:t>
      </w:r>
      <w:r w:rsidRPr="00217EFC">
        <w:rPr>
          <w:i/>
          <w:iCs/>
          <w:sz w:val="22"/>
          <w:szCs w:val="22"/>
          <w:lang w:val="fr-CA"/>
        </w:rPr>
        <w:t>Boston Group</w:t>
      </w:r>
      <w:r w:rsidRPr="00217EFC">
        <w:rPr>
          <w:sz w:val="22"/>
          <w:szCs w:val="22"/>
          <w:lang w:val="fr-CA"/>
        </w:rPr>
        <w:t xml:space="preserve"> et le développement de la ville de Manchester demeure étroitement associé à celui de </w:t>
      </w:r>
      <w:r w:rsidRPr="005C74B9">
        <w:rPr>
          <w:sz w:val="22"/>
          <w:szCs w:val="22"/>
          <w:lang w:val="fr-CA"/>
        </w:rPr>
        <w:t>l’Amoskeag Manufaturing Company</w:t>
      </w:r>
      <w:r w:rsidRPr="00217EFC">
        <w:rPr>
          <w:rStyle w:val="FootnoteReference"/>
          <w:sz w:val="22"/>
          <w:szCs w:val="22"/>
          <w:lang w:val="fr-CA"/>
        </w:rPr>
        <w:footnoteReference w:id="42"/>
      </w:r>
      <w:r w:rsidRPr="00217EFC">
        <w:rPr>
          <w:sz w:val="22"/>
          <w:szCs w:val="22"/>
          <w:lang w:val="fr-CA"/>
        </w:rPr>
        <w:t>.</w:t>
      </w:r>
    </w:p>
    <w:p w14:paraId="2A2BD390" w14:textId="276D8E7E" w:rsidR="000264D6" w:rsidRDefault="000264D6" w:rsidP="002B5319">
      <w:pPr>
        <w:tabs>
          <w:tab w:val="left" w:pos="5670"/>
        </w:tabs>
        <w:spacing w:before="100" w:beforeAutospacing="1" w:after="100" w:afterAutospacing="1"/>
        <w:ind w:firstLine="720"/>
        <w:jc w:val="both"/>
        <w:rPr>
          <w:sz w:val="22"/>
          <w:szCs w:val="22"/>
          <w:lang w:val="fr-CA"/>
        </w:rPr>
      </w:pPr>
      <w:r w:rsidRPr="00217EFC">
        <w:rPr>
          <w:sz w:val="22"/>
          <w:szCs w:val="22"/>
          <w:lang w:val="fr-CA"/>
        </w:rPr>
        <w:t xml:space="preserve">Grâce à l’établissement de cette entreprise, Manchester devient rapidement la métropole du New Hampshire. Initialement, la manufacture de textile </w:t>
      </w:r>
      <w:r w:rsidRPr="005C74B9">
        <w:rPr>
          <w:sz w:val="22"/>
          <w:szCs w:val="22"/>
          <w:lang w:val="fr-CA"/>
        </w:rPr>
        <w:t>Amoskeag Manufaturing Company,</w:t>
      </w:r>
      <w:r w:rsidRPr="00217EFC">
        <w:rPr>
          <w:sz w:val="22"/>
          <w:szCs w:val="22"/>
          <w:lang w:val="fr-CA"/>
        </w:rPr>
        <w:t xml:space="preserve"> emplo</w:t>
      </w:r>
      <w:r>
        <w:rPr>
          <w:sz w:val="22"/>
          <w:szCs w:val="22"/>
          <w:lang w:val="fr-CA"/>
        </w:rPr>
        <w:t xml:space="preserve">ie </w:t>
      </w:r>
      <w:r w:rsidRPr="00217EFC">
        <w:rPr>
          <w:sz w:val="22"/>
          <w:szCs w:val="22"/>
          <w:lang w:val="fr-CA"/>
        </w:rPr>
        <w:t>des jeunes filles célibataires des différentes régions rurale</w:t>
      </w:r>
      <w:r>
        <w:rPr>
          <w:sz w:val="22"/>
          <w:szCs w:val="22"/>
          <w:lang w:val="fr-CA"/>
        </w:rPr>
        <w:t>s</w:t>
      </w:r>
      <w:r w:rsidRPr="00217EFC">
        <w:rPr>
          <w:sz w:val="22"/>
          <w:szCs w:val="22"/>
          <w:lang w:val="fr-CA"/>
        </w:rPr>
        <w:t xml:space="preserve"> de la Nouvelle-Angleterre. Afin de rassurer les parents, </w:t>
      </w:r>
      <w:r>
        <w:rPr>
          <w:sz w:val="22"/>
          <w:szCs w:val="22"/>
          <w:lang w:val="fr-CA"/>
        </w:rPr>
        <w:t>la compagnie</w:t>
      </w:r>
      <w:r w:rsidRPr="00217EFC">
        <w:rPr>
          <w:sz w:val="22"/>
          <w:szCs w:val="22"/>
          <w:lang w:val="fr-CA"/>
        </w:rPr>
        <w:t xml:space="preserve"> fournissait un environnement strict et paternel en règlementant les activités au travail et dans les pensions. Par exemple, </w:t>
      </w:r>
      <w:r>
        <w:rPr>
          <w:sz w:val="22"/>
          <w:szCs w:val="22"/>
          <w:lang w:val="fr-CA"/>
        </w:rPr>
        <w:t xml:space="preserve">la gestion de la manufacture renforce </w:t>
      </w:r>
      <w:r w:rsidRPr="00217EFC">
        <w:rPr>
          <w:sz w:val="22"/>
          <w:szCs w:val="22"/>
          <w:lang w:val="fr-CA"/>
        </w:rPr>
        <w:t>la prohibition de consommer de l’alcool. De plus, elle encadre les filles en mandatant leur participation à différentes œuvres de charité et aux services religieux</w:t>
      </w:r>
      <w:r w:rsidRPr="00217EFC">
        <w:rPr>
          <w:rStyle w:val="FootnoteReference"/>
          <w:sz w:val="22"/>
          <w:szCs w:val="22"/>
          <w:lang w:val="fr-CA"/>
        </w:rPr>
        <w:footnoteReference w:id="43"/>
      </w:r>
      <w:r w:rsidRPr="00217EFC">
        <w:rPr>
          <w:sz w:val="22"/>
          <w:szCs w:val="22"/>
          <w:lang w:val="fr-CA"/>
        </w:rPr>
        <w:t>. Ensuite, pendant les décennies</w:t>
      </w:r>
      <w:r w:rsidR="00AF5153">
        <w:rPr>
          <w:sz w:val="22"/>
          <w:szCs w:val="22"/>
          <w:lang w:val="fr-CA"/>
        </w:rPr>
        <w:t> </w:t>
      </w:r>
      <w:r w:rsidRPr="00217EFC">
        <w:rPr>
          <w:sz w:val="22"/>
          <w:szCs w:val="22"/>
          <w:lang w:val="fr-CA"/>
        </w:rPr>
        <w:t>1850 et 1860, les immigrants irlandais et leurs familles constituent la main d’œuvre principale de la manufacture, car ils acceptent de travailler à des salaires réduits. Quant aux Allemands, Écossais et Suédois</w:t>
      </w:r>
      <w:r>
        <w:rPr>
          <w:sz w:val="22"/>
          <w:szCs w:val="22"/>
          <w:lang w:val="fr-CA"/>
        </w:rPr>
        <w:t xml:space="preserve">, ils </w:t>
      </w:r>
      <w:r w:rsidRPr="00217EFC">
        <w:rPr>
          <w:sz w:val="22"/>
          <w:szCs w:val="22"/>
          <w:lang w:val="fr-CA"/>
        </w:rPr>
        <w:t>sont présents en moins grand nombre que les Irlandais dans la ville, mais ils constituent la main d’œuvre spécialisée pour la manufacture</w:t>
      </w:r>
      <w:r w:rsidRPr="00217EFC">
        <w:rPr>
          <w:rStyle w:val="FootnoteReference"/>
          <w:sz w:val="22"/>
          <w:szCs w:val="22"/>
          <w:lang w:val="fr-CA"/>
        </w:rPr>
        <w:footnoteReference w:id="44"/>
      </w:r>
      <w:r w:rsidRPr="00217EFC">
        <w:rPr>
          <w:sz w:val="22"/>
          <w:szCs w:val="22"/>
          <w:lang w:val="fr-CA"/>
        </w:rPr>
        <w:t xml:space="preserve">. </w:t>
      </w:r>
    </w:p>
    <w:p w14:paraId="6E601141" w14:textId="258564EF" w:rsidR="000264D6" w:rsidRPr="00217EFC" w:rsidRDefault="000264D6" w:rsidP="002B5319">
      <w:pPr>
        <w:tabs>
          <w:tab w:val="left" w:pos="5670"/>
        </w:tabs>
        <w:spacing w:before="100" w:beforeAutospacing="1" w:after="100" w:afterAutospacing="1"/>
        <w:ind w:firstLine="720"/>
        <w:jc w:val="both"/>
        <w:rPr>
          <w:sz w:val="22"/>
          <w:szCs w:val="22"/>
          <w:lang w:val="fr-CA"/>
        </w:rPr>
      </w:pPr>
      <w:r w:rsidRPr="00217EFC">
        <w:rPr>
          <w:sz w:val="22"/>
          <w:szCs w:val="22"/>
          <w:lang w:val="fr-CA"/>
        </w:rPr>
        <w:t xml:space="preserve">À partir de 1870, les Canadiens français se déplacent pour travailler dans la manufacture de Manchester comme main-d’œuvre non spécialisé. Certes, les Canadiens français quittent les régions rurales </w:t>
      </w:r>
      <w:r>
        <w:rPr>
          <w:sz w:val="22"/>
          <w:szCs w:val="22"/>
          <w:lang w:val="fr-CA"/>
        </w:rPr>
        <w:t xml:space="preserve">du Canada-Uni </w:t>
      </w:r>
      <w:r w:rsidRPr="00217EFC">
        <w:rPr>
          <w:sz w:val="22"/>
          <w:szCs w:val="22"/>
          <w:lang w:val="fr-CA"/>
        </w:rPr>
        <w:t>où les conditions de vies sont très difficiles</w:t>
      </w:r>
      <w:r>
        <w:rPr>
          <w:sz w:val="22"/>
          <w:szCs w:val="22"/>
          <w:lang w:val="fr-CA"/>
        </w:rPr>
        <w:t>. I</w:t>
      </w:r>
      <w:r w:rsidRPr="00217EFC">
        <w:rPr>
          <w:sz w:val="22"/>
          <w:szCs w:val="22"/>
          <w:lang w:val="fr-CA"/>
        </w:rPr>
        <w:t xml:space="preserve">ls deviennent un des groupes </w:t>
      </w:r>
      <w:r>
        <w:rPr>
          <w:sz w:val="22"/>
          <w:szCs w:val="22"/>
          <w:lang w:val="fr-CA"/>
        </w:rPr>
        <w:t xml:space="preserve">ethniques </w:t>
      </w:r>
      <w:r w:rsidRPr="00217EFC">
        <w:rPr>
          <w:sz w:val="22"/>
          <w:szCs w:val="22"/>
          <w:lang w:val="fr-CA"/>
        </w:rPr>
        <w:t>prisé</w:t>
      </w:r>
      <w:r>
        <w:rPr>
          <w:sz w:val="22"/>
          <w:szCs w:val="22"/>
          <w:lang w:val="fr-CA"/>
        </w:rPr>
        <w:t>s</w:t>
      </w:r>
      <w:r w:rsidRPr="00217EFC">
        <w:rPr>
          <w:sz w:val="22"/>
          <w:szCs w:val="22"/>
          <w:lang w:val="fr-CA"/>
        </w:rPr>
        <w:t xml:space="preserve"> par les recruteurs de personnels des manufactures de la Nouvelle-Angleterre</w:t>
      </w:r>
      <w:r>
        <w:rPr>
          <w:sz w:val="22"/>
          <w:szCs w:val="22"/>
          <w:lang w:val="fr-CA"/>
        </w:rPr>
        <w:t>, car i</w:t>
      </w:r>
      <w:r w:rsidRPr="00217EFC">
        <w:rPr>
          <w:sz w:val="22"/>
          <w:szCs w:val="22"/>
          <w:lang w:val="fr-CA"/>
        </w:rPr>
        <w:t xml:space="preserve">ls sont considérés comme un groupe ethnique idéal. </w:t>
      </w:r>
      <w:r>
        <w:rPr>
          <w:sz w:val="22"/>
          <w:szCs w:val="22"/>
          <w:lang w:val="fr-CA"/>
        </w:rPr>
        <w:t xml:space="preserve">Compte tenue </w:t>
      </w:r>
      <w:r w:rsidRPr="00217EFC">
        <w:rPr>
          <w:sz w:val="22"/>
          <w:szCs w:val="22"/>
          <w:lang w:val="fr-CA"/>
        </w:rPr>
        <w:t>de la proximité géographique et de la ligne directe de communication ferroviaire entre Montréal et Manchester, les Canadiens français sont reconnus pour être dociles et travaillants</w:t>
      </w:r>
      <w:r>
        <w:rPr>
          <w:sz w:val="22"/>
          <w:szCs w:val="22"/>
          <w:lang w:val="fr-CA"/>
        </w:rPr>
        <w:t xml:space="preserve">. De plus, </w:t>
      </w:r>
      <w:r w:rsidRPr="00217EFC">
        <w:rPr>
          <w:sz w:val="22"/>
          <w:szCs w:val="22"/>
          <w:lang w:val="fr-CA"/>
        </w:rPr>
        <w:t xml:space="preserve">parce que leurs liens principaux entre eux sont la famille et la langue française, ils refusent de collaborer avec les syndicats et de s’associer </w:t>
      </w:r>
      <w:r w:rsidRPr="004C0538">
        <w:rPr>
          <w:sz w:val="22"/>
          <w:szCs w:val="22"/>
          <w:lang w:val="fr-CA"/>
        </w:rPr>
        <w:t>à</w:t>
      </w:r>
      <w:r>
        <w:rPr>
          <w:sz w:val="22"/>
          <w:szCs w:val="22"/>
          <w:lang w:val="fr-CA"/>
        </w:rPr>
        <w:t xml:space="preserve"> </w:t>
      </w:r>
      <w:r w:rsidRPr="00217EFC">
        <w:rPr>
          <w:sz w:val="22"/>
          <w:szCs w:val="22"/>
          <w:lang w:val="fr-CA"/>
        </w:rPr>
        <w:t>d’autres ethnies.</w:t>
      </w:r>
      <w:r>
        <w:rPr>
          <w:sz w:val="22"/>
          <w:szCs w:val="22"/>
          <w:lang w:val="fr-CA"/>
        </w:rPr>
        <w:t xml:space="preserve"> </w:t>
      </w:r>
      <w:r w:rsidRPr="00217EFC">
        <w:rPr>
          <w:sz w:val="22"/>
          <w:szCs w:val="22"/>
          <w:lang w:val="fr-CA"/>
        </w:rPr>
        <w:t>En 1910, les Canadiens français constituent 35</w:t>
      </w:r>
      <w:r w:rsidR="00AF5153">
        <w:rPr>
          <w:sz w:val="22"/>
          <w:szCs w:val="22"/>
          <w:lang w:val="fr-CA"/>
        </w:rPr>
        <w:t> </w:t>
      </w:r>
      <w:r w:rsidRPr="00217EFC">
        <w:rPr>
          <w:sz w:val="22"/>
          <w:szCs w:val="22"/>
          <w:lang w:val="fr-CA"/>
        </w:rPr>
        <w:t xml:space="preserve">% des </w:t>
      </w:r>
      <w:r w:rsidR="00303703">
        <w:rPr>
          <w:sz w:val="22"/>
          <w:szCs w:val="22"/>
          <w:lang w:val="fr-CA"/>
        </w:rPr>
        <w:t>15</w:t>
      </w:r>
      <w:r w:rsidR="004F6447">
        <w:rPr>
          <w:sz w:val="22"/>
          <w:szCs w:val="22"/>
          <w:lang w:val="fr-CA"/>
        </w:rPr>
        <w:t> 00</w:t>
      </w:r>
      <w:r w:rsidR="00303703">
        <w:rPr>
          <w:sz w:val="22"/>
          <w:szCs w:val="22"/>
          <w:lang w:val="fr-CA"/>
        </w:rPr>
        <w:t>0</w:t>
      </w:r>
      <w:r w:rsidR="004F6447">
        <w:rPr>
          <w:sz w:val="22"/>
          <w:szCs w:val="22"/>
          <w:lang w:val="fr-CA"/>
        </w:rPr>
        <w:t xml:space="preserve"> </w:t>
      </w:r>
      <w:r w:rsidRPr="00217EFC">
        <w:rPr>
          <w:sz w:val="22"/>
          <w:szCs w:val="22"/>
          <w:lang w:val="fr-CA"/>
        </w:rPr>
        <w:t xml:space="preserve">travailleurs </w:t>
      </w:r>
      <w:r w:rsidR="004F6447">
        <w:rPr>
          <w:sz w:val="22"/>
          <w:szCs w:val="22"/>
          <w:lang w:val="fr-CA"/>
        </w:rPr>
        <w:t>qui travaillent pour l</w:t>
      </w:r>
      <w:r w:rsidRPr="00217EFC">
        <w:rPr>
          <w:sz w:val="22"/>
          <w:szCs w:val="22"/>
          <w:lang w:val="fr-CA"/>
        </w:rPr>
        <w:t>’Amoskeag</w:t>
      </w:r>
      <w:r w:rsidRPr="00217EFC">
        <w:rPr>
          <w:rStyle w:val="FootnoteReference"/>
          <w:sz w:val="22"/>
          <w:szCs w:val="22"/>
          <w:lang w:val="fr-CA"/>
        </w:rPr>
        <w:footnoteReference w:id="45"/>
      </w:r>
      <w:r w:rsidRPr="00217EFC">
        <w:rPr>
          <w:sz w:val="22"/>
          <w:szCs w:val="22"/>
          <w:lang w:val="fr-CA"/>
        </w:rPr>
        <w:t>.</w:t>
      </w:r>
    </w:p>
    <w:p w14:paraId="7682DD10"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Selon le recensement de 1900, Manchester a une population de 56</w:t>
      </w:r>
      <w:r w:rsidR="00AF5153">
        <w:rPr>
          <w:sz w:val="22"/>
          <w:szCs w:val="22"/>
          <w:lang w:val="fr-CA"/>
        </w:rPr>
        <w:t> </w:t>
      </w:r>
      <w:r w:rsidRPr="00217EFC">
        <w:rPr>
          <w:sz w:val="22"/>
          <w:szCs w:val="22"/>
          <w:lang w:val="fr-CA"/>
        </w:rPr>
        <w:t>987 habitants, dont 23</w:t>
      </w:r>
      <w:r w:rsidR="00AF5153">
        <w:rPr>
          <w:sz w:val="22"/>
          <w:szCs w:val="22"/>
          <w:lang w:val="fr-CA"/>
        </w:rPr>
        <w:t> </w:t>
      </w:r>
      <w:r w:rsidRPr="00217EFC">
        <w:rPr>
          <w:sz w:val="22"/>
          <w:szCs w:val="22"/>
          <w:lang w:val="fr-CA"/>
        </w:rPr>
        <w:t xml:space="preserve">000 sont </w:t>
      </w:r>
      <w:r>
        <w:rPr>
          <w:sz w:val="22"/>
          <w:szCs w:val="22"/>
          <w:lang w:val="fr-CA"/>
        </w:rPr>
        <w:t>f</w:t>
      </w:r>
      <w:r w:rsidRPr="00217EFC">
        <w:rPr>
          <w:sz w:val="22"/>
          <w:szCs w:val="22"/>
          <w:lang w:val="fr-CA"/>
        </w:rPr>
        <w:t>ranco-</w:t>
      </w:r>
      <w:r>
        <w:rPr>
          <w:sz w:val="22"/>
          <w:szCs w:val="22"/>
          <w:lang w:val="fr-CA"/>
        </w:rPr>
        <w:t>a</w:t>
      </w:r>
      <w:r w:rsidRPr="00217EFC">
        <w:rPr>
          <w:sz w:val="22"/>
          <w:szCs w:val="22"/>
          <w:lang w:val="fr-CA"/>
        </w:rPr>
        <w:t xml:space="preserve">méricains ou </w:t>
      </w:r>
      <w:r>
        <w:rPr>
          <w:sz w:val="22"/>
          <w:szCs w:val="22"/>
          <w:lang w:val="fr-CA"/>
        </w:rPr>
        <w:t>c</w:t>
      </w:r>
      <w:r w:rsidRPr="00217EFC">
        <w:rPr>
          <w:sz w:val="22"/>
          <w:szCs w:val="22"/>
          <w:lang w:val="fr-CA"/>
        </w:rPr>
        <w:t>anadiens français</w:t>
      </w:r>
      <w:r w:rsidRPr="00217EFC">
        <w:rPr>
          <w:rStyle w:val="FootnoteReference"/>
          <w:rFonts w:eastAsia="Calibri"/>
          <w:sz w:val="22"/>
          <w:szCs w:val="22"/>
          <w:lang w:val="fr-CA" w:eastAsia="en-US"/>
        </w:rPr>
        <w:footnoteReference w:id="46"/>
      </w:r>
      <w:r w:rsidRPr="00217EFC">
        <w:rPr>
          <w:sz w:val="22"/>
          <w:szCs w:val="22"/>
          <w:lang w:val="fr-CA"/>
        </w:rPr>
        <w:t>. À la veille de le Grande Guerre, le recensement de 1910, rapporte que la ville compte 70</w:t>
      </w:r>
      <w:r w:rsidR="00AF5153">
        <w:rPr>
          <w:sz w:val="22"/>
          <w:szCs w:val="22"/>
          <w:lang w:val="fr-CA"/>
        </w:rPr>
        <w:t> </w:t>
      </w:r>
      <w:r w:rsidRPr="00217EFC">
        <w:rPr>
          <w:sz w:val="22"/>
          <w:szCs w:val="22"/>
          <w:lang w:val="fr-CA"/>
        </w:rPr>
        <w:t>063 habitants</w:t>
      </w:r>
      <w:r w:rsidRPr="00217EFC">
        <w:rPr>
          <w:rStyle w:val="FootnoteReference"/>
          <w:sz w:val="22"/>
          <w:szCs w:val="22"/>
          <w:lang w:val="fr-CA"/>
        </w:rPr>
        <w:footnoteReference w:id="47"/>
      </w:r>
      <w:r w:rsidRPr="00217EFC">
        <w:rPr>
          <w:sz w:val="22"/>
          <w:szCs w:val="22"/>
          <w:lang w:val="fr-CA"/>
        </w:rPr>
        <w:t xml:space="preserve"> et, en 1920, après le conflit mondial, le recensement compte 78 384 habitants</w:t>
      </w:r>
      <w:r w:rsidRPr="00217EFC">
        <w:rPr>
          <w:rStyle w:val="FootnoteReference"/>
          <w:sz w:val="22"/>
          <w:szCs w:val="22"/>
          <w:lang w:val="fr-CA"/>
        </w:rPr>
        <w:footnoteReference w:id="48"/>
      </w:r>
      <w:r w:rsidRPr="00217EFC">
        <w:rPr>
          <w:sz w:val="22"/>
          <w:szCs w:val="22"/>
          <w:lang w:val="fr-CA"/>
        </w:rPr>
        <w:t>. Il n’existe pas de donnée</w:t>
      </w:r>
      <w:r>
        <w:rPr>
          <w:sz w:val="22"/>
          <w:szCs w:val="22"/>
          <w:lang w:val="fr-CA"/>
        </w:rPr>
        <w:t>s</w:t>
      </w:r>
      <w:r w:rsidRPr="00217EFC">
        <w:rPr>
          <w:sz w:val="22"/>
          <w:szCs w:val="22"/>
          <w:lang w:val="fr-CA"/>
        </w:rPr>
        <w:t xml:space="preserve"> officielle</w:t>
      </w:r>
      <w:r>
        <w:rPr>
          <w:sz w:val="22"/>
          <w:szCs w:val="22"/>
          <w:lang w:val="fr-CA"/>
        </w:rPr>
        <w:t>s</w:t>
      </w:r>
      <w:r w:rsidRPr="00217EFC">
        <w:rPr>
          <w:sz w:val="22"/>
          <w:szCs w:val="22"/>
          <w:lang w:val="fr-CA"/>
        </w:rPr>
        <w:t xml:space="preserve"> quant à la population francophone réelle de Manchester après les recensements de 1910, mais il est raisonnable de mentionner qu’elle se situait à 40</w:t>
      </w:r>
      <w:r w:rsidR="00AF5153">
        <w:rPr>
          <w:sz w:val="22"/>
          <w:szCs w:val="22"/>
          <w:lang w:val="fr-CA"/>
        </w:rPr>
        <w:t> </w:t>
      </w:r>
      <w:r w:rsidRPr="00217EFC">
        <w:rPr>
          <w:sz w:val="22"/>
          <w:szCs w:val="22"/>
          <w:lang w:val="fr-CA"/>
        </w:rPr>
        <w:t>% de la population totale de la ville</w:t>
      </w:r>
      <w:r w:rsidRPr="00217EFC">
        <w:rPr>
          <w:rStyle w:val="FootnoteReference"/>
          <w:sz w:val="22"/>
          <w:szCs w:val="22"/>
          <w:lang w:val="fr-CA"/>
        </w:rPr>
        <w:footnoteReference w:id="49"/>
      </w:r>
      <w:r w:rsidRPr="00217EFC">
        <w:rPr>
          <w:sz w:val="22"/>
          <w:szCs w:val="22"/>
          <w:lang w:val="fr-CA"/>
        </w:rPr>
        <w:t>, soit environ 28</w:t>
      </w:r>
      <w:r w:rsidR="00AF5153">
        <w:rPr>
          <w:sz w:val="22"/>
          <w:szCs w:val="22"/>
          <w:lang w:val="fr-CA"/>
        </w:rPr>
        <w:t> </w:t>
      </w:r>
      <w:r w:rsidRPr="00217EFC">
        <w:rPr>
          <w:sz w:val="22"/>
          <w:szCs w:val="22"/>
          <w:lang w:val="fr-CA"/>
        </w:rPr>
        <w:t>000 habitants, en 1910, et 31</w:t>
      </w:r>
      <w:r w:rsidR="00AF5153">
        <w:rPr>
          <w:sz w:val="22"/>
          <w:szCs w:val="22"/>
          <w:lang w:val="fr-CA"/>
        </w:rPr>
        <w:t> </w:t>
      </w:r>
      <w:r w:rsidRPr="00217EFC">
        <w:rPr>
          <w:sz w:val="22"/>
          <w:szCs w:val="22"/>
          <w:lang w:val="fr-CA"/>
        </w:rPr>
        <w:t xml:space="preserve">000 en 1920. Toutefois, selon </w:t>
      </w:r>
      <w:r w:rsidRPr="00217EFC">
        <w:rPr>
          <w:i/>
          <w:iCs/>
          <w:sz w:val="22"/>
          <w:szCs w:val="22"/>
          <w:lang w:val="fr-CA"/>
        </w:rPr>
        <w:t>L’Avenir National</w:t>
      </w:r>
      <w:r w:rsidRPr="00217EFC">
        <w:rPr>
          <w:sz w:val="22"/>
          <w:szCs w:val="22"/>
          <w:lang w:val="fr-CA"/>
        </w:rPr>
        <w:t xml:space="preserve">, en 1916, la </w:t>
      </w:r>
      <w:r w:rsidRPr="00217EFC">
        <w:rPr>
          <w:sz w:val="22"/>
          <w:szCs w:val="22"/>
          <w:lang w:val="fr-CA"/>
        </w:rPr>
        <w:lastRenderedPageBreak/>
        <w:t>population de la ville était d’environ 80</w:t>
      </w:r>
      <w:r w:rsidR="00AF5153">
        <w:rPr>
          <w:sz w:val="22"/>
          <w:szCs w:val="22"/>
          <w:lang w:val="fr-CA"/>
        </w:rPr>
        <w:t> </w:t>
      </w:r>
      <w:r w:rsidRPr="00217EFC">
        <w:rPr>
          <w:sz w:val="22"/>
          <w:szCs w:val="22"/>
          <w:lang w:val="fr-CA"/>
        </w:rPr>
        <w:t>000 résidents. 40</w:t>
      </w:r>
      <w:r w:rsidR="00AF5153">
        <w:rPr>
          <w:sz w:val="22"/>
          <w:szCs w:val="22"/>
          <w:lang w:val="fr-CA"/>
        </w:rPr>
        <w:t> </w:t>
      </w:r>
      <w:r w:rsidRPr="00217EFC">
        <w:rPr>
          <w:sz w:val="22"/>
          <w:szCs w:val="22"/>
          <w:lang w:val="fr-CA"/>
        </w:rPr>
        <w:t xml:space="preserve">000 d’entre eux étaient </w:t>
      </w:r>
      <w:r>
        <w:rPr>
          <w:sz w:val="22"/>
          <w:szCs w:val="22"/>
          <w:lang w:val="fr-CA"/>
        </w:rPr>
        <w:t>f</w:t>
      </w:r>
      <w:r w:rsidRPr="00217EFC">
        <w:rPr>
          <w:sz w:val="22"/>
          <w:szCs w:val="22"/>
          <w:lang w:val="fr-CA"/>
        </w:rPr>
        <w:t>ranco-</w:t>
      </w:r>
      <w:r>
        <w:rPr>
          <w:sz w:val="22"/>
          <w:szCs w:val="22"/>
          <w:lang w:val="fr-CA"/>
        </w:rPr>
        <w:t>a</w:t>
      </w:r>
      <w:r w:rsidRPr="00217EFC">
        <w:rPr>
          <w:sz w:val="22"/>
          <w:szCs w:val="22"/>
          <w:lang w:val="fr-CA"/>
        </w:rPr>
        <w:t>méricains, 15</w:t>
      </w:r>
      <w:r w:rsidR="00AF5153">
        <w:rPr>
          <w:sz w:val="22"/>
          <w:szCs w:val="22"/>
          <w:lang w:val="fr-CA"/>
        </w:rPr>
        <w:t> </w:t>
      </w:r>
      <w:r w:rsidRPr="00217EFC">
        <w:rPr>
          <w:sz w:val="22"/>
          <w:szCs w:val="22"/>
          <w:lang w:val="fr-CA"/>
        </w:rPr>
        <w:t xml:space="preserve">000 étaient </w:t>
      </w:r>
      <w:r>
        <w:rPr>
          <w:sz w:val="22"/>
          <w:szCs w:val="22"/>
          <w:lang w:val="fr-CA"/>
        </w:rPr>
        <w:t>i</w:t>
      </w:r>
      <w:r w:rsidRPr="00217EFC">
        <w:rPr>
          <w:sz w:val="22"/>
          <w:szCs w:val="22"/>
          <w:lang w:val="fr-CA"/>
        </w:rPr>
        <w:t>rlandais et 20</w:t>
      </w:r>
      <w:r w:rsidR="00AF5153">
        <w:rPr>
          <w:sz w:val="22"/>
          <w:szCs w:val="22"/>
          <w:lang w:val="fr-CA"/>
        </w:rPr>
        <w:t> </w:t>
      </w:r>
      <w:r w:rsidRPr="00217EFC">
        <w:rPr>
          <w:sz w:val="22"/>
          <w:szCs w:val="22"/>
          <w:lang w:val="fr-CA"/>
        </w:rPr>
        <w:t>000 étaient de descendance américaine. Parmi les autres groupes ethniques présents dans cette ville, le journal note l’augmentation récente de la population polonaise et grecque et la présence d’une centaine d’Allemands</w:t>
      </w:r>
      <w:r w:rsidRPr="00217EFC">
        <w:rPr>
          <w:rStyle w:val="FootnoteReference"/>
          <w:sz w:val="22"/>
          <w:szCs w:val="22"/>
          <w:lang w:val="fr-CA"/>
        </w:rPr>
        <w:footnoteReference w:id="50"/>
      </w:r>
      <w:r w:rsidRPr="00217EFC">
        <w:rPr>
          <w:sz w:val="22"/>
          <w:szCs w:val="22"/>
          <w:lang w:val="fr-CA"/>
        </w:rPr>
        <w:t xml:space="preserve">.    </w:t>
      </w:r>
    </w:p>
    <w:p w14:paraId="1567AD5F" w14:textId="1E89456A" w:rsidR="000264D6" w:rsidRDefault="000264D6" w:rsidP="00EA4842">
      <w:pPr>
        <w:rPr>
          <w:b/>
          <w:bCs/>
          <w:sz w:val="22"/>
          <w:szCs w:val="22"/>
          <w:lang w:val="fr-CA"/>
        </w:rPr>
      </w:pPr>
      <w:r>
        <w:rPr>
          <w:b/>
          <w:bCs/>
          <w:sz w:val="22"/>
          <w:szCs w:val="22"/>
          <w:lang w:val="fr-CA"/>
        </w:rPr>
        <w:t>Manchester, s</w:t>
      </w:r>
      <w:r w:rsidRPr="008A6E5E">
        <w:rPr>
          <w:b/>
          <w:bCs/>
          <w:sz w:val="22"/>
          <w:szCs w:val="22"/>
          <w:lang w:val="fr-CA"/>
        </w:rPr>
        <w:t xml:space="preserve">es différents quartiers et paroisses, </w:t>
      </w:r>
      <w:r>
        <w:rPr>
          <w:b/>
          <w:bCs/>
          <w:sz w:val="22"/>
          <w:szCs w:val="22"/>
          <w:lang w:val="fr-CA"/>
        </w:rPr>
        <w:t xml:space="preserve">ses </w:t>
      </w:r>
      <w:r w:rsidRPr="008A6E5E">
        <w:rPr>
          <w:b/>
          <w:bCs/>
          <w:sz w:val="22"/>
          <w:szCs w:val="22"/>
          <w:lang w:val="fr-CA"/>
        </w:rPr>
        <w:t>organisations de bienfaisance,</w:t>
      </w:r>
      <w:r w:rsidR="00E46D85">
        <w:rPr>
          <w:b/>
          <w:bCs/>
          <w:sz w:val="22"/>
          <w:szCs w:val="22"/>
          <w:lang w:val="fr-CA"/>
        </w:rPr>
        <w:t xml:space="preserve"> </w:t>
      </w:r>
      <w:r>
        <w:rPr>
          <w:b/>
          <w:bCs/>
          <w:sz w:val="22"/>
          <w:szCs w:val="22"/>
          <w:lang w:val="fr-CA"/>
        </w:rPr>
        <w:t>ses</w:t>
      </w:r>
      <w:r w:rsidR="00E46D85">
        <w:rPr>
          <w:b/>
          <w:bCs/>
          <w:sz w:val="22"/>
          <w:szCs w:val="22"/>
          <w:lang w:val="fr-CA"/>
        </w:rPr>
        <w:t> </w:t>
      </w:r>
      <w:r w:rsidRPr="008A6E5E">
        <w:rPr>
          <w:b/>
          <w:bCs/>
          <w:sz w:val="22"/>
          <w:szCs w:val="22"/>
          <w:lang w:val="fr-CA"/>
        </w:rPr>
        <w:t>milices locales,</w:t>
      </w:r>
      <w:r>
        <w:rPr>
          <w:b/>
          <w:bCs/>
          <w:sz w:val="22"/>
          <w:szCs w:val="22"/>
          <w:lang w:val="fr-CA"/>
        </w:rPr>
        <w:t xml:space="preserve"> ses </w:t>
      </w:r>
      <w:r w:rsidRPr="008A6E5E">
        <w:rPr>
          <w:b/>
          <w:bCs/>
          <w:sz w:val="22"/>
          <w:szCs w:val="22"/>
          <w:lang w:val="fr-CA"/>
        </w:rPr>
        <w:t>gardes paroissiales</w:t>
      </w:r>
    </w:p>
    <w:p w14:paraId="4572C10C" w14:textId="77777777" w:rsidR="000264D6" w:rsidRPr="008A6E5E" w:rsidRDefault="000264D6" w:rsidP="008A6E5E">
      <w:pPr>
        <w:jc w:val="center"/>
        <w:rPr>
          <w:b/>
          <w:bCs/>
          <w:sz w:val="22"/>
          <w:szCs w:val="22"/>
          <w:lang w:val="fr-CA"/>
        </w:rPr>
      </w:pPr>
    </w:p>
    <w:p w14:paraId="5E64B14A" w14:textId="06B7D609" w:rsidR="000264D6" w:rsidRPr="006C4266" w:rsidRDefault="000264D6" w:rsidP="002B5319">
      <w:pPr>
        <w:spacing w:before="100" w:beforeAutospacing="1" w:after="100" w:afterAutospacing="1"/>
        <w:ind w:firstLine="720"/>
        <w:jc w:val="both"/>
        <w:rPr>
          <w:sz w:val="22"/>
          <w:szCs w:val="22"/>
          <w:lang w:val="fr-CA"/>
        </w:rPr>
      </w:pPr>
      <w:r w:rsidRPr="002A278A">
        <w:rPr>
          <w:sz w:val="22"/>
          <w:szCs w:val="22"/>
          <w:lang w:val="fr-CA"/>
        </w:rPr>
        <w:t>Il est primordial de réaliser que le potentiel pour soutenir une guerre</w:t>
      </w:r>
      <w:r w:rsidR="00D70A46" w:rsidRPr="002A278A">
        <w:rPr>
          <w:sz w:val="22"/>
          <w:szCs w:val="22"/>
          <w:lang w:val="fr-CA"/>
        </w:rPr>
        <w:t>,</w:t>
      </w:r>
      <w:r w:rsidRPr="002A278A">
        <w:rPr>
          <w:sz w:val="22"/>
          <w:szCs w:val="22"/>
          <w:lang w:val="fr-CA"/>
        </w:rPr>
        <w:t xml:space="preserve"> comme la Première Guerre mondiale</w:t>
      </w:r>
      <w:r w:rsidR="00D70A46" w:rsidRPr="002A278A">
        <w:rPr>
          <w:sz w:val="22"/>
          <w:szCs w:val="22"/>
          <w:lang w:val="fr-CA"/>
        </w:rPr>
        <w:t>,</w:t>
      </w:r>
      <w:r w:rsidRPr="002A278A">
        <w:rPr>
          <w:sz w:val="22"/>
          <w:szCs w:val="22"/>
          <w:lang w:val="fr-CA"/>
        </w:rPr>
        <w:t xml:space="preserve"> réside dans les actifs financiers de ses institutions et des ressources que l’</w:t>
      </w:r>
      <w:r w:rsidR="00B43D35">
        <w:rPr>
          <w:sz w:val="22"/>
          <w:szCs w:val="22"/>
          <w:lang w:val="fr-CA"/>
        </w:rPr>
        <w:t>É</w:t>
      </w:r>
      <w:r w:rsidRPr="002A278A">
        <w:rPr>
          <w:sz w:val="22"/>
          <w:szCs w:val="22"/>
          <w:lang w:val="fr-CA"/>
        </w:rPr>
        <w:t>tat peut accéder afin d</w:t>
      </w:r>
      <w:r w:rsidR="00D70A46" w:rsidRPr="002A278A">
        <w:rPr>
          <w:sz w:val="22"/>
          <w:szCs w:val="22"/>
          <w:lang w:val="fr-CA"/>
        </w:rPr>
        <w:t xml:space="preserve">e soutenir </w:t>
      </w:r>
      <w:r w:rsidRPr="002A278A">
        <w:rPr>
          <w:sz w:val="22"/>
          <w:szCs w:val="22"/>
          <w:lang w:val="fr-CA"/>
        </w:rPr>
        <w:t xml:space="preserve">les armées qu’il lève. Comme nous le verrons plus tard, lorsque le gouvernement américain détermine la quote-part d’une ville, </w:t>
      </w:r>
      <w:r w:rsidR="00D70A46" w:rsidRPr="002A278A">
        <w:rPr>
          <w:sz w:val="22"/>
          <w:szCs w:val="22"/>
          <w:lang w:val="fr-CA"/>
        </w:rPr>
        <w:t xml:space="preserve">au moment </w:t>
      </w:r>
      <w:r w:rsidRPr="002A278A">
        <w:rPr>
          <w:sz w:val="22"/>
          <w:szCs w:val="22"/>
          <w:lang w:val="fr-CA"/>
        </w:rPr>
        <w:t xml:space="preserve">des campagnes d’emprunt, en plus de considérer le nombre total de résidents de la communauté, </w:t>
      </w:r>
      <w:r w:rsidR="00EF0F11" w:rsidRPr="002A278A">
        <w:rPr>
          <w:sz w:val="22"/>
          <w:szCs w:val="22"/>
          <w:lang w:val="fr-CA"/>
        </w:rPr>
        <w:t xml:space="preserve">l’État </w:t>
      </w:r>
      <w:r w:rsidRPr="002A278A">
        <w:rPr>
          <w:sz w:val="22"/>
          <w:szCs w:val="22"/>
          <w:lang w:val="fr-CA"/>
        </w:rPr>
        <w:t>considère aussi l’actif de ses institutions financières. Cette notion sera importante surtout lors des troisième et quatrième campagne</w:t>
      </w:r>
      <w:r w:rsidR="00AF5153" w:rsidRPr="002A278A">
        <w:rPr>
          <w:sz w:val="22"/>
          <w:szCs w:val="22"/>
          <w:lang w:val="fr-CA"/>
        </w:rPr>
        <w:t>s</w:t>
      </w:r>
      <w:r w:rsidRPr="002A278A">
        <w:rPr>
          <w:sz w:val="22"/>
          <w:szCs w:val="22"/>
          <w:lang w:val="fr-CA"/>
        </w:rPr>
        <w:t xml:space="preserve"> d’emprunt de la Liberté alors que la population donne des signes de fatigue financières.</w:t>
      </w:r>
      <w:r>
        <w:rPr>
          <w:sz w:val="22"/>
          <w:szCs w:val="22"/>
          <w:lang w:val="fr-CA"/>
        </w:rPr>
        <w:t xml:space="preserve"> Donc, au cours de son histoire, </w:t>
      </w:r>
      <w:r w:rsidRPr="00217EFC">
        <w:rPr>
          <w:sz w:val="22"/>
          <w:szCs w:val="22"/>
          <w:lang w:val="fr-CA"/>
        </w:rPr>
        <w:t>Manchester demeure toujours une ville industrielle et prospère</w:t>
      </w:r>
      <w:r>
        <w:rPr>
          <w:sz w:val="22"/>
          <w:szCs w:val="22"/>
          <w:lang w:val="fr-CA"/>
        </w:rPr>
        <w:t>.</w:t>
      </w:r>
      <w:r w:rsidRPr="00217EFC">
        <w:rPr>
          <w:sz w:val="22"/>
          <w:szCs w:val="22"/>
          <w:lang w:val="fr-CA"/>
        </w:rPr>
        <w:t xml:space="preserve"> </w:t>
      </w:r>
      <w:r>
        <w:rPr>
          <w:sz w:val="22"/>
          <w:szCs w:val="22"/>
          <w:lang w:val="fr-CA"/>
        </w:rPr>
        <w:t>P</w:t>
      </w:r>
      <w:r w:rsidRPr="00217EFC">
        <w:rPr>
          <w:sz w:val="22"/>
          <w:szCs w:val="22"/>
          <w:lang w:val="fr-CA"/>
        </w:rPr>
        <w:t>ar exemple, tous les salaires combinés des travailleurs totalisent un revenu de 12 millions de dollars par année</w:t>
      </w:r>
      <w:r w:rsidRPr="00217EFC">
        <w:rPr>
          <w:rStyle w:val="FootnoteReference"/>
          <w:sz w:val="22"/>
          <w:szCs w:val="22"/>
          <w:lang w:val="fr-CA"/>
        </w:rPr>
        <w:footnoteReference w:id="51"/>
      </w:r>
      <w:r w:rsidRPr="00217EFC">
        <w:rPr>
          <w:sz w:val="22"/>
          <w:szCs w:val="22"/>
          <w:lang w:val="fr-CA"/>
        </w:rPr>
        <w:t>. D’ailleurs</w:t>
      </w:r>
      <w:r>
        <w:rPr>
          <w:sz w:val="22"/>
          <w:szCs w:val="22"/>
          <w:lang w:val="fr-CA"/>
        </w:rPr>
        <w:t>,</w:t>
      </w:r>
      <w:r w:rsidRPr="00217EFC">
        <w:rPr>
          <w:sz w:val="22"/>
          <w:szCs w:val="22"/>
          <w:lang w:val="fr-CA"/>
        </w:rPr>
        <w:t xml:space="preserve"> la ville a toujours été prospère. </w:t>
      </w:r>
      <w:r>
        <w:rPr>
          <w:sz w:val="22"/>
          <w:szCs w:val="22"/>
          <w:lang w:val="fr-CA"/>
        </w:rPr>
        <w:t>Ainsi, p</w:t>
      </w:r>
      <w:r w:rsidRPr="00217EFC">
        <w:rPr>
          <w:sz w:val="22"/>
          <w:szCs w:val="22"/>
          <w:lang w:val="fr-CA"/>
        </w:rPr>
        <w:t>endant la Guerre de Sécession</w:t>
      </w:r>
      <w:r>
        <w:rPr>
          <w:sz w:val="22"/>
          <w:szCs w:val="22"/>
          <w:lang w:val="fr-CA"/>
        </w:rPr>
        <w:t>,</w:t>
      </w:r>
      <w:r w:rsidRPr="00217EFC">
        <w:rPr>
          <w:sz w:val="22"/>
          <w:szCs w:val="22"/>
          <w:lang w:val="fr-CA"/>
        </w:rPr>
        <w:t xml:space="preserve"> </w:t>
      </w:r>
      <w:r w:rsidRPr="005C74B9">
        <w:rPr>
          <w:sz w:val="22"/>
          <w:szCs w:val="22"/>
          <w:lang w:val="fr-CA"/>
        </w:rPr>
        <w:t xml:space="preserve">l’Amoskeag </w:t>
      </w:r>
      <w:r w:rsidRPr="006C4266">
        <w:rPr>
          <w:i/>
          <w:iCs/>
          <w:sz w:val="22"/>
          <w:szCs w:val="22"/>
          <w:lang w:val="fr-CA"/>
        </w:rPr>
        <w:t>Manufaturing Company</w:t>
      </w:r>
      <w:r w:rsidRPr="00217EFC">
        <w:rPr>
          <w:sz w:val="22"/>
          <w:szCs w:val="22"/>
          <w:lang w:val="fr-CA"/>
        </w:rPr>
        <w:t xml:space="preserve"> reçoit l’ordre de produire le fusil Springfield (</w:t>
      </w:r>
      <w:r w:rsidR="00AF5153">
        <w:rPr>
          <w:sz w:val="22"/>
          <w:szCs w:val="22"/>
          <w:lang w:val="fr-CA"/>
        </w:rPr>
        <w:t>c</w:t>
      </w:r>
      <w:r w:rsidRPr="00217EFC">
        <w:rPr>
          <w:sz w:val="22"/>
          <w:szCs w:val="22"/>
          <w:lang w:val="fr-CA"/>
        </w:rPr>
        <w:t>al .45). Tout au long du conflit</w:t>
      </w:r>
      <w:r>
        <w:rPr>
          <w:sz w:val="22"/>
          <w:szCs w:val="22"/>
          <w:lang w:val="fr-CA"/>
        </w:rPr>
        <w:t xml:space="preserve">, </w:t>
      </w:r>
      <w:r w:rsidRPr="00217EFC">
        <w:rPr>
          <w:sz w:val="22"/>
          <w:szCs w:val="22"/>
          <w:lang w:val="fr-CA"/>
        </w:rPr>
        <w:t>elle fourni</w:t>
      </w:r>
      <w:r>
        <w:rPr>
          <w:sz w:val="22"/>
          <w:szCs w:val="22"/>
          <w:lang w:val="fr-CA"/>
        </w:rPr>
        <w:t>t</w:t>
      </w:r>
      <w:r w:rsidRPr="00217EFC">
        <w:rPr>
          <w:sz w:val="22"/>
          <w:szCs w:val="22"/>
          <w:lang w:val="fr-CA"/>
        </w:rPr>
        <w:t xml:space="preserve"> </w:t>
      </w:r>
      <w:r w:rsidRPr="00E02870">
        <w:rPr>
          <w:lang w:val="fr-CA"/>
        </w:rPr>
        <w:t>25</w:t>
      </w:r>
      <w:r w:rsidR="00AF5153">
        <w:rPr>
          <w:lang w:val="fr-CA"/>
        </w:rPr>
        <w:t> </w:t>
      </w:r>
      <w:r w:rsidRPr="00E02870">
        <w:rPr>
          <w:lang w:val="fr-CA"/>
        </w:rPr>
        <w:t>000</w:t>
      </w:r>
      <w:r w:rsidRPr="00217EFC">
        <w:rPr>
          <w:sz w:val="22"/>
          <w:szCs w:val="22"/>
          <w:lang w:val="fr-CA"/>
        </w:rPr>
        <w:t xml:space="preserve"> armes au gouvernement nordiste</w:t>
      </w:r>
      <w:r w:rsidRPr="00217EFC">
        <w:rPr>
          <w:rStyle w:val="FootnoteReference"/>
          <w:sz w:val="22"/>
          <w:szCs w:val="22"/>
          <w:lang w:val="fr-CA"/>
        </w:rPr>
        <w:footnoteReference w:id="52"/>
      </w:r>
      <w:r w:rsidRPr="00217EFC">
        <w:rPr>
          <w:sz w:val="22"/>
          <w:szCs w:val="22"/>
          <w:lang w:val="fr-CA"/>
        </w:rPr>
        <w:t xml:space="preserve">. En 1916, la manufacture de textile Amoskeag, avec ses multiples filatures et ses fabriques de tissus et de coton, est la plus grande manufacture de coton au monde. Comme employeur, </w:t>
      </w:r>
      <w:r>
        <w:rPr>
          <w:sz w:val="22"/>
          <w:szCs w:val="22"/>
          <w:lang w:val="fr-CA"/>
        </w:rPr>
        <w:t xml:space="preserve">elle paie en salaire </w:t>
      </w:r>
      <w:r w:rsidRPr="00217EFC">
        <w:rPr>
          <w:sz w:val="22"/>
          <w:szCs w:val="22"/>
          <w:lang w:val="fr-CA"/>
        </w:rPr>
        <w:t>plus de huit millions de dollars</w:t>
      </w:r>
      <w:r>
        <w:rPr>
          <w:sz w:val="22"/>
          <w:szCs w:val="22"/>
          <w:lang w:val="fr-CA"/>
        </w:rPr>
        <w:t xml:space="preserve"> </w:t>
      </w:r>
      <w:r w:rsidRPr="006C4266">
        <w:rPr>
          <w:sz w:val="22"/>
          <w:szCs w:val="22"/>
          <w:lang w:val="fr-CA"/>
        </w:rPr>
        <w:t>par année</w:t>
      </w:r>
      <w:r w:rsidRPr="006C4266">
        <w:rPr>
          <w:rStyle w:val="FootnoteReference"/>
          <w:sz w:val="22"/>
          <w:szCs w:val="22"/>
          <w:lang w:val="fr-CA"/>
        </w:rPr>
        <w:footnoteReference w:id="53"/>
      </w:r>
      <w:r w:rsidRPr="006C4266">
        <w:rPr>
          <w:sz w:val="22"/>
          <w:szCs w:val="22"/>
          <w:lang w:val="fr-CA"/>
        </w:rPr>
        <w:t xml:space="preserve">. </w:t>
      </w:r>
    </w:p>
    <w:p w14:paraId="57F24C1B" w14:textId="77777777" w:rsidR="000264D6" w:rsidRPr="00217EFC" w:rsidRDefault="000264D6" w:rsidP="002B5319">
      <w:pPr>
        <w:spacing w:before="100" w:beforeAutospacing="1" w:after="100" w:afterAutospacing="1"/>
        <w:ind w:firstLine="720"/>
        <w:jc w:val="both"/>
        <w:rPr>
          <w:sz w:val="22"/>
          <w:szCs w:val="22"/>
          <w:lang w:val="fr-CA"/>
        </w:rPr>
      </w:pPr>
      <w:r w:rsidRPr="006C4266">
        <w:rPr>
          <w:sz w:val="22"/>
          <w:szCs w:val="22"/>
          <w:lang w:val="fr-CA"/>
        </w:rPr>
        <w:t>Grâce à la centrale hydroélectrique</w:t>
      </w:r>
      <w:r w:rsidRPr="00217EFC">
        <w:rPr>
          <w:sz w:val="22"/>
          <w:szCs w:val="22"/>
          <w:lang w:val="fr-CA"/>
        </w:rPr>
        <w:t xml:space="preserve"> de la rivière Merrimack, la ville peut distribuer facilement 12</w:t>
      </w:r>
      <w:r w:rsidR="00AF5153">
        <w:rPr>
          <w:sz w:val="22"/>
          <w:szCs w:val="22"/>
          <w:lang w:val="fr-CA"/>
        </w:rPr>
        <w:t> </w:t>
      </w:r>
      <w:r w:rsidRPr="00217EFC">
        <w:rPr>
          <w:sz w:val="22"/>
          <w:szCs w:val="22"/>
          <w:lang w:val="fr-CA"/>
        </w:rPr>
        <w:t xml:space="preserve">500 Kilowatts d’électricité aux filatures et manufactures de la ville. Cet avantage technologique fait de Manchester un centre industriel d’une importance stratégique pour la Nouvelle-Angleterre et pour les États-Unis. Par exemple, on retrouve à Manchester la </w:t>
      </w:r>
      <w:r w:rsidRPr="006C4266">
        <w:rPr>
          <w:i/>
          <w:iCs/>
          <w:sz w:val="22"/>
          <w:szCs w:val="22"/>
          <w:lang w:val="fr-CA"/>
        </w:rPr>
        <w:t>Travelers Shoe Store</w:t>
      </w:r>
      <w:r w:rsidRPr="005C74B9">
        <w:rPr>
          <w:sz w:val="22"/>
          <w:szCs w:val="22"/>
          <w:lang w:val="fr-CA"/>
        </w:rPr>
        <w:t xml:space="preserve"> qui</w:t>
      </w:r>
      <w:r w:rsidRPr="00217EFC">
        <w:rPr>
          <w:sz w:val="22"/>
          <w:szCs w:val="22"/>
          <w:lang w:val="fr-CA"/>
        </w:rPr>
        <w:t xml:space="preserve"> maintien</w:t>
      </w:r>
      <w:r>
        <w:rPr>
          <w:sz w:val="22"/>
          <w:szCs w:val="22"/>
          <w:lang w:val="fr-CA"/>
        </w:rPr>
        <w:t>t</w:t>
      </w:r>
      <w:r w:rsidRPr="00217EFC">
        <w:rPr>
          <w:sz w:val="22"/>
          <w:szCs w:val="22"/>
          <w:lang w:val="fr-CA"/>
        </w:rPr>
        <w:t xml:space="preserve"> une de ses trois fabriques de chaussures à Manchester</w:t>
      </w:r>
      <w:r w:rsidRPr="00217EFC">
        <w:rPr>
          <w:rStyle w:val="FootnoteReference"/>
          <w:sz w:val="22"/>
          <w:szCs w:val="22"/>
          <w:lang w:val="fr-CA"/>
        </w:rPr>
        <w:footnoteReference w:id="54"/>
      </w:r>
      <w:r w:rsidRPr="00217EFC">
        <w:rPr>
          <w:sz w:val="22"/>
          <w:szCs w:val="22"/>
          <w:lang w:val="fr-CA"/>
        </w:rPr>
        <w:t>, les 1</w:t>
      </w:r>
      <w:r w:rsidR="00AF5153">
        <w:rPr>
          <w:sz w:val="22"/>
          <w:szCs w:val="22"/>
          <w:lang w:val="fr-CA"/>
        </w:rPr>
        <w:t> </w:t>
      </w:r>
      <w:r w:rsidRPr="00217EFC">
        <w:rPr>
          <w:sz w:val="22"/>
          <w:szCs w:val="22"/>
          <w:lang w:val="fr-CA"/>
        </w:rPr>
        <w:t xml:space="preserve">200 employés de la cordonnerie Hyot </w:t>
      </w:r>
      <w:r>
        <w:rPr>
          <w:sz w:val="22"/>
          <w:szCs w:val="22"/>
          <w:lang w:val="fr-CA"/>
        </w:rPr>
        <w:t xml:space="preserve">qui produisent </w:t>
      </w:r>
      <w:r w:rsidRPr="00217EFC">
        <w:rPr>
          <w:sz w:val="22"/>
          <w:szCs w:val="22"/>
          <w:lang w:val="fr-CA"/>
        </w:rPr>
        <w:t xml:space="preserve">les souliers </w:t>
      </w:r>
      <w:r w:rsidRPr="006C4266">
        <w:rPr>
          <w:i/>
          <w:iCs/>
          <w:sz w:val="22"/>
          <w:szCs w:val="22"/>
          <w:lang w:val="fr-CA"/>
        </w:rPr>
        <w:t>Beacon</w:t>
      </w:r>
      <w:r w:rsidRPr="00217EFC">
        <w:rPr>
          <w:rStyle w:val="FootnoteReference"/>
          <w:sz w:val="22"/>
          <w:szCs w:val="22"/>
          <w:lang w:val="fr-CA"/>
        </w:rPr>
        <w:footnoteReference w:id="55"/>
      </w:r>
      <w:r w:rsidRPr="00217EFC">
        <w:rPr>
          <w:i/>
          <w:iCs/>
          <w:sz w:val="22"/>
          <w:szCs w:val="22"/>
          <w:lang w:val="fr-CA"/>
        </w:rPr>
        <w:t>.</w:t>
      </w:r>
      <w:r w:rsidRPr="00217EFC">
        <w:rPr>
          <w:sz w:val="22"/>
          <w:szCs w:val="22"/>
          <w:lang w:val="fr-CA"/>
        </w:rPr>
        <w:t xml:space="preserve"> </w:t>
      </w:r>
      <w:r>
        <w:rPr>
          <w:sz w:val="22"/>
          <w:szCs w:val="22"/>
          <w:lang w:val="fr-CA"/>
        </w:rPr>
        <w:t>L</w:t>
      </w:r>
      <w:r w:rsidRPr="00217EFC">
        <w:rPr>
          <w:sz w:val="22"/>
          <w:szCs w:val="22"/>
          <w:lang w:val="fr-CA"/>
        </w:rPr>
        <w:t xml:space="preserve">e manufacturier de souliers </w:t>
      </w:r>
      <w:r w:rsidRPr="00217EFC">
        <w:rPr>
          <w:i/>
          <w:iCs/>
          <w:sz w:val="22"/>
          <w:szCs w:val="22"/>
          <w:lang w:val="fr-CA"/>
        </w:rPr>
        <w:t>McElwain</w:t>
      </w:r>
      <w:r w:rsidRPr="00217EFC">
        <w:rPr>
          <w:sz w:val="22"/>
          <w:szCs w:val="22"/>
          <w:lang w:val="fr-CA"/>
        </w:rPr>
        <w:t xml:space="preserve"> est le cinquième en importance aux États-Unis et, à lui seul, il emploie 8</w:t>
      </w:r>
      <w:r w:rsidR="00AF5153">
        <w:rPr>
          <w:sz w:val="22"/>
          <w:szCs w:val="22"/>
          <w:lang w:val="fr-CA"/>
        </w:rPr>
        <w:t> </w:t>
      </w:r>
      <w:r w:rsidRPr="00217EFC">
        <w:rPr>
          <w:sz w:val="22"/>
          <w:szCs w:val="22"/>
          <w:lang w:val="fr-CA"/>
        </w:rPr>
        <w:t>000 personnes dans l’une de ses quatre cordonneries. Manchester est aussi reconnue pour sa plus grande manufacture indépendante de production de cigares au monde. Elle rapporte au gouvernement américain 500</w:t>
      </w:r>
      <w:r w:rsidR="00AF5153">
        <w:rPr>
          <w:sz w:val="22"/>
          <w:szCs w:val="22"/>
          <w:lang w:val="fr-CA"/>
        </w:rPr>
        <w:t> </w:t>
      </w:r>
      <w:r w:rsidRPr="00217EFC">
        <w:rPr>
          <w:sz w:val="22"/>
          <w:szCs w:val="22"/>
          <w:lang w:val="fr-CA"/>
        </w:rPr>
        <w:t>000</w:t>
      </w:r>
      <w:r w:rsidR="00AF5153">
        <w:rPr>
          <w:sz w:val="22"/>
          <w:szCs w:val="22"/>
          <w:lang w:val="fr-CA"/>
        </w:rPr>
        <w:t> </w:t>
      </w:r>
      <w:r w:rsidRPr="00217EFC">
        <w:rPr>
          <w:sz w:val="22"/>
          <w:szCs w:val="22"/>
          <w:lang w:val="fr-CA"/>
        </w:rPr>
        <w:t xml:space="preserve">dollars par année en taxes de tabac. Également, on retrouve la manufacture de brosses à chaussures mécaniques </w:t>
      </w:r>
      <w:r w:rsidRPr="00217EFC">
        <w:rPr>
          <w:i/>
          <w:iCs/>
          <w:sz w:val="22"/>
          <w:szCs w:val="22"/>
          <w:lang w:val="fr-CA"/>
        </w:rPr>
        <w:t xml:space="preserve">Felton et </w:t>
      </w:r>
      <w:r w:rsidR="00AF5153">
        <w:rPr>
          <w:i/>
          <w:iCs/>
          <w:sz w:val="22"/>
          <w:szCs w:val="22"/>
          <w:lang w:val="fr-CA"/>
        </w:rPr>
        <w:t>F</w:t>
      </w:r>
      <w:r w:rsidRPr="00217EFC">
        <w:rPr>
          <w:i/>
          <w:iCs/>
          <w:sz w:val="22"/>
          <w:szCs w:val="22"/>
          <w:lang w:val="fr-CA"/>
        </w:rPr>
        <w:t>ils</w:t>
      </w:r>
      <w:r w:rsidRPr="00217EFC">
        <w:rPr>
          <w:sz w:val="22"/>
          <w:szCs w:val="22"/>
          <w:lang w:val="fr-CA"/>
        </w:rPr>
        <w:t xml:space="preserve"> qui détient, à elle seule, 90</w:t>
      </w:r>
      <w:r w:rsidR="00AF5153">
        <w:rPr>
          <w:sz w:val="22"/>
          <w:szCs w:val="22"/>
          <w:lang w:val="fr-CA"/>
        </w:rPr>
        <w:t> </w:t>
      </w:r>
      <w:r w:rsidRPr="00217EFC">
        <w:rPr>
          <w:sz w:val="22"/>
          <w:szCs w:val="22"/>
          <w:lang w:val="fr-CA"/>
        </w:rPr>
        <w:t>% du marché mondial. Manchester compte d’autres manufactures comme celles de papier, de harnais, d’aiguille à tricots</w:t>
      </w:r>
      <w:r>
        <w:rPr>
          <w:sz w:val="22"/>
          <w:szCs w:val="22"/>
          <w:lang w:val="fr-CA"/>
        </w:rPr>
        <w:t xml:space="preserve"> et</w:t>
      </w:r>
      <w:r w:rsidRPr="00217EFC">
        <w:rPr>
          <w:sz w:val="22"/>
          <w:szCs w:val="22"/>
          <w:lang w:val="fr-CA"/>
        </w:rPr>
        <w:t xml:space="preserve"> de machine à tricoter. </w:t>
      </w:r>
      <w:r>
        <w:rPr>
          <w:sz w:val="22"/>
          <w:szCs w:val="22"/>
          <w:lang w:val="fr-CA"/>
        </w:rPr>
        <w:t>Enfin</w:t>
      </w:r>
      <w:r w:rsidRPr="00217EFC">
        <w:rPr>
          <w:sz w:val="22"/>
          <w:szCs w:val="22"/>
          <w:lang w:val="fr-CA"/>
        </w:rPr>
        <w:t>, on compte une manufacture de bois de construction, qui a un chiffre d’affaire</w:t>
      </w:r>
      <w:r w:rsidR="00AF5153">
        <w:rPr>
          <w:sz w:val="22"/>
          <w:szCs w:val="22"/>
          <w:lang w:val="fr-CA"/>
        </w:rPr>
        <w:t>s</w:t>
      </w:r>
      <w:r w:rsidRPr="00217EFC">
        <w:rPr>
          <w:sz w:val="22"/>
          <w:szCs w:val="22"/>
          <w:lang w:val="fr-CA"/>
        </w:rPr>
        <w:t xml:space="preserve"> annuel de 1</w:t>
      </w:r>
      <w:r w:rsidR="00AF5153">
        <w:rPr>
          <w:sz w:val="22"/>
          <w:szCs w:val="22"/>
          <w:lang w:val="fr-CA"/>
        </w:rPr>
        <w:t>,</w:t>
      </w:r>
      <w:r w:rsidRPr="00217EFC">
        <w:rPr>
          <w:sz w:val="22"/>
          <w:szCs w:val="22"/>
          <w:lang w:val="fr-CA"/>
        </w:rPr>
        <w:t>1 million de dollars, et de bâtons de baseball, où l’on tourne deux millions de b</w:t>
      </w:r>
      <w:r>
        <w:rPr>
          <w:sz w:val="22"/>
          <w:szCs w:val="22"/>
          <w:lang w:val="fr-CA"/>
        </w:rPr>
        <w:t>â</w:t>
      </w:r>
      <w:r w:rsidRPr="00217EFC">
        <w:rPr>
          <w:sz w:val="22"/>
          <w:szCs w:val="22"/>
          <w:lang w:val="fr-CA"/>
        </w:rPr>
        <w:t>tons par année</w:t>
      </w:r>
      <w:r w:rsidRPr="00217EFC">
        <w:rPr>
          <w:rStyle w:val="FootnoteReference"/>
          <w:sz w:val="22"/>
          <w:szCs w:val="22"/>
          <w:lang w:val="fr-CA"/>
        </w:rPr>
        <w:footnoteReference w:id="56"/>
      </w:r>
      <w:r w:rsidRPr="00217EFC">
        <w:rPr>
          <w:sz w:val="22"/>
          <w:szCs w:val="22"/>
          <w:lang w:val="fr-CA"/>
        </w:rPr>
        <w:t xml:space="preserve">. Quant à l’état de santé de ses </w:t>
      </w:r>
      <w:r>
        <w:rPr>
          <w:sz w:val="22"/>
          <w:szCs w:val="22"/>
          <w:lang w:val="fr-CA"/>
        </w:rPr>
        <w:t>institutions</w:t>
      </w:r>
      <w:r w:rsidRPr="00217EFC">
        <w:rPr>
          <w:sz w:val="22"/>
          <w:szCs w:val="22"/>
          <w:lang w:val="fr-CA"/>
        </w:rPr>
        <w:t xml:space="preserve"> financi</w:t>
      </w:r>
      <w:r>
        <w:rPr>
          <w:sz w:val="22"/>
          <w:szCs w:val="22"/>
          <w:lang w:val="fr-CA"/>
        </w:rPr>
        <w:t>è</w:t>
      </w:r>
      <w:r w:rsidRPr="00217EFC">
        <w:rPr>
          <w:sz w:val="22"/>
          <w:szCs w:val="22"/>
          <w:lang w:val="fr-CA"/>
        </w:rPr>
        <w:t>r</w:t>
      </w:r>
      <w:r>
        <w:rPr>
          <w:sz w:val="22"/>
          <w:szCs w:val="22"/>
          <w:lang w:val="fr-CA"/>
        </w:rPr>
        <w:t>e</w:t>
      </w:r>
      <w:r w:rsidRPr="00217EFC">
        <w:rPr>
          <w:sz w:val="22"/>
          <w:szCs w:val="22"/>
          <w:lang w:val="fr-CA"/>
        </w:rPr>
        <w:t xml:space="preserve">s, nous pouvons affirmer </w:t>
      </w:r>
      <w:r w:rsidRPr="00217EFC">
        <w:rPr>
          <w:sz w:val="22"/>
          <w:szCs w:val="22"/>
          <w:lang w:val="fr-CA"/>
        </w:rPr>
        <w:lastRenderedPageBreak/>
        <w:t>qu’</w:t>
      </w:r>
      <w:r>
        <w:rPr>
          <w:sz w:val="22"/>
          <w:szCs w:val="22"/>
          <w:lang w:val="fr-CA"/>
        </w:rPr>
        <w:t>elles</w:t>
      </w:r>
      <w:r w:rsidRPr="00217EFC">
        <w:rPr>
          <w:sz w:val="22"/>
          <w:szCs w:val="22"/>
          <w:lang w:val="fr-CA"/>
        </w:rPr>
        <w:t xml:space="preserve"> se porte</w:t>
      </w:r>
      <w:r>
        <w:rPr>
          <w:sz w:val="22"/>
          <w:szCs w:val="22"/>
          <w:lang w:val="fr-CA"/>
        </w:rPr>
        <w:t>nt</w:t>
      </w:r>
      <w:r w:rsidRPr="00217EFC">
        <w:rPr>
          <w:sz w:val="22"/>
          <w:szCs w:val="22"/>
          <w:lang w:val="fr-CA"/>
        </w:rPr>
        <w:t xml:space="preserve"> à merveille</w:t>
      </w:r>
      <w:r>
        <w:rPr>
          <w:sz w:val="22"/>
          <w:szCs w:val="22"/>
          <w:lang w:val="fr-CA"/>
        </w:rPr>
        <w:t> </w:t>
      </w:r>
      <w:r w:rsidRPr="00217EFC">
        <w:rPr>
          <w:sz w:val="22"/>
          <w:szCs w:val="22"/>
          <w:lang w:val="fr-CA"/>
        </w:rPr>
        <w:t>; les ressources d’épargnes des banques et les actifs de ses banques et ses compagnies d’assurances sont de 54 millions de dollars</w:t>
      </w:r>
      <w:r w:rsidRPr="00217EFC">
        <w:rPr>
          <w:rStyle w:val="FootnoteReference"/>
          <w:sz w:val="22"/>
          <w:szCs w:val="22"/>
          <w:lang w:val="fr-CA"/>
        </w:rPr>
        <w:footnoteReference w:id="57"/>
      </w:r>
      <w:r w:rsidRPr="00217EFC">
        <w:rPr>
          <w:sz w:val="22"/>
          <w:szCs w:val="22"/>
          <w:lang w:val="fr-CA"/>
        </w:rPr>
        <w:t xml:space="preserve">. </w:t>
      </w:r>
      <w:r w:rsidRPr="00217EFC">
        <w:rPr>
          <w:rFonts w:eastAsia="Calibri"/>
          <w:sz w:val="22"/>
          <w:szCs w:val="22"/>
          <w:lang w:val="fr-CA" w:eastAsia="en-US"/>
        </w:rPr>
        <w:t>En 1914, la ville de Manchester compte cinquante-sept banques qui ont un actif total de 36 millions</w:t>
      </w:r>
      <w:r>
        <w:rPr>
          <w:rFonts w:eastAsia="Calibri"/>
          <w:sz w:val="22"/>
          <w:szCs w:val="22"/>
          <w:lang w:val="fr-CA" w:eastAsia="en-US"/>
        </w:rPr>
        <w:t xml:space="preserve"> $ </w:t>
      </w:r>
      <w:r w:rsidRPr="00217EFC">
        <w:rPr>
          <w:rFonts w:eastAsia="Calibri"/>
          <w:sz w:val="22"/>
          <w:szCs w:val="22"/>
          <w:lang w:val="fr-CA" w:eastAsia="en-US"/>
        </w:rPr>
        <w:t>et l</w:t>
      </w:r>
      <w:r>
        <w:rPr>
          <w:rFonts w:eastAsia="Calibri"/>
          <w:sz w:val="22"/>
          <w:szCs w:val="22"/>
          <w:lang w:val="fr-CA" w:eastAsia="en-US"/>
        </w:rPr>
        <w:t xml:space="preserve">e solde </w:t>
      </w:r>
      <w:r w:rsidRPr="00217EFC">
        <w:rPr>
          <w:rFonts w:eastAsia="Calibri"/>
          <w:sz w:val="22"/>
          <w:szCs w:val="22"/>
          <w:lang w:val="fr-CA" w:eastAsia="en-US"/>
        </w:rPr>
        <w:t>des comptes des banques dépasse 108 millions</w:t>
      </w:r>
      <w:r>
        <w:rPr>
          <w:rFonts w:eastAsia="Calibri"/>
          <w:sz w:val="22"/>
          <w:szCs w:val="22"/>
          <w:lang w:val="fr-CA" w:eastAsia="en-US"/>
        </w:rPr>
        <w:t> $</w:t>
      </w:r>
      <w:r w:rsidRPr="00217EFC">
        <w:rPr>
          <w:rStyle w:val="FootnoteReference"/>
          <w:rFonts w:eastAsia="Calibri"/>
          <w:sz w:val="22"/>
          <w:szCs w:val="22"/>
          <w:lang w:val="fr-CA" w:eastAsia="en-US"/>
        </w:rPr>
        <w:footnoteReference w:id="58"/>
      </w:r>
      <w:r w:rsidRPr="00217EFC">
        <w:rPr>
          <w:rFonts w:eastAsia="Calibri"/>
          <w:sz w:val="22"/>
          <w:szCs w:val="22"/>
          <w:lang w:val="fr-CA" w:eastAsia="en-US"/>
        </w:rPr>
        <w:t>. En 1916</w:t>
      </w:r>
      <w:r>
        <w:rPr>
          <w:rFonts w:eastAsia="Calibri"/>
          <w:sz w:val="22"/>
          <w:szCs w:val="22"/>
          <w:lang w:val="fr-CA" w:eastAsia="en-US"/>
        </w:rPr>
        <w:t>, l</w:t>
      </w:r>
      <w:r w:rsidRPr="002144E5">
        <w:rPr>
          <w:rFonts w:eastAsia="Calibri"/>
          <w:sz w:val="22"/>
          <w:szCs w:val="22"/>
          <w:lang w:val="fr-CA" w:eastAsia="en-US"/>
        </w:rPr>
        <w:t>’</w:t>
      </w:r>
      <w:r w:rsidRPr="00217EFC">
        <w:rPr>
          <w:rFonts w:eastAsia="Calibri"/>
          <w:sz w:val="22"/>
          <w:szCs w:val="22"/>
          <w:lang w:val="fr-CA" w:eastAsia="en-US"/>
        </w:rPr>
        <w:t xml:space="preserve">évaluation foncière des immeubles de la ville totalise </w:t>
      </w:r>
      <w:r>
        <w:rPr>
          <w:rFonts w:eastAsia="Calibri"/>
          <w:sz w:val="22"/>
          <w:szCs w:val="22"/>
          <w:lang w:val="fr-CA" w:eastAsia="en-US"/>
        </w:rPr>
        <w:t>79 000 000 $</w:t>
      </w:r>
      <w:r w:rsidRPr="00217EFC">
        <w:rPr>
          <w:rStyle w:val="FootnoteReference"/>
          <w:rFonts w:eastAsia="Calibri"/>
          <w:sz w:val="22"/>
          <w:szCs w:val="22"/>
          <w:lang w:val="fr-CA" w:eastAsia="en-US"/>
        </w:rPr>
        <w:footnoteReference w:id="59"/>
      </w:r>
      <w:r w:rsidRPr="00217EFC">
        <w:rPr>
          <w:rFonts w:eastAsia="Calibri"/>
          <w:sz w:val="22"/>
          <w:szCs w:val="22"/>
          <w:lang w:val="fr-CA" w:eastAsia="en-US"/>
        </w:rPr>
        <w:t xml:space="preserve">. </w:t>
      </w:r>
      <w:r w:rsidRPr="00217EFC">
        <w:rPr>
          <w:sz w:val="22"/>
          <w:szCs w:val="22"/>
          <w:lang w:val="fr-CA"/>
        </w:rPr>
        <w:t xml:space="preserve">Or, il est facilement réalisable que Manchester, comme centre industriel et financier, </w:t>
      </w:r>
      <w:r w:rsidR="00AF5153">
        <w:rPr>
          <w:sz w:val="22"/>
          <w:szCs w:val="22"/>
          <w:lang w:val="fr-CA"/>
        </w:rPr>
        <w:t>soi</w:t>
      </w:r>
      <w:r w:rsidRPr="00217EFC">
        <w:rPr>
          <w:sz w:val="22"/>
          <w:szCs w:val="22"/>
          <w:lang w:val="fr-CA"/>
        </w:rPr>
        <w:t>t très attrayante pour tous ceux qui sont en quête du rêve américain</w:t>
      </w:r>
      <w:r>
        <w:rPr>
          <w:sz w:val="22"/>
          <w:szCs w:val="22"/>
          <w:lang w:val="fr-CA"/>
        </w:rPr>
        <w:t xml:space="preserve"> et qu’elle s</w:t>
      </w:r>
      <w:r w:rsidR="00AF5153">
        <w:rPr>
          <w:sz w:val="22"/>
          <w:szCs w:val="22"/>
          <w:lang w:val="fr-CA"/>
        </w:rPr>
        <w:t>oit</w:t>
      </w:r>
      <w:r>
        <w:rPr>
          <w:sz w:val="22"/>
          <w:szCs w:val="22"/>
          <w:lang w:val="fr-CA"/>
        </w:rPr>
        <w:t xml:space="preserve"> grandement sollicité</w:t>
      </w:r>
      <w:r w:rsidR="00AF5153">
        <w:rPr>
          <w:sz w:val="22"/>
          <w:szCs w:val="22"/>
          <w:lang w:val="fr-CA"/>
        </w:rPr>
        <w:t>e</w:t>
      </w:r>
      <w:r>
        <w:rPr>
          <w:sz w:val="22"/>
          <w:szCs w:val="22"/>
          <w:lang w:val="fr-CA"/>
        </w:rPr>
        <w:t xml:space="preserve"> pour contribuer aux différentes campagnes de financement de la guerre</w:t>
      </w:r>
      <w:r w:rsidRPr="00217EFC">
        <w:rPr>
          <w:sz w:val="22"/>
          <w:szCs w:val="22"/>
          <w:lang w:val="fr-CA"/>
        </w:rPr>
        <w:t>.</w:t>
      </w:r>
    </w:p>
    <w:p w14:paraId="055E9B0D"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Administrativement, la municipalité est constituée de cinq commissions : celle des travaux publics, de l’aqueduc, des répartiteurs des taxes, de la police et </w:t>
      </w:r>
      <w:r>
        <w:rPr>
          <w:sz w:val="22"/>
          <w:szCs w:val="22"/>
          <w:lang w:val="fr-CA"/>
        </w:rPr>
        <w:t xml:space="preserve">celle </w:t>
      </w:r>
      <w:r w:rsidRPr="00217EFC">
        <w:rPr>
          <w:sz w:val="22"/>
          <w:szCs w:val="22"/>
          <w:lang w:val="fr-CA"/>
        </w:rPr>
        <w:t xml:space="preserve">des services scolaires qui gère le système des écoles publiques. De plus, on y retrouve un département de la santé, pour coordonner l’administration des questions d’hygiène, un service d’incendie de 88 pompiers réguliers et </w:t>
      </w:r>
      <w:r>
        <w:rPr>
          <w:sz w:val="22"/>
          <w:szCs w:val="22"/>
          <w:lang w:val="fr-CA"/>
        </w:rPr>
        <w:t xml:space="preserve">de </w:t>
      </w:r>
      <w:r w:rsidRPr="00217EFC">
        <w:rPr>
          <w:sz w:val="22"/>
          <w:szCs w:val="22"/>
          <w:lang w:val="fr-CA"/>
        </w:rPr>
        <w:t xml:space="preserve">108 volontaires, un département </w:t>
      </w:r>
      <w:r w:rsidRPr="002A278A">
        <w:rPr>
          <w:sz w:val="22"/>
          <w:szCs w:val="22"/>
          <w:lang w:val="fr-CA"/>
        </w:rPr>
        <w:t>d’assistance et des édifices publics, pour ses 11 bâtiments publics, et une bibliothèque municipale</w:t>
      </w:r>
      <w:r w:rsidRPr="002A278A">
        <w:rPr>
          <w:rStyle w:val="FootnoteReference"/>
          <w:sz w:val="22"/>
          <w:szCs w:val="22"/>
          <w:lang w:val="fr-CA"/>
        </w:rPr>
        <w:footnoteReference w:id="60"/>
      </w:r>
      <w:r w:rsidRPr="002A278A">
        <w:rPr>
          <w:sz w:val="22"/>
          <w:szCs w:val="22"/>
          <w:lang w:val="fr-CA"/>
        </w:rPr>
        <w:t>. Comme métropole, la ville est avantageusement située au carrefour des chemins de fer entre Boston, l’</w:t>
      </w:r>
      <w:r w:rsidR="005B2E44" w:rsidRPr="002A278A">
        <w:rPr>
          <w:sz w:val="22"/>
          <w:szCs w:val="22"/>
          <w:lang w:val="fr-CA"/>
        </w:rPr>
        <w:t>O</w:t>
      </w:r>
      <w:r w:rsidRPr="002A278A">
        <w:rPr>
          <w:sz w:val="22"/>
          <w:szCs w:val="22"/>
          <w:lang w:val="fr-CA"/>
        </w:rPr>
        <w:t>uest</w:t>
      </w:r>
      <w:r w:rsidRPr="00217EFC">
        <w:rPr>
          <w:sz w:val="22"/>
          <w:szCs w:val="22"/>
          <w:lang w:val="fr-CA"/>
        </w:rPr>
        <w:t xml:space="preserve"> des États-Unis et</w:t>
      </w:r>
      <w:r>
        <w:rPr>
          <w:sz w:val="22"/>
          <w:szCs w:val="22"/>
          <w:lang w:val="fr-CA"/>
        </w:rPr>
        <w:t xml:space="preserve"> </w:t>
      </w:r>
      <w:r w:rsidRPr="00217EFC">
        <w:rPr>
          <w:sz w:val="22"/>
          <w:szCs w:val="22"/>
          <w:lang w:val="fr-CA"/>
        </w:rPr>
        <w:t xml:space="preserve">Montréal. Elle </w:t>
      </w:r>
      <w:r>
        <w:rPr>
          <w:sz w:val="22"/>
          <w:szCs w:val="22"/>
          <w:lang w:val="fr-CA"/>
        </w:rPr>
        <w:t xml:space="preserve">possède </w:t>
      </w:r>
      <w:r w:rsidRPr="00217EFC">
        <w:rPr>
          <w:sz w:val="22"/>
          <w:szCs w:val="22"/>
          <w:lang w:val="fr-CA"/>
        </w:rPr>
        <w:t>son propre réseau de transport en commun</w:t>
      </w:r>
      <w:r w:rsidR="00AF5153">
        <w:rPr>
          <w:sz w:val="22"/>
          <w:szCs w:val="22"/>
          <w:lang w:val="fr-CA"/>
        </w:rPr>
        <w:t>,</w:t>
      </w:r>
      <w:r w:rsidRPr="00217EFC">
        <w:rPr>
          <w:sz w:val="22"/>
          <w:szCs w:val="22"/>
          <w:lang w:val="fr-CA"/>
        </w:rPr>
        <w:t xml:space="preserve"> dont un service de tramway et un service de «</w:t>
      </w:r>
      <w:r w:rsidR="00AF5153">
        <w:rPr>
          <w:sz w:val="22"/>
          <w:szCs w:val="22"/>
          <w:lang w:val="fr-CA"/>
        </w:rPr>
        <w:t> </w:t>
      </w:r>
      <w:r w:rsidRPr="00217EFC">
        <w:rPr>
          <w:sz w:val="22"/>
          <w:szCs w:val="22"/>
          <w:lang w:val="fr-CA"/>
        </w:rPr>
        <w:t>char urbain</w:t>
      </w:r>
      <w:r w:rsidRPr="00217EFC">
        <w:rPr>
          <w:rStyle w:val="FootnoteReference"/>
          <w:sz w:val="22"/>
          <w:szCs w:val="22"/>
          <w:lang w:val="fr-CA"/>
        </w:rPr>
        <w:footnoteReference w:id="61"/>
      </w:r>
      <w:r w:rsidR="00AF5153">
        <w:rPr>
          <w:sz w:val="22"/>
          <w:szCs w:val="22"/>
          <w:lang w:val="fr-CA"/>
        </w:rPr>
        <w:t> </w:t>
      </w:r>
      <w:r w:rsidRPr="00217EFC">
        <w:rPr>
          <w:sz w:val="22"/>
          <w:szCs w:val="22"/>
          <w:lang w:val="fr-CA"/>
        </w:rPr>
        <w:t>» qui a</w:t>
      </w:r>
      <w:r>
        <w:rPr>
          <w:sz w:val="22"/>
          <w:szCs w:val="22"/>
          <w:lang w:val="fr-CA"/>
        </w:rPr>
        <w:t xml:space="preserve">vait </w:t>
      </w:r>
      <w:r w:rsidRPr="00217EFC">
        <w:rPr>
          <w:sz w:val="22"/>
          <w:szCs w:val="22"/>
          <w:lang w:val="fr-CA"/>
        </w:rPr>
        <w:t>transporté plus de onze millions de passager</w:t>
      </w:r>
      <w:r w:rsidR="00AF5153">
        <w:rPr>
          <w:sz w:val="22"/>
          <w:szCs w:val="22"/>
          <w:lang w:val="fr-CA"/>
        </w:rPr>
        <w:t>s</w:t>
      </w:r>
      <w:r w:rsidRPr="00217EFC">
        <w:rPr>
          <w:sz w:val="22"/>
          <w:szCs w:val="22"/>
          <w:lang w:val="fr-CA"/>
        </w:rPr>
        <w:t>, en 1915</w:t>
      </w:r>
      <w:r w:rsidRPr="00217EFC">
        <w:rPr>
          <w:rStyle w:val="FootnoteReference"/>
          <w:sz w:val="22"/>
          <w:szCs w:val="22"/>
          <w:lang w:val="fr-CA"/>
        </w:rPr>
        <w:footnoteReference w:id="62"/>
      </w:r>
      <w:r w:rsidRPr="00217EFC">
        <w:rPr>
          <w:sz w:val="22"/>
          <w:szCs w:val="22"/>
          <w:lang w:val="fr-CA"/>
        </w:rPr>
        <w:t>. On estime que 14</w:t>
      </w:r>
      <w:r w:rsidR="00AF5153">
        <w:rPr>
          <w:sz w:val="22"/>
          <w:szCs w:val="22"/>
          <w:lang w:val="fr-CA"/>
        </w:rPr>
        <w:t> </w:t>
      </w:r>
      <w:r w:rsidRPr="00217EFC">
        <w:rPr>
          <w:sz w:val="22"/>
          <w:szCs w:val="22"/>
          <w:lang w:val="fr-CA"/>
        </w:rPr>
        <w:t>000 étudiants fréquentent les différentes écoles de la ville, qui comprend l’école secondaire publique, de 800 élèves (école supérieure), les trois écoles privées et les 21 écoles paroissiales. De plus, l’école industrielle de l’État du New Hampshire est installée à Manchester</w:t>
      </w:r>
      <w:r w:rsidRPr="00217EFC">
        <w:rPr>
          <w:rStyle w:val="FootnoteReference"/>
          <w:sz w:val="22"/>
          <w:szCs w:val="22"/>
          <w:lang w:val="fr-CA"/>
        </w:rPr>
        <w:footnoteReference w:id="63"/>
      </w:r>
      <w:r w:rsidRPr="00217EFC">
        <w:rPr>
          <w:sz w:val="22"/>
          <w:szCs w:val="22"/>
          <w:lang w:val="fr-CA"/>
        </w:rPr>
        <w:t>.</w:t>
      </w:r>
    </w:p>
    <w:p w14:paraId="196F0323"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Entre 1915 et 1916, la Législature de l’État vote pour que la municipalité passe de neuf à treize quartiers. Quant à la population francophone, elle est principalement regroupée dans l’ouest de la ville, plus spécifiquement dans le quartier McGregorville qui couvre la paroisse Sainte-Marie</w:t>
      </w:r>
      <w:r w:rsidRPr="00217EFC">
        <w:rPr>
          <w:rStyle w:val="FootnoteReference"/>
          <w:sz w:val="22"/>
          <w:szCs w:val="22"/>
          <w:lang w:val="fr-CA"/>
        </w:rPr>
        <w:footnoteReference w:id="64"/>
      </w:r>
      <w:r w:rsidRPr="00217EFC">
        <w:rPr>
          <w:sz w:val="22"/>
          <w:szCs w:val="22"/>
          <w:lang w:val="fr-CA"/>
        </w:rPr>
        <w:t xml:space="preserve">. </w:t>
      </w:r>
    </w:p>
    <w:p w14:paraId="52D81F25" w14:textId="77777777" w:rsidR="000264D6" w:rsidRPr="00E65A67" w:rsidRDefault="000264D6" w:rsidP="003C57D5">
      <w:pPr>
        <w:spacing w:before="100" w:beforeAutospacing="1" w:after="100" w:afterAutospacing="1" w:line="480" w:lineRule="auto"/>
        <w:jc w:val="both"/>
        <w:rPr>
          <w:b/>
          <w:bCs/>
          <w:sz w:val="22"/>
          <w:szCs w:val="22"/>
          <w:lang w:val="fr-CA"/>
        </w:rPr>
      </w:pPr>
      <w:r w:rsidRPr="00E65A67">
        <w:rPr>
          <w:b/>
          <w:bCs/>
          <w:sz w:val="22"/>
          <w:szCs w:val="22"/>
          <w:lang w:val="fr-CA"/>
        </w:rPr>
        <w:t>Paroisses et écoles franco-américaines</w:t>
      </w:r>
    </w:p>
    <w:p w14:paraId="482FA894"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Le diocèse de Manchester </w:t>
      </w:r>
      <w:r>
        <w:rPr>
          <w:sz w:val="22"/>
          <w:szCs w:val="22"/>
          <w:lang w:val="fr-CA"/>
        </w:rPr>
        <w:t xml:space="preserve">existe </w:t>
      </w:r>
      <w:r w:rsidRPr="00217EFC">
        <w:rPr>
          <w:sz w:val="22"/>
          <w:szCs w:val="22"/>
          <w:lang w:val="fr-CA"/>
        </w:rPr>
        <w:t xml:space="preserve">depuis 1884 et, en 1916, 65 paroisses de l’état du New Hampshire </w:t>
      </w:r>
      <w:r>
        <w:rPr>
          <w:sz w:val="22"/>
          <w:szCs w:val="22"/>
          <w:lang w:val="fr-CA"/>
        </w:rPr>
        <w:t>constitue</w:t>
      </w:r>
      <w:r w:rsidR="00E667FE">
        <w:rPr>
          <w:sz w:val="22"/>
          <w:szCs w:val="22"/>
          <w:lang w:val="fr-CA"/>
        </w:rPr>
        <w:t>nt</w:t>
      </w:r>
      <w:r>
        <w:rPr>
          <w:sz w:val="22"/>
          <w:szCs w:val="22"/>
          <w:lang w:val="fr-CA"/>
        </w:rPr>
        <w:t xml:space="preserve"> l’</w:t>
      </w:r>
      <w:r w:rsidRPr="00217EFC">
        <w:rPr>
          <w:sz w:val="22"/>
          <w:szCs w:val="22"/>
          <w:lang w:val="fr-CA"/>
        </w:rPr>
        <w:t>évêché. En 1907, Mgr Georges-Albert Guertin est consacré, à la cathédrale Saint-Joseph. Il est le troisième évêque dans l’histoire du diocèse et le premier Franco-Américain à obtenir un siège épiscopal.</w:t>
      </w:r>
    </w:p>
    <w:p w14:paraId="6763234F"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La population catholique de Manchester est de 50</w:t>
      </w:r>
      <w:r w:rsidR="00E667FE">
        <w:rPr>
          <w:sz w:val="22"/>
          <w:szCs w:val="22"/>
          <w:lang w:val="fr-CA"/>
        </w:rPr>
        <w:t> </w:t>
      </w:r>
      <w:r w:rsidRPr="00217EFC">
        <w:rPr>
          <w:sz w:val="22"/>
          <w:szCs w:val="22"/>
          <w:lang w:val="fr-CA"/>
        </w:rPr>
        <w:t>000 âmes</w:t>
      </w:r>
      <w:r w:rsidRPr="00217EFC">
        <w:rPr>
          <w:rStyle w:val="FootnoteReference"/>
          <w:sz w:val="22"/>
          <w:szCs w:val="22"/>
          <w:lang w:val="fr-CA"/>
        </w:rPr>
        <w:footnoteReference w:id="65"/>
      </w:r>
      <w:r w:rsidRPr="00217EFC">
        <w:rPr>
          <w:sz w:val="22"/>
          <w:szCs w:val="22"/>
          <w:lang w:val="fr-CA"/>
        </w:rPr>
        <w:t>. Elle est desservie par quatorze paroisses, dont sept paroisses son</w:t>
      </w:r>
      <w:r>
        <w:rPr>
          <w:sz w:val="22"/>
          <w:szCs w:val="22"/>
          <w:lang w:val="fr-CA"/>
        </w:rPr>
        <w:t>t</w:t>
      </w:r>
      <w:r w:rsidRPr="00217EFC">
        <w:rPr>
          <w:sz w:val="22"/>
          <w:szCs w:val="22"/>
          <w:lang w:val="fr-CA"/>
        </w:rPr>
        <w:t xml:space="preserve"> franco-américaines. On retrouve les paroisses de Saint-Augustin, Sainte-Marie, Saint-Georges, Saint-Antoine, Sacré Cœur, Saint Edmond de Pinardville </w:t>
      </w:r>
      <w:r w:rsidRPr="00217EFC">
        <w:rPr>
          <w:sz w:val="22"/>
          <w:szCs w:val="22"/>
          <w:lang w:val="fr-CA"/>
        </w:rPr>
        <w:lastRenderedPageBreak/>
        <w:t>et Saint-Jean-Baptiste de Rimmonville</w:t>
      </w:r>
      <w:r w:rsidRPr="00217EFC">
        <w:rPr>
          <w:rStyle w:val="FootnoteReference"/>
          <w:sz w:val="22"/>
          <w:szCs w:val="22"/>
          <w:lang w:val="fr-CA"/>
        </w:rPr>
        <w:footnoteReference w:id="66"/>
      </w:r>
      <w:r w:rsidRPr="00217EFC">
        <w:rPr>
          <w:sz w:val="22"/>
          <w:szCs w:val="22"/>
          <w:lang w:val="fr-CA"/>
        </w:rPr>
        <w:t>. Ces paroisses franco-américaines ont à leur actif des propriétés qui totalisent une valeur foncière municipale d’au-delà de 6</w:t>
      </w:r>
      <w:r w:rsidR="00E667FE">
        <w:rPr>
          <w:sz w:val="22"/>
          <w:szCs w:val="22"/>
          <w:lang w:val="fr-CA"/>
        </w:rPr>
        <w:t>,</w:t>
      </w:r>
      <w:r w:rsidRPr="00217EFC">
        <w:rPr>
          <w:sz w:val="22"/>
          <w:szCs w:val="22"/>
          <w:lang w:val="fr-CA"/>
        </w:rPr>
        <w:t>5 millions de dollars</w:t>
      </w:r>
      <w:r w:rsidRPr="00217EFC">
        <w:rPr>
          <w:rStyle w:val="FootnoteReference"/>
          <w:sz w:val="22"/>
          <w:szCs w:val="22"/>
          <w:lang w:val="fr-CA"/>
        </w:rPr>
        <w:footnoteReference w:id="67"/>
      </w:r>
      <w:r w:rsidRPr="00217EFC">
        <w:rPr>
          <w:sz w:val="22"/>
          <w:szCs w:val="22"/>
          <w:lang w:val="fr-CA"/>
        </w:rPr>
        <w:t>. Elles sont tou</w:t>
      </w:r>
      <w:r>
        <w:rPr>
          <w:sz w:val="22"/>
          <w:szCs w:val="22"/>
          <w:lang w:val="fr-CA"/>
        </w:rPr>
        <w:t>te</w:t>
      </w:r>
      <w:r w:rsidRPr="00217EFC">
        <w:rPr>
          <w:sz w:val="22"/>
          <w:szCs w:val="22"/>
          <w:lang w:val="fr-CA"/>
        </w:rPr>
        <w:t>s situées très près du centre-ville de Manchester.</w:t>
      </w:r>
    </w:p>
    <w:p w14:paraId="614E7CF7" w14:textId="77777777"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t>La paroisse de Saint-Augustin</w:t>
      </w:r>
      <w:r w:rsidRPr="00217EFC">
        <w:rPr>
          <w:rStyle w:val="FootnoteReference"/>
          <w:sz w:val="22"/>
          <w:szCs w:val="22"/>
          <w:lang w:val="fr-CA"/>
        </w:rPr>
        <w:footnoteReference w:id="68"/>
      </w:r>
      <w:r w:rsidRPr="00217EFC">
        <w:rPr>
          <w:sz w:val="22"/>
          <w:szCs w:val="22"/>
          <w:lang w:val="fr-CA"/>
        </w:rPr>
        <w:t xml:space="preserve"> est la plus ancienne des paroisses franco-américaines de Manchester. Son curé, le Révér</w:t>
      </w:r>
      <w:r>
        <w:rPr>
          <w:sz w:val="22"/>
          <w:szCs w:val="22"/>
          <w:lang w:val="fr-CA"/>
        </w:rPr>
        <w:t xml:space="preserve">end </w:t>
      </w:r>
      <w:r w:rsidRPr="00217EFC">
        <w:rPr>
          <w:sz w:val="22"/>
          <w:szCs w:val="22"/>
          <w:lang w:val="fr-CA"/>
        </w:rPr>
        <w:t>J. A. Chevalier fond</w:t>
      </w:r>
      <w:r>
        <w:rPr>
          <w:sz w:val="22"/>
          <w:szCs w:val="22"/>
          <w:lang w:val="fr-CA"/>
        </w:rPr>
        <w:t>e</w:t>
      </w:r>
      <w:r w:rsidRPr="00217EFC">
        <w:rPr>
          <w:sz w:val="22"/>
          <w:szCs w:val="22"/>
          <w:lang w:val="fr-CA"/>
        </w:rPr>
        <w:t xml:space="preserve"> la paroisse, en mai 1871. L’Académie Notre-Dame éduque les enfants de la paroisse, en leur fournissant une éducation bilingue. </w:t>
      </w:r>
      <w:r w:rsidR="007F6252" w:rsidRPr="007F6252">
        <w:rPr>
          <w:sz w:val="22"/>
          <w:szCs w:val="22"/>
          <w:lang w:val="fr-CA"/>
        </w:rPr>
        <w:t xml:space="preserve">À </w:t>
      </w:r>
      <w:r w:rsidR="007F6252">
        <w:rPr>
          <w:sz w:val="22"/>
          <w:szCs w:val="22"/>
          <w:lang w:val="fr-CA"/>
        </w:rPr>
        <w:t>l’époque, e</w:t>
      </w:r>
      <w:r w:rsidRPr="00217EFC">
        <w:rPr>
          <w:sz w:val="22"/>
          <w:szCs w:val="22"/>
          <w:lang w:val="fr-CA"/>
        </w:rPr>
        <w:t xml:space="preserve">lle se vante que son enseignement permet </w:t>
      </w:r>
      <w:r>
        <w:rPr>
          <w:sz w:val="22"/>
          <w:szCs w:val="22"/>
          <w:lang w:val="fr-CA"/>
        </w:rPr>
        <w:t xml:space="preserve">à </w:t>
      </w:r>
      <w:r w:rsidRPr="00217EFC">
        <w:rPr>
          <w:sz w:val="22"/>
          <w:szCs w:val="22"/>
          <w:lang w:val="fr-CA"/>
        </w:rPr>
        <w:t xml:space="preserve">ses </w:t>
      </w:r>
      <w:r>
        <w:rPr>
          <w:sz w:val="22"/>
          <w:szCs w:val="22"/>
          <w:lang w:val="fr-CA"/>
        </w:rPr>
        <w:t xml:space="preserve">diplômés </w:t>
      </w:r>
      <w:r w:rsidRPr="00217EFC">
        <w:rPr>
          <w:sz w:val="22"/>
          <w:szCs w:val="22"/>
          <w:lang w:val="fr-CA"/>
        </w:rPr>
        <w:t xml:space="preserve">(trois à cinq </w:t>
      </w:r>
      <w:r>
        <w:rPr>
          <w:sz w:val="22"/>
          <w:szCs w:val="22"/>
          <w:lang w:val="fr-CA"/>
        </w:rPr>
        <w:t xml:space="preserve">en moyenne </w:t>
      </w:r>
      <w:r w:rsidRPr="00217EFC">
        <w:rPr>
          <w:sz w:val="22"/>
          <w:szCs w:val="22"/>
          <w:lang w:val="fr-CA"/>
        </w:rPr>
        <w:t>par année) d’obtenir des emplois prisés au sein des bureaux municipaux de la ville ou dans les diverses entreprises de Manchester</w:t>
      </w:r>
      <w:r w:rsidRPr="00217EFC">
        <w:rPr>
          <w:rStyle w:val="FootnoteReference"/>
          <w:sz w:val="22"/>
          <w:szCs w:val="22"/>
          <w:lang w:val="fr-CA"/>
        </w:rPr>
        <w:footnoteReference w:id="69"/>
      </w:r>
      <w:r w:rsidRPr="00217EFC">
        <w:rPr>
          <w:sz w:val="22"/>
          <w:szCs w:val="22"/>
          <w:lang w:val="fr-CA"/>
        </w:rPr>
        <w:t>.</w:t>
      </w:r>
    </w:p>
    <w:p w14:paraId="1B1D05D2" w14:textId="77777777"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t>Sainte-Marie est la deuxième paroisse franco-américaine à Manchester. Elle se situe du côté ouest de la rivière Mer</w:t>
      </w:r>
      <w:r>
        <w:rPr>
          <w:sz w:val="22"/>
          <w:szCs w:val="22"/>
          <w:lang w:val="fr-CA"/>
        </w:rPr>
        <w:t>r</w:t>
      </w:r>
      <w:r w:rsidRPr="00217EFC">
        <w:rPr>
          <w:sz w:val="22"/>
          <w:szCs w:val="22"/>
          <w:lang w:val="fr-CA"/>
        </w:rPr>
        <w:t xml:space="preserve">imack, à proximité de la manufacture principale de la compagnie Amoskeag, et elle </w:t>
      </w:r>
      <w:r>
        <w:rPr>
          <w:sz w:val="22"/>
          <w:szCs w:val="22"/>
          <w:lang w:val="fr-CA"/>
        </w:rPr>
        <w:t xml:space="preserve">se situe </w:t>
      </w:r>
      <w:r w:rsidRPr="00217EFC">
        <w:rPr>
          <w:sz w:val="22"/>
          <w:szCs w:val="22"/>
          <w:lang w:val="fr-CA"/>
        </w:rPr>
        <w:t>au cœur du quartier McGregorville. La paroisse est fondée en 1880, neuf ans après la paroisse Saint-Augustin, par Monsign</w:t>
      </w:r>
      <w:r>
        <w:rPr>
          <w:sz w:val="22"/>
          <w:szCs w:val="22"/>
          <w:lang w:val="fr-CA"/>
        </w:rPr>
        <w:t>eu</w:t>
      </w:r>
      <w:r w:rsidRPr="00217EFC">
        <w:rPr>
          <w:sz w:val="22"/>
          <w:szCs w:val="22"/>
          <w:lang w:val="fr-CA"/>
        </w:rPr>
        <w:t>r Hévey</w:t>
      </w:r>
      <w:r>
        <w:rPr>
          <w:sz w:val="22"/>
          <w:szCs w:val="22"/>
          <w:lang w:val="fr-CA"/>
        </w:rPr>
        <w:t xml:space="preserve">. Ce dernier </w:t>
      </w:r>
      <w:r w:rsidRPr="00217EFC">
        <w:rPr>
          <w:sz w:val="22"/>
          <w:szCs w:val="22"/>
          <w:lang w:val="fr-CA"/>
        </w:rPr>
        <w:t>contribu</w:t>
      </w:r>
      <w:r>
        <w:rPr>
          <w:sz w:val="22"/>
          <w:szCs w:val="22"/>
          <w:lang w:val="fr-CA"/>
        </w:rPr>
        <w:t>e</w:t>
      </w:r>
      <w:r w:rsidRPr="00217EFC">
        <w:rPr>
          <w:sz w:val="22"/>
          <w:szCs w:val="22"/>
          <w:lang w:val="fr-CA"/>
        </w:rPr>
        <w:t xml:space="preserve"> à fonder la première caisse populaire de Manchester, en décembre 1908. À en juger par les données statistiques de l’époque, ce quartier subit une croissance économique impressionnante, car après huit ans d’opération, l’actif de la caisse, en 1916, est de 141</w:t>
      </w:r>
      <w:r>
        <w:rPr>
          <w:sz w:val="22"/>
          <w:szCs w:val="22"/>
          <w:lang w:val="fr-CA"/>
        </w:rPr>
        <w:t> </w:t>
      </w:r>
      <w:r w:rsidRPr="00217EFC">
        <w:rPr>
          <w:sz w:val="22"/>
          <w:szCs w:val="22"/>
          <w:lang w:val="fr-CA"/>
        </w:rPr>
        <w:t>000</w:t>
      </w:r>
      <w:r>
        <w:rPr>
          <w:sz w:val="22"/>
          <w:szCs w:val="22"/>
          <w:lang w:val="fr-CA"/>
        </w:rPr>
        <w:t> $</w:t>
      </w:r>
      <w:r w:rsidRPr="00217EFC">
        <w:rPr>
          <w:sz w:val="22"/>
          <w:szCs w:val="22"/>
          <w:lang w:val="fr-CA"/>
        </w:rPr>
        <w:t xml:space="preserve">. De plus, entre 1900 et 1916, soixante-cinq mariages sont célébrés </w:t>
      </w:r>
      <w:r>
        <w:rPr>
          <w:sz w:val="22"/>
          <w:szCs w:val="22"/>
          <w:lang w:val="fr-CA"/>
        </w:rPr>
        <w:t xml:space="preserve">en </w:t>
      </w:r>
      <w:r w:rsidRPr="00217EFC">
        <w:rPr>
          <w:sz w:val="22"/>
          <w:szCs w:val="22"/>
          <w:lang w:val="fr-CA"/>
        </w:rPr>
        <w:t>moye</w:t>
      </w:r>
      <w:r>
        <w:rPr>
          <w:sz w:val="22"/>
          <w:szCs w:val="22"/>
          <w:lang w:val="fr-CA"/>
        </w:rPr>
        <w:t>n</w:t>
      </w:r>
      <w:r w:rsidRPr="00217EFC">
        <w:rPr>
          <w:sz w:val="22"/>
          <w:szCs w:val="22"/>
          <w:lang w:val="fr-CA"/>
        </w:rPr>
        <w:t>ne par année, soit un total de 1</w:t>
      </w:r>
      <w:r w:rsidR="00E667FE">
        <w:rPr>
          <w:sz w:val="22"/>
          <w:szCs w:val="22"/>
          <w:lang w:val="fr-CA"/>
        </w:rPr>
        <w:t> </w:t>
      </w:r>
      <w:r w:rsidRPr="00217EFC">
        <w:rPr>
          <w:sz w:val="22"/>
          <w:szCs w:val="22"/>
          <w:lang w:val="fr-CA"/>
        </w:rPr>
        <w:t>051 mariages. Toujours pour cette même période, la population cro</w:t>
      </w:r>
      <w:r>
        <w:rPr>
          <w:sz w:val="22"/>
          <w:szCs w:val="22"/>
          <w:lang w:val="fr-CA"/>
        </w:rPr>
        <w:t>î</w:t>
      </w:r>
      <w:r w:rsidRPr="00217EFC">
        <w:rPr>
          <w:sz w:val="22"/>
          <w:szCs w:val="22"/>
          <w:lang w:val="fr-CA"/>
        </w:rPr>
        <w:t>t de 2</w:t>
      </w:r>
      <w:r w:rsidR="00E667FE">
        <w:rPr>
          <w:sz w:val="22"/>
          <w:szCs w:val="22"/>
          <w:lang w:val="fr-CA"/>
        </w:rPr>
        <w:t> </w:t>
      </w:r>
      <w:r w:rsidRPr="00217EFC">
        <w:rPr>
          <w:sz w:val="22"/>
          <w:szCs w:val="22"/>
          <w:lang w:val="fr-CA"/>
        </w:rPr>
        <w:t>688, car les 5</w:t>
      </w:r>
      <w:r w:rsidR="00E667FE">
        <w:rPr>
          <w:sz w:val="22"/>
          <w:szCs w:val="22"/>
          <w:lang w:val="fr-CA"/>
        </w:rPr>
        <w:t> </w:t>
      </w:r>
      <w:r w:rsidRPr="00217EFC">
        <w:rPr>
          <w:sz w:val="22"/>
          <w:szCs w:val="22"/>
          <w:lang w:val="fr-CA"/>
        </w:rPr>
        <w:t>202 naissances dépassent les 2</w:t>
      </w:r>
      <w:r w:rsidR="00E667FE">
        <w:rPr>
          <w:sz w:val="22"/>
          <w:szCs w:val="22"/>
          <w:lang w:val="fr-CA"/>
        </w:rPr>
        <w:t> </w:t>
      </w:r>
      <w:r w:rsidRPr="00217EFC">
        <w:rPr>
          <w:sz w:val="22"/>
          <w:szCs w:val="22"/>
          <w:lang w:val="fr-CA"/>
        </w:rPr>
        <w:t>514 décès</w:t>
      </w:r>
      <w:r w:rsidRPr="00217EFC">
        <w:rPr>
          <w:rStyle w:val="FootnoteReference"/>
          <w:sz w:val="22"/>
          <w:szCs w:val="22"/>
          <w:lang w:val="fr-CA"/>
        </w:rPr>
        <w:footnoteReference w:id="70"/>
      </w:r>
      <w:r w:rsidRPr="00217EFC">
        <w:rPr>
          <w:sz w:val="22"/>
          <w:szCs w:val="22"/>
          <w:lang w:val="fr-CA"/>
        </w:rPr>
        <w:t xml:space="preserve">. De plus, deux cents élèves fréquentent </w:t>
      </w:r>
      <w:r>
        <w:rPr>
          <w:sz w:val="22"/>
          <w:szCs w:val="22"/>
          <w:lang w:val="fr-CA"/>
        </w:rPr>
        <w:t>l</w:t>
      </w:r>
      <w:r w:rsidRPr="00217EFC">
        <w:rPr>
          <w:sz w:val="22"/>
          <w:szCs w:val="22"/>
          <w:lang w:val="fr-CA"/>
        </w:rPr>
        <w:t>es écoles paroissiales et</w:t>
      </w:r>
      <w:r w:rsidR="0091459F">
        <w:rPr>
          <w:sz w:val="22"/>
          <w:szCs w:val="22"/>
          <w:lang w:val="fr-CA"/>
        </w:rPr>
        <w:t>,</w:t>
      </w:r>
      <w:r w:rsidRPr="00217EFC">
        <w:rPr>
          <w:sz w:val="22"/>
          <w:szCs w:val="22"/>
          <w:lang w:val="fr-CA"/>
        </w:rPr>
        <w:t xml:space="preserve"> pour les jeunes</w:t>
      </w:r>
      <w:r w:rsidR="0091459F">
        <w:rPr>
          <w:sz w:val="22"/>
          <w:szCs w:val="22"/>
          <w:lang w:val="fr-CA"/>
        </w:rPr>
        <w:t>,</w:t>
      </w:r>
      <w:r w:rsidRPr="00217EFC">
        <w:rPr>
          <w:sz w:val="22"/>
          <w:szCs w:val="22"/>
          <w:lang w:val="fr-CA"/>
        </w:rPr>
        <w:t xml:space="preserve"> le Cercle Sainte-Marie met en place des clubs d’activités sportives et de loisirs, comme </w:t>
      </w:r>
      <w:r>
        <w:rPr>
          <w:sz w:val="22"/>
          <w:szCs w:val="22"/>
          <w:lang w:val="fr-CA"/>
        </w:rPr>
        <w:t>l</w:t>
      </w:r>
      <w:r w:rsidRPr="00217EFC">
        <w:rPr>
          <w:sz w:val="22"/>
          <w:szCs w:val="22"/>
          <w:lang w:val="fr-CA"/>
        </w:rPr>
        <w:t>e théâtre. Le Cercle est une association sociétaire qui encadre la jeunesse de la paroisse</w:t>
      </w:r>
      <w:r w:rsidRPr="00217EFC">
        <w:rPr>
          <w:rStyle w:val="FootnoteReference"/>
          <w:sz w:val="22"/>
          <w:szCs w:val="22"/>
          <w:lang w:val="fr-CA"/>
        </w:rPr>
        <w:footnoteReference w:id="71"/>
      </w:r>
      <w:r w:rsidRPr="00217EFC">
        <w:rPr>
          <w:sz w:val="22"/>
          <w:szCs w:val="22"/>
          <w:lang w:val="fr-CA"/>
        </w:rPr>
        <w:t>. Le Révéren</w:t>
      </w:r>
      <w:r>
        <w:rPr>
          <w:sz w:val="22"/>
          <w:szCs w:val="22"/>
          <w:lang w:val="fr-CA"/>
        </w:rPr>
        <w:t>d</w:t>
      </w:r>
      <w:r w:rsidRPr="00217EFC">
        <w:rPr>
          <w:sz w:val="22"/>
          <w:szCs w:val="22"/>
          <w:lang w:val="fr-CA"/>
        </w:rPr>
        <w:t xml:space="preserve"> H.C. Davignon dessert la paroisse depuis 1909. Il est son troisième curé et préalablement à sa nomination comme le curé de la paroisse de Sainte-Marie, il était curé </w:t>
      </w:r>
      <w:r>
        <w:rPr>
          <w:sz w:val="22"/>
          <w:szCs w:val="22"/>
          <w:lang w:val="fr-CA"/>
        </w:rPr>
        <w:t xml:space="preserve">à </w:t>
      </w:r>
      <w:r w:rsidRPr="00217EFC">
        <w:rPr>
          <w:sz w:val="22"/>
          <w:szCs w:val="22"/>
          <w:lang w:val="fr-CA"/>
        </w:rPr>
        <w:t>la paroisse de Saint-Georges depuis 1894</w:t>
      </w:r>
      <w:r w:rsidRPr="00217EFC">
        <w:rPr>
          <w:rStyle w:val="FootnoteReference"/>
          <w:sz w:val="22"/>
          <w:szCs w:val="22"/>
          <w:lang w:val="fr-CA"/>
        </w:rPr>
        <w:footnoteReference w:id="72"/>
      </w:r>
      <w:r w:rsidRPr="00217EFC">
        <w:rPr>
          <w:sz w:val="22"/>
          <w:szCs w:val="22"/>
          <w:lang w:val="fr-CA"/>
        </w:rPr>
        <w:t xml:space="preserve">. </w:t>
      </w:r>
    </w:p>
    <w:p w14:paraId="437506F5" w14:textId="77777777" w:rsidR="000264D6" w:rsidRDefault="006E60C9" w:rsidP="00675286">
      <w:pPr>
        <w:ind w:firstLine="720"/>
        <w:jc w:val="both"/>
      </w:pPr>
      <w:r>
        <w:rPr>
          <w:noProof/>
        </w:rPr>
        <w:lastRenderedPageBreak/>
        <w:drawing>
          <wp:inline distT="0" distB="0" distL="0" distR="0" wp14:anchorId="0EA27C4E" wp14:editId="0A877E80">
            <wp:extent cx="4000500" cy="5819775"/>
            <wp:effectExtent l="0" t="0" r="0" b="0"/>
            <wp:docPr id="2" name="Picture 2" descr="200102 Carte des paroisses de Manchester 1916 avec tit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200102 Carte des paroisses de Manchester 1916 avec titre"/>
                    <pic:cNvPicPr>
                      <a:picLocks/>
                    </pic:cNvPicPr>
                  </pic:nvPicPr>
                  <pic:blipFill>
                    <a:blip r:embed="rId16">
                      <a:extLst>
                        <a:ext uri="{28A0092B-C50C-407E-A947-70E740481C1C}">
                          <a14:useLocalDpi xmlns:a14="http://schemas.microsoft.com/office/drawing/2010/main" val="0"/>
                        </a:ext>
                      </a:extLst>
                    </a:blip>
                    <a:srcRect l="33360" t="3476" r="32401" b="8316"/>
                    <a:stretch>
                      <a:fillRect/>
                    </a:stretch>
                  </pic:blipFill>
                  <pic:spPr bwMode="auto">
                    <a:xfrm>
                      <a:off x="0" y="0"/>
                      <a:ext cx="4000500" cy="5819775"/>
                    </a:xfrm>
                    <a:prstGeom prst="rect">
                      <a:avLst/>
                    </a:prstGeom>
                    <a:noFill/>
                    <a:ln>
                      <a:noFill/>
                    </a:ln>
                  </pic:spPr>
                </pic:pic>
              </a:graphicData>
            </a:graphic>
          </wp:inline>
        </w:drawing>
      </w:r>
    </w:p>
    <w:p w14:paraId="7B98AB49" w14:textId="77777777" w:rsidR="000264D6" w:rsidRPr="00B35C2B" w:rsidRDefault="000264D6" w:rsidP="00EB54D7">
      <w:pPr>
        <w:pStyle w:val="Caption"/>
        <w:ind w:left="720"/>
        <w:jc w:val="both"/>
        <w:rPr>
          <w:b w:val="0"/>
          <w:bCs w:val="0"/>
          <w:noProof/>
          <w:lang w:val="fr-CA"/>
        </w:rPr>
      </w:pPr>
      <w:r w:rsidRPr="00B35C2B">
        <w:rPr>
          <w:b w:val="0"/>
          <w:bCs w:val="0"/>
          <w:lang w:val="fr-CA"/>
        </w:rPr>
        <w:t>Figure</w:t>
      </w:r>
      <w:r w:rsidR="00E667FE">
        <w:rPr>
          <w:b w:val="0"/>
          <w:bCs w:val="0"/>
          <w:lang w:val="fr-CA"/>
        </w:rPr>
        <w:t> </w:t>
      </w:r>
      <w:r w:rsidRPr="00B35C2B">
        <w:rPr>
          <w:b w:val="0"/>
          <w:bCs w:val="0"/>
        </w:rPr>
        <w:fldChar w:fldCharType="begin"/>
      </w:r>
      <w:r w:rsidRPr="00B35C2B">
        <w:rPr>
          <w:b w:val="0"/>
          <w:bCs w:val="0"/>
          <w:lang w:val="fr-CA"/>
        </w:rPr>
        <w:instrText xml:space="preserve"> SEQ Figure \* ARABIC </w:instrText>
      </w:r>
      <w:r w:rsidRPr="00B35C2B">
        <w:rPr>
          <w:b w:val="0"/>
          <w:bCs w:val="0"/>
        </w:rPr>
        <w:fldChar w:fldCharType="separate"/>
      </w:r>
      <w:r w:rsidRPr="00B35C2B">
        <w:rPr>
          <w:b w:val="0"/>
          <w:bCs w:val="0"/>
          <w:noProof/>
          <w:lang w:val="fr-CA"/>
        </w:rPr>
        <w:t>1</w:t>
      </w:r>
      <w:r w:rsidRPr="00B35C2B">
        <w:rPr>
          <w:b w:val="0"/>
          <w:bCs w:val="0"/>
        </w:rPr>
        <w:fldChar w:fldCharType="end"/>
      </w:r>
      <w:r w:rsidRPr="00B35C2B">
        <w:rPr>
          <w:b w:val="0"/>
          <w:bCs w:val="0"/>
          <w:noProof/>
          <w:lang w:val="fr-CA"/>
        </w:rPr>
        <w:t>. Note. Les frontières de chaque paroisse ne sont qu’une représentation approximative</w:t>
      </w:r>
      <w:r w:rsidR="00F31F8A">
        <w:rPr>
          <w:b w:val="0"/>
          <w:bCs w:val="0"/>
          <w:noProof/>
          <w:lang w:val="fr-CA"/>
        </w:rPr>
        <w:t xml:space="preserve"> et à titre indicatif seulement</w:t>
      </w:r>
      <w:r w:rsidRPr="00B35C2B">
        <w:rPr>
          <w:b w:val="0"/>
          <w:bCs w:val="0"/>
          <w:noProof/>
          <w:lang w:val="fr-CA"/>
        </w:rPr>
        <w:t>.</w:t>
      </w:r>
      <w:r w:rsidR="005B059F">
        <w:rPr>
          <w:b w:val="0"/>
          <w:bCs w:val="0"/>
          <w:noProof/>
          <w:lang w:val="fr-CA"/>
        </w:rPr>
        <w:t xml:space="preserve"> Elles sont délimitées en fonction des locations des églises.</w:t>
      </w:r>
    </w:p>
    <w:p w14:paraId="2AEFF7E5" w14:textId="77777777" w:rsidR="000264D6" w:rsidRPr="00B35C2B" w:rsidRDefault="000264D6" w:rsidP="00EB54D7">
      <w:pPr>
        <w:ind w:left="720"/>
        <w:rPr>
          <w:sz w:val="20"/>
          <w:szCs w:val="20"/>
        </w:rPr>
      </w:pPr>
      <w:r w:rsidRPr="00B35C2B">
        <w:rPr>
          <w:sz w:val="20"/>
          <w:szCs w:val="20"/>
          <w:lang w:val="fr-CA"/>
        </w:rPr>
        <w:t>Source</w:t>
      </w:r>
      <w:r w:rsidR="00E8006A">
        <w:rPr>
          <w:sz w:val="20"/>
          <w:szCs w:val="20"/>
          <w:lang w:val="fr-CA"/>
        </w:rPr>
        <w:t xml:space="preserve"> de la carte</w:t>
      </w:r>
      <w:r w:rsidRPr="00B35C2B">
        <w:rPr>
          <w:sz w:val="20"/>
          <w:szCs w:val="20"/>
          <w:lang w:val="fr-CA"/>
        </w:rPr>
        <w:t xml:space="preserve">. </w:t>
      </w:r>
      <w:r w:rsidRPr="00B35C2B">
        <w:rPr>
          <w:sz w:val="20"/>
          <w:szCs w:val="20"/>
        </w:rPr>
        <w:t xml:space="preserve">Tamara K. Hareven et Randolph Langenback, </w:t>
      </w:r>
      <w:r w:rsidRPr="00B35C2B">
        <w:rPr>
          <w:i/>
          <w:iCs/>
          <w:sz w:val="20"/>
          <w:szCs w:val="20"/>
        </w:rPr>
        <w:t>Amoskeag : Life and Work in an American Factory-City</w:t>
      </w:r>
      <w:r w:rsidRPr="00B35C2B">
        <w:rPr>
          <w:sz w:val="20"/>
          <w:szCs w:val="20"/>
        </w:rPr>
        <w:t>, New York, Pantheon Books</w:t>
      </w:r>
      <w:r w:rsidR="00E667FE">
        <w:rPr>
          <w:sz w:val="20"/>
          <w:szCs w:val="20"/>
        </w:rPr>
        <w:t> </w:t>
      </w:r>
      <w:r w:rsidRPr="00B35C2B">
        <w:rPr>
          <w:sz w:val="20"/>
          <w:szCs w:val="20"/>
        </w:rPr>
        <w:t>1980, p.</w:t>
      </w:r>
      <w:r w:rsidR="00E667FE">
        <w:rPr>
          <w:sz w:val="20"/>
          <w:szCs w:val="20"/>
        </w:rPr>
        <w:t> </w:t>
      </w:r>
      <w:r w:rsidRPr="00B35C2B">
        <w:rPr>
          <w:sz w:val="20"/>
          <w:szCs w:val="20"/>
        </w:rPr>
        <w:t>xv.</w:t>
      </w:r>
    </w:p>
    <w:p w14:paraId="5305E714" w14:textId="77777777" w:rsidR="000264D6" w:rsidRPr="00217EFC" w:rsidRDefault="000264D6" w:rsidP="002B5319">
      <w:pPr>
        <w:spacing w:before="100" w:beforeAutospacing="1" w:after="100" w:afterAutospacing="1"/>
        <w:ind w:firstLine="720"/>
        <w:jc w:val="both"/>
        <w:rPr>
          <w:sz w:val="22"/>
          <w:szCs w:val="22"/>
          <w:lang w:val="fr-CA"/>
        </w:rPr>
      </w:pPr>
      <w:r>
        <w:rPr>
          <w:sz w:val="22"/>
          <w:szCs w:val="22"/>
          <w:lang w:val="fr-CA"/>
        </w:rPr>
        <w:t xml:space="preserve">Cette </w:t>
      </w:r>
      <w:r w:rsidRPr="00217EFC">
        <w:rPr>
          <w:sz w:val="22"/>
          <w:szCs w:val="22"/>
          <w:lang w:val="fr-CA"/>
        </w:rPr>
        <w:t>troisième paroisse, celle de Saint-Georges, est issue d</w:t>
      </w:r>
      <w:r w:rsidR="00E667FE">
        <w:rPr>
          <w:sz w:val="22"/>
          <w:szCs w:val="22"/>
          <w:lang w:val="fr-CA"/>
        </w:rPr>
        <w:t>e</w:t>
      </w:r>
      <w:r w:rsidRPr="00217EFC">
        <w:rPr>
          <w:sz w:val="22"/>
          <w:szCs w:val="22"/>
          <w:lang w:val="fr-CA"/>
        </w:rPr>
        <w:t xml:space="preserve"> l’accroissement de la population de la paroisse S</w:t>
      </w:r>
      <w:r w:rsidR="00E667FE">
        <w:rPr>
          <w:sz w:val="22"/>
          <w:szCs w:val="22"/>
          <w:lang w:val="fr-CA"/>
        </w:rPr>
        <w:t>ain</w:t>
      </w:r>
      <w:r w:rsidRPr="00217EFC">
        <w:rPr>
          <w:sz w:val="22"/>
          <w:szCs w:val="22"/>
          <w:lang w:val="fr-CA"/>
        </w:rPr>
        <w:t>te-Marie et ensuite d’un détachement de la paroisse Saint Augustin</w:t>
      </w:r>
      <w:r w:rsidRPr="00217EFC">
        <w:rPr>
          <w:rStyle w:val="FootnoteReference"/>
          <w:sz w:val="22"/>
          <w:szCs w:val="22"/>
          <w:lang w:val="fr-CA"/>
        </w:rPr>
        <w:footnoteReference w:id="73"/>
      </w:r>
      <w:r w:rsidRPr="00217EFC">
        <w:rPr>
          <w:sz w:val="22"/>
          <w:szCs w:val="22"/>
          <w:lang w:val="fr-CA"/>
        </w:rPr>
        <w:t>. Elle est localisée à l’est de la rivière Me</w:t>
      </w:r>
      <w:r>
        <w:rPr>
          <w:sz w:val="22"/>
          <w:szCs w:val="22"/>
          <w:lang w:val="fr-CA"/>
        </w:rPr>
        <w:t>r</w:t>
      </w:r>
      <w:r w:rsidRPr="00217EFC">
        <w:rPr>
          <w:sz w:val="22"/>
          <w:szCs w:val="22"/>
          <w:lang w:val="fr-CA"/>
        </w:rPr>
        <w:t>rima</w:t>
      </w:r>
      <w:r>
        <w:rPr>
          <w:sz w:val="22"/>
          <w:szCs w:val="22"/>
          <w:lang w:val="fr-CA"/>
        </w:rPr>
        <w:t>c</w:t>
      </w:r>
      <w:r w:rsidRPr="00217EFC">
        <w:rPr>
          <w:sz w:val="22"/>
          <w:szCs w:val="22"/>
          <w:lang w:val="fr-CA"/>
        </w:rPr>
        <w:t>k et au nord de la Paroisse Saint-Augustin. En 1912, quinze ans après la construction de l’église Saint-Georges, la dette de</w:t>
      </w:r>
      <w:r>
        <w:rPr>
          <w:sz w:val="22"/>
          <w:szCs w:val="22"/>
          <w:lang w:val="fr-CA"/>
        </w:rPr>
        <w:t xml:space="preserve"> </w:t>
      </w:r>
      <w:r w:rsidRPr="00217EFC">
        <w:rPr>
          <w:sz w:val="22"/>
          <w:szCs w:val="22"/>
          <w:lang w:val="fr-CA"/>
        </w:rPr>
        <w:t>120</w:t>
      </w:r>
      <w:r>
        <w:rPr>
          <w:sz w:val="22"/>
          <w:szCs w:val="22"/>
          <w:lang w:val="fr-CA"/>
        </w:rPr>
        <w:t> </w:t>
      </w:r>
      <w:r w:rsidRPr="00217EFC">
        <w:rPr>
          <w:sz w:val="22"/>
          <w:szCs w:val="22"/>
          <w:lang w:val="fr-CA"/>
        </w:rPr>
        <w:t>000</w:t>
      </w:r>
      <w:r>
        <w:rPr>
          <w:sz w:val="22"/>
          <w:szCs w:val="22"/>
          <w:lang w:val="fr-CA"/>
        </w:rPr>
        <w:t> </w:t>
      </w:r>
      <w:r w:rsidRPr="00217EFC">
        <w:rPr>
          <w:sz w:val="22"/>
          <w:szCs w:val="22"/>
          <w:lang w:val="fr-CA"/>
        </w:rPr>
        <w:t xml:space="preserve">$ de la paroisse est </w:t>
      </w:r>
      <w:r w:rsidRPr="00217EFC">
        <w:rPr>
          <w:sz w:val="22"/>
          <w:szCs w:val="22"/>
          <w:lang w:val="fr-CA"/>
        </w:rPr>
        <w:lastRenderedPageBreak/>
        <w:t>complètement remboursée. Son curé, en 1916, est l’abbé T.J.E. Devoy et il est en poste depuis 1914</w:t>
      </w:r>
      <w:r w:rsidRPr="00217EFC">
        <w:rPr>
          <w:rStyle w:val="FootnoteReference"/>
          <w:sz w:val="22"/>
          <w:szCs w:val="22"/>
          <w:lang w:val="fr-CA"/>
        </w:rPr>
        <w:footnoteReference w:id="74"/>
      </w:r>
      <w:r w:rsidRPr="00217EFC">
        <w:rPr>
          <w:sz w:val="22"/>
          <w:szCs w:val="22"/>
          <w:lang w:val="fr-CA"/>
        </w:rPr>
        <w:t>.</w:t>
      </w:r>
    </w:p>
    <w:p w14:paraId="247ED0C5"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Originalement la paroisse de Saint-Antoine de Padoue était mixte et elle </w:t>
      </w:r>
      <w:r>
        <w:rPr>
          <w:sz w:val="22"/>
          <w:szCs w:val="22"/>
          <w:lang w:val="fr-CA"/>
        </w:rPr>
        <w:t xml:space="preserve">était </w:t>
      </w:r>
      <w:r w:rsidRPr="00217EFC">
        <w:rPr>
          <w:sz w:val="22"/>
          <w:szCs w:val="22"/>
          <w:lang w:val="fr-CA"/>
        </w:rPr>
        <w:t xml:space="preserve">fondée afin de rejoindre les populations catholiques qui se déplacent dans les nouveaux </w:t>
      </w:r>
      <w:r w:rsidR="00E667FE">
        <w:rPr>
          <w:sz w:val="22"/>
          <w:szCs w:val="22"/>
          <w:lang w:val="fr-CA"/>
        </w:rPr>
        <w:t>ensemble</w:t>
      </w:r>
      <w:r w:rsidRPr="00217EFC">
        <w:rPr>
          <w:sz w:val="22"/>
          <w:szCs w:val="22"/>
          <w:lang w:val="fr-CA"/>
        </w:rPr>
        <w:t xml:space="preserve">s résidentiels de la ville. </w:t>
      </w:r>
      <w:r>
        <w:rPr>
          <w:sz w:val="22"/>
          <w:szCs w:val="22"/>
          <w:lang w:val="fr-CA"/>
        </w:rPr>
        <w:t>E</w:t>
      </w:r>
      <w:r w:rsidRPr="00217EFC">
        <w:rPr>
          <w:sz w:val="22"/>
          <w:szCs w:val="22"/>
          <w:lang w:val="fr-CA"/>
        </w:rPr>
        <w:t xml:space="preserve">lle se situe au sud-est de </w:t>
      </w:r>
      <w:r>
        <w:rPr>
          <w:sz w:val="22"/>
          <w:szCs w:val="22"/>
          <w:lang w:val="fr-CA"/>
        </w:rPr>
        <w:t>la paroisse Saint-Augustin</w:t>
      </w:r>
      <w:r w:rsidRPr="00217EFC">
        <w:rPr>
          <w:sz w:val="22"/>
          <w:szCs w:val="22"/>
          <w:lang w:val="fr-CA"/>
        </w:rPr>
        <w:t>. En 1912, elle dessert 552 familles, soit une population de 2</w:t>
      </w:r>
      <w:r w:rsidR="00E667FE">
        <w:rPr>
          <w:sz w:val="22"/>
          <w:szCs w:val="22"/>
          <w:lang w:val="fr-CA"/>
        </w:rPr>
        <w:t> </w:t>
      </w:r>
      <w:r w:rsidRPr="00217EFC">
        <w:rPr>
          <w:sz w:val="22"/>
          <w:szCs w:val="22"/>
          <w:lang w:val="fr-CA"/>
        </w:rPr>
        <w:t>760 âmes. De plus, 650 enfants fréquente</w:t>
      </w:r>
      <w:r>
        <w:rPr>
          <w:sz w:val="22"/>
          <w:szCs w:val="22"/>
          <w:lang w:val="fr-CA"/>
        </w:rPr>
        <w:t xml:space="preserve">nt </w:t>
      </w:r>
      <w:r w:rsidRPr="00217EFC">
        <w:rPr>
          <w:sz w:val="22"/>
          <w:szCs w:val="22"/>
          <w:lang w:val="fr-CA"/>
        </w:rPr>
        <w:t>ses écoles, dont environ quatorze étudiants graduent annuellement</w:t>
      </w:r>
      <w:r w:rsidRPr="00217EFC">
        <w:rPr>
          <w:rStyle w:val="FootnoteReference"/>
          <w:sz w:val="22"/>
          <w:szCs w:val="22"/>
          <w:lang w:val="fr-CA"/>
        </w:rPr>
        <w:footnoteReference w:id="75"/>
      </w:r>
      <w:r w:rsidRPr="00217EFC">
        <w:rPr>
          <w:sz w:val="22"/>
          <w:szCs w:val="22"/>
          <w:lang w:val="fr-CA"/>
        </w:rPr>
        <w:t>. Depuis 1907</w:t>
      </w:r>
      <w:r>
        <w:rPr>
          <w:sz w:val="22"/>
          <w:szCs w:val="22"/>
          <w:lang w:val="fr-CA"/>
        </w:rPr>
        <w:t>,</w:t>
      </w:r>
      <w:r w:rsidRPr="00217EFC">
        <w:rPr>
          <w:sz w:val="22"/>
          <w:szCs w:val="22"/>
          <w:lang w:val="fr-CA"/>
        </w:rPr>
        <w:t xml:space="preserve"> le Révér</w:t>
      </w:r>
      <w:r>
        <w:rPr>
          <w:sz w:val="22"/>
          <w:szCs w:val="22"/>
          <w:lang w:val="fr-CA"/>
        </w:rPr>
        <w:t xml:space="preserve">end </w:t>
      </w:r>
      <w:r w:rsidRPr="00217EFC">
        <w:rPr>
          <w:sz w:val="22"/>
          <w:szCs w:val="22"/>
          <w:lang w:val="fr-CA"/>
        </w:rPr>
        <w:t>L.J.A. Doucet est le curé de la paroisse Saint-Antoine, mais il est établi à Manchester depuis 1895.</w:t>
      </w:r>
    </w:p>
    <w:p w14:paraId="301BDBA0" w14:textId="77777777" w:rsidR="002B5319" w:rsidRDefault="000264D6" w:rsidP="002B5319">
      <w:pPr>
        <w:spacing w:before="100" w:beforeAutospacing="1" w:after="100" w:afterAutospacing="1"/>
        <w:ind w:firstLine="720"/>
        <w:jc w:val="both"/>
        <w:rPr>
          <w:sz w:val="22"/>
          <w:szCs w:val="22"/>
          <w:lang w:val="fr-CA"/>
        </w:rPr>
      </w:pPr>
      <w:r w:rsidRPr="00217EFC">
        <w:rPr>
          <w:sz w:val="22"/>
          <w:szCs w:val="22"/>
          <w:lang w:val="fr-CA"/>
        </w:rPr>
        <w:t>La paroisse</w:t>
      </w:r>
      <w:r>
        <w:rPr>
          <w:sz w:val="22"/>
          <w:szCs w:val="22"/>
          <w:lang w:val="fr-CA"/>
        </w:rPr>
        <w:t xml:space="preserve"> </w:t>
      </w:r>
      <w:r w:rsidRPr="00217EFC">
        <w:rPr>
          <w:sz w:val="22"/>
          <w:szCs w:val="22"/>
          <w:lang w:val="fr-CA"/>
        </w:rPr>
        <w:t>du Sacré Cœur est fondée en mai 1911 par le Révér</w:t>
      </w:r>
      <w:r>
        <w:rPr>
          <w:sz w:val="22"/>
          <w:szCs w:val="22"/>
          <w:lang w:val="fr-CA"/>
        </w:rPr>
        <w:t xml:space="preserve">end </w:t>
      </w:r>
      <w:r w:rsidRPr="00217EFC">
        <w:rPr>
          <w:sz w:val="22"/>
          <w:szCs w:val="22"/>
          <w:lang w:val="fr-CA"/>
        </w:rPr>
        <w:t>F.X Leclair. Il est un Franco-Américain originaire de Nashua. 440 familles (2</w:t>
      </w:r>
      <w:r w:rsidR="00E667FE">
        <w:rPr>
          <w:sz w:val="22"/>
          <w:szCs w:val="22"/>
          <w:lang w:val="fr-CA"/>
        </w:rPr>
        <w:t> </w:t>
      </w:r>
      <w:r w:rsidRPr="00217EFC">
        <w:rPr>
          <w:sz w:val="22"/>
          <w:szCs w:val="22"/>
          <w:lang w:val="fr-CA"/>
        </w:rPr>
        <w:t xml:space="preserve">070 âmes) contribuent à fournir les 330 enfants qui fréquentent </w:t>
      </w:r>
      <w:r>
        <w:rPr>
          <w:sz w:val="22"/>
          <w:szCs w:val="22"/>
          <w:lang w:val="fr-CA"/>
        </w:rPr>
        <w:t>l</w:t>
      </w:r>
      <w:r w:rsidRPr="00217EFC">
        <w:rPr>
          <w:sz w:val="22"/>
          <w:szCs w:val="22"/>
          <w:lang w:val="fr-CA"/>
        </w:rPr>
        <w:t xml:space="preserve">es écoles paroissiales. </w:t>
      </w:r>
      <w:r>
        <w:rPr>
          <w:sz w:val="22"/>
          <w:szCs w:val="22"/>
          <w:lang w:val="fr-CA"/>
        </w:rPr>
        <w:t xml:space="preserve">La paroisse </w:t>
      </w:r>
      <w:r w:rsidRPr="00217EFC">
        <w:rPr>
          <w:sz w:val="22"/>
          <w:szCs w:val="22"/>
          <w:lang w:val="fr-CA"/>
        </w:rPr>
        <w:t>se situe à l’ouest de la rivière Mer</w:t>
      </w:r>
      <w:r>
        <w:rPr>
          <w:sz w:val="22"/>
          <w:szCs w:val="22"/>
          <w:lang w:val="fr-CA"/>
        </w:rPr>
        <w:t>r</w:t>
      </w:r>
      <w:r w:rsidRPr="00217EFC">
        <w:rPr>
          <w:sz w:val="22"/>
          <w:szCs w:val="22"/>
          <w:lang w:val="fr-CA"/>
        </w:rPr>
        <w:t>ima</w:t>
      </w:r>
      <w:r>
        <w:rPr>
          <w:sz w:val="22"/>
          <w:szCs w:val="22"/>
          <w:lang w:val="fr-CA"/>
        </w:rPr>
        <w:t>c</w:t>
      </w:r>
      <w:r w:rsidRPr="00217EFC">
        <w:rPr>
          <w:sz w:val="22"/>
          <w:szCs w:val="22"/>
          <w:lang w:val="fr-CA"/>
        </w:rPr>
        <w:t>k et dans la partie sud de la ville</w:t>
      </w:r>
      <w:r w:rsidRPr="00217EFC">
        <w:rPr>
          <w:rStyle w:val="FootnoteReference"/>
          <w:sz w:val="22"/>
          <w:szCs w:val="22"/>
          <w:lang w:val="fr-CA"/>
        </w:rPr>
        <w:footnoteReference w:id="76"/>
      </w:r>
      <w:r w:rsidRPr="00217EFC">
        <w:rPr>
          <w:sz w:val="22"/>
          <w:szCs w:val="22"/>
          <w:lang w:val="fr-CA"/>
        </w:rPr>
        <w:t>. L’avant</w:t>
      </w:r>
      <w:r w:rsidR="00E667FE">
        <w:rPr>
          <w:sz w:val="22"/>
          <w:szCs w:val="22"/>
          <w:lang w:val="fr-CA"/>
        </w:rPr>
        <w:t>-</w:t>
      </w:r>
      <w:r w:rsidRPr="00217EFC">
        <w:rPr>
          <w:sz w:val="22"/>
          <w:szCs w:val="22"/>
          <w:lang w:val="fr-CA"/>
        </w:rPr>
        <w:t>dernière paroisse est celle de Saint-Edmond de Pinardville et elle est compl</w:t>
      </w:r>
      <w:r w:rsidR="00E667FE">
        <w:rPr>
          <w:sz w:val="22"/>
          <w:szCs w:val="22"/>
          <w:lang w:val="fr-CA"/>
        </w:rPr>
        <w:t>è</w:t>
      </w:r>
      <w:r w:rsidRPr="00217EFC">
        <w:rPr>
          <w:sz w:val="22"/>
          <w:szCs w:val="22"/>
          <w:lang w:val="fr-CA"/>
        </w:rPr>
        <w:t>tement à l’ouest de la ville. Sa première messe est célébrée au jour de Pâques</w:t>
      </w:r>
      <w:r w:rsidR="00E667FE">
        <w:rPr>
          <w:sz w:val="22"/>
          <w:szCs w:val="22"/>
          <w:lang w:val="fr-CA"/>
        </w:rPr>
        <w:t> </w:t>
      </w:r>
      <w:r w:rsidRPr="00217EFC">
        <w:rPr>
          <w:sz w:val="22"/>
          <w:szCs w:val="22"/>
          <w:lang w:val="fr-CA"/>
        </w:rPr>
        <w:t>1912 par son curé, le Révér</w:t>
      </w:r>
      <w:r>
        <w:rPr>
          <w:sz w:val="22"/>
          <w:szCs w:val="22"/>
          <w:lang w:val="fr-CA"/>
        </w:rPr>
        <w:t>end</w:t>
      </w:r>
      <w:r w:rsidRPr="00217EFC">
        <w:rPr>
          <w:sz w:val="22"/>
          <w:szCs w:val="22"/>
          <w:lang w:val="fr-CA"/>
        </w:rPr>
        <w:t>, franco-américain, L. Laliberté. Cent enfants fréquentent l’école paroissiale</w:t>
      </w:r>
      <w:r w:rsidRPr="00217EFC">
        <w:rPr>
          <w:rStyle w:val="FootnoteReference"/>
          <w:sz w:val="22"/>
          <w:szCs w:val="22"/>
          <w:lang w:val="fr-CA"/>
        </w:rPr>
        <w:footnoteReference w:id="77"/>
      </w:r>
      <w:r w:rsidRPr="00217EFC">
        <w:rPr>
          <w:sz w:val="22"/>
          <w:szCs w:val="22"/>
          <w:lang w:val="fr-CA"/>
        </w:rPr>
        <w:t>. Finalement, la paroisse de Saint-Jean-Baptiste de Rimmonville comprend la zone située au nord-ouest de la ville et elle est détachée de la paroisse Sainte-Marie</w:t>
      </w:r>
      <w:r w:rsidRPr="00217EFC">
        <w:rPr>
          <w:rStyle w:val="FootnoteReference"/>
          <w:sz w:val="22"/>
          <w:szCs w:val="22"/>
          <w:lang w:val="fr-CA"/>
        </w:rPr>
        <w:footnoteReference w:id="78"/>
      </w:r>
      <w:r w:rsidRPr="00217EFC">
        <w:rPr>
          <w:sz w:val="22"/>
          <w:szCs w:val="22"/>
          <w:lang w:val="fr-CA"/>
        </w:rPr>
        <w:t>. Elle est desservie par un Franco-Américain originaire de Manchester, le Révér</w:t>
      </w:r>
      <w:r>
        <w:rPr>
          <w:sz w:val="22"/>
          <w:szCs w:val="22"/>
          <w:lang w:val="fr-CA"/>
        </w:rPr>
        <w:t xml:space="preserve">end </w:t>
      </w:r>
      <w:r w:rsidRPr="00217EFC">
        <w:rPr>
          <w:sz w:val="22"/>
          <w:szCs w:val="22"/>
          <w:lang w:val="fr-CA"/>
        </w:rPr>
        <w:t>A.</w:t>
      </w:r>
      <w:r>
        <w:rPr>
          <w:sz w:val="22"/>
          <w:szCs w:val="22"/>
          <w:lang w:val="fr-CA"/>
        </w:rPr>
        <w:t xml:space="preserve"> </w:t>
      </w:r>
      <w:r w:rsidRPr="00217EFC">
        <w:rPr>
          <w:sz w:val="22"/>
          <w:szCs w:val="22"/>
          <w:lang w:val="fr-CA"/>
        </w:rPr>
        <w:t>J. Leclerc. En août 1915, les trois cents familles (1</w:t>
      </w:r>
      <w:r w:rsidR="00E667FE">
        <w:rPr>
          <w:sz w:val="22"/>
          <w:szCs w:val="22"/>
          <w:lang w:val="fr-CA"/>
        </w:rPr>
        <w:t> </w:t>
      </w:r>
      <w:r w:rsidRPr="00217EFC">
        <w:rPr>
          <w:sz w:val="22"/>
          <w:szCs w:val="22"/>
          <w:lang w:val="fr-CA"/>
        </w:rPr>
        <w:t>500 âmes) de la nouvelle paroisse de Manchester se rassemblent devant leur nouvelle église pour assister à la consécration de leur église par leur évêque. Le mois suivant, l’école paroissiale ouvre ses portes</w:t>
      </w:r>
      <w:r w:rsidRPr="002A278A">
        <w:rPr>
          <w:rStyle w:val="FootnoteReference"/>
          <w:sz w:val="22"/>
          <w:szCs w:val="22"/>
          <w:lang w:val="fr-CA"/>
        </w:rPr>
        <w:footnoteReference w:id="79"/>
      </w:r>
      <w:r w:rsidRPr="002A278A">
        <w:rPr>
          <w:sz w:val="22"/>
          <w:szCs w:val="22"/>
          <w:lang w:val="fr-CA"/>
        </w:rPr>
        <w:t xml:space="preserve">. Finalement, les sept paroisses de la communauté catholique franco-américaine de Manchester regorgent de dynamisme. </w:t>
      </w:r>
      <w:r w:rsidR="00163339" w:rsidRPr="002A278A">
        <w:rPr>
          <w:sz w:val="22"/>
          <w:szCs w:val="22"/>
          <w:lang w:val="fr-CA"/>
        </w:rPr>
        <w:t>De plus, l</w:t>
      </w:r>
      <w:r w:rsidR="00300299" w:rsidRPr="002A278A">
        <w:rPr>
          <w:sz w:val="22"/>
          <w:szCs w:val="22"/>
          <w:lang w:val="fr-CA"/>
        </w:rPr>
        <w:t>a présence et l’influence du clergé est omniprésente dans la vie sociale de la population franco-américaine, comme dans les sociétés fraternelles</w:t>
      </w:r>
      <w:r w:rsidR="00541F98" w:rsidRPr="002A278A">
        <w:rPr>
          <w:sz w:val="22"/>
          <w:szCs w:val="22"/>
          <w:lang w:val="fr-CA"/>
        </w:rPr>
        <w:t>. C</w:t>
      </w:r>
      <w:r w:rsidR="00163339" w:rsidRPr="002A278A">
        <w:rPr>
          <w:sz w:val="22"/>
          <w:szCs w:val="22"/>
          <w:lang w:val="fr-CA"/>
        </w:rPr>
        <w:t xml:space="preserve">ette influence fait douter </w:t>
      </w:r>
      <w:r w:rsidR="00541F98" w:rsidRPr="002A278A">
        <w:rPr>
          <w:sz w:val="22"/>
          <w:szCs w:val="22"/>
          <w:lang w:val="fr-CA"/>
        </w:rPr>
        <w:t>les autorités américaines quant à l’</w:t>
      </w:r>
      <w:r w:rsidR="00163339" w:rsidRPr="002A278A">
        <w:rPr>
          <w:sz w:val="22"/>
          <w:szCs w:val="22"/>
          <w:lang w:val="fr-CA"/>
        </w:rPr>
        <w:t xml:space="preserve">allégeance </w:t>
      </w:r>
      <w:r w:rsidR="00541F98" w:rsidRPr="002A278A">
        <w:rPr>
          <w:sz w:val="22"/>
          <w:szCs w:val="22"/>
          <w:lang w:val="fr-CA"/>
        </w:rPr>
        <w:t xml:space="preserve">réelle </w:t>
      </w:r>
      <w:r w:rsidR="00163339" w:rsidRPr="002A278A">
        <w:rPr>
          <w:sz w:val="22"/>
          <w:szCs w:val="22"/>
          <w:lang w:val="fr-CA"/>
        </w:rPr>
        <w:t xml:space="preserve">de la population </w:t>
      </w:r>
      <w:r w:rsidR="00541F98" w:rsidRPr="002A278A">
        <w:rPr>
          <w:sz w:val="22"/>
          <w:szCs w:val="22"/>
          <w:lang w:val="fr-CA"/>
        </w:rPr>
        <w:t xml:space="preserve">pour </w:t>
      </w:r>
      <w:r w:rsidR="00163339" w:rsidRPr="002A278A">
        <w:rPr>
          <w:sz w:val="22"/>
          <w:szCs w:val="22"/>
          <w:lang w:val="fr-CA"/>
        </w:rPr>
        <w:t>leur nation</w:t>
      </w:r>
      <w:r w:rsidR="00541F98" w:rsidRPr="002A278A">
        <w:rPr>
          <w:sz w:val="22"/>
          <w:szCs w:val="22"/>
          <w:lang w:val="fr-CA"/>
        </w:rPr>
        <w:t xml:space="preserve">, car on craint que l’autorité </w:t>
      </w:r>
      <w:r w:rsidR="00215180" w:rsidRPr="002A278A">
        <w:rPr>
          <w:sz w:val="22"/>
          <w:szCs w:val="22"/>
          <w:lang w:val="fr-CA"/>
        </w:rPr>
        <w:t xml:space="preserve">absolue </w:t>
      </w:r>
      <w:r w:rsidR="00541F98" w:rsidRPr="002A278A">
        <w:rPr>
          <w:sz w:val="22"/>
          <w:szCs w:val="22"/>
          <w:lang w:val="fr-CA"/>
        </w:rPr>
        <w:t>du Pape</w:t>
      </w:r>
      <w:r w:rsidR="00215180" w:rsidRPr="002A278A">
        <w:rPr>
          <w:sz w:val="22"/>
          <w:szCs w:val="22"/>
          <w:lang w:val="fr-CA"/>
        </w:rPr>
        <w:t xml:space="preserve"> vienne qu’à </w:t>
      </w:r>
      <w:r w:rsidR="00541F98" w:rsidRPr="002A278A">
        <w:rPr>
          <w:sz w:val="22"/>
          <w:szCs w:val="22"/>
          <w:lang w:val="fr-CA"/>
        </w:rPr>
        <w:t>influence</w:t>
      </w:r>
      <w:r w:rsidR="00215180" w:rsidRPr="002A278A">
        <w:rPr>
          <w:sz w:val="22"/>
          <w:szCs w:val="22"/>
          <w:lang w:val="fr-CA"/>
        </w:rPr>
        <w:t>r</w:t>
      </w:r>
      <w:r w:rsidR="00541F98" w:rsidRPr="002A278A">
        <w:rPr>
          <w:sz w:val="22"/>
          <w:szCs w:val="22"/>
          <w:lang w:val="fr-CA"/>
        </w:rPr>
        <w:t xml:space="preserve"> la direction de l’État</w:t>
      </w:r>
      <w:r w:rsidR="00300299" w:rsidRPr="002A278A">
        <w:rPr>
          <w:sz w:val="22"/>
          <w:szCs w:val="22"/>
          <w:lang w:val="fr-CA"/>
        </w:rPr>
        <w:t xml:space="preserve">. </w:t>
      </w:r>
      <w:r w:rsidRPr="002A278A">
        <w:rPr>
          <w:sz w:val="22"/>
          <w:szCs w:val="22"/>
          <w:lang w:val="fr-CA"/>
        </w:rPr>
        <w:t>Par ailleurs, le haut et bas clergé partagent la même opinion quant à l’appui que l’Église doit fournir pour aider la France et la Belgique dans leur combat. Ils croient tous que l’invasion allemande est injuste et ils ne s’opposent pas à la participation des Franco-Américains comme dans le conflit pour les forces de l’Entente. Or, le dynamisme des paroissiens sera mis à contribution lorsque la communauté franco-américaine sera sollicitée pour appuyer les différentes œuvres de bienfaisance.</w:t>
      </w:r>
    </w:p>
    <w:p w14:paraId="37C55C99" w14:textId="77777777" w:rsidR="000264D6" w:rsidRPr="002B5319" w:rsidRDefault="002B5319" w:rsidP="002B5319">
      <w:pPr>
        <w:spacing w:before="100" w:beforeAutospacing="1" w:after="100" w:afterAutospacing="1"/>
        <w:jc w:val="both"/>
        <w:rPr>
          <w:sz w:val="22"/>
          <w:szCs w:val="22"/>
          <w:lang w:val="fr-CA"/>
        </w:rPr>
      </w:pPr>
      <w:r>
        <w:rPr>
          <w:b/>
          <w:bCs/>
          <w:sz w:val="22"/>
          <w:szCs w:val="22"/>
          <w:lang w:val="fr-CA"/>
        </w:rPr>
        <w:br w:type="page"/>
      </w:r>
      <w:r w:rsidR="000264D6" w:rsidRPr="00463EC9">
        <w:rPr>
          <w:b/>
          <w:bCs/>
          <w:sz w:val="22"/>
          <w:szCs w:val="22"/>
          <w:lang w:val="fr-CA"/>
        </w:rPr>
        <w:lastRenderedPageBreak/>
        <w:t xml:space="preserve">La Garde Nationale du New Hampshire et </w:t>
      </w:r>
      <w:r w:rsidR="000264D6">
        <w:rPr>
          <w:b/>
          <w:bCs/>
          <w:sz w:val="22"/>
          <w:szCs w:val="22"/>
          <w:lang w:val="fr-CA"/>
        </w:rPr>
        <w:t xml:space="preserve">les </w:t>
      </w:r>
      <w:r w:rsidR="000264D6" w:rsidRPr="00463EC9">
        <w:rPr>
          <w:b/>
          <w:bCs/>
          <w:sz w:val="22"/>
          <w:szCs w:val="22"/>
          <w:lang w:val="fr-CA"/>
        </w:rPr>
        <w:t>organisations militaires</w:t>
      </w:r>
    </w:p>
    <w:p w14:paraId="297E1A66" w14:textId="32F6B137"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t>La Garde Nationale du New Hampshire a un établissement</w:t>
      </w:r>
      <w:r>
        <w:rPr>
          <w:sz w:val="22"/>
          <w:szCs w:val="22"/>
          <w:lang w:val="fr-CA"/>
        </w:rPr>
        <w:t> </w:t>
      </w:r>
      <w:r w:rsidRPr="00C472F9">
        <w:rPr>
          <w:lang w:val="fr-CA"/>
        </w:rPr>
        <w:t xml:space="preserve">à </w:t>
      </w:r>
      <w:r>
        <w:rPr>
          <w:sz w:val="22"/>
          <w:szCs w:val="22"/>
          <w:lang w:val="fr-CA"/>
        </w:rPr>
        <w:t xml:space="preserve">Manchester situé </w:t>
      </w:r>
      <w:r w:rsidRPr="00217EFC">
        <w:rPr>
          <w:sz w:val="22"/>
          <w:szCs w:val="22"/>
          <w:lang w:val="fr-CA"/>
        </w:rPr>
        <w:t>sur la rue Pleasant</w:t>
      </w:r>
      <w:r w:rsidRPr="00217EFC">
        <w:rPr>
          <w:rStyle w:val="FootnoteReference"/>
          <w:sz w:val="22"/>
          <w:szCs w:val="22"/>
          <w:lang w:val="fr-CA"/>
        </w:rPr>
        <w:footnoteReference w:id="80"/>
      </w:r>
      <w:r w:rsidRPr="00217EFC">
        <w:rPr>
          <w:sz w:val="22"/>
          <w:szCs w:val="22"/>
          <w:lang w:val="fr-CA"/>
        </w:rPr>
        <w:t xml:space="preserve">. Nous </w:t>
      </w:r>
      <w:r w:rsidR="00FE6986">
        <w:rPr>
          <w:sz w:val="22"/>
          <w:szCs w:val="22"/>
          <w:lang w:val="fr-CA"/>
        </w:rPr>
        <w:t xml:space="preserve">y </w:t>
      </w:r>
      <w:r w:rsidRPr="00217EFC">
        <w:rPr>
          <w:sz w:val="22"/>
          <w:szCs w:val="22"/>
          <w:lang w:val="fr-CA"/>
        </w:rPr>
        <w:t>trouvons les états-majors et quatre des sept compagnies du 1</w:t>
      </w:r>
      <w:r w:rsidRPr="00217EFC">
        <w:rPr>
          <w:sz w:val="22"/>
          <w:szCs w:val="22"/>
          <w:vertAlign w:val="superscript"/>
          <w:lang w:val="fr-CA"/>
        </w:rPr>
        <w:t>er</w:t>
      </w:r>
      <w:r w:rsidRPr="00217EFC">
        <w:rPr>
          <w:sz w:val="22"/>
          <w:szCs w:val="22"/>
          <w:lang w:val="fr-CA"/>
        </w:rPr>
        <w:t xml:space="preserve"> Régiment d’infanterie de la Garde Nationale de l’État, une batterie légère d’artillerie de campagne, un élément du «</w:t>
      </w:r>
      <w:r w:rsidR="0096361C">
        <w:rPr>
          <w:sz w:val="22"/>
          <w:szCs w:val="22"/>
          <w:lang w:val="fr-CA"/>
        </w:rPr>
        <w:t> </w:t>
      </w:r>
      <w:r w:rsidRPr="00217EFC">
        <w:rPr>
          <w:sz w:val="22"/>
          <w:szCs w:val="22"/>
          <w:lang w:val="fr-CA"/>
        </w:rPr>
        <w:t>corps d’hôpital</w:t>
      </w:r>
      <w:r w:rsidRPr="00217EFC">
        <w:rPr>
          <w:rStyle w:val="FootnoteReference"/>
          <w:sz w:val="22"/>
          <w:szCs w:val="22"/>
          <w:lang w:val="fr-CA"/>
        </w:rPr>
        <w:footnoteReference w:id="81"/>
      </w:r>
      <w:r w:rsidR="0096361C">
        <w:rPr>
          <w:sz w:val="22"/>
          <w:szCs w:val="22"/>
          <w:lang w:val="fr-CA"/>
        </w:rPr>
        <w:t> </w:t>
      </w:r>
      <w:r w:rsidRPr="00217EFC">
        <w:rPr>
          <w:sz w:val="22"/>
          <w:szCs w:val="22"/>
          <w:lang w:val="fr-CA"/>
        </w:rPr>
        <w:t>» de Garde Nationale et la fanfare du 1</w:t>
      </w:r>
      <w:r w:rsidRPr="00217EFC">
        <w:rPr>
          <w:sz w:val="22"/>
          <w:szCs w:val="22"/>
          <w:vertAlign w:val="superscript"/>
          <w:lang w:val="fr-CA"/>
        </w:rPr>
        <w:t>er</w:t>
      </w:r>
      <w:r w:rsidRPr="00217EFC">
        <w:rPr>
          <w:sz w:val="22"/>
          <w:szCs w:val="22"/>
          <w:lang w:val="fr-CA"/>
        </w:rPr>
        <w:t xml:space="preserve"> Régiment. Depuis le 16 juin 1916, le régiment est mobilisé</w:t>
      </w:r>
      <w:r>
        <w:rPr>
          <w:sz w:val="22"/>
          <w:szCs w:val="22"/>
          <w:lang w:val="fr-CA"/>
        </w:rPr>
        <w:t xml:space="preserve">, </w:t>
      </w:r>
      <w:r w:rsidRPr="00217EFC">
        <w:rPr>
          <w:sz w:val="22"/>
          <w:szCs w:val="22"/>
          <w:lang w:val="fr-CA"/>
        </w:rPr>
        <w:t>par l’ordre du Président Wilson</w:t>
      </w:r>
      <w:r>
        <w:rPr>
          <w:sz w:val="22"/>
          <w:szCs w:val="22"/>
          <w:lang w:val="fr-CA"/>
        </w:rPr>
        <w:t xml:space="preserve">, et il est </w:t>
      </w:r>
      <w:r w:rsidRPr="00217EFC">
        <w:rPr>
          <w:sz w:val="22"/>
          <w:szCs w:val="22"/>
          <w:lang w:val="fr-CA"/>
        </w:rPr>
        <w:t>déployé le 10 juillet</w:t>
      </w:r>
      <w:r w:rsidR="00813FD0">
        <w:rPr>
          <w:sz w:val="22"/>
          <w:szCs w:val="22"/>
          <w:lang w:val="fr-CA"/>
        </w:rPr>
        <w:t xml:space="preserve"> </w:t>
      </w:r>
      <w:r w:rsidRPr="00217EFC">
        <w:rPr>
          <w:sz w:val="22"/>
          <w:szCs w:val="22"/>
          <w:lang w:val="fr-CA"/>
        </w:rPr>
        <w:t>à Laredo au Texas</w:t>
      </w:r>
      <w:r>
        <w:rPr>
          <w:sz w:val="22"/>
          <w:szCs w:val="22"/>
          <w:lang w:val="fr-CA"/>
        </w:rPr>
        <w:t>. B</w:t>
      </w:r>
      <w:r w:rsidRPr="00217EFC">
        <w:rPr>
          <w:sz w:val="22"/>
          <w:szCs w:val="22"/>
          <w:lang w:val="fr-CA"/>
        </w:rPr>
        <w:t>ien que certaines compagnies n’eussent pas un effectif minimum de 65 personnes</w:t>
      </w:r>
      <w:r w:rsidRPr="00217EFC">
        <w:rPr>
          <w:rStyle w:val="FootnoteReference"/>
          <w:sz w:val="22"/>
          <w:szCs w:val="22"/>
          <w:lang w:val="fr-CA"/>
        </w:rPr>
        <w:footnoteReference w:id="82"/>
      </w:r>
      <w:r>
        <w:rPr>
          <w:sz w:val="22"/>
          <w:szCs w:val="22"/>
          <w:lang w:val="fr-CA"/>
        </w:rPr>
        <w:t xml:space="preserve">, </w:t>
      </w:r>
      <w:r w:rsidRPr="00217EFC">
        <w:rPr>
          <w:sz w:val="22"/>
          <w:szCs w:val="22"/>
          <w:lang w:val="fr-CA"/>
        </w:rPr>
        <w:t>les effectifs de la compagnie A sont de 102 membres et les autres compagnie</w:t>
      </w:r>
      <w:r>
        <w:rPr>
          <w:sz w:val="22"/>
          <w:szCs w:val="22"/>
          <w:lang w:val="fr-CA"/>
        </w:rPr>
        <w:t>s</w:t>
      </w:r>
      <w:r w:rsidRPr="00217EFC">
        <w:rPr>
          <w:sz w:val="22"/>
          <w:szCs w:val="22"/>
          <w:lang w:val="fr-CA"/>
        </w:rPr>
        <w:t xml:space="preserve"> </w:t>
      </w:r>
      <w:r>
        <w:rPr>
          <w:sz w:val="22"/>
          <w:szCs w:val="22"/>
          <w:lang w:val="fr-CA"/>
        </w:rPr>
        <w:t>de Manchester (</w:t>
      </w:r>
      <w:r w:rsidRPr="00217EFC">
        <w:rPr>
          <w:sz w:val="22"/>
          <w:szCs w:val="22"/>
          <w:lang w:val="fr-CA"/>
        </w:rPr>
        <w:t>B, F, et K</w:t>
      </w:r>
      <w:r>
        <w:rPr>
          <w:sz w:val="22"/>
          <w:szCs w:val="22"/>
          <w:lang w:val="fr-CA"/>
        </w:rPr>
        <w:t>)</w:t>
      </w:r>
      <w:r w:rsidRPr="00217EFC">
        <w:rPr>
          <w:sz w:val="22"/>
          <w:szCs w:val="22"/>
          <w:lang w:val="fr-CA"/>
        </w:rPr>
        <w:t xml:space="preserve"> compte</w:t>
      </w:r>
      <w:r>
        <w:rPr>
          <w:sz w:val="22"/>
          <w:szCs w:val="22"/>
          <w:lang w:val="fr-CA"/>
        </w:rPr>
        <w:t>nt</w:t>
      </w:r>
      <w:r w:rsidRPr="00217EFC">
        <w:rPr>
          <w:sz w:val="22"/>
          <w:szCs w:val="22"/>
          <w:lang w:val="fr-CA"/>
        </w:rPr>
        <w:t xml:space="preserve"> aussi d’autres francophones</w:t>
      </w:r>
      <w:r w:rsidRPr="00217EFC">
        <w:rPr>
          <w:rStyle w:val="FootnoteReference"/>
          <w:sz w:val="22"/>
          <w:szCs w:val="22"/>
          <w:lang w:val="fr-CA"/>
        </w:rPr>
        <w:footnoteReference w:id="83"/>
      </w:r>
      <w:r w:rsidRPr="00217EFC">
        <w:rPr>
          <w:sz w:val="22"/>
          <w:szCs w:val="22"/>
          <w:lang w:val="fr-CA"/>
        </w:rPr>
        <w:t>. Après une campagne de recrutement en juin 1916, le journal</w:t>
      </w:r>
      <w:r>
        <w:rPr>
          <w:sz w:val="22"/>
          <w:szCs w:val="22"/>
          <w:lang w:val="fr-CA"/>
        </w:rPr>
        <w:t xml:space="preserve"> </w:t>
      </w:r>
      <w:r w:rsidRPr="004028CB">
        <w:rPr>
          <w:i/>
          <w:sz w:val="22"/>
          <w:szCs w:val="22"/>
          <w:lang w:val="fr-CA"/>
        </w:rPr>
        <w:t>L’Avenir National</w:t>
      </w:r>
      <w:r w:rsidRPr="00217EFC">
        <w:rPr>
          <w:sz w:val="22"/>
          <w:szCs w:val="22"/>
          <w:lang w:val="fr-CA"/>
        </w:rPr>
        <w:t xml:space="preserve"> rapporte que le quart des membres des Gardes Nationales du New Hampshire sont francophones.</w:t>
      </w:r>
    </w:p>
    <w:p w14:paraId="65C77319" w14:textId="78C98BEC"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Quant à la Brigade des </w:t>
      </w:r>
      <w:r w:rsidR="00464E8E">
        <w:rPr>
          <w:sz w:val="22"/>
          <w:szCs w:val="22"/>
          <w:lang w:val="fr-CA"/>
        </w:rPr>
        <w:t>V</w:t>
      </w:r>
      <w:r w:rsidRPr="007C6233">
        <w:rPr>
          <w:sz w:val="22"/>
          <w:szCs w:val="22"/>
          <w:lang w:val="fr-CA"/>
        </w:rPr>
        <w:t xml:space="preserve">olontaires </w:t>
      </w:r>
      <w:r w:rsidR="00D34D2E">
        <w:rPr>
          <w:sz w:val="22"/>
          <w:szCs w:val="22"/>
          <w:lang w:val="fr-CA"/>
        </w:rPr>
        <w:t>f</w:t>
      </w:r>
      <w:r w:rsidRPr="007C6233">
        <w:rPr>
          <w:sz w:val="22"/>
          <w:szCs w:val="22"/>
          <w:lang w:val="fr-CA"/>
        </w:rPr>
        <w:t>ranco-</w:t>
      </w:r>
      <w:r w:rsidR="00D34D2E">
        <w:rPr>
          <w:sz w:val="22"/>
          <w:szCs w:val="22"/>
          <w:lang w:val="fr-CA"/>
        </w:rPr>
        <w:t>a</w:t>
      </w:r>
      <w:r w:rsidRPr="007C6233">
        <w:rPr>
          <w:sz w:val="22"/>
          <w:szCs w:val="22"/>
          <w:lang w:val="fr-CA"/>
        </w:rPr>
        <w:t>méricains,</w:t>
      </w:r>
      <w:r w:rsidRPr="00217EFC">
        <w:rPr>
          <w:sz w:val="22"/>
          <w:szCs w:val="22"/>
          <w:lang w:val="fr-CA"/>
        </w:rPr>
        <w:t xml:space="preserve"> elle est une association fraternelle « militaire privé</w:t>
      </w:r>
      <w:r>
        <w:rPr>
          <w:sz w:val="22"/>
          <w:szCs w:val="22"/>
          <w:lang w:val="fr-CA"/>
        </w:rPr>
        <w:t>e</w:t>
      </w:r>
      <w:r w:rsidRPr="00217EFC">
        <w:rPr>
          <w:sz w:val="22"/>
          <w:szCs w:val="22"/>
          <w:lang w:val="fr-CA"/>
        </w:rPr>
        <w:t>, composé</w:t>
      </w:r>
      <w:r>
        <w:rPr>
          <w:sz w:val="22"/>
          <w:szCs w:val="22"/>
          <w:lang w:val="fr-CA"/>
        </w:rPr>
        <w:t>e</w:t>
      </w:r>
      <w:r w:rsidRPr="00217EFC">
        <w:rPr>
          <w:sz w:val="22"/>
          <w:szCs w:val="22"/>
          <w:lang w:val="fr-CA"/>
        </w:rPr>
        <w:t xml:space="preserve"> exceptionnellement de Canadiens français [sic</w:t>
      </w:r>
      <w:r w:rsidRPr="00217EFC">
        <w:rPr>
          <w:rStyle w:val="FootnoteReference"/>
          <w:sz w:val="22"/>
          <w:szCs w:val="22"/>
          <w:lang w:val="fr-CA"/>
        </w:rPr>
        <w:footnoteReference w:id="84"/>
      </w:r>
      <w:r w:rsidRPr="00217EFC">
        <w:rPr>
          <w:sz w:val="22"/>
          <w:szCs w:val="22"/>
          <w:lang w:val="fr-CA"/>
        </w:rPr>
        <w:t>], qui comprend des [compagnies] dans pratiquement tous les centres importants de la Nouvelle-Angleterre »</w:t>
      </w:r>
      <w:r w:rsidRPr="00217EFC">
        <w:rPr>
          <w:rStyle w:val="FootnoteReference"/>
          <w:sz w:val="22"/>
          <w:szCs w:val="22"/>
          <w:lang w:val="fr-CA"/>
        </w:rPr>
        <w:footnoteReference w:id="85"/>
      </w:r>
      <w:r w:rsidRPr="00217EFC">
        <w:rPr>
          <w:sz w:val="22"/>
          <w:szCs w:val="22"/>
          <w:lang w:val="fr-CA"/>
        </w:rPr>
        <w:t xml:space="preserve">. Selon </w:t>
      </w:r>
      <w:r w:rsidRPr="00217EFC">
        <w:rPr>
          <w:i/>
          <w:iCs/>
          <w:sz w:val="22"/>
          <w:szCs w:val="22"/>
          <w:lang w:val="fr-CA"/>
        </w:rPr>
        <w:t>L’Avenir National</w:t>
      </w:r>
      <w:r w:rsidRPr="00217EFC">
        <w:rPr>
          <w:sz w:val="22"/>
          <w:szCs w:val="22"/>
          <w:lang w:val="fr-CA"/>
        </w:rPr>
        <w:t>, cette brigade</w:t>
      </w:r>
      <w:r>
        <w:rPr>
          <w:sz w:val="22"/>
          <w:szCs w:val="22"/>
          <w:lang w:val="fr-CA"/>
        </w:rPr>
        <w:t xml:space="preserve">, qui </w:t>
      </w:r>
      <w:r w:rsidRPr="00217EFC">
        <w:rPr>
          <w:sz w:val="22"/>
          <w:szCs w:val="22"/>
          <w:lang w:val="fr-CA"/>
        </w:rPr>
        <w:t>est fondée le 12 août 1906 à Fall River, Massachusetts</w:t>
      </w:r>
      <w:r w:rsidRPr="00217EFC">
        <w:rPr>
          <w:rStyle w:val="FootnoteReference"/>
          <w:sz w:val="22"/>
          <w:szCs w:val="22"/>
          <w:lang w:val="fr-CA"/>
        </w:rPr>
        <w:footnoteReference w:id="86"/>
      </w:r>
      <w:r w:rsidRPr="00217EFC">
        <w:rPr>
          <w:sz w:val="22"/>
          <w:szCs w:val="22"/>
          <w:lang w:val="fr-CA"/>
        </w:rPr>
        <w:t>, n’est pas entièrement une société à bénéfices comme les sociétés de secours mutuels, mais elle promeut l’appartenance aux valeurs militaires et patriotiques et à « l’attachement aux belles traditions de la race française »</w:t>
      </w:r>
      <w:r w:rsidRPr="00217EFC">
        <w:rPr>
          <w:rStyle w:val="FootnoteReference"/>
          <w:sz w:val="22"/>
          <w:szCs w:val="22"/>
          <w:lang w:val="fr-CA"/>
        </w:rPr>
        <w:footnoteReference w:id="87"/>
      </w:r>
      <w:r w:rsidRPr="00217EFC">
        <w:rPr>
          <w:sz w:val="22"/>
          <w:szCs w:val="22"/>
          <w:lang w:val="fr-CA"/>
        </w:rPr>
        <w:t xml:space="preserve">. Comme société fédérative, la brigade est composée de gardes indépendantes. Or, ces bataillons sont en fait </w:t>
      </w:r>
      <w:r>
        <w:rPr>
          <w:sz w:val="22"/>
          <w:szCs w:val="22"/>
          <w:lang w:val="fr-CA"/>
        </w:rPr>
        <w:t xml:space="preserve">quelques-unes </w:t>
      </w:r>
      <w:r w:rsidRPr="00217EFC">
        <w:rPr>
          <w:sz w:val="22"/>
          <w:szCs w:val="22"/>
          <w:lang w:val="fr-CA"/>
        </w:rPr>
        <w:t>des compagnies de la Garde Nationale de leur État respectif et les gardes sont situées dans les centres urbains de la Nouvelle-Angleterre</w:t>
      </w:r>
      <w:r w:rsidRPr="00217EFC">
        <w:rPr>
          <w:rStyle w:val="FootnoteReference"/>
          <w:sz w:val="22"/>
          <w:szCs w:val="22"/>
          <w:lang w:val="fr-CA"/>
        </w:rPr>
        <w:footnoteReference w:id="88"/>
      </w:r>
      <w:r w:rsidRPr="00217EFC">
        <w:rPr>
          <w:sz w:val="22"/>
          <w:szCs w:val="22"/>
          <w:lang w:val="fr-CA"/>
        </w:rPr>
        <w:t>. E</w:t>
      </w:r>
      <w:r>
        <w:rPr>
          <w:sz w:val="22"/>
          <w:szCs w:val="22"/>
          <w:lang w:val="fr-CA"/>
        </w:rPr>
        <w:t>n 1</w:t>
      </w:r>
      <w:r w:rsidRPr="00217EFC">
        <w:rPr>
          <w:sz w:val="22"/>
          <w:szCs w:val="22"/>
          <w:lang w:val="fr-CA"/>
        </w:rPr>
        <w:t>916, la brigade comptait plus de vingt-trois gardes et elle</w:t>
      </w:r>
      <w:r>
        <w:rPr>
          <w:sz w:val="22"/>
          <w:szCs w:val="22"/>
          <w:lang w:val="fr-CA"/>
        </w:rPr>
        <w:t>s</w:t>
      </w:r>
      <w:r w:rsidRPr="00217EFC">
        <w:rPr>
          <w:sz w:val="22"/>
          <w:szCs w:val="22"/>
          <w:lang w:val="fr-CA"/>
        </w:rPr>
        <w:t xml:space="preserve"> </w:t>
      </w:r>
      <w:r>
        <w:rPr>
          <w:sz w:val="22"/>
          <w:szCs w:val="22"/>
          <w:lang w:val="fr-CA"/>
        </w:rPr>
        <w:t xml:space="preserve">sont </w:t>
      </w:r>
      <w:r w:rsidRPr="00217EFC">
        <w:rPr>
          <w:sz w:val="22"/>
          <w:szCs w:val="22"/>
          <w:lang w:val="fr-CA"/>
        </w:rPr>
        <w:t>sous le commandement de Rodolphe Boucher, de Manchester, qui occupe également le poste d’officier civil de président général de la brigade</w:t>
      </w:r>
      <w:r w:rsidRPr="00217EFC">
        <w:rPr>
          <w:rStyle w:val="FootnoteReference"/>
          <w:sz w:val="22"/>
          <w:szCs w:val="22"/>
          <w:lang w:val="fr-CA"/>
        </w:rPr>
        <w:footnoteReference w:id="89"/>
      </w:r>
      <w:r w:rsidRPr="00217EFC">
        <w:rPr>
          <w:sz w:val="22"/>
          <w:szCs w:val="22"/>
          <w:lang w:val="fr-CA"/>
        </w:rPr>
        <w:t>. Son fils joindra en juin 1917 le Corps du Département du Quartier-maitre lors de la déclaration de guerre américaine</w:t>
      </w:r>
      <w:r w:rsidRPr="00217EFC">
        <w:rPr>
          <w:rStyle w:val="FootnoteReference"/>
          <w:sz w:val="22"/>
          <w:szCs w:val="22"/>
          <w:lang w:val="fr-CA"/>
        </w:rPr>
        <w:footnoteReference w:id="90"/>
      </w:r>
      <w:r w:rsidRPr="00217EFC">
        <w:rPr>
          <w:sz w:val="22"/>
          <w:szCs w:val="22"/>
          <w:lang w:val="fr-CA"/>
        </w:rPr>
        <w:t xml:space="preserve">. </w:t>
      </w:r>
      <w:r>
        <w:rPr>
          <w:sz w:val="22"/>
          <w:szCs w:val="22"/>
          <w:lang w:val="fr-CA"/>
        </w:rPr>
        <w:t>L</w:t>
      </w:r>
      <w:r w:rsidRPr="00217EFC">
        <w:rPr>
          <w:sz w:val="22"/>
          <w:szCs w:val="22"/>
          <w:lang w:val="fr-CA"/>
        </w:rPr>
        <w:t>e 3</w:t>
      </w:r>
      <w:r w:rsidRPr="00217EFC">
        <w:rPr>
          <w:sz w:val="22"/>
          <w:szCs w:val="22"/>
          <w:vertAlign w:val="superscript"/>
          <w:lang w:val="fr-CA"/>
        </w:rPr>
        <w:t>e</w:t>
      </w:r>
      <w:r w:rsidRPr="00217EFC">
        <w:rPr>
          <w:sz w:val="22"/>
          <w:szCs w:val="22"/>
          <w:lang w:val="fr-CA"/>
        </w:rPr>
        <w:t xml:space="preserve"> Régiment et l’état-major de </w:t>
      </w:r>
      <w:r>
        <w:rPr>
          <w:sz w:val="22"/>
          <w:szCs w:val="22"/>
          <w:lang w:val="fr-CA"/>
        </w:rPr>
        <w:t xml:space="preserve">la </w:t>
      </w:r>
      <w:r w:rsidRPr="00217EFC">
        <w:rPr>
          <w:sz w:val="22"/>
          <w:szCs w:val="22"/>
          <w:lang w:val="fr-CA"/>
        </w:rPr>
        <w:t xml:space="preserve">Brigade des </w:t>
      </w:r>
      <w:r w:rsidR="00464E8E">
        <w:rPr>
          <w:sz w:val="22"/>
          <w:szCs w:val="22"/>
          <w:lang w:val="fr-CA"/>
        </w:rPr>
        <w:t>V</w:t>
      </w:r>
      <w:r w:rsidRPr="00217EFC">
        <w:rPr>
          <w:sz w:val="22"/>
          <w:szCs w:val="22"/>
          <w:lang w:val="fr-CA"/>
        </w:rPr>
        <w:t xml:space="preserve">olontaires </w:t>
      </w:r>
      <w:r w:rsidR="00D34D2E">
        <w:rPr>
          <w:sz w:val="22"/>
          <w:szCs w:val="22"/>
          <w:lang w:val="fr-CA"/>
        </w:rPr>
        <w:t>f</w:t>
      </w:r>
      <w:r w:rsidRPr="00217EFC">
        <w:rPr>
          <w:sz w:val="22"/>
          <w:szCs w:val="22"/>
          <w:lang w:val="fr-CA"/>
        </w:rPr>
        <w:t>ranco-</w:t>
      </w:r>
      <w:r w:rsidR="00D34D2E">
        <w:rPr>
          <w:sz w:val="22"/>
          <w:szCs w:val="22"/>
          <w:lang w:val="fr-CA"/>
        </w:rPr>
        <w:t>a</w:t>
      </w:r>
      <w:r w:rsidRPr="00217EFC">
        <w:rPr>
          <w:sz w:val="22"/>
          <w:szCs w:val="22"/>
          <w:lang w:val="fr-CA"/>
        </w:rPr>
        <w:t>méricains sont localisé</w:t>
      </w:r>
      <w:r>
        <w:rPr>
          <w:sz w:val="22"/>
          <w:szCs w:val="22"/>
          <w:lang w:val="fr-CA"/>
        </w:rPr>
        <w:t>s</w:t>
      </w:r>
      <w:r w:rsidRPr="00217EFC">
        <w:rPr>
          <w:sz w:val="22"/>
          <w:szCs w:val="22"/>
          <w:lang w:val="fr-CA"/>
        </w:rPr>
        <w:t xml:space="preserve"> à Manchester et </w:t>
      </w:r>
      <w:r>
        <w:rPr>
          <w:sz w:val="22"/>
          <w:szCs w:val="22"/>
          <w:lang w:val="fr-CA"/>
        </w:rPr>
        <w:t>ils comprennent l</w:t>
      </w:r>
      <w:r w:rsidRPr="00217EFC">
        <w:rPr>
          <w:sz w:val="22"/>
          <w:szCs w:val="22"/>
          <w:lang w:val="fr-CA"/>
        </w:rPr>
        <w:t xml:space="preserve">es Gardes Saint-Jean-Baptiste, Champlain, Montcalm, Saint-Georges, Rochambeau de Nashua, les Chevaliers de Lafayette et </w:t>
      </w:r>
      <w:r w:rsidRPr="00217EFC">
        <w:rPr>
          <w:sz w:val="22"/>
          <w:szCs w:val="22"/>
          <w:lang w:val="fr-CA"/>
        </w:rPr>
        <w:lastRenderedPageBreak/>
        <w:t>Saint-Louis</w:t>
      </w:r>
      <w:r w:rsidRPr="00217EFC">
        <w:rPr>
          <w:rStyle w:val="FootnoteReference"/>
          <w:sz w:val="22"/>
          <w:szCs w:val="22"/>
          <w:lang w:val="fr-CA"/>
        </w:rPr>
        <w:footnoteReference w:id="91"/>
      </w:r>
      <w:r w:rsidRPr="00217EFC">
        <w:rPr>
          <w:sz w:val="22"/>
          <w:szCs w:val="22"/>
          <w:lang w:val="fr-CA"/>
        </w:rPr>
        <w:t>.</w:t>
      </w:r>
      <w:r>
        <w:rPr>
          <w:sz w:val="22"/>
          <w:szCs w:val="22"/>
          <w:lang w:val="fr-CA"/>
        </w:rPr>
        <w:t xml:space="preserve"> </w:t>
      </w:r>
      <w:r w:rsidRPr="00217EFC">
        <w:rPr>
          <w:sz w:val="22"/>
          <w:szCs w:val="22"/>
          <w:lang w:val="fr-CA"/>
        </w:rPr>
        <w:t xml:space="preserve">Il est toutefois essentiel de distinguer que les membres de la </w:t>
      </w:r>
      <w:r>
        <w:rPr>
          <w:sz w:val="22"/>
          <w:szCs w:val="22"/>
          <w:lang w:val="fr-CA"/>
        </w:rPr>
        <w:t>G</w:t>
      </w:r>
      <w:r w:rsidRPr="00217EFC">
        <w:rPr>
          <w:sz w:val="22"/>
          <w:szCs w:val="22"/>
          <w:lang w:val="fr-CA"/>
        </w:rPr>
        <w:t xml:space="preserve">arde </w:t>
      </w:r>
      <w:r>
        <w:rPr>
          <w:sz w:val="22"/>
          <w:szCs w:val="22"/>
          <w:lang w:val="fr-CA"/>
        </w:rPr>
        <w:t>N</w:t>
      </w:r>
      <w:r w:rsidRPr="00217EFC">
        <w:rPr>
          <w:sz w:val="22"/>
          <w:szCs w:val="22"/>
          <w:lang w:val="fr-CA"/>
        </w:rPr>
        <w:t xml:space="preserve">ational du New Hampshire n’ont pas la même chaine de commandement que les membres de la Brigade des </w:t>
      </w:r>
      <w:r w:rsidR="00464E8E">
        <w:rPr>
          <w:sz w:val="22"/>
          <w:szCs w:val="22"/>
          <w:lang w:val="fr-CA"/>
        </w:rPr>
        <w:t>V</w:t>
      </w:r>
      <w:r w:rsidRPr="00217EFC">
        <w:rPr>
          <w:sz w:val="22"/>
          <w:szCs w:val="22"/>
          <w:lang w:val="fr-CA"/>
        </w:rPr>
        <w:t xml:space="preserve">olontaires </w:t>
      </w:r>
      <w:r w:rsidR="00B42105">
        <w:rPr>
          <w:sz w:val="22"/>
          <w:szCs w:val="22"/>
          <w:lang w:val="fr-CA"/>
        </w:rPr>
        <w:t>f</w:t>
      </w:r>
      <w:r w:rsidRPr="00217EFC">
        <w:rPr>
          <w:sz w:val="22"/>
          <w:szCs w:val="22"/>
          <w:lang w:val="fr-CA"/>
        </w:rPr>
        <w:t>ranco-</w:t>
      </w:r>
      <w:r w:rsidR="00B42105">
        <w:rPr>
          <w:sz w:val="22"/>
          <w:szCs w:val="22"/>
          <w:lang w:val="fr-CA"/>
        </w:rPr>
        <w:t>a</w:t>
      </w:r>
      <w:r w:rsidRPr="00217EFC">
        <w:rPr>
          <w:sz w:val="22"/>
          <w:szCs w:val="22"/>
          <w:lang w:val="fr-CA"/>
        </w:rPr>
        <w:t>méricains. Par exemple, Ubald Hébert</w:t>
      </w:r>
      <w:r>
        <w:rPr>
          <w:sz w:val="22"/>
          <w:szCs w:val="22"/>
          <w:lang w:val="fr-CA"/>
        </w:rPr>
        <w:t xml:space="preserve"> </w:t>
      </w:r>
      <w:r w:rsidRPr="00217EFC">
        <w:rPr>
          <w:sz w:val="22"/>
          <w:szCs w:val="22"/>
          <w:lang w:val="fr-CA"/>
        </w:rPr>
        <w:t xml:space="preserve">et Aimé Génard sont </w:t>
      </w:r>
      <w:r>
        <w:rPr>
          <w:sz w:val="22"/>
          <w:szCs w:val="22"/>
          <w:lang w:val="fr-CA"/>
        </w:rPr>
        <w:t xml:space="preserve">à la fois </w:t>
      </w:r>
      <w:r w:rsidRPr="00217EFC">
        <w:rPr>
          <w:sz w:val="22"/>
          <w:szCs w:val="22"/>
          <w:lang w:val="fr-CA"/>
        </w:rPr>
        <w:t xml:space="preserve">membres de la </w:t>
      </w:r>
      <w:r>
        <w:rPr>
          <w:sz w:val="22"/>
          <w:szCs w:val="22"/>
          <w:lang w:val="fr-CA"/>
        </w:rPr>
        <w:t>G</w:t>
      </w:r>
      <w:r w:rsidRPr="00217EFC">
        <w:rPr>
          <w:sz w:val="22"/>
          <w:szCs w:val="22"/>
          <w:lang w:val="fr-CA"/>
        </w:rPr>
        <w:t xml:space="preserve">arde </w:t>
      </w:r>
      <w:r>
        <w:rPr>
          <w:sz w:val="22"/>
          <w:szCs w:val="22"/>
          <w:lang w:val="fr-CA"/>
        </w:rPr>
        <w:t>N</w:t>
      </w:r>
      <w:r w:rsidRPr="00217EFC">
        <w:rPr>
          <w:sz w:val="22"/>
          <w:szCs w:val="22"/>
          <w:lang w:val="fr-CA"/>
        </w:rPr>
        <w:t>ationale du New Hampshire</w:t>
      </w:r>
      <w:r w:rsidRPr="00155B9D">
        <w:rPr>
          <w:sz w:val="22"/>
          <w:szCs w:val="22"/>
          <w:lang w:val="fr-CA"/>
        </w:rPr>
        <w:t xml:space="preserve"> </w:t>
      </w:r>
      <w:r w:rsidRPr="00217EFC">
        <w:rPr>
          <w:sz w:val="22"/>
          <w:szCs w:val="22"/>
          <w:lang w:val="fr-CA"/>
        </w:rPr>
        <w:t xml:space="preserve">et de la Brigade des </w:t>
      </w:r>
      <w:r w:rsidR="00464E8E">
        <w:rPr>
          <w:sz w:val="22"/>
          <w:szCs w:val="22"/>
          <w:lang w:val="fr-CA"/>
        </w:rPr>
        <w:t>V</w:t>
      </w:r>
      <w:r w:rsidRPr="00217EFC">
        <w:rPr>
          <w:sz w:val="22"/>
          <w:szCs w:val="22"/>
          <w:lang w:val="fr-CA"/>
        </w:rPr>
        <w:t xml:space="preserve">olontaires </w:t>
      </w:r>
      <w:r w:rsidR="00D34D2E">
        <w:rPr>
          <w:sz w:val="22"/>
          <w:szCs w:val="22"/>
          <w:lang w:val="fr-CA"/>
        </w:rPr>
        <w:t>f</w:t>
      </w:r>
      <w:r w:rsidRPr="00217EFC">
        <w:rPr>
          <w:sz w:val="22"/>
          <w:szCs w:val="22"/>
          <w:lang w:val="fr-CA"/>
        </w:rPr>
        <w:t>ranco-</w:t>
      </w:r>
      <w:r w:rsidR="00D34D2E">
        <w:rPr>
          <w:sz w:val="22"/>
          <w:szCs w:val="22"/>
          <w:lang w:val="fr-CA"/>
        </w:rPr>
        <w:t>a</w:t>
      </w:r>
      <w:r w:rsidRPr="00217EFC">
        <w:rPr>
          <w:sz w:val="22"/>
          <w:szCs w:val="22"/>
          <w:lang w:val="fr-CA"/>
        </w:rPr>
        <w:t>méricains</w:t>
      </w:r>
      <w:r>
        <w:rPr>
          <w:sz w:val="22"/>
          <w:szCs w:val="22"/>
          <w:lang w:val="fr-CA"/>
        </w:rPr>
        <w:t xml:space="preserve"> respectivement </w:t>
      </w:r>
      <w:r w:rsidRPr="00217EFC">
        <w:rPr>
          <w:sz w:val="22"/>
          <w:szCs w:val="22"/>
          <w:lang w:val="fr-CA"/>
        </w:rPr>
        <w:t>comme lieutenant et capitaine</w:t>
      </w:r>
      <w:r>
        <w:rPr>
          <w:sz w:val="22"/>
          <w:szCs w:val="22"/>
          <w:lang w:val="fr-CA"/>
        </w:rPr>
        <w:t xml:space="preserve"> et </w:t>
      </w:r>
      <w:r w:rsidRPr="00217EFC">
        <w:rPr>
          <w:sz w:val="22"/>
          <w:szCs w:val="22"/>
          <w:lang w:val="fr-CA"/>
        </w:rPr>
        <w:t>comme chef de brigade et membre de la garde d’honneur Lévis</w:t>
      </w:r>
      <w:r w:rsidRPr="00217EFC">
        <w:rPr>
          <w:rStyle w:val="FootnoteReference"/>
          <w:sz w:val="22"/>
          <w:szCs w:val="22"/>
          <w:lang w:val="fr-CA"/>
        </w:rPr>
        <w:footnoteReference w:id="92"/>
      </w:r>
      <w:r w:rsidRPr="00217EFC">
        <w:rPr>
          <w:sz w:val="22"/>
          <w:szCs w:val="22"/>
          <w:lang w:val="fr-CA"/>
        </w:rPr>
        <w:t>.</w:t>
      </w:r>
    </w:p>
    <w:p w14:paraId="2F978131" w14:textId="77777777" w:rsidR="000264D6" w:rsidRPr="00217EFC" w:rsidRDefault="000264D6" w:rsidP="002B5319">
      <w:pPr>
        <w:spacing w:before="100" w:beforeAutospacing="1" w:after="100" w:afterAutospacing="1"/>
        <w:ind w:firstLine="720"/>
        <w:jc w:val="both"/>
        <w:rPr>
          <w:sz w:val="22"/>
          <w:szCs w:val="22"/>
          <w:lang w:val="fr-CA"/>
        </w:rPr>
      </w:pPr>
      <w:r>
        <w:rPr>
          <w:sz w:val="22"/>
          <w:szCs w:val="22"/>
          <w:lang w:val="fr-CA"/>
        </w:rPr>
        <w:t>L</w:t>
      </w:r>
      <w:r w:rsidRPr="00217EFC">
        <w:rPr>
          <w:sz w:val="22"/>
          <w:szCs w:val="22"/>
          <w:lang w:val="fr-CA"/>
        </w:rPr>
        <w:t>es membres des gardes choisissent e</w:t>
      </w:r>
      <w:r>
        <w:rPr>
          <w:sz w:val="22"/>
          <w:szCs w:val="22"/>
          <w:lang w:val="fr-CA"/>
        </w:rPr>
        <w:t>t</w:t>
      </w:r>
      <w:r w:rsidRPr="00217EFC">
        <w:rPr>
          <w:sz w:val="22"/>
          <w:szCs w:val="22"/>
          <w:lang w:val="fr-CA"/>
        </w:rPr>
        <w:t xml:space="preserve"> élis</w:t>
      </w:r>
      <w:r>
        <w:rPr>
          <w:sz w:val="22"/>
          <w:szCs w:val="22"/>
          <w:lang w:val="fr-CA"/>
        </w:rPr>
        <w:t>e</w:t>
      </w:r>
      <w:r w:rsidRPr="00217EFC">
        <w:rPr>
          <w:sz w:val="22"/>
          <w:szCs w:val="22"/>
          <w:lang w:val="fr-CA"/>
        </w:rPr>
        <w:t>nt leur commandant, leurs officiers, et ainsi que les personnes qui doivent remplir certains postes administratifs à l’unité, en tant que membre</w:t>
      </w:r>
      <w:r>
        <w:rPr>
          <w:sz w:val="22"/>
          <w:szCs w:val="22"/>
          <w:lang w:val="fr-CA"/>
        </w:rPr>
        <w:t>s</w:t>
      </w:r>
      <w:r w:rsidRPr="00217EFC">
        <w:rPr>
          <w:sz w:val="22"/>
          <w:szCs w:val="22"/>
          <w:lang w:val="fr-CA"/>
        </w:rPr>
        <w:t xml:space="preserve"> civil</w:t>
      </w:r>
      <w:r>
        <w:rPr>
          <w:sz w:val="22"/>
          <w:szCs w:val="22"/>
          <w:lang w:val="fr-CA"/>
        </w:rPr>
        <w:t>s</w:t>
      </w:r>
      <w:r w:rsidRPr="00217EFC">
        <w:rPr>
          <w:sz w:val="22"/>
          <w:szCs w:val="22"/>
          <w:lang w:val="fr-CA"/>
        </w:rPr>
        <w:t xml:space="preserve">. De plus, l’uniforme de parade est la seule pièce d’équipement qui est fournie par l’État </w:t>
      </w:r>
      <w:r>
        <w:rPr>
          <w:sz w:val="22"/>
          <w:szCs w:val="22"/>
          <w:lang w:val="fr-CA"/>
        </w:rPr>
        <w:t xml:space="preserve">pour les membres de la Garde Nationale </w:t>
      </w:r>
      <w:r w:rsidRPr="00217EFC">
        <w:rPr>
          <w:sz w:val="22"/>
          <w:szCs w:val="22"/>
          <w:lang w:val="fr-CA"/>
        </w:rPr>
        <w:t>et les membres honoraires de la garde assument les frais pour les autres articles vestimentaires. À cet effet, le Club Joliet de Manchester aide grandement la Garde Lafayette de Manchester en finançant l’achat d’équipement nécessaire pour ses membres</w:t>
      </w:r>
      <w:r w:rsidRPr="00217EFC">
        <w:rPr>
          <w:rStyle w:val="FootnoteReference"/>
          <w:sz w:val="22"/>
          <w:szCs w:val="22"/>
          <w:lang w:val="fr-CA"/>
        </w:rPr>
        <w:footnoteReference w:id="93"/>
      </w:r>
      <w:r w:rsidRPr="00217EFC">
        <w:rPr>
          <w:sz w:val="22"/>
          <w:szCs w:val="22"/>
          <w:lang w:val="fr-CA"/>
        </w:rPr>
        <w:t>.</w:t>
      </w:r>
      <w:r>
        <w:rPr>
          <w:sz w:val="22"/>
          <w:szCs w:val="22"/>
          <w:lang w:val="fr-CA"/>
        </w:rPr>
        <w:t xml:space="preserve"> </w:t>
      </w:r>
      <w:r w:rsidRPr="00217EFC">
        <w:rPr>
          <w:sz w:val="22"/>
          <w:szCs w:val="22"/>
          <w:lang w:val="fr-CA"/>
        </w:rPr>
        <w:t>Quant à la Garde Lafayette, elle est fondée</w:t>
      </w:r>
      <w:r>
        <w:rPr>
          <w:sz w:val="22"/>
          <w:szCs w:val="22"/>
          <w:lang w:val="fr-CA"/>
        </w:rPr>
        <w:t xml:space="preserve"> le 13 juillet 1913</w:t>
      </w:r>
      <w:r w:rsidRPr="00217EFC">
        <w:rPr>
          <w:sz w:val="22"/>
          <w:szCs w:val="22"/>
          <w:lang w:val="fr-CA"/>
        </w:rPr>
        <w:t>. À l’origine, en 1887</w:t>
      </w:r>
      <w:r>
        <w:rPr>
          <w:sz w:val="22"/>
          <w:szCs w:val="22"/>
          <w:lang w:val="fr-CA"/>
        </w:rPr>
        <w:t>, elle p</w:t>
      </w:r>
      <w:r w:rsidRPr="00217EFC">
        <w:rPr>
          <w:sz w:val="22"/>
          <w:szCs w:val="22"/>
          <w:lang w:val="fr-CA"/>
        </w:rPr>
        <w:t>ortait l’appellation Compagnie H du 1</w:t>
      </w:r>
      <w:r w:rsidRPr="00217EFC">
        <w:rPr>
          <w:sz w:val="22"/>
          <w:szCs w:val="22"/>
          <w:vertAlign w:val="superscript"/>
          <w:lang w:val="fr-CA"/>
        </w:rPr>
        <w:t>er</w:t>
      </w:r>
      <w:r w:rsidRPr="00217EFC">
        <w:rPr>
          <w:sz w:val="22"/>
          <w:szCs w:val="22"/>
          <w:lang w:val="fr-CA"/>
        </w:rPr>
        <w:t xml:space="preserve"> Régiment de la Garde Nationale du New Hampshire. Ensuite, le nom de la </w:t>
      </w:r>
      <w:r>
        <w:rPr>
          <w:sz w:val="22"/>
          <w:szCs w:val="22"/>
          <w:lang w:val="fr-CA"/>
        </w:rPr>
        <w:t xml:space="preserve">compagnie </w:t>
      </w:r>
      <w:r w:rsidRPr="00217EFC">
        <w:rPr>
          <w:sz w:val="22"/>
          <w:szCs w:val="22"/>
          <w:lang w:val="fr-CA"/>
        </w:rPr>
        <w:t>est changé en 1916 pour celui de Compagnie A</w:t>
      </w:r>
      <w:r w:rsidRPr="00217EFC">
        <w:rPr>
          <w:rStyle w:val="FootnoteReference"/>
          <w:sz w:val="22"/>
          <w:szCs w:val="22"/>
          <w:lang w:val="fr-CA"/>
        </w:rPr>
        <w:footnoteReference w:id="94"/>
      </w:r>
      <w:r w:rsidRPr="00217EFC">
        <w:rPr>
          <w:sz w:val="22"/>
          <w:szCs w:val="22"/>
          <w:lang w:val="fr-CA"/>
        </w:rPr>
        <w:t xml:space="preserve">. </w:t>
      </w:r>
      <w:r>
        <w:rPr>
          <w:sz w:val="22"/>
          <w:szCs w:val="22"/>
          <w:lang w:val="fr-CA"/>
        </w:rPr>
        <w:t>En fait, l</w:t>
      </w:r>
      <w:r w:rsidRPr="00217EFC">
        <w:rPr>
          <w:sz w:val="22"/>
          <w:szCs w:val="22"/>
          <w:lang w:val="fr-CA"/>
        </w:rPr>
        <w:t>es membres de la Garde Lafayette sont tous Franco-Américains et ses membres paradent lors de cérémonies religieuses et de commémorations nationales. De plus, les ga</w:t>
      </w:r>
      <w:r>
        <w:rPr>
          <w:sz w:val="22"/>
          <w:szCs w:val="22"/>
          <w:lang w:val="fr-CA"/>
        </w:rPr>
        <w:t>r</w:t>
      </w:r>
      <w:r w:rsidRPr="00217EFC">
        <w:rPr>
          <w:sz w:val="22"/>
          <w:szCs w:val="22"/>
          <w:lang w:val="fr-CA"/>
        </w:rPr>
        <w:t xml:space="preserve">des et la brigade font toujours partie des services protocolaires </w:t>
      </w:r>
      <w:r>
        <w:rPr>
          <w:sz w:val="22"/>
          <w:szCs w:val="22"/>
          <w:lang w:val="fr-CA"/>
        </w:rPr>
        <w:t xml:space="preserve">soit </w:t>
      </w:r>
      <w:r w:rsidRPr="00217EFC">
        <w:rPr>
          <w:sz w:val="22"/>
          <w:szCs w:val="22"/>
          <w:lang w:val="fr-CA"/>
        </w:rPr>
        <w:t>en fournissant la garde d’honneur pour certains événements</w:t>
      </w:r>
      <w:r>
        <w:rPr>
          <w:sz w:val="22"/>
          <w:szCs w:val="22"/>
          <w:lang w:val="fr-CA"/>
        </w:rPr>
        <w:t>,</w:t>
      </w:r>
      <w:r w:rsidRPr="00217EFC">
        <w:rPr>
          <w:sz w:val="22"/>
          <w:szCs w:val="22"/>
          <w:lang w:val="fr-CA"/>
        </w:rPr>
        <w:t xml:space="preserve"> </w:t>
      </w:r>
      <w:r>
        <w:rPr>
          <w:sz w:val="22"/>
          <w:szCs w:val="22"/>
          <w:lang w:val="fr-CA"/>
        </w:rPr>
        <w:t>soit e</w:t>
      </w:r>
      <w:r w:rsidRPr="00217EFC">
        <w:rPr>
          <w:sz w:val="22"/>
          <w:szCs w:val="22"/>
          <w:lang w:val="fr-CA"/>
        </w:rPr>
        <w:t>n faisant parti</w:t>
      </w:r>
      <w:r>
        <w:rPr>
          <w:sz w:val="22"/>
          <w:szCs w:val="22"/>
          <w:lang w:val="fr-CA"/>
        </w:rPr>
        <w:t>e</w:t>
      </w:r>
      <w:r w:rsidRPr="00217EFC">
        <w:rPr>
          <w:sz w:val="22"/>
          <w:szCs w:val="22"/>
          <w:lang w:val="fr-CA"/>
        </w:rPr>
        <w:t xml:space="preserve"> des démonstrations de patriotisme</w:t>
      </w:r>
      <w:r>
        <w:rPr>
          <w:sz w:val="22"/>
          <w:szCs w:val="22"/>
          <w:lang w:val="fr-CA"/>
        </w:rPr>
        <w:t>, c</w:t>
      </w:r>
      <w:r w:rsidRPr="00217EFC">
        <w:rPr>
          <w:sz w:val="22"/>
          <w:szCs w:val="22"/>
          <w:lang w:val="fr-CA"/>
        </w:rPr>
        <w:t>omme lors des cérémonies d’ouverture des congrès de l’Union Saint-Jean-Baptiste</w:t>
      </w:r>
      <w:r w:rsidRPr="00217EFC">
        <w:rPr>
          <w:rStyle w:val="FootnoteReference"/>
          <w:sz w:val="22"/>
          <w:szCs w:val="22"/>
          <w:lang w:val="fr-CA"/>
        </w:rPr>
        <w:footnoteReference w:id="95"/>
      </w:r>
      <w:r w:rsidRPr="00217EFC">
        <w:rPr>
          <w:sz w:val="22"/>
          <w:szCs w:val="22"/>
          <w:lang w:val="fr-CA"/>
        </w:rPr>
        <w:t xml:space="preserve"> </w:t>
      </w:r>
      <w:r>
        <w:rPr>
          <w:sz w:val="22"/>
          <w:szCs w:val="22"/>
          <w:lang w:val="fr-CA"/>
        </w:rPr>
        <w:t xml:space="preserve">et </w:t>
      </w:r>
      <w:r w:rsidRPr="00217EFC">
        <w:rPr>
          <w:sz w:val="22"/>
          <w:szCs w:val="22"/>
          <w:lang w:val="fr-CA"/>
        </w:rPr>
        <w:t xml:space="preserve">de Union </w:t>
      </w:r>
      <w:r>
        <w:rPr>
          <w:sz w:val="22"/>
          <w:szCs w:val="22"/>
          <w:lang w:val="fr-CA"/>
        </w:rPr>
        <w:t>g</w:t>
      </w:r>
      <w:r w:rsidRPr="00217EFC">
        <w:rPr>
          <w:sz w:val="22"/>
          <w:szCs w:val="22"/>
          <w:lang w:val="fr-CA"/>
        </w:rPr>
        <w:t xml:space="preserve">énérale </w:t>
      </w:r>
      <w:r>
        <w:rPr>
          <w:sz w:val="22"/>
          <w:szCs w:val="22"/>
          <w:lang w:val="fr-CA"/>
        </w:rPr>
        <w:t>f</w:t>
      </w:r>
      <w:r w:rsidRPr="00217EFC">
        <w:rPr>
          <w:sz w:val="22"/>
          <w:szCs w:val="22"/>
          <w:lang w:val="fr-CA"/>
        </w:rPr>
        <w:t>ranco-</w:t>
      </w:r>
      <w:r>
        <w:rPr>
          <w:sz w:val="22"/>
          <w:szCs w:val="22"/>
          <w:lang w:val="fr-CA"/>
        </w:rPr>
        <w:t>a</w:t>
      </w:r>
      <w:r w:rsidRPr="00217EFC">
        <w:rPr>
          <w:sz w:val="22"/>
          <w:szCs w:val="22"/>
          <w:lang w:val="fr-CA"/>
        </w:rPr>
        <w:t>méricaine</w:t>
      </w:r>
      <w:r w:rsidRPr="00217EFC">
        <w:rPr>
          <w:rStyle w:val="FootnoteReference"/>
          <w:sz w:val="22"/>
          <w:szCs w:val="22"/>
          <w:lang w:val="fr-CA"/>
        </w:rPr>
        <w:footnoteReference w:id="96"/>
      </w:r>
      <w:r w:rsidRPr="00217EFC">
        <w:rPr>
          <w:sz w:val="22"/>
          <w:szCs w:val="22"/>
          <w:lang w:val="fr-CA"/>
        </w:rPr>
        <w:t>. L’organisation est grandement reconnue pour son haut degré de participation et d’engagement de ses membres. Par exemple, le sergent William Jutras</w:t>
      </w:r>
      <w:r w:rsidRPr="00217EFC">
        <w:rPr>
          <w:rStyle w:val="FootnoteReference"/>
          <w:sz w:val="22"/>
          <w:szCs w:val="22"/>
          <w:lang w:val="fr-CA"/>
        </w:rPr>
        <w:footnoteReference w:id="97"/>
      </w:r>
      <w:r w:rsidRPr="00217EFC">
        <w:rPr>
          <w:sz w:val="22"/>
          <w:szCs w:val="22"/>
          <w:lang w:val="fr-CA"/>
        </w:rPr>
        <w:t xml:space="preserve"> qui deviendra premier lieutenant, est l’un de ses membres qui est grandement apprécié par le groupe. Il mourra de ses blessures au combat, en Europe, le 26 septembre 1918</w:t>
      </w:r>
      <w:r w:rsidRPr="00217EFC">
        <w:rPr>
          <w:rStyle w:val="FootnoteReference"/>
          <w:sz w:val="22"/>
          <w:szCs w:val="22"/>
          <w:lang w:val="fr-CA"/>
        </w:rPr>
        <w:footnoteReference w:id="98"/>
      </w:r>
      <w:r w:rsidRPr="00217EFC">
        <w:rPr>
          <w:sz w:val="22"/>
          <w:szCs w:val="22"/>
          <w:lang w:val="fr-CA"/>
        </w:rPr>
        <w:t>.</w:t>
      </w:r>
    </w:p>
    <w:p w14:paraId="6243F8FC" w14:textId="77777777" w:rsidR="000264D6" w:rsidRPr="00217EFC" w:rsidRDefault="000264D6" w:rsidP="002B5319">
      <w:pPr>
        <w:spacing w:before="100" w:beforeAutospacing="1" w:after="100" w:afterAutospacing="1"/>
        <w:ind w:firstLine="720"/>
        <w:jc w:val="both"/>
        <w:rPr>
          <w:sz w:val="22"/>
          <w:szCs w:val="22"/>
          <w:lang w:val="fr-CA"/>
        </w:rPr>
      </w:pPr>
      <w:r>
        <w:rPr>
          <w:sz w:val="22"/>
          <w:szCs w:val="22"/>
          <w:lang w:val="fr-CA"/>
        </w:rPr>
        <w:t>C</w:t>
      </w:r>
      <w:r w:rsidRPr="006347FF">
        <w:rPr>
          <w:sz w:val="22"/>
          <w:szCs w:val="22"/>
          <w:lang w:val="fr-CA"/>
        </w:rPr>
        <w:t>haque an</w:t>
      </w:r>
      <w:r>
        <w:rPr>
          <w:sz w:val="22"/>
          <w:szCs w:val="22"/>
          <w:lang w:val="fr-CA"/>
        </w:rPr>
        <w:t>née</w:t>
      </w:r>
      <w:r w:rsidRPr="006347FF">
        <w:rPr>
          <w:sz w:val="22"/>
          <w:szCs w:val="22"/>
          <w:lang w:val="fr-CA"/>
        </w:rPr>
        <w:t>, le 3</w:t>
      </w:r>
      <w:r w:rsidRPr="006347FF">
        <w:rPr>
          <w:sz w:val="22"/>
          <w:szCs w:val="22"/>
          <w:vertAlign w:val="superscript"/>
          <w:lang w:val="fr-CA"/>
        </w:rPr>
        <w:t>e</w:t>
      </w:r>
      <w:r w:rsidRPr="006347FF">
        <w:rPr>
          <w:sz w:val="22"/>
          <w:szCs w:val="22"/>
          <w:lang w:val="fr-CA"/>
        </w:rPr>
        <w:t xml:space="preserve"> Régiment et l</w:t>
      </w:r>
      <w:r>
        <w:rPr>
          <w:sz w:val="22"/>
          <w:szCs w:val="22"/>
          <w:lang w:val="fr-CA"/>
        </w:rPr>
        <w:t xml:space="preserve">es </w:t>
      </w:r>
      <w:r w:rsidRPr="006347FF">
        <w:rPr>
          <w:sz w:val="22"/>
          <w:szCs w:val="22"/>
          <w:lang w:val="fr-CA"/>
        </w:rPr>
        <w:t>Garde</w:t>
      </w:r>
      <w:r>
        <w:rPr>
          <w:sz w:val="22"/>
          <w:szCs w:val="22"/>
          <w:lang w:val="fr-CA"/>
        </w:rPr>
        <w:t xml:space="preserve">s de Manchester </w:t>
      </w:r>
      <w:r w:rsidRPr="006347FF">
        <w:rPr>
          <w:sz w:val="22"/>
          <w:szCs w:val="22"/>
          <w:lang w:val="fr-CA"/>
        </w:rPr>
        <w:t>choisi</w:t>
      </w:r>
      <w:r>
        <w:rPr>
          <w:sz w:val="22"/>
          <w:szCs w:val="22"/>
          <w:lang w:val="fr-CA"/>
        </w:rPr>
        <w:t xml:space="preserve">ssent leurs </w:t>
      </w:r>
      <w:r w:rsidRPr="006347FF">
        <w:rPr>
          <w:sz w:val="22"/>
          <w:szCs w:val="22"/>
          <w:lang w:val="fr-CA"/>
        </w:rPr>
        <w:t xml:space="preserve">officiers civils en janvier pour ensuite participer au congrès de la </w:t>
      </w:r>
      <w:r w:rsidR="00DB4A85">
        <w:rPr>
          <w:sz w:val="22"/>
          <w:szCs w:val="22"/>
          <w:lang w:val="fr-CA"/>
        </w:rPr>
        <w:t>b</w:t>
      </w:r>
      <w:r w:rsidRPr="006347FF">
        <w:rPr>
          <w:sz w:val="22"/>
          <w:szCs w:val="22"/>
          <w:lang w:val="fr-CA"/>
        </w:rPr>
        <w:t>rigade en février</w:t>
      </w:r>
      <w:r w:rsidRPr="006347FF">
        <w:rPr>
          <w:rStyle w:val="FootnoteReference"/>
          <w:sz w:val="22"/>
          <w:szCs w:val="22"/>
          <w:lang w:val="fr-CA"/>
        </w:rPr>
        <w:footnoteReference w:id="99"/>
      </w:r>
      <w:r w:rsidRPr="006347FF">
        <w:rPr>
          <w:sz w:val="22"/>
          <w:szCs w:val="22"/>
          <w:lang w:val="fr-CA"/>
        </w:rPr>
        <w:t>.</w:t>
      </w:r>
      <w:r w:rsidRPr="00217EFC">
        <w:rPr>
          <w:sz w:val="22"/>
          <w:szCs w:val="22"/>
          <w:lang w:val="fr-CA"/>
        </w:rPr>
        <w:t xml:space="preserve"> Pendant ce congrès, les officiers militaires et civils </w:t>
      </w:r>
      <w:r>
        <w:rPr>
          <w:sz w:val="22"/>
          <w:szCs w:val="22"/>
          <w:lang w:val="fr-CA"/>
        </w:rPr>
        <w:t>s</w:t>
      </w:r>
      <w:r w:rsidRPr="00217EFC">
        <w:rPr>
          <w:sz w:val="22"/>
          <w:szCs w:val="22"/>
          <w:lang w:val="fr-CA"/>
        </w:rPr>
        <w:t>ont choisi</w:t>
      </w:r>
      <w:r>
        <w:rPr>
          <w:sz w:val="22"/>
          <w:szCs w:val="22"/>
          <w:lang w:val="fr-CA"/>
        </w:rPr>
        <w:t xml:space="preserve">s pour la </w:t>
      </w:r>
      <w:r w:rsidR="008509CD">
        <w:rPr>
          <w:sz w:val="22"/>
          <w:szCs w:val="22"/>
          <w:lang w:val="fr-CA"/>
        </w:rPr>
        <w:t>b</w:t>
      </w:r>
      <w:r>
        <w:rPr>
          <w:sz w:val="22"/>
          <w:szCs w:val="22"/>
          <w:lang w:val="fr-CA"/>
        </w:rPr>
        <w:t>rigade</w:t>
      </w:r>
      <w:r w:rsidRPr="00217EFC">
        <w:rPr>
          <w:sz w:val="22"/>
          <w:szCs w:val="22"/>
          <w:lang w:val="fr-CA"/>
        </w:rPr>
        <w:t xml:space="preserve">. </w:t>
      </w:r>
      <w:r>
        <w:rPr>
          <w:sz w:val="22"/>
          <w:szCs w:val="22"/>
          <w:lang w:val="fr-CA"/>
        </w:rPr>
        <w:t xml:space="preserve">En 1915, </w:t>
      </w:r>
      <w:r w:rsidRPr="00217EFC">
        <w:rPr>
          <w:sz w:val="22"/>
          <w:szCs w:val="22"/>
          <w:lang w:val="fr-CA"/>
        </w:rPr>
        <w:t xml:space="preserve">Rodolphe Boucher, de Manchester, est </w:t>
      </w:r>
      <w:r>
        <w:rPr>
          <w:sz w:val="22"/>
          <w:szCs w:val="22"/>
          <w:lang w:val="fr-CA"/>
        </w:rPr>
        <w:t>élu c</w:t>
      </w:r>
      <w:r w:rsidRPr="00217EFC">
        <w:rPr>
          <w:sz w:val="22"/>
          <w:szCs w:val="22"/>
          <w:lang w:val="fr-CA"/>
        </w:rPr>
        <w:t>hef de</w:t>
      </w:r>
      <w:r>
        <w:rPr>
          <w:sz w:val="22"/>
          <w:szCs w:val="22"/>
          <w:lang w:val="fr-CA"/>
        </w:rPr>
        <w:t xml:space="preserve"> b</w:t>
      </w:r>
      <w:r w:rsidRPr="00217EFC">
        <w:rPr>
          <w:sz w:val="22"/>
          <w:szCs w:val="22"/>
          <w:lang w:val="fr-CA"/>
        </w:rPr>
        <w:t>rigade</w:t>
      </w:r>
      <w:r w:rsidRPr="00217EFC">
        <w:rPr>
          <w:rStyle w:val="FootnoteReference"/>
          <w:sz w:val="22"/>
          <w:szCs w:val="22"/>
          <w:lang w:val="fr-CA"/>
        </w:rPr>
        <w:footnoteReference w:id="100"/>
      </w:r>
      <w:r w:rsidRPr="00217EFC">
        <w:rPr>
          <w:sz w:val="22"/>
          <w:szCs w:val="22"/>
          <w:lang w:val="fr-CA"/>
        </w:rPr>
        <w:t xml:space="preserve">. De plus, le Gouverneur </w:t>
      </w:r>
      <w:r>
        <w:rPr>
          <w:sz w:val="22"/>
          <w:szCs w:val="22"/>
          <w:lang w:val="fr-CA"/>
        </w:rPr>
        <w:t xml:space="preserve">de l’État est toujours invité </w:t>
      </w:r>
      <w:r w:rsidRPr="00217EFC">
        <w:rPr>
          <w:sz w:val="22"/>
          <w:szCs w:val="22"/>
          <w:lang w:val="fr-CA"/>
        </w:rPr>
        <w:t xml:space="preserve">à prononcer un discours devant les membres de la </w:t>
      </w:r>
      <w:r>
        <w:rPr>
          <w:sz w:val="22"/>
          <w:szCs w:val="22"/>
          <w:lang w:val="fr-CA"/>
        </w:rPr>
        <w:t>b</w:t>
      </w:r>
      <w:r w:rsidRPr="00217EFC">
        <w:rPr>
          <w:sz w:val="22"/>
          <w:szCs w:val="22"/>
          <w:lang w:val="fr-CA"/>
        </w:rPr>
        <w:t>rigade</w:t>
      </w:r>
      <w:r>
        <w:rPr>
          <w:sz w:val="22"/>
          <w:szCs w:val="22"/>
          <w:lang w:val="fr-CA"/>
        </w:rPr>
        <w:t>. En général</w:t>
      </w:r>
      <w:r w:rsidRPr="00217EFC">
        <w:rPr>
          <w:sz w:val="22"/>
          <w:szCs w:val="22"/>
          <w:lang w:val="fr-CA"/>
        </w:rPr>
        <w:t>, il</w:t>
      </w:r>
      <w:r>
        <w:rPr>
          <w:sz w:val="22"/>
          <w:szCs w:val="22"/>
          <w:lang w:val="fr-CA"/>
        </w:rPr>
        <w:t>s</w:t>
      </w:r>
      <w:r w:rsidRPr="00217EFC">
        <w:rPr>
          <w:sz w:val="22"/>
          <w:szCs w:val="22"/>
          <w:lang w:val="fr-CA"/>
        </w:rPr>
        <w:t xml:space="preserve"> vant</w:t>
      </w:r>
      <w:r>
        <w:rPr>
          <w:sz w:val="22"/>
          <w:szCs w:val="22"/>
          <w:lang w:val="fr-CA"/>
        </w:rPr>
        <w:t>ent</w:t>
      </w:r>
      <w:r w:rsidRPr="00217EFC">
        <w:rPr>
          <w:sz w:val="22"/>
          <w:szCs w:val="22"/>
          <w:lang w:val="fr-CA"/>
        </w:rPr>
        <w:t xml:space="preserve"> </w:t>
      </w:r>
      <w:r>
        <w:rPr>
          <w:sz w:val="22"/>
          <w:szCs w:val="22"/>
          <w:lang w:val="fr-CA"/>
        </w:rPr>
        <w:t xml:space="preserve">tous </w:t>
      </w:r>
      <w:r w:rsidRPr="00217EFC">
        <w:rPr>
          <w:sz w:val="22"/>
          <w:szCs w:val="22"/>
          <w:lang w:val="fr-CA"/>
        </w:rPr>
        <w:t xml:space="preserve">le patriotisme et la loyauté des Franco-Américains. De plus, </w:t>
      </w:r>
      <w:r>
        <w:rPr>
          <w:sz w:val="22"/>
          <w:szCs w:val="22"/>
          <w:lang w:val="fr-CA"/>
        </w:rPr>
        <w:t xml:space="preserve">en 1915, le Gouverneur Walsh du Massachusetts </w:t>
      </w:r>
      <w:r>
        <w:rPr>
          <w:sz w:val="22"/>
          <w:szCs w:val="22"/>
          <w:lang w:val="fr-CA"/>
        </w:rPr>
        <w:lastRenderedPageBreak/>
        <w:t xml:space="preserve">mentionne, dans son discours, qu’il </w:t>
      </w:r>
      <w:r w:rsidRPr="00217EFC">
        <w:rPr>
          <w:sz w:val="22"/>
          <w:szCs w:val="22"/>
          <w:lang w:val="fr-CA"/>
        </w:rPr>
        <w:t>admir</w:t>
      </w:r>
      <w:r>
        <w:rPr>
          <w:sz w:val="22"/>
          <w:szCs w:val="22"/>
          <w:lang w:val="fr-CA"/>
        </w:rPr>
        <w:t xml:space="preserve">e </w:t>
      </w:r>
      <w:r w:rsidRPr="00217EFC">
        <w:rPr>
          <w:sz w:val="22"/>
          <w:szCs w:val="22"/>
          <w:lang w:val="fr-CA"/>
        </w:rPr>
        <w:t xml:space="preserve">l’impact social que la </w:t>
      </w:r>
      <w:r>
        <w:rPr>
          <w:sz w:val="22"/>
          <w:szCs w:val="22"/>
          <w:lang w:val="fr-CA"/>
        </w:rPr>
        <w:t>b</w:t>
      </w:r>
      <w:r w:rsidRPr="00217EFC">
        <w:rPr>
          <w:sz w:val="22"/>
          <w:szCs w:val="22"/>
          <w:lang w:val="fr-CA"/>
        </w:rPr>
        <w:t>rigade exerce pour la région et pour son dévouement religieux</w:t>
      </w:r>
      <w:r w:rsidRPr="00217EFC">
        <w:rPr>
          <w:rStyle w:val="FootnoteReference"/>
          <w:sz w:val="22"/>
          <w:szCs w:val="22"/>
          <w:lang w:val="fr-CA"/>
        </w:rPr>
        <w:footnoteReference w:id="101"/>
      </w:r>
      <w:r w:rsidRPr="00217EFC">
        <w:rPr>
          <w:sz w:val="22"/>
          <w:szCs w:val="22"/>
          <w:lang w:val="fr-CA"/>
        </w:rPr>
        <w:t>.</w:t>
      </w:r>
    </w:p>
    <w:p w14:paraId="64B3C0A0" w14:textId="77777777" w:rsidR="000264D6" w:rsidRPr="002E023A" w:rsidRDefault="000264D6" w:rsidP="003C57D5">
      <w:pPr>
        <w:spacing w:before="100" w:beforeAutospacing="1" w:after="100" w:afterAutospacing="1" w:line="480" w:lineRule="auto"/>
        <w:jc w:val="both"/>
        <w:rPr>
          <w:rFonts w:eastAsia="Calibri"/>
          <w:b/>
          <w:bCs/>
          <w:sz w:val="22"/>
          <w:szCs w:val="22"/>
          <w:lang w:val="fr-CA" w:eastAsia="en-US"/>
        </w:rPr>
      </w:pPr>
      <w:r w:rsidRPr="002E023A">
        <w:rPr>
          <w:b/>
          <w:bCs/>
          <w:sz w:val="22"/>
          <w:szCs w:val="22"/>
          <w:lang w:val="fr-CA"/>
        </w:rPr>
        <w:t xml:space="preserve">Journal </w:t>
      </w:r>
      <w:r w:rsidRPr="002E023A">
        <w:rPr>
          <w:b/>
          <w:bCs/>
          <w:i/>
          <w:iCs/>
          <w:sz w:val="22"/>
          <w:szCs w:val="22"/>
          <w:lang w:val="fr-CA"/>
        </w:rPr>
        <w:t>L’Avenir National</w:t>
      </w:r>
    </w:p>
    <w:p w14:paraId="5EF1953C"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Le principal journal francophone de la ville de Manchester est </w:t>
      </w:r>
      <w:r w:rsidRPr="00217EFC">
        <w:rPr>
          <w:rFonts w:eastAsia="Calibri"/>
          <w:i/>
          <w:iCs/>
          <w:sz w:val="22"/>
          <w:szCs w:val="22"/>
          <w:lang w:val="fr-CA" w:eastAsia="en-US"/>
        </w:rPr>
        <w:t>L’Avenir National</w:t>
      </w:r>
      <w:r>
        <w:rPr>
          <w:rFonts w:eastAsia="Calibri"/>
          <w:sz w:val="22"/>
          <w:szCs w:val="22"/>
          <w:lang w:val="fr-CA" w:eastAsia="en-US"/>
        </w:rPr>
        <w:t xml:space="preserve">. Il </w:t>
      </w:r>
      <w:r w:rsidRPr="00217EFC">
        <w:rPr>
          <w:rFonts w:eastAsia="Calibri"/>
          <w:sz w:val="22"/>
          <w:szCs w:val="22"/>
          <w:lang w:val="fr-CA" w:eastAsia="en-US"/>
        </w:rPr>
        <w:t>est fondé</w:t>
      </w:r>
      <w:r>
        <w:rPr>
          <w:rFonts w:eastAsia="Calibri"/>
          <w:sz w:val="22"/>
          <w:szCs w:val="22"/>
          <w:lang w:val="fr-CA" w:eastAsia="en-US"/>
        </w:rPr>
        <w:t>,</w:t>
      </w:r>
      <w:r w:rsidRPr="00217EFC">
        <w:rPr>
          <w:rFonts w:eastAsia="Calibri"/>
          <w:sz w:val="22"/>
          <w:szCs w:val="22"/>
          <w:lang w:val="fr-CA" w:eastAsia="en-US"/>
        </w:rPr>
        <w:t xml:space="preserve"> en 1894</w:t>
      </w:r>
      <w:r>
        <w:rPr>
          <w:rFonts w:eastAsia="Calibri"/>
          <w:sz w:val="22"/>
          <w:szCs w:val="22"/>
          <w:lang w:val="fr-CA" w:eastAsia="en-US"/>
        </w:rPr>
        <w:t>,</w:t>
      </w:r>
      <w:r w:rsidRPr="00217EFC">
        <w:rPr>
          <w:rFonts w:eastAsia="Calibri"/>
          <w:sz w:val="22"/>
          <w:szCs w:val="22"/>
          <w:lang w:val="fr-CA" w:eastAsia="en-US"/>
        </w:rPr>
        <w:t xml:space="preserve"> par J-</w:t>
      </w:r>
      <w:r w:rsidR="002B1534">
        <w:rPr>
          <w:rFonts w:eastAsia="Calibri"/>
          <w:sz w:val="22"/>
          <w:szCs w:val="22"/>
          <w:lang w:val="fr-CA" w:eastAsia="en-US"/>
        </w:rPr>
        <w:t>É</w:t>
      </w:r>
      <w:r w:rsidRPr="00217EFC">
        <w:rPr>
          <w:rFonts w:eastAsia="Calibri"/>
          <w:sz w:val="22"/>
          <w:szCs w:val="22"/>
          <w:lang w:val="fr-CA" w:eastAsia="en-US"/>
        </w:rPr>
        <w:t xml:space="preserve">douard Bernier et </w:t>
      </w:r>
      <w:r>
        <w:rPr>
          <w:rFonts w:eastAsia="Calibri"/>
          <w:sz w:val="22"/>
          <w:szCs w:val="22"/>
          <w:lang w:val="fr-CA" w:eastAsia="en-US"/>
        </w:rPr>
        <w:t xml:space="preserve">ce dernier </w:t>
      </w:r>
      <w:r w:rsidRPr="00217EFC">
        <w:rPr>
          <w:rFonts w:eastAsia="Calibri"/>
          <w:sz w:val="22"/>
          <w:szCs w:val="22"/>
          <w:lang w:val="fr-CA" w:eastAsia="en-US"/>
        </w:rPr>
        <w:t>demeure propriétaire du journal jusqu’en 1925</w:t>
      </w:r>
      <w:r>
        <w:rPr>
          <w:rFonts w:eastAsia="Calibri"/>
          <w:sz w:val="22"/>
          <w:szCs w:val="22"/>
          <w:lang w:val="fr-CA" w:eastAsia="en-US"/>
        </w:rPr>
        <w:t>. I</w:t>
      </w:r>
      <w:r w:rsidRPr="00217EFC">
        <w:rPr>
          <w:rFonts w:eastAsia="Calibri"/>
          <w:sz w:val="22"/>
          <w:szCs w:val="22"/>
          <w:lang w:val="fr-CA" w:eastAsia="en-US"/>
        </w:rPr>
        <w:t>l cède la direction du journal à Ernest-A. Bournival qui était l’agent de publicité du journal depuis 1902</w:t>
      </w:r>
      <w:r w:rsidRPr="00217EFC">
        <w:rPr>
          <w:rStyle w:val="FootnoteReference"/>
          <w:rFonts w:eastAsia="Calibri"/>
          <w:sz w:val="22"/>
          <w:szCs w:val="22"/>
          <w:lang w:val="fr-CA" w:eastAsia="en-US"/>
        </w:rPr>
        <w:footnoteReference w:id="102"/>
      </w:r>
      <w:r w:rsidRPr="00217EFC">
        <w:rPr>
          <w:rFonts w:eastAsia="Calibri"/>
          <w:sz w:val="22"/>
          <w:szCs w:val="22"/>
          <w:lang w:val="fr-CA" w:eastAsia="en-US"/>
        </w:rPr>
        <w:t>. Initialement publié trois fois par semaine</w:t>
      </w:r>
      <w:r>
        <w:rPr>
          <w:rFonts w:eastAsia="Calibri"/>
          <w:sz w:val="22"/>
          <w:szCs w:val="22"/>
          <w:lang w:val="fr-CA" w:eastAsia="en-US"/>
        </w:rPr>
        <w:t xml:space="preserve">, le journal devient ensuite </w:t>
      </w:r>
      <w:r w:rsidRPr="00217EFC">
        <w:rPr>
          <w:rFonts w:eastAsia="Calibri"/>
          <w:sz w:val="22"/>
          <w:szCs w:val="22"/>
          <w:lang w:val="fr-CA" w:eastAsia="en-US"/>
        </w:rPr>
        <w:t>un quotidien vers 1901</w:t>
      </w:r>
      <w:r w:rsidRPr="00217EFC">
        <w:rPr>
          <w:rStyle w:val="FootnoteReference"/>
          <w:rFonts w:eastAsia="Calibri"/>
          <w:sz w:val="22"/>
          <w:szCs w:val="22"/>
          <w:lang w:val="fr-CA" w:eastAsia="en-US"/>
        </w:rPr>
        <w:footnoteReference w:id="103"/>
      </w:r>
      <w:r w:rsidRPr="00217EFC">
        <w:rPr>
          <w:rFonts w:eastAsia="Calibri"/>
          <w:sz w:val="22"/>
          <w:szCs w:val="22"/>
          <w:lang w:val="fr-CA" w:eastAsia="en-US"/>
        </w:rPr>
        <w:t>. Pendant la Première Guerre mondial</w:t>
      </w:r>
      <w:r>
        <w:rPr>
          <w:rFonts w:eastAsia="Calibri"/>
          <w:sz w:val="22"/>
          <w:szCs w:val="22"/>
          <w:lang w:val="fr-CA" w:eastAsia="en-US"/>
        </w:rPr>
        <w:t>e</w:t>
      </w:r>
      <w:r w:rsidR="002B1534">
        <w:rPr>
          <w:rFonts w:eastAsia="Calibri"/>
          <w:sz w:val="22"/>
          <w:szCs w:val="22"/>
          <w:lang w:val="fr-CA" w:eastAsia="en-US"/>
        </w:rPr>
        <w:t>,</w:t>
      </w:r>
      <w:r w:rsidRPr="00217EFC">
        <w:rPr>
          <w:rFonts w:eastAsia="Calibri"/>
          <w:sz w:val="22"/>
          <w:szCs w:val="22"/>
          <w:lang w:val="fr-CA" w:eastAsia="en-US"/>
        </w:rPr>
        <w:t xml:space="preserve"> </w:t>
      </w:r>
      <w:r w:rsidRPr="00217EFC">
        <w:rPr>
          <w:rFonts w:eastAsia="Calibri"/>
          <w:i/>
          <w:iCs/>
          <w:sz w:val="22"/>
          <w:szCs w:val="22"/>
          <w:lang w:val="fr-CA" w:eastAsia="en-US"/>
        </w:rPr>
        <w:t xml:space="preserve">L’Avenir National </w:t>
      </w:r>
      <w:r w:rsidRPr="00217EFC">
        <w:rPr>
          <w:rFonts w:eastAsia="Calibri"/>
          <w:sz w:val="22"/>
          <w:szCs w:val="22"/>
          <w:lang w:val="fr-CA" w:eastAsia="en-US"/>
        </w:rPr>
        <w:t xml:space="preserve">totalise dix à douze pages et couvre généralement cinq à six thèmes qui portent sur les nouvelles internationales et nationales, les informations locales et régionales, les sports, les activités saisonnières et les petites annonces. Selon, le guide des Franco-Américains de 1922, </w:t>
      </w:r>
      <w:r w:rsidRPr="00217EFC">
        <w:rPr>
          <w:rFonts w:eastAsia="Calibri"/>
          <w:i/>
          <w:iCs/>
          <w:sz w:val="22"/>
          <w:szCs w:val="22"/>
          <w:lang w:val="fr-CA" w:eastAsia="en-US"/>
        </w:rPr>
        <w:t xml:space="preserve">L’Avenir National </w:t>
      </w:r>
      <w:r w:rsidRPr="00217EFC">
        <w:rPr>
          <w:rFonts w:eastAsia="Calibri"/>
          <w:sz w:val="22"/>
          <w:szCs w:val="22"/>
          <w:lang w:val="fr-CA" w:eastAsia="en-US"/>
        </w:rPr>
        <w:t xml:space="preserve">serait le seul journal francophone </w:t>
      </w:r>
      <w:r>
        <w:rPr>
          <w:rFonts w:eastAsia="Calibri"/>
          <w:sz w:val="22"/>
          <w:szCs w:val="22"/>
          <w:lang w:val="fr-CA" w:eastAsia="en-US"/>
        </w:rPr>
        <w:t>s’approvisionnant à</w:t>
      </w:r>
      <w:r w:rsidRPr="00217EFC">
        <w:rPr>
          <w:rFonts w:eastAsia="Calibri"/>
          <w:sz w:val="22"/>
          <w:szCs w:val="22"/>
          <w:lang w:val="fr-CA" w:eastAsia="en-US"/>
        </w:rPr>
        <w:t xml:space="preserve"> deux agences de presses en Nouvelle-Angleterre</w:t>
      </w:r>
      <w:r>
        <w:rPr>
          <w:rFonts w:eastAsia="Calibri"/>
          <w:sz w:val="22"/>
          <w:szCs w:val="22"/>
          <w:lang w:val="fr-CA" w:eastAsia="en-US"/>
        </w:rPr>
        <w:t>,</w:t>
      </w:r>
      <w:r w:rsidRPr="00217EFC">
        <w:rPr>
          <w:rFonts w:eastAsia="Calibri"/>
          <w:sz w:val="22"/>
          <w:szCs w:val="22"/>
          <w:lang w:val="fr-CA" w:eastAsia="en-US"/>
        </w:rPr>
        <w:t xml:space="preserve"> soit l’</w:t>
      </w:r>
      <w:r w:rsidRPr="00217EFC">
        <w:rPr>
          <w:i/>
          <w:iCs/>
          <w:sz w:val="22"/>
          <w:szCs w:val="22"/>
          <w:lang w:val="fr-CA"/>
        </w:rPr>
        <w:t>International News Service</w:t>
      </w:r>
      <w:r w:rsidRPr="00217EFC">
        <w:rPr>
          <w:sz w:val="22"/>
          <w:szCs w:val="22"/>
          <w:lang w:val="fr-CA"/>
        </w:rPr>
        <w:t xml:space="preserve"> et sa rivale l’</w:t>
      </w:r>
      <w:r w:rsidRPr="00217EFC">
        <w:rPr>
          <w:i/>
          <w:iCs/>
          <w:sz w:val="22"/>
          <w:szCs w:val="22"/>
          <w:lang w:val="fr-CA"/>
        </w:rPr>
        <w:t>United Press Association</w:t>
      </w:r>
      <w:r w:rsidRPr="00217EFC">
        <w:rPr>
          <w:sz w:val="22"/>
          <w:szCs w:val="22"/>
          <w:vertAlign w:val="superscript"/>
          <w:lang w:val="fr-CA"/>
        </w:rPr>
        <w:footnoteReference w:id="104"/>
      </w:r>
      <w:r w:rsidRPr="00217EFC">
        <w:rPr>
          <w:sz w:val="22"/>
          <w:szCs w:val="22"/>
          <w:lang w:val="fr-CA"/>
        </w:rPr>
        <w:t>.</w:t>
      </w:r>
    </w:p>
    <w:p w14:paraId="74F71A33"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Pour tous les journaux de l’époque</w:t>
      </w:r>
      <w:r>
        <w:rPr>
          <w:rFonts w:eastAsia="Calibri"/>
          <w:sz w:val="22"/>
          <w:szCs w:val="22"/>
          <w:lang w:val="fr-CA" w:eastAsia="en-US"/>
        </w:rPr>
        <w:t>,</w:t>
      </w:r>
      <w:r w:rsidRPr="00217EFC">
        <w:rPr>
          <w:rFonts w:eastAsia="Calibri"/>
          <w:sz w:val="22"/>
          <w:szCs w:val="22"/>
          <w:lang w:val="fr-CA" w:eastAsia="en-US"/>
        </w:rPr>
        <w:t xml:space="preserve"> la publicité est prédominante par rapport au contenu du journal, car elle est impérative pour garantir la pérennité du journal. À cet effet, </w:t>
      </w:r>
      <w:r w:rsidRPr="00217EFC">
        <w:rPr>
          <w:rFonts w:eastAsia="Calibri"/>
          <w:i/>
          <w:iCs/>
          <w:sz w:val="22"/>
          <w:szCs w:val="22"/>
          <w:lang w:val="fr-CA" w:eastAsia="en-US"/>
        </w:rPr>
        <w:t>L’Avenir National</w:t>
      </w:r>
      <w:r w:rsidRPr="00217EFC">
        <w:rPr>
          <w:rFonts w:eastAsia="Calibri"/>
          <w:sz w:val="22"/>
          <w:szCs w:val="22"/>
          <w:lang w:val="fr-CA" w:eastAsia="en-US"/>
        </w:rPr>
        <w:t xml:space="preserve"> </w:t>
      </w:r>
      <w:r>
        <w:rPr>
          <w:rFonts w:eastAsia="Calibri"/>
          <w:sz w:val="22"/>
          <w:szCs w:val="22"/>
          <w:lang w:val="fr-CA" w:eastAsia="en-US"/>
        </w:rPr>
        <w:t>a</w:t>
      </w:r>
      <w:r w:rsidRPr="00217EFC">
        <w:rPr>
          <w:rFonts w:eastAsia="Calibri"/>
          <w:sz w:val="22"/>
          <w:szCs w:val="22"/>
          <w:lang w:val="fr-CA" w:eastAsia="en-US"/>
        </w:rPr>
        <w:t xml:space="preserve"> la caractéristique d’être le seul journal francophone à desservir la totalité du New Hampshire, car, pendant le conflit mondial, il n’</w:t>
      </w:r>
      <w:r>
        <w:rPr>
          <w:rFonts w:eastAsia="Calibri"/>
          <w:sz w:val="22"/>
          <w:szCs w:val="22"/>
          <w:lang w:val="fr-CA" w:eastAsia="en-US"/>
        </w:rPr>
        <w:t xml:space="preserve">existe </w:t>
      </w:r>
      <w:r w:rsidRPr="00217EFC">
        <w:rPr>
          <w:rFonts w:eastAsia="Calibri"/>
          <w:sz w:val="22"/>
          <w:szCs w:val="22"/>
          <w:lang w:val="fr-CA" w:eastAsia="en-US"/>
        </w:rPr>
        <w:t xml:space="preserve">pas d’autre quotidien francophone dans les autres régions de </w:t>
      </w:r>
      <w:r w:rsidRPr="002A278A">
        <w:rPr>
          <w:rFonts w:eastAsia="Calibri"/>
          <w:sz w:val="22"/>
          <w:szCs w:val="22"/>
          <w:lang w:val="fr-CA" w:eastAsia="en-US"/>
        </w:rPr>
        <w:t xml:space="preserve">l’État. Outre l’hebdomadaire </w:t>
      </w:r>
      <w:r w:rsidRPr="002A278A">
        <w:rPr>
          <w:rFonts w:eastAsia="Calibri"/>
          <w:i/>
          <w:iCs/>
          <w:sz w:val="22"/>
          <w:szCs w:val="22"/>
          <w:lang w:val="fr-CA" w:eastAsia="en-US"/>
        </w:rPr>
        <w:t>Le</w:t>
      </w:r>
      <w:r w:rsidRPr="002A278A">
        <w:rPr>
          <w:rFonts w:eastAsia="Calibri"/>
          <w:sz w:val="22"/>
          <w:szCs w:val="22"/>
          <w:lang w:val="fr-CA" w:eastAsia="en-US"/>
        </w:rPr>
        <w:t xml:space="preserve"> </w:t>
      </w:r>
      <w:r w:rsidRPr="002A278A">
        <w:rPr>
          <w:rFonts w:eastAsia="Calibri"/>
          <w:i/>
          <w:iCs/>
          <w:sz w:val="22"/>
          <w:szCs w:val="22"/>
          <w:lang w:val="fr-CA" w:eastAsia="en-US"/>
        </w:rPr>
        <w:t>Canado-</w:t>
      </w:r>
      <w:r w:rsidRPr="002A278A">
        <w:rPr>
          <w:rFonts w:eastAsia="Calibri"/>
          <w:i/>
          <w:sz w:val="22"/>
          <w:lang w:val="fr-CA"/>
        </w:rPr>
        <w:t>Américain</w:t>
      </w:r>
      <w:r w:rsidRPr="002A278A">
        <w:rPr>
          <w:rFonts w:eastAsia="Calibri"/>
          <w:sz w:val="22"/>
          <w:szCs w:val="22"/>
          <w:lang w:val="fr-CA" w:eastAsia="en-US"/>
        </w:rPr>
        <w:t xml:space="preserve"> qui est publié à Manchester depuis 1901</w:t>
      </w:r>
      <w:r w:rsidRPr="002A278A">
        <w:rPr>
          <w:rStyle w:val="FootnoteReference"/>
          <w:rFonts w:eastAsia="Calibri"/>
          <w:sz w:val="22"/>
          <w:szCs w:val="22"/>
          <w:lang w:val="fr-CA" w:eastAsia="en-US"/>
        </w:rPr>
        <w:footnoteReference w:id="105"/>
      </w:r>
      <w:r w:rsidRPr="002A278A">
        <w:rPr>
          <w:rFonts w:eastAsia="Calibri"/>
          <w:sz w:val="22"/>
          <w:szCs w:val="22"/>
          <w:lang w:val="fr-CA" w:eastAsia="en-US"/>
        </w:rPr>
        <w:t xml:space="preserve">, </w:t>
      </w:r>
      <w:r w:rsidRPr="002A278A">
        <w:rPr>
          <w:rFonts w:eastAsia="Calibri"/>
          <w:i/>
          <w:iCs/>
          <w:sz w:val="22"/>
          <w:szCs w:val="22"/>
          <w:lang w:val="fr-CA" w:eastAsia="en-US"/>
        </w:rPr>
        <w:t xml:space="preserve">L’Avenir National </w:t>
      </w:r>
      <w:r w:rsidRPr="002A278A">
        <w:rPr>
          <w:rFonts w:eastAsia="Calibri"/>
          <w:sz w:val="22"/>
          <w:szCs w:val="22"/>
          <w:lang w:val="fr-CA" w:eastAsia="en-US"/>
        </w:rPr>
        <w:t>(1894-1949</w:t>
      </w:r>
      <w:r w:rsidRPr="002A278A">
        <w:rPr>
          <w:rStyle w:val="FootnoteReference"/>
          <w:rFonts w:eastAsia="Calibri"/>
          <w:sz w:val="22"/>
          <w:szCs w:val="22"/>
          <w:lang w:val="fr-CA" w:eastAsia="en-US"/>
        </w:rPr>
        <w:footnoteReference w:id="106"/>
      </w:r>
      <w:r w:rsidRPr="002A278A">
        <w:rPr>
          <w:rFonts w:eastAsia="Calibri"/>
          <w:sz w:val="22"/>
          <w:szCs w:val="22"/>
          <w:lang w:val="fr-CA" w:eastAsia="en-US"/>
        </w:rPr>
        <w:t>) a une existence beaucoup plus longue comparativement aux multiples journaux et revues francophones qui sont publiés à Manchester.</w:t>
      </w:r>
    </w:p>
    <w:p w14:paraId="46B51CF3" w14:textId="77777777" w:rsidR="000264D6"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Politiquement, le journal clam</w:t>
      </w:r>
      <w:r>
        <w:rPr>
          <w:rFonts w:eastAsia="Calibri"/>
          <w:sz w:val="22"/>
          <w:szCs w:val="22"/>
          <w:lang w:val="fr-CA" w:eastAsia="en-US"/>
        </w:rPr>
        <w:t xml:space="preserve">e son </w:t>
      </w:r>
      <w:r w:rsidRPr="00217EFC">
        <w:rPr>
          <w:rFonts w:eastAsia="Calibri"/>
          <w:sz w:val="22"/>
          <w:szCs w:val="22"/>
          <w:lang w:val="fr-CA" w:eastAsia="en-US"/>
        </w:rPr>
        <w:t>indépendan</w:t>
      </w:r>
      <w:r>
        <w:rPr>
          <w:rFonts w:eastAsia="Calibri"/>
          <w:sz w:val="22"/>
          <w:szCs w:val="22"/>
          <w:lang w:val="fr-CA" w:eastAsia="en-US"/>
        </w:rPr>
        <w:t>ce</w:t>
      </w:r>
      <w:r w:rsidRPr="00217EFC">
        <w:rPr>
          <w:rStyle w:val="FootnoteReference"/>
          <w:rFonts w:eastAsia="Calibri"/>
          <w:sz w:val="22"/>
          <w:szCs w:val="22"/>
          <w:lang w:val="fr-CA" w:eastAsia="en-US"/>
        </w:rPr>
        <w:footnoteReference w:id="107"/>
      </w:r>
      <w:r w:rsidRPr="00217EFC">
        <w:rPr>
          <w:rFonts w:eastAsia="Calibri"/>
          <w:sz w:val="22"/>
          <w:szCs w:val="22"/>
          <w:lang w:val="fr-CA" w:eastAsia="en-US"/>
        </w:rPr>
        <w:t xml:space="preserve">. Cependant, préalablement à la déclaration de guerre des États-Unis à l’Allemagne, pendant la Première Guerre mondiale, la rédaction </w:t>
      </w:r>
      <w:r>
        <w:rPr>
          <w:rFonts w:eastAsia="Calibri"/>
          <w:sz w:val="22"/>
          <w:szCs w:val="22"/>
          <w:lang w:val="fr-CA" w:eastAsia="en-US"/>
        </w:rPr>
        <w:t xml:space="preserve">reproche </w:t>
      </w:r>
      <w:r w:rsidRPr="00217EFC">
        <w:rPr>
          <w:rFonts w:eastAsia="Calibri"/>
          <w:sz w:val="22"/>
          <w:szCs w:val="22"/>
          <w:lang w:val="fr-CA" w:eastAsia="en-US"/>
        </w:rPr>
        <w:t xml:space="preserve">constamment </w:t>
      </w:r>
      <w:r>
        <w:rPr>
          <w:rFonts w:eastAsia="Calibri"/>
          <w:sz w:val="22"/>
          <w:szCs w:val="22"/>
          <w:lang w:val="fr-CA" w:eastAsia="en-US"/>
        </w:rPr>
        <w:t xml:space="preserve">au </w:t>
      </w:r>
      <w:r w:rsidRPr="00217EFC">
        <w:rPr>
          <w:rFonts w:eastAsia="Calibri"/>
          <w:sz w:val="22"/>
          <w:szCs w:val="22"/>
          <w:lang w:val="fr-CA" w:eastAsia="en-US"/>
        </w:rPr>
        <w:t xml:space="preserve">Président Wilson </w:t>
      </w:r>
      <w:r>
        <w:rPr>
          <w:rFonts w:eastAsia="Calibri"/>
          <w:sz w:val="22"/>
          <w:szCs w:val="22"/>
          <w:lang w:val="fr-CA" w:eastAsia="en-US"/>
        </w:rPr>
        <w:t xml:space="preserve">de </w:t>
      </w:r>
      <w:r w:rsidRPr="00217EFC">
        <w:rPr>
          <w:rFonts w:eastAsia="Calibri"/>
          <w:sz w:val="22"/>
          <w:szCs w:val="22"/>
          <w:lang w:val="fr-CA" w:eastAsia="en-US"/>
        </w:rPr>
        <w:t xml:space="preserve">ne pas engager la Nation dans le conflit. De plus, Albert Bélanger mentionne, dans l’édition de 1922 du </w:t>
      </w:r>
      <w:r w:rsidRPr="00217EFC">
        <w:rPr>
          <w:rFonts w:eastAsia="Calibri"/>
          <w:i/>
          <w:iCs/>
          <w:sz w:val="22"/>
          <w:szCs w:val="22"/>
          <w:lang w:val="fr-CA" w:eastAsia="en-US"/>
        </w:rPr>
        <w:t>Guide des Franco-Américains,</w:t>
      </w:r>
      <w:r w:rsidRPr="00217EFC">
        <w:rPr>
          <w:rFonts w:eastAsia="Calibri"/>
          <w:sz w:val="22"/>
          <w:szCs w:val="22"/>
          <w:lang w:val="fr-CA" w:eastAsia="en-US"/>
        </w:rPr>
        <w:t xml:space="preserve"> que le journal «</w:t>
      </w:r>
      <w:r w:rsidR="002B1534">
        <w:rPr>
          <w:rFonts w:eastAsia="Calibri"/>
          <w:sz w:val="22"/>
          <w:szCs w:val="22"/>
          <w:lang w:val="fr-CA" w:eastAsia="en-US"/>
        </w:rPr>
        <w:t> </w:t>
      </w:r>
      <w:r w:rsidRPr="00217EFC">
        <w:rPr>
          <w:rFonts w:eastAsia="Calibri"/>
          <w:sz w:val="22"/>
          <w:szCs w:val="22"/>
          <w:lang w:val="fr-CA" w:eastAsia="en-US"/>
        </w:rPr>
        <w:t>est plutôt indépendant avec des tendances vers le parti démocrate</w:t>
      </w:r>
      <w:r w:rsidR="002B1534">
        <w:rPr>
          <w:rFonts w:eastAsia="Calibri"/>
          <w:sz w:val="22"/>
          <w:szCs w:val="22"/>
          <w:lang w:val="fr-CA" w:eastAsia="en-US"/>
        </w:rPr>
        <w:t> </w:t>
      </w:r>
      <w:r w:rsidRPr="00217EFC">
        <w:rPr>
          <w:rFonts w:eastAsia="Calibri"/>
          <w:sz w:val="22"/>
          <w:szCs w:val="22"/>
          <w:lang w:val="fr-CA" w:eastAsia="en-US"/>
        </w:rPr>
        <w:t>»</w:t>
      </w:r>
      <w:r w:rsidRPr="00217EFC">
        <w:rPr>
          <w:rFonts w:eastAsia="Calibri"/>
          <w:sz w:val="22"/>
          <w:szCs w:val="22"/>
          <w:vertAlign w:val="superscript"/>
          <w:lang w:val="fr-CA" w:eastAsia="en-US"/>
        </w:rPr>
        <w:footnoteReference w:id="108"/>
      </w:r>
      <w:r w:rsidRPr="00217EFC">
        <w:rPr>
          <w:rFonts w:eastAsia="Calibri"/>
          <w:sz w:val="22"/>
          <w:szCs w:val="22"/>
          <w:lang w:val="fr-CA" w:eastAsia="en-US"/>
        </w:rPr>
        <w:t xml:space="preserve">. </w:t>
      </w:r>
      <w:r>
        <w:rPr>
          <w:rFonts w:eastAsia="Calibri"/>
          <w:sz w:val="22"/>
          <w:szCs w:val="22"/>
          <w:lang w:val="fr-CA" w:eastAsia="en-US"/>
        </w:rPr>
        <w:t>L</w:t>
      </w:r>
      <w:r w:rsidRPr="00217EFC">
        <w:rPr>
          <w:rFonts w:eastAsia="Calibri"/>
          <w:sz w:val="22"/>
          <w:szCs w:val="22"/>
          <w:lang w:val="fr-CA" w:eastAsia="en-US"/>
        </w:rPr>
        <w:t>es Franco-Américains votent historiquement en majorité pour le</w:t>
      </w:r>
      <w:r>
        <w:rPr>
          <w:rFonts w:eastAsia="Calibri"/>
          <w:sz w:val="22"/>
          <w:szCs w:val="22"/>
          <w:lang w:val="fr-CA" w:eastAsia="en-US"/>
        </w:rPr>
        <w:t>s</w:t>
      </w:r>
      <w:r w:rsidRPr="00217EFC">
        <w:rPr>
          <w:rFonts w:eastAsia="Calibri"/>
          <w:sz w:val="22"/>
          <w:szCs w:val="22"/>
          <w:lang w:val="fr-CA" w:eastAsia="en-US"/>
        </w:rPr>
        <w:t xml:space="preserve"> parti</w:t>
      </w:r>
      <w:r>
        <w:rPr>
          <w:rFonts w:eastAsia="Calibri"/>
          <w:sz w:val="22"/>
          <w:szCs w:val="22"/>
          <w:lang w:val="fr-CA" w:eastAsia="en-US"/>
        </w:rPr>
        <w:t>s</w:t>
      </w:r>
      <w:r w:rsidRPr="00217EFC">
        <w:rPr>
          <w:rFonts w:eastAsia="Calibri"/>
          <w:sz w:val="22"/>
          <w:szCs w:val="22"/>
          <w:lang w:val="fr-CA" w:eastAsia="en-US"/>
        </w:rPr>
        <w:t xml:space="preserve"> républicain</w:t>
      </w:r>
      <w:r>
        <w:rPr>
          <w:rFonts w:eastAsia="Calibri"/>
          <w:sz w:val="22"/>
          <w:szCs w:val="22"/>
          <w:lang w:val="fr-CA" w:eastAsia="en-US"/>
        </w:rPr>
        <w:t>s aux différents paliers gouvernementaux</w:t>
      </w:r>
      <w:r w:rsidRPr="00217EFC">
        <w:rPr>
          <w:rStyle w:val="FootnoteReference"/>
          <w:rFonts w:eastAsia="Calibri"/>
          <w:sz w:val="22"/>
          <w:szCs w:val="22"/>
          <w:lang w:val="fr-CA" w:eastAsia="en-US"/>
        </w:rPr>
        <w:footnoteReference w:id="109"/>
      </w:r>
      <w:r w:rsidRPr="00217EFC">
        <w:rPr>
          <w:rFonts w:eastAsia="Calibri"/>
          <w:sz w:val="22"/>
          <w:szCs w:val="22"/>
          <w:lang w:val="fr-CA" w:eastAsia="en-US"/>
        </w:rPr>
        <w:t xml:space="preserve">. </w:t>
      </w:r>
      <w:r>
        <w:rPr>
          <w:rFonts w:eastAsia="Calibri"/>
          <w:sz w:val="22"/>
          <w:szCs w:val="22"/>
          <w:lang w:val="fr-CA" w:eastAsia="en-US"/>
        </w:rPr>
        <w:t>Or, c</w:t>
      </w:r>
      <w:r w:rsidRPr="00217EFC">
        <w:rPr>
          <w:rFonts w:eastAsia="Calibri"/>
          <w:sz w:val="22"/>
          <w:szCs w:val="22"/>
          <w:lang w:val="fr-CA" w:eastAsia="en-US"/>
        </w:rPr>
        <w:t xml:space="preserve">omme nous le verrons plus tard, </w:t>
      </w:r>
      <w:r>
        <w:rPr>
          <w:rFonts w:eastAsia="Calibri"/>
          <w:sz w:val="22"/>
          <w:szCs w:val="22"/>
          <w:lang w:val="fr-CA" w:eastAsia="en-US"/>
        </w:rPr>
        <w:t>e</w:t>
      </w:r>
      <w:r w:rsidRPr="00217EFC">
        <w:rPr>
          <w:rFonts w:eastAsia="Calibri"/>
          <w:sz w:val="22"/>
          <w:szCs w:val="22"/>
          <w:lang w:val="fr-CA" w:eastAsia="en-US"/>
        </w:rPr>
        <w:t xml:space="preserve">n dépit de </w:t>
      </w:r>
      <w:r>
        <w:rPr>
          <w:rFonts w:eastAsia="Calibri"/>
          <w:sz w:val="22"/>
          <w:szCs w:val="22"/>
          <w:lang w:val="fr-CA" w:eastAsia="en-US"/>
        </w:rPr>
        <w:t xml:space="preserve">son </w:t>
      </w:r>
      <w:r w:rsidRPr="00217EFC">
        <w:rPr>
          <w:rFonts w:eastAsia="Calibri"/>
          <w:sz w:val="22"/>
          <w:szCs w:val="22"/>
          <w:lang w:val="fr-CA" w:eastAsia="en-US"/>
        </w:rPr>
        <w:t>aveu de neutralité</w:t>
      </w:r>
      <w:r>
        <w:rPr>
          <w:rFonts w:eastAsia="Calibri"/>
          <w:sz w:val="22"/>
          <w:szCs w:val="22"/>
          <w:lang w:val="fr-CA" w:eastAsia="en-US"/>
        </w:rPr>
        <w:t xml:space="preserve">, </w:t>
      </w:r>
      <w:r w:rsidRPr="00217EFC">
        <w:rPr>
          <w:rFonts w:eastAsia="Calibri"/>
          <w:sz w:val="22"/>
          <w:szCs w:val="22"/>
          <w:lang w:val="fr-CA" w:eastAsia="en-US"/>
        </w:rPr>
        <w:t xml:space="preserve">le journal s’adapte au cours du temps </w:t>
      </w:r>
      <w:r>
        <w:rPr>
          <w:rFonts w:eastAsia="Calibri"/>
          <w:sz w:val="22"/>
          <w:szCs w:val="22"/>
          <w:lang w:val="fr-CA" w:eastAsia="en-US"/>
        </w:rPr>
        <w:t xml:space="preserve">aux </w:t>
      </w:r>
      <w:r w:rsidRPr="00217EFC">
        <w:rPr>
          <w:rFonts w:eastAsia="Calibri"/>
          <w:sz w:val="22"/>
          <w:szCs w:val="22"/>
          <w:lang w:val="fr-CA" w:eastAsia="en-US"/>
        </w:rPr>
        <w:t>intérêts des élites franco-américaines afin de promouvoir leur cause commune</w:t>
      </w:r>
      <w:r>
        <w:rPr>
          <w:rFonts w:eastAsia="Calibri"/>
          <w:sz w:val="22"/>
          <w:szCs w:val="22"/>
          <w:lang w:val="fr-CA" w:eastAsia="en-US"/>
        </w:rPr>
        <w:t>,</w:t>
      </w:r>
      <w:r w:rsidRPr="00217EFC">
        <w:rPr>
          <w:rFonts w:eastAsia="Calibri"/>
          <w:sz w:val="22"/>
          <w:szCs w:val="22"/>
          <w:lang w:val="fr-CA" w:eastAsia="en-US"/>
        </w:rPr>
        <w:t xml:space="preserve"> en tant que groupe ethnique distinct</w:t>
      </w:r>
      <w:r>
        <w:rPr>
          <w:rFonts w:eastAsia="Calibri"/>
          <w:sz w:val="22"/>
          <w:szCs w:val="22"/>
          <w:lang w:val="fr-CA" w:eastAsia="en-US"/>
        </w:rPr>
        <w:t>, c</w:t>
      </w:r>
      <w:r w:rsidRPr="00217EFC">
        <w:rPr>
          <w:rFonts w:eastAsia="Calibri"/>
          <w:sz w:val="22"/>
          <w:szCs w:val="22"/>
          <w:lang w:val="fr-CA" w:eastAsia="en-US"/>
        </w:rPr>
        <w:t>’est</w:t>
      </w:r>
      <w:r w:rsidR="002B1534">
        <w:rPr>
          <w:rFonts w:eastAsia="Calibri"/>
          <w:sz w:val="22"/>
          <w:szCs w:val="22"/>
          <w:lang w:val="fr-CA" w:eastAsia="en-US"/>
        </w:rPr>
        <w:t>-à-</w:t>
      </w:r>
      <w:r w:rsidRPr="00217EFC">
        <w:rPr>
          <w:rFonts w:eastAsia="Calibri"/>
          <w:sz w:val="22"/>
          <w:szCs w:val="22"/>
          <w:lang w:val="fr-CA" w:eastAsia="en-US"/>
        </w:rPr>
        <w:t xml:space="preserve">dire la </w:t>
      </w:r>
      <w:r>
        <w:rPr>
          <w:rFonts w:eastAsia="Calibri"/>
          <w:sz w:val="22"/>
          <w:szCs w:val="22"/>
          <w:lang w:val="fr-CA" w:eastAsia="en-US"/>
        </w:rPr>
        <w:t xml:space="preserve">recherche de la </w:t>
      </w:r>
      <w:r w:rsidRPr="00217EFC">
        <w:rPr>
          <w:rFonts w:eastAsia="Calibri"/>
          <w:sz w:val="22"/>
          <w:szCs w:val="22"/>
          <w:lang w:val="fr-CA" w:eastAsia="en-US"/>
        </w:rPr>
        <w:t xml:space="preserve">perpétuité </w:t>
      </w:r>
      <w:r w:rsidRPr="00217EFC">
        <w:rPr>
          <w:rFonts w:eastAsia="Calibri"/>
          <w:sz w:val="22"/>
          <w:szCs w:val="22"/>
          <w:lang w:val="fr-CA" w:eastAsia="en-US"/>
        </w:rPr>
        <w:lastRenderedPageBreak/>
        <w:t xml:space="preserve">de la communauté francophone en Nouvelle-Angleterre et la démonstration de </w:t>
      </w:r>
      <w:r>
        <w:rPr>
          <w:rFonts w:eastAsia="Calibri"/>
          <w:sz w:val="22"/>
          <w:szCs w:val="22"/>
          <w:lang w:val="fr-CA" w:eastAsia="en-US"/>
        </w:rPr>
        <w:t xml:space="preserve">son </w:t>
      </w:r>
      <w:r w:rsidRPr="00217EFC">
        <w:rPr>
          <w:rFonts w:eastAsia="Calibri"/>
          <w:sz w:val="22"/>
          <w:szCs w:val="22"/>
          <w:lang w:val="fr-CA" w:eastAsia="en-US"/>
        </w:rPr>
        <w:t xml:space="preserve">patriotisme à l’égard de </w:t>
      </w:r>
      <w:r>
        <w:rPr>
          <w:rFonts w:eastAsia="Calibri"/>
          <w:sz w:val="22"/>
          <w:szCs w:val="22"/>
          <w:lang w:val="fr-CA" w:eastAsia="en-US"/>
        </w:rPr>
        <w:t xml:space="preserve">sa </w:t>
      </w:r>
      <w:r w:rsidRPr="00217EFC">
        <w:rPr>
          <w:rFonts w:eastAsia="Calibri"/>
          <w:sz w:val="22"/>
          <w:szCs w:val="22"/>
          <w:lang w:val="fr-CA" w:eastAsia="en-US"/>
        </w:rPr>
        <w:t>Nation.</w:t>
      </w:r>
      <w:r>
        <w:rPr>
          <w:rFonts w:eastAsia="Calibri"/>
          <w:sz w:val="22"/>
          <w:szCs w:val="22"/>
          <w:lang w:val="fr-CA" w:eastAsia="en-US"/>
        </w:rPr>
        <w:t xml:space="preserve"> </w:t>
      </w:r>
      <w:r w:rsidRPr="002A278A">
        <w:rPr>
          <w:rFonts w:eastAsia="Calibri"/>
          <w:sz w:val="22"/>
          <w:szCs w:val="22"/>
          <w:lang w:val="fr-CA" w:eastAsia="en-US"/>
        </w:rPr>
        <w:t xml:space="preserve">En fait, en lisant </w:t>
      </w:r>
      <w:r w:rsidRPr="002A278A">
        <w:rPr>
          <w:rFonts w:eastAsia="Calibri"/>
          <w:i/>
          <w:iCs/>
          <w:sz w:val="22"/>
          <w:szCs w:val="22"/>
          <w:lang w:val="fr-CA" w:eastAsia="en-US"/>
        </w:rPr>
        <w:t>L’Avenir National</w:t>
      </w:r>
      <w:r w:rsidRPr="002A278A">
        <w:rPr>
          <w:rFonts w:eastAsia="Calibri"/>
          <w:sz w:val="22"/>
          <w:szCs w:val="22"/>
          <w:lang w:val="fr-CA" w:eastAsia="en-US"/>
        </w:rPr>
        <w:t>, nous pouvons seulement constater la promotion des intérêts de l’élite de Manchester. Or, le lecteur n’a pas d’opinion par rapport à ce que lui rapporte le journal et il n’a pas de page du courrier des lecteurs. Il est très difficile de prendre le pouls de la population en lisant le quotidien, car il est impossible pour le lecteur de détecter si d’autres opinions existent outre celles qui sont véhiculées par l’éditorial. D’ailleurs, les services de propagande de l’Entente contrôlent l’information en direction de l’Amérique et rende ainsi impossible pour le journal d’obtenir des informations concernant les nations de la Triplice.</w:t>
      </w:r>
    </w:p>
    <w:p w14:paraId="2D246B06"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Pendant la période de la Grande Guerre, </w:t>
      </w:r>
      <w:r w:rsidRPr="00217EFC">
        <w:rPr>
          <w:sz w:val="22"/>
          <w:szCs w:val="22"/>
          <w:lang w:val="fr-CA"/>
        </w:rPr>
        <w:t>Jean-Georges</w:t>
      </w:r>
      <w:r w:rsidRPr="00217EFC">
        <w:rPr>
          <w:rFonts w:eastAsia="Calibri"/>
          <w:sz w:val="22"/>
          <w:szCs w:val="22"/>
          <w:lang w:val="fr-CA" w:eastAsia="en-US"/>
        </w:rPr>
        <w:t xml:space="preserve"> LeBoutillier est rédacteur en chef de </w:t>
      </w:r>
      <w:r w:rsidRPr="00217EFC">
        <w:rPr>
          <w:rFonts w:eastAsia="Calibri"/>
          <w:i/>
          <w:iCs/>
          <w:sz w:val="22"/>
          <w:szCs w:val="22"/>
          <w:lang w:val="fr-CA" w:eastAsia="en-US"/>
        </w:rPr>
        <w:t>L’Avenir National</w:t>
      </w:r>
      <w:r w:rsidRPr="00217EFC">
        <w:rPr>
          <w:rFonts w:eastAsia="Calibri"/>
          <w:sz w:val="22"/>
          <w:szCs w:val="22"/>
          <w:lang w:val="fr-CA" w:eastAsia="en-US"/>
        </w:rPr>
        <w:t xml:space="preserve">. Originaire de Percé, au Québec, il </w:t>
      </w:r>
      <w:r w:rsidR="002B1534">
        <w:rPr>
          <w:rFonts w:eastAsia="Calibri"/>
          <w:sz w:val="22"/>
          <w:szCs w:val="22"/>
          <w:lang w:val="fr-CA" w:eastAsia="en-US"/>
        </w:rPr>
        <w:t>fait</w:t>
      </w:r>
      <w:r w:rsidRPr="00217EFC">
        <w:rPr>
          <w:rFonts w:eastAsia="Calibri"/>
          <w:sz w:val="22"/>
          <w:szCs w:val="22"/>
          <w:lang w:val="fr-CA" w:eastAsia="en-US"/>
        </w:rPr>
        <w:t xml:space="preserve"> ses études en droit en 1881 à l’Université Laval. Après avoir été admis au barreau </w:t>
      </w:r>
      <w:r>
        <w:rPr>
          <w:rFonts w:eastAsia="Calibri"/>
          <w:sz w:val="22"/>
          <w:szCs w:val="22"/>
          <w:lang w:val="fr-CA" w:eastAsia="en-US"/>
        </w:rPr>
        <w:t>a</w:t>
      </w:r>
      <w:r w:rsidRPr="00217EFC">
        <w:rPr>
          <w:rFonts w:eastAsia="Calibri"/>
          <w:sz w:val="22"/>
          <w:szCs w:val="22"/>
          <w:lang w:val="fr-CA" w:eastAsia="en-US"/>
        </w:rPr>
        <w:t xml:space="preserve">u Québec, il retourne ensuite dans sa région natale pour pratiquer le droit pendant huit ans. En 1890, il immigre en Nouvelle-Angleterre, avec son épouse à Cohoes, près d’Albany (New York). Il </w:t>
      </w:r>
      <w:r>
        <w:rPr>
          <w:rFonts w:eastAsia="Calibri"/>
          <w:sz w:val="22"/>
          <w:szCs w:val="22"/>
          <w:lang w:val="fr-CA" w:eastAsia="en-US"/>
        </w:rPr>
        <w:t xml:space="preserve">travaille à la </w:t>
      </w:r>
      <w:r w:rsidRPr="00217EFC">
        <w:rPr>
          <w:rFonts w:eastAsia="Calibri"/>
          <w:sz w:val="22"/>
          <w:szCs w:val="22"/>
          <w:lang w:val="fr-CA" w:eastAsia="en-US"/>
        </w:rPr>
        <w:t>rédact</w:t>
      </w:r>
      <w:r>
        <w:rPr>
          <w:rFonts w:eastAsia="Calibri"/>
          <w:sz w:val="22"/>
          <w:szCs w:val="22"/>
          <w:lang w:val="fr-CA" w:eastAsia="en-US"/>
        </w:rPr>
        <w:t xml:space="preserve">ion de </w:t>
      </w:r>
      <w:r w:rsidRPr="00217EFC">
        <w:rPr>
          <w:rFonts w:eastAsia="Calibri"/>
          <w:i/>
          <w:iCs/>
          <w:sz w:val="22"/>
          <w:szCs w:val="22"/>
          <w:lang w:val="fr-CA" w:eastAsia="en-US"/>
        </w:rPr>
        <w:t>La Patrie</w:t>
      </w:r>
      <w:r w:rsidRPr="00217EFC">
        <w:rPr>
          <w:rFonts w:eastAsia="Calibri"/>
          <w:sz w:val="22"/>
          <w:szCs w:val="22"/>
          <w:lang w:val="fr-CA" w:eastAsia="en-US"/>
        </w:rPr>
        <w:t xml:space="preserve"> pendant un an et ensuite «</w:t>
      </w:r>
      <w:r w:rsidR="002B1534">
        <w:rPr>
          <w:rFonts w:eastAsia="Calibri"/>
          <w:sz w:val="22"/>
          <w:szCs w:val="22"/>
          <w:lang w:val="fr-CA" w:eastAsia="en-US"/>
        </w:rPr>
        <w:t> </w:t>
      </w:r>
      <w:r w:rsidRPr="00217EFC">
        <w:rPr>
          <w:rFonts w:eastAsia="Calibri"/>
          <w:sz w:val="22"/>
          <w:szCs w:val="22"/>
          <w:lang w:val="fr-CA" w:eastAsia="en-US"/>
        </w:rPr>
        <w:t>il s’occupa [temporairement] d’affaires légales et d’assurances sur la vie</w:t>
      </w:r>
      <w:r w:rsidR="002B1534">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110"/>
      </w:r>
      <w:r w:rsidRPr="00217EFC">
        <w:rPr>
          <w:rFonts w:eastAsia="Calibri"/>
          <w:sz w:val="22"/>
          <w:szCs w:val="22"/>
          <w:lang w:val="fr-CA" w:eastAsia="en-US"/>
        </w:rPr>
        <w:t xml:space="preserve">. En 1892, il devient journaliste et comme rédacteur politique, il s’engage initialement à promouvoir l’élection à la présidence de Grover Cleveland du </w:t>
      </w:r>
      <w:r w:rsidRPr="00217EFC">
        <w:rPr>
          <w:rFonts w:eastAsia="Calibri"/>
          <w:i/>
          <w:iCs/>
          <w:sz w:val="22"/>
          <w:szCs w:val="22"/>
          <w:lang w:val="fr-CA" w:eastAsia="en-US"/>
        </w:rPr>
        <w:t>National Democratic Party</w:t>
      </w:r>
      <w:r w:rsidRPr="00217EFC">
        <w:rPr>
          <w:rFonts w:eastAsia="Calibri"/>
          <w:sz w:val="22"/>
          <w:szCs w:val="22"/>
          <w:lang w:val="fr-CA" w:eastAsia="en-US"/>
        </w:rPr>
        <w:t>. Après cette campagne électorale, il occupe plusieurs postes comme journaliste au Massachusetts. Il est a</w:t>
      </w:r>
      <w:r w:rsidR="002B1534">
        <w:rPr>
          <w:rFonts w:eastAsia="Calibri"/>
          <w:sz w:val="22"/>
          <w:szCs w:val="22"/>
          <w:lang w:val="fr-CA" w:eastAsia="en-US"/>
        </w:rPr>
        <w:t>ide-</w:t>
      </w:r>
      <w:r w:rsidRPr="00217EFC">
        <w:rPr>
          <w:rFonts w:eastAsia="Calibri"/>
          <w:sz w:val="22"/>
          <w:szCs w:val="22"/>
          <w:lang w:val="fr-CA" w:eastAsia="en-US"/>
        </w:rPr>
        <w:t xml:space="preserve">rédacteur au </w:t>
      </w:r>
      <w:r w:rsidRPr="00217EFC">
        <w:rPr>
          <w:rFonts w:eastAsia="Calibri"/>
          <w:i/>
          <w:iCs/>
          <w:sz w:val="22"/>
          <w:szCs w:val="22"/>
          <w:lang w:val="fr-CA" w:eastAsia="en-US"/>
        </w:rPr>
        <w:t>National</w:t>
      </w:r>
      <w:r w:rsidRPr="00217EFC">
        <w:rPr>
          <w:rFonts w:eastAsia="Calibri"/>
          <w:sz w:val="22"/>
          <w:szCs w:val="22"/>
          <w:lang w:val="fr-CA" w:eastAsia="en-US"/>
        </w:rPr>
        <w:t xml:space="preserve">, à Lowell et avec le </w:t>
      </w:r>
      <w:r w:rsidRPr="00217EFC">
        <w:rPr>
          <w:rFonts w:eastAsia="Calibri"/>
          <w:i/>
          <w:iCs/>
          <w:sz w:val="22"/>
          <w:szCs w:val="22"/>
          <w:lang w:val="fr-CA" w:eastAsia="en-US"/>
        </w:rPr>
        <w:t>Protecteur Canadien</w:t>
      </w:r>
      <w:r w:rsidRPr="00217EFC">
        <w:rPr>
          <w:rFonts w:eastAsia="Calibri"/>
          <w:sz w:val="22"/>
          <w:szCs w:val="22"/>
          <w:lang w:val="fr-CA" w:eastAsia="en-US"/>
        </w:rPr>
        <w:t>, à Fall River.</w:t>
      </w:r>
      <w:r>
        <w:rPr>
          <w:rFonts w:eastAsia="Calibri"/>
          <w:sz w:val="22"/>
          <w:szCs w:val="22"/>
          <w:lang w:val="fr-CA" w:eastAsia="en-US"/>
        </w:rPr>
        <w:t xml:space="preserve"> </w:t>
      </w:r>
      <w:r w:rsidRPr="00217EFC">
        <w:rPr>
          <w:rFonts w:eastAsia="Calibri"/>
          <w:sz w:val="22"/>
          <w:szCs w:val="22"/>
          <w:lang w:val="fr-CA" w:eastAsia="en-US"/>
        </w:rPr>
        <w:t xml:space="preserve">En 1901, il s’installe à Manchester pour devenir rédacteur </w:t>
      </w:r>
      <w:r>
        <w:rPr>
          <w:rFonts w:eastAsia="Calibri"/>
          <w:sz w:val="22"/>
          <w:szCs w:val="22"/>
          <w:lang w:val="fr-CA" w:eastAsia="en-US"/>
        </w:rPr>
        <w:t xml:space="preserve">pour </w:t>
      </w:r>
      <w:r w:rsidRPr="00217EFC">
        <w:rPr>
          <w:rFonts w:eastAsia="Calibri"/>
          <w:i/>
          <w:iCs/>
          <w:sz w:val="22"/>
          <w:szCs w:val="22"/>
          <w:lang w:val="fr-CA" w:eastAsia="en-US"/>
        </w:rPr>
        <w:t>L’Avenir National</w:t>
      </w:r>
      <w:r w:rsidRPr="00217EFC">
        <w:rPr>
          <w:rFonts w:eastAsia="Calibri"/>
          <w:sz w:val="22"/>
          <w:szCs w:val="22"/>
          <w:lang w:val="fr-CA" w:eastAsia="en-US"/>
        </w:rPr>
        <w:t xml:space="preserve"> jusqu’en 1907. Il quitte temporairement son emploi </w:t>
      </w:r>
      <w:r>
        <w:rPr>
          <w:rFonts w:eastAsia="Calibri"/>
          <w:sz w:val="22"/>
          <w:szCs w:val="22"/>
          <w:lang w:val="fr-CA" w:eastAsia="en-US"/>
        </w:rPr>
        <w:t xml:space="preserve">au </w:t>
      </w:r>
      <w:r w:rsidRPr="00217EFC">
        <w:rPr>
          <w:rFonts w:eastAsia="Calibri"/>
          <w:sz w:val="22"/>
          <w:szCs w:val="22"/>
          <w:lang w:val="fr-CA" w:eastAsia="en-US"/>
        </w:rPr>
        <w:t xml:space="preserve">journal pour travailler à </w:t>
      </w:r>
      <w:r w:rsidRPr="00217EFC">
        <w:rPr>
          <w:rFonts w:eastAsia="Calibri"/>
          <w:i/>
          <w:iCs/>
          <w:sz w:val="22"/>
          <w:szCs w:val="22"/>
          <w:lang w:val="fr-CA" w:eastAsia="en-US"/>
        </w:rPr>
        <w:t>L’Opinion Publique</w:t>
      </w:r>
      <w:r w:rsidRPr="00217EFC">
        <w:rPr>
          <w:rFonts w:eastAsia="Calibri"/>
          <w:sz w:val="22"/>
          <w:szCs w:val="22"/>
          <w:lang w:val="fr-CA" w:eastAsia="en-US"/>
        </w:rPr>
        <w:t xml:space="preserve"> de Worcester. Ensuite, il retourne à Manchester</w:t>
      </w:r>
      <w:r>
        <w:rPr>
          <w:rFonts w:eastAsia="Calibri"/>
          <w:sz w:val="22"/>
          <w:szCs w:val="22"/>
          <w:lang w:val="fr-CA" w:eastAsia="en-US"/>
        </w:rPr>
        <w:t>,</w:t>
      </w:r>
      <w:r w:rsidRPr="00217EFC">
        <w:rPr>
          <w:rFonts w:eastAsia="Calibri"/>
          <w:sz w:val="22"/>
          <w:szCs w:val="22"/>
          <w:lang w:val="fr-CA" w:eastAsia="en-US"/>
        </w:rPr>
        <w:t xml:space="preserve"> en 1911</w:t>
      </w:r>
      <w:r>
        <w:rPr>
          <w:rFonts w:eastAsia="Calibri"/>
          <w:sz w:val="22"/>
          <w:szCs w:val="22"/>
          <w:lang w:val="fr-CA" w:eastAsia="en-US"/>
        </w:rPr>
        <w:t>,</w:t>
      </w:r>
      <w:r w:rsidRPr="00217EFC">
        <w:rPr>
          <w:rFonts w:eastAsia="Calibri"/>
          <w:sz w:val="22"/>
          <w:szCs w:val="22"/>
          <w:lang w:val="fr-CA" w:eastAsia="en-US"/>
        </w:rPr>
        <w:t xml:space="preserve"> pour devenir le rédacteur en chef de </w:t>
      </w:r>
      <w:r w:rsidRPr="00217EFC">
        <w:rPr>
          <w:rFonts w:eastAsia="Calibri"/>
          <w:i/>
          <w:iCs/>
          <w:sz w:val="22"/>
          <w:szCs w:val="22"/>
          <w:lang w:val="fr-CA" w:eastAsia="en-US"/>
        </w:rPr>
        <w:t>L’Avenir National</w:t>
      </w:r>
      <w:r w:rsidRPr="00217EFC">
        <w:rPr>
          <w:rStyle w:val="FootnoteReference"/>
          <w:rFonts w:eastAsia="Calibri"/>
          <w:i/>
          <w:iCs/>
          <w:sz w:val="22"/>
          <w:szCs w:val="22"/>
          <w:lang w:val="fr-CA" w:eastAsia="en-US"/>
        </w:rPr>
        <w:footnoteReference w:id="111"/>
      </w:r>
      <w:r w:rsidRPr="00217EFC">
        <w:rPr>
          <w:rFonts w:eastAsia="Calibri"/>
          <w:sz w:val="22"/>
          <w:szCs w:val="22"/>
          <w:lang w:val="fr-CA" w:eastAsia="en-US"/>
        </w:rPr>
        <w:t>. Pendant cette période, il contribue également à la rédaction de plusieurs revues en Nouvelle-Angleterre</w:t>
      </w:r>
      <w:r w:rsidRPr="00217EFC">
        <w:rPr>
          <w:rStyle w:val="FootnoteReference"/>
          <w:rFonts w:eastAsia="Calibri"/>
          <w:sz w:val="22"/>
          <w:szCs w:val="22"/>
          <w:lang w:val="fr-CA" w:eastAsia="en-US"/>
        </w:rPr>
        <w:footnoteReference w:id="112"/>
      </w:r>
      <w:r w:rsidRPr="00217EFC">
        <w:rPr>
          <w:rFonts w:eastAsia="Calibri"/>
          <w:sz w:val="22"/>
          <w:szCs w:val="22"/>
          <w:lang w:val="fr-CA" w:eastAsia="en-US"/>
        </w:rPr>
        <w:t>.</w:t>
      </w:r>
    </w:p>
    <w:p w14:paraId="692A895D" w14:textId="7101056C" w:rsidR="000264D6" w:rsidRPr="00217EFC" w:rsidRDefault="000264D6" w:rsidP="002B5319">
      <w:pPr>
        <w:spacing w:before="100" w:beforeAutospacing="1" w:after="100" w:afterAutospacing="1"/>
        <w:ind w:firstLine="720"/>
        <w:jc w:val="both"/>
        <w:rPr>
          <w:rFonts w:eastAsia="Calibri"/>
          <w:sz w:val="22"/>
          <w:szCs w:val="22"/>
          <w:lang w:val="fr-CA" w:eastAsia="en-US"/>
        </w:rPr>
      </w:pPr>
      <w:r>
        <w:rPr>
          <w:rFonts w:eastAsia="Calibri"/>
          <w:sz w:val="22"/>
          <w:szCs w:val="22"/>
          <w:lang w:val="fr-CA" w:eastAsia="en-US"/>
        </w:rPr>
        <w:t xml:space="preserve">D’ailleurs, </w:t>
      </w:r>
      <w:r w:rsidRPr="00217EFC">
        <w:rPr>
          <w:rFonts w:eastAsia="Calibri"/>
          <w:sz w:val="22"/>
          <w:szCs w:val="22"/>
          <w:lang w:val="fr-CA" w:eastAsia="en-US"/>
        </w:rPr>
        <w:t xml:space="preserve">Jean-Georges LeBoutiller </w:t>
      </w:r>
      <w:r>
        <w:rPr>
          <w:rFonts w:eastAsia="Calibri"/>
          <w:sz w:val="22"/>
          <w:szCs w:val="22"/>
          <w:lang w:val="fr-CA" w:eastAsia="en-US"/>
        </w:rPr>
        <w:t xml:space="preserve">agit en tant que </w:t>
      </w:r>
      <w:r w:rsidRPr="00217EFC">
        <w:rPr>
          <w:rFonts w:eastAsia="Calibri"/>
          <w:sz w:val="22"/>
          <w:szCs w:val="22"/>
          <w:lang w:val="fr-CA" w:eastAsia="en-US"/>
        </w:rPr>
        <w:t xml:space="preserve">correspondant pour </w:t>
      </w:r>
      <w:r w:rsidRPr="00044B46">
        <w:rPr>
          <w:rFonts w:eastAsia="Calibri"/>
          <w:i/>
          <w:sz w:val="22"/>
          <w:szCs w:val="22"/>
          <w:lang w:val="fr-CA" w:eastAsia="en-US"/>
        </w:rPr>
        <w:t>La</w:t>
      </w:r>
      <w:r w:rsidRPr="00E760E4">
        <w:rPr>
          <w:rFonts w:eastAsia="Calibri"/>
          <w:i/>
          <w:sz w:val="22"/>
          <w:lang w:val="fr-CA"/>
        </w:rPr>
        <w:t xml:space="preserve"> Presse</w:t>
      </w:r>
      <w:r w:rsidRPr="00217EFC">
        <w:rPr>
          <w:rFonts w:eastAsia="Calibri"/>
          <w:sz w:val="22"/>
          <w:szCs w:val="22"/>
          <w:lang w:val="fr-CA" w:eastAsia="en-US"/>
        </w:rPr>
        <w:t xml:space="preserve"> de Montréal, en 1895</w:t>
      </w:r>
      <w:r>
        <w:rPr>
          <w:rFonts w:eastAsia="Calibri"/>
          <w:sz w:val="22"/>
          <w:szCs w:val="22"/>
          <w:lang w:val="fr-CA" w:eastAsia="en-US"/>
        </w:rPr>
        <w:t>.</w:t>
      </w:r>
      <w:r w:rsidRPr="00217EFC">
        <w:rPr>
          <w:rFonts w:eastAsia="Calibri"/>
          <w:sz w:val="22"/>
          <w:szCs w:val="22"/>
          <w:lang w:val="fr-CA" w:eastAsia="en-US"/>
        </w:rPr>
        <w:t xml:space="preserve"> </w:t>
      </w:r>
      <w:r w:rsidRPr="00E760E4">
        <w:rPr>
          <w:rFonts w:eastAsia="Calibri"/>
          <w:i/>
          <w:sz w:val="22"/>
          <w:lang w:val="fr-CA"/>
        </w:rPr>
        <w:t>La Presse</w:t>
      </w:r>
      <w:r w:rsidRPr="00217EFC">
        <w:rPr>
          <w:rFonts w:eastAsia="Calibri"/>
          <w:sz w:val="22"/>
          <w:szCs w:val="22"/>
          <w:lang w:val="fr-CA" w:eastAsia="en-US"/>
        </w:rPr>
        <w:t xml:space="preserve"> </w:t>
      </w:r>
      <w:r>
        <w:rPr>
          <w:rFonts w:eastAsia="Calibri"/>
          <w:sz w:val="22"/>
          <w:szCs w:val="22"/>
          <w:lang w:val="fr-CA" w:eastAsia="en-US"/>
        </w:rPr>
        <w:t xml:space="preserve">le reconnait </w:t>
      </w:r>
      <w:r w:rsidRPr="00217EFC">
        <w:rPr>
          <w:rFonts w:eastAsia="Calibri"/>
          <w:sz w:val="22"/>
          <w:szCs w:val="22"/>
          <w:lang w:val="fr-CA" w:eastAsia="en-US"/>
        </w:rPr>
        <w:t xml:space="preserve">pour </w:t>
      </w:r>
      <w:r>
        <w:rPr>
          <w:rFonts w:eastAsia="Calibri"/>
          <w:sz w:val="22"/>
          <w:szCs w:val="22"/>
          <w:lang w:val="fr-CA" w:eastAsia="en-US"/>
        </w:rPr>
        <w:t xml:space="preserve">avoir </w:t>
      </w:r>
      <w:r w:rsidRPr="00217EFC">
        <w:rPr>
          <w:rFonts w:eastAsia="Calibri"/>
          <w:sz w:val="22"/>
          <w:szCs w:val="22"/>
          <w:lang w:val="fr-CA" w:eastAsia="en-US"/>
        </w:rPr>
        <w:t>rapport</w:t>
      </w:r>
      <w:r w:rsidRPr="003E3BA5">
        <w:rPr>
          <w:rFonts w:eastAsia="Calibri"/>
          <w:sz w:val="22"/>
          <w:szCs w:val="22"/>
          <w:lang w:val="fr-CA" w:eastAsia="en-US"/>
        </w:rPr>
        <w:t>é</w:t>
      </w:r>
      <w:r w:rsidRPr="00217EFC">
        <w:rPr>
          <w:rFonts w:eastAsia="Calibri"/>
          <w:sz w:val="22"/>
          <w:szCs w:val="22"/>
          <w:lang w:val="fr-CA" w:eastAsia="en-US"/>
        </w:rPr>
        <w:t xml:space="preserve"> impartialement les évènements relatifs aux grèves dans les filatures de cotons</w:t>
      </w:r>
      <w:r>
        <w:rPr>
          <w:rFonts w:eastAsia="Calibri"/>
          <w:sz w:val="22"/>
          <w:szCs w:val="22"/>
          <w:lang w:val="fr-CA" w:eastAsia="en-US"/>
        </w:rPr>
        <w:t>,</w:t>
      </w:r>
      <w:r w:rsidRPr="00217EFC">
        <w:rPr>
          <w:rFonts w:eastAsia="Calibri"/>
          <w:sz w:val="22"/>
          <w:szCs w:val="22"/>
          <w:lang w:val="fr-CA" w:eastAsia="en-US"/>
        </w:rPr>
        <w:t xml:space="preserve"> entre 1897-1898. À la fin des protestations, </w:t>
      </w:r>
      <w:r w:rsidR="00A831CD" w:rsidRPr="00A831CD">
        <w:rPr>
          <w:rFonts w:eastAsia="Calibri"/>
          <w:i/>
          <w:iCs/>
          <w:sz w:val="22"/>
          <w:szCs w:val="22"/>
          <w:lang w:val="fr-CA" w:eastAsia="en-US"/>
        </w:rPr>
        <w:t>L</w:t>
      </w:r>
      <w:r w:rsidRPr="00A831CD">
        <w:rPr>
          <w:rFonts w:eastAsia="Calibri"/>
          <w:i/>
          <w:iCs/>
          <w:sz w:val="22"/>
          <w:szCs w:val="22"/>
          <w:lang w:val="fr-CA" w:eastAsia="en-US"/>
        </w:rPr>
        <w:t>a Presse</w:t>
      </w:r>
      <w:r w:rsidRPr="00217EFC">
        <w:rPr>
          <w:rFonts w:eastAsia="Calibri"/>
          <w:sz w:val="22"/>
          <w:szCs w:val="22"/>
          <w:lang w:val="fr-CA" w:eastAsia="en-US"/>
        </w:rPr>
        <w:t xml:space="preserve"> rapporte ainsi les observations de LeBoutillier</w:t>
      </w:r>
      <w:r w:rsidR="002B1534">
        <w:rPr>
          <w:rFonts w:eastAsia="Calibri"/>
          <w:sz w:val="22"/>
          <w:szCs w:val="22"/>
          <w:lang w:val="fr-CA" w:eastAsia="en-US"/>
        </w:rPr>
        <w:t> </w:t>
      </w:r>
      <w:r w:rsidRPr="00217EFC">
        <w:rPr>
          <w:rFonts w:eastAsia="Calibri"/>
          <w:sz w:val="22"/>
          <w:szCs w:val="22"/>
          <w:lang w:val="fr-CA" w:eastAsia="en-US"/>
        </w:rPr>
        <w:t>:</w:t>
      </w:r>
    </w:p>
    <w:p w14:paraId="1FE499DE" w14:textId="77777777" w:rsidR="000264D6" w:rsidRPr="00E760E4" w:rsidRDefault="000264D6" w:rsidP="00E760E4">
      <w:pPr>
        <w:spacing w:before="100" w:beforeAutospacing="1" w:after="100" w:afterAutospacing="1"/>
        <w:ind w:left="992" w:right="1128"/>
        <w:jc w:val="both"/>
        <w:rPr>
          <w:rFonts w:eastAsia="Calibri"/>
          <w:sz w:val="20"/>
          <w:lang w:val="fr-CA"/>
        </w:rPr>
      </w:pPr>
      <w:r w:rsidRPr="00E760E4">
        <w:rPr>
          <w:rFonts w:eastAsia="Calibri"/>
          <w:sz w:val="20"/>
          <w:lang w:val="fr-CA"/>
        </w:rPr>
        <w:t>«</w:t>
      </w:r>
      <w:r w:rsidR="002B1534">
        <w:rPr>
          <w:rFonts w:eastAsia="Calibri"/>
          <w:sz w:val="20"/>
          <w:lang w:val="fr-CA"/>
        </w:rPr>
        <w:t> </w:t>
      </w:r>
      <w:r w:rsidRPr="00E760E4">
        <w:rPr>
          <w:rFonts w:eastAsia="Calibri"/>
          <w:sz w:val="20"/>
          <w:lang w:val="fr-CA"/>
        </w:rPr>
        <w:t>La leçon, qui ressort de ces malheureux troubles, c</w:t>
      </w:r>
      <w:r w:rsidR="002B1534">
        <w:rPr>
          <w:rFonts w:eastAsia="Calibri"/>
          <w:sz w:val="20"/>
          <w:lang w:val="fr-CA"/>
        </w:rPr>
        <w:t>’</w:t>
      </w:r>
      <w:r w:rsidRPr="00E760E4">
        <w:rPr>
          <w:rFonts w:eastAsia="Calibri"/>
          <w:sz w:val="20"/>
          <w:lang w:val="fr-CA"/>
        </w:rPr>
        <w:t>est que, dans l</w:t>
      </w:r>
      <w:r w:rsidR="002B1534">
        <w:rPr>
          <w:rFonts w:eastAsia="Calibri"/>
          <w:sz w:val="20"/>
          <w:lang w:val="fr-CA"/>
        </w:rPr>
        <w:t>’</w:t>
      </w:r>
      <w:r w:rsidRPr="00E760E4">
        <w:rPr>
          <w:rFonts w:eastAsia="Calibri"/>
          <w:sz w:val="20"/>
          <w:lang w:val="fr-CA"/>
        </w:rPr>
        <w:t>antagonisme du travail et du capital, le capital organisé est pratiquement invincible, et que jusqu</w:t>
      </w:r>
      <w:r w:rsidR="002B1534">
        <w:rPr>
          <w:rFonts w:eastAsia="Calibri"/>
          <w:sz w:val="20"/>
          <w:lang w:val="fr-CA"/>
        </w:rPr>
        <w:t>’</w:t>
      </w:r>
      <w:r w:rsidRPr="00E760E4">
        <w:rPr>
          <w:rFonts w:eastAsia="Calibri"/>
          <w:sz w:val="20"/>
          <w:lang w:val="fr-CA"/>
        </w:rPr>
        <w:t>à ce que les conditions soient changées par la législation ou par une plus puissante et plus parfaite organisation du travail, celui-ci sortira toujours de ces conflits, amoindri</w:t>
      </w:r>
      <w:r w:rsidR="002B1534">
        <w:rPr>
          <w:rFonts w:eastAsia="Calibri"/>
          <w:sz w:val="20"/>
          <w:lang w:val="fr-CA"/>
        </w:rPr>
        <w:t>s</w:t>
      </w:r>
      <w:r w:rsidRPr="00E760E4">
        <w:rPr>
          <w:rFonts w:eastAsia="Calibri"/>
          <w:sz w:val="20"/>
          <w:lang w:val="fr-CA"/>
        </w:rPr>
        <w:t>, dans son pouvoir et dans ses moyens. Malgré tout, malgré cette nouvelle défaite, les ouvriers de la Nouvelle-Angleterre ont tiré de l</w:t>
      </w:r>
      <w:r w:rsidR="002B1534">
        <w:rPr>
          <w:rFonts w:eastAsia="Calibri"/>
          <w:sz w:val="20"/>
          <w:lang w:val="fr-CA"/>
        </w:rPr>
        <w:t>’</w:t>
      </w:r>
      <w:r w:rsidRPr="00E760E4">
        <w:rPr>
          <w:rFonts w:eastAsia="Calibri"/>
          <w:sz w:val="20"/>
          <w:lang w:val="fr-CA"/>
        </w:rPr>
        <w:t>épreuve des enseignements d</w:t>
      </w:r>
      <w:r w:rsidR="002B1534">
        <w:rPr>
          <w:rFonts w:eastAsia="Calibri"/>
          <w:sz w:val="20"/>
          <w:lang w:val="fr-CA"/>
        </w:rPr>
        <w:t>’</w:t>
      </w:r>
      <w:r w:rsidRPr="00E760E4">
        <w:rPr>
          <w:rFonts w:eastAsia="Calibri"/>
          <w:sz w:val="20"/>
          <w:lang w:val="fr-CA"/>
        </w:rPr>
        <w:t>une bien grande utilité pour l</w:t>
      </w:r>
      <w:r w:rsidR="002B1534">
        <w:rPr>
          <w:rFonts w:eastAsia="Calibri"/>
          <w:sz w:val="20"/>
          <w:lang w:val="fr-CA"/>
        </w:rPr>
        <w:t>’</w:t>
      </w:r>
      <w:r w:rsidRPr="00E760E4">
        <w:rPr>
          <w:rFonts w:eastAsia="Calibri"/>
          <w:sz w:val="20"/>
          <w:lang w:val="fr-CA"/>
        </w:rPr>
        <w:t>avenir</w:t>
      </w:r>
      <w:r w:rsidR="002B1534">
        <w:rPr>
          <w:rFonts w:eastAsia="Calibri"/>
          <w:sz w:val="20"/>
          <w:lang w:val="fr-CA"/>
        </w:rPr>
        <w:t> </w:t>
      </w:r>
      <w:r w:rsidRPr="00E760E4">
        <w:rPr>
          <w:rFonts w:eastAsia="Calibri"/>
          <w:sz w:val="20"/>
          <w:lang w:val="fr-CA"/>
        </w:rPr>
        <w:t>; le principal, c</w:t>
      </w:r>
      <w:r w:rsidR="002B1534">
        <w:rPr>
          <w:rFonts w:eastAsia="Calibri"/>
          <w:sz w:val="20"/>
          <w:lang w:val="fr-CA"/>
        </w:rPr>
        <w:t>’</w:t>
      </w:r>
      <w:r w:rsidRPr="00E760E4">
        <w:rPr>
          <w:rFonts w:eastAsia="Calibri"/>
          <w:sz w:val="20"/>
          <w:lang w:val="fr-CA"/>
        </w:rPr>
        <w:t>est que plus que jamais, à l</w:t>
      </w:r>
      <w:r w:rsidR="002B1534">
        <w:rPr>
          <w:rFonts w:eastAsia="Calibri"/>
          <w:sz w:val="20"/>
          <w:lang w:val="fr-CA"/>
        </w:rPr>
        <w:t>’</w:t>
      </w:r>
      <w:r w:rsidRPr="00E760E4">
        <w:rPr>
          <w:rFonts w:eastAsia="Calibri"/>
          <w:sz w:val="20"/>
          <w:lang w:val="fr-CA"/>
        </w:rPr>
        <w:t>organisation des patrons, ils doivent opposer l</w:t>
      </w:r>
      <w:r w:rsidR="002B1534">
        <w:rPr>
          <w:rFonts w:eastAsia="Calibri"/>
          <w:sz w:val="20"/>
          <w:lang w:val="fr-CA"/>
        </w:rPr>
        <w:t>’</w:t>
      </w:r>
      <w:r w:rsidRPr="00E760E4">
        <w:rPr>
          <w:rFonts w:eastAsia="Calibri"/>
          <w:sz w:val="20"/>
          <w:lang w:val="fr-CA"/>
        </w:rPr>
        <w:t>organisation du travail, une organisation efficace, consciente et non seulement soutenue par les fonds volontaires, mais par une universelle entente et l</w:t>
      </w:r>
      <w:r w:rsidR="002B1534">
        <w:rPr>
          <w:rFonts w:eastAsia="Calibri"/>
          <w:sz w:val="20"/>
          <w:lang w:val="fr-CA"/>
        </w:rPr>
        <w:t>’</w:t>
      </w:r>
      <w:r w:rsidRPr="00E760E4">
        <w:rPr>
          <w:rFonts w:eastAsia="Calibri"/>
          <w:sz w:val="20"/>
          <w:lang w:val="fr-CA"/>
        </w:rPr>
        <w:t>exercice concerté du suffrage</w:t>
      </w:r>
      <w:r w:rsidR="002B1534">
        <w:rPr>
          <w:rFonts w:eastAsia="Calibri"/>
          <w:sz w:val="20"/>
          <w:lang w:val="fr-CA"/>
        </w:rPr>
        <w:t> </w:t>
      </w:r>
      <w:r w:rsidRPr="00E760E4">
        <w:rPr>
          <w:rFonts w:eastAsia="Calibri"/>
          <w:sz w:val="20"/>
          <w:lang w:val="fr-CA"/>
        </w:rPr>
        <w:t>»</w:t>
      </w:r>
      <w:r w:rsidRPr="00E760E4">
        <w:rPr>
          <w:rStyle w:val="FootnoteReference"/>
          <w:rFonts w:eastAsia="Calibri"/>
          <w:sz w:val="20"/>
          <w:lang w:val="fr-CA"/>
        </w:rPr>
        <w:footnoteReference w:id="113"/>
      </w:r>
      <w:r w:rsidRPr="00E760E4">
        <w:rPr>
          <w:rFonts w:eastAsia="Calibri"/>
          <w:sz w:val="20"/>
          <w:lang w:val="fr-CA"/>
        </w:rPr>
        <w:t xml:space="preserve">. </w:t>
      </w:r>
    </w:p>
    <w:p w14:paraId="1FEF8E66" w14:textId="77777777" w:rsidR="000264D6"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C’est plutôt la vision réaliste de LeBoutillier face aux événements qui est ainsi appréciée par la direction de </w:t>
      </w:r>
      <w:r w:rsidRPr="00044B46">
        <w:rPr>
          <w:rFonts w:eastAsia="Calibri"/>
          <w:i/>
          <w:sz w:val="22"/>
          <w:szCs w:val="22"/>
          <w:lang w:val="fr-CA" w:eastAsia="en-US"/>
        </w:rPr>
        <w:t>La</w:t>
      </w:r>
      <w:r w:rsidRPr="00E760E4">
        <w:rPr>
          <w:rFonts w:eastAsia="Calibri"/>
          <w:i/>
          <w:sz w:val="22"/>
          <w:lang w:val="fr-CA"/>
        </w:rPr>
        <w:t xml:space="preserve"> Presse</w:t>
      </w:r>
      <w:r w:rsidRPr="00217EFC">
        <w:rPr>
          <w:rFonts w:eastAsia="Calibri"/>
          <w:sz w:val="22"/>
          <w:szCs w:val="22"/>
          <w:lang w:val="fr-CA" w:eastAsia="en-US"/>
        </w:rPr>
        <w:t xml:space="preserve">. Lorsque nous analysons la préface de </w:t>
      </w:r>
      <w:r w:rsidRPr="00217EFC">
        <w:rPr>
          <w:rFonts w:eastAsia="Calibri"/>
          <w:i/>
          <w:iCs/>
          <w:sz w:val="22"/>
          <w:szCs w:val="22"/>
          <w:lang w:val="fr-CA" w:eastAsia="en-US"/>
        </w:rPr>
        <w:t>L’histoire de la presse franco-</w:t>
      </w:r>
      <w:r w:rsidRPr="00217EFC">
        <w:rPr>
          <w:rFonts w:eastAsia="Calibri"/>
          <w:i/>
          <w:iCs/>
          <w:sz w:val="22"/>
          <w:szCs w:val="22"/>
          <w:lang w:val="fr-CA" w:eastAsia="en-US"/>
        </w:rPr>
        <w:lastRenderedPageBreak/>
        <w:t>américaine</w:t>
      </w:r>
      <w:r w:rsidRPr="00217EFC">
        <w:rPr>
          <w:rFonts w:eastAsia="Calibri"/>
          <w:sz w:val="22"/>
          <w:szCs w:val="22"/>
          <w:lang w:val="fr-CA" w:eastAsia="en-US"/>
        </w:rPr>
        <w:t xml:space="preserve"> qu’il a rédigé, en 1911, nous pouvons également </w:t>
      </w:r>
      <w:r>
        <w:rPr>
          <w:rFonts w:eastAsia="Calibri"/>
          <w:sz w:val="22"/>
          <w:szCs w:val="22"/>
          <w:lang w:val="fr-CA" w:eastAsia="en-US"/>
        </w:rPr>
        <w:t>souligner</w:t>
      </w:r>
      <w:r w:rsidRPr="00217EFC">
        <w:rPr>
          <w:rFonts w:eastAsia="Calibri"/>
          <w:sz w:val="22"/>
          <w:szCs w:val="22"/>
          <w:lang w:val="fr-CA" w:eastAsia="en-US"/>
        </w:rPr>
        <w:t>, a posteriori, que ses observations sont également justes quant à la pérennité de l’usage de la langue française aux États-Unis</w:t>
      </w:r>
      <w:r w:rsidRPr="00217EFC">
        <w:rPr>
          <w:rStyle w:val="FootnoteReference"/>
          <w:rFonts w:eastAsia="Calibri"/>
          <w:sz w:val="22"/>
          <w:szCs w:val="22"/>
          <w:lang w:val="fr-CA" w:eastAsia="en-US"/>
        </w:rPr>
        <w:footnoteReference w:id="114"/>
      </w:r>
      <w:r w:rsidRPr="00217EFC">
        <w:rPr>
          <w:rFonts w:eastAsia="Calibri"/>
          <w:sz w:val="22"/>
          <w:szCs w:val="22"/>
          <w:lang w:val="fr-CA" w:eastAsia="en-US"/>
        </w:rPr>
        <w:t xml:space="preserve">. Tout en faisant la promotion de la continuité de la francophonie en Nouvelle-Angleterre, ses propos ne recherchent pas le sensationnel. De plus, il défend avec ardeur l’argument que l’enseignement et l’usage du français par les Franco-Américains doivent être primordiaux. Son activisme ne se limite pas seulement à faire une place de premier plan </w:t>
      </w:r>
      <w:r>
        <w:rPr>
          <w:rFonts w:eastAsia="Calibri"/>
          <w:sz w:val="22"/>
          <w:szCs w:val="22"/>
          <w:lang w:val="fr-CA" w:eastAsia="en-US"/>
        </w:rPr>
        <w:t xml:space="preserve">pour </w:t>
      </w:r>
      <w:r w:rsidRPr="00217EFC">
        <w:rPr>
          <w:rFonts w:eastAsia="Calibri"/>
          <w:sz w:val="22"/>
          <w:szCs w:val="22"/>
          <w:lang w:val="fr-CA" w:eastAsia="en-US"/>
        </w:rPr>
        <w:t>l’</w:t>
      </w:r>
      <w:r>
        <w:rPr>
          <w:rFonts w:eastAsia="Calibri"/>
          <w:sz w:val="22"/>
          <w:szCs w:val="22"/>
          <w:lang w:val="fr-CA" w:eastAsia="en-US"/>
        </w:rPr>
        <w:t xml:space="preserve">emploi </w:t>
      </w:r>
      <w:r w:rsidRPr="00217EFC">
        <w:rPr>
          <w:rFonts w:eastAsia="Calibri"/>
          <w:sz w:val="22"/>
          <w:szCs w:val="22"/>
          <w:lang w:val="fr-CA" w:eastAsia="en-US"/>
        </w:rPr>
        <w:t xml:space="preserve">du français dans les institutions d’enseignement, mais il insiste </w:t>
      </w:r>
      <w:r>
        <w:rPr>
          <w:rFonts w:eastAsia="Calibri"/>
          <w:sz w:val="22"/>
          <w:szCs w:val="22"/>
          <w:lang w:val="fr-CA" w:eastAsia="en-US"/>
        </w:rPr>
        <w:t xml:space="preserve">aussi pour </w:t>
      </w:r>
      <w:r w:rsidRPr="00217EFC">
        <w:rPr>
          <w:rFonts w:eastAsia="Calibri"/>
          <w:sz w:val="22"/>
          <w:szCs w:val="22"/>
          <w:lang w:val="fr-CA" w:eastAsia="en-US"/>
        </w:rPr>
        <w:t xml:space="preserve">que son </w:t>
      </w:r>
      <w:r>
        <w:rPr>
          <w:rFonts w:eastAsia="Calibri"/>
          <w:sz w:val="22"/>
          <w:szCs w:val="22"/>
          <w:lang w:val="fr-CA" w:eastAsia="en-US"/>
        </w:rPr>
        <w:t xml:space="preserve">usage </w:t>
      </w:r>
      <w:r w:rsidRPr="00116B13">
        <w:rPr>
          <w:rFonts w:eastAsia="Calibri"/>
          <w:sz w:val="22"/>
          <w:szCs w:val="22"/>
          <w:lang w:val="fr-CA" w:eastAsia="en-US"/>
        </w:rPr>
        <w:t>soit parti intégral de tous les aspects de la vie des Franco-Américains, tant personnelle que sociale</w:t>
      </w:r>
      <w:r w:rsidRPr="00116B13">
        <w:rPr>
          <w:rStyle w:val="FootnoteReference"/>
          <w:rFonts w:eastAsia="Calibri"/>
          <w:sz w:val="22"/>
          <w:szCs w:val="22"/>
          <w:lang w:val="fr-CA" w:eastAsia="en-US"/>
        </w:rPr>
        <w:footnoteReference w:id="115"/>
      </w:r>
      <w:r w:rsidRPr="00116B13">
        <w:rPr>
          <w:rFonts w:eastAsia="Calibri"/>
          <w:sz w:val="22"/>
          <w:szCs w:val="22"/>
          <w:lang w:val="fr-CA" w:eastAsia="en-US"/>
        </w:rPr>
        <w:t>.</w:t>
      </w:r>
    </w:p>
    <w:p w14:paraId="4436B419" w14:textId="77777777" w:rsidR="000264D6" w:rsidRPr="003E3BA5" w:rsidRDefault="000264D6" w:rsidP="003C57D5">
      <w:pPr>
        <w:spacing w:before="100" w:beforeAutospacing="1" w:after="100" w:afterAutospacing="1" w:line="480" w:lineRule="auto"/>
        <w:jc w:val="both"/>
        <w:rPr>
          <w:rFonts w:eastAsia="Calibri"/>
          <w:b/>
          <w:bCs/>
          <w:sz w:val="22"/>
          <w:szCs w:val="22"/>
          <w:lang w:val="fr-CA" w:eastAsia="en-US"/>
        </w:rPr>
      </w:pPr>
      <w:r w:rsidRPr="003E3BA5">
        <w:rPr>
          <w:rFonts w:eastAsia="Calibri"/>
          <w:b/>
          <w:bCs/>
          <w:sz w:val="22"/>
          <w:szCs w:val="22"/>
          <w:lang w:val="fr-CA" w:eastAsia="en-US"/>
        </w:rPr>
        <w:t>Les Franco-Américains et la politique</w:t>
      </w:r>
    </w:p>
    <w:p w14:paraId="01A80325"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Les Franco-Américains participent </w:t>
      </w:r>
      <w:r>
        <w:rPr>
          <w:rFonts w:eastAsia="Calibri"/>
          <w:sz w:val="22"/>
          <w:szCs w:val="22"/>
          <w:lang w:val="fr-CA" w:eastAsia="en-US"/>
        </w:rPr>
        <w:t xml:space="preserve">activement et </w:t>
      </w:r>
      <w:r w:rsidRPr="00217EFC">
        <w:rPr>
          <w:rFonts w:eastAsia="Calibri"/>
          <w:sz w:val="22"/>
          <w:szCs w:val="22"/>
          <w:lang w:val="fr-CA" w:eastAsia="en-US"/>
        </w:rPr>
        <w:t xml:space="preserve">en grand nombre à la gestion des affaires municipales de Manchester. On retrouve des Franco-Américains dans tous les comités exécutifs et </w:t>
      </w:r>
      <w:r>
        <w:rPr>
          <w:rFonts w:eastAsia="Calibri"/>
          <w:sz w:val="22"/>
          <w:szCs w:val="22"/>
          <w:lang w:val="fr-CA" w:eastAsia="en-US"/>
        </w:rPr>
        <w:t xml:space="preserve">les </w:t>
      </w:r>
      <w:r w:rsidRPr="00217EFC">
        <w:rPr>
          <w:rFonts w:eastAsia="Calibri"/>
          <w:sz w:val="22"/>
          <w:szCs w:val="22"/>
          <w:lang w:val="fr-CA" w:eastAsia="en-US"/>
        </w:rPr>
        <w:t>divisions administratives de la municipalité. Par exemple, entre 1912 et 1916, sur les treize quartiers de la ville, les populations des quartiers</w:t>
      </w:r>
      <w:r w:rsidR="002B1534">
        <w:rPr>
          <w:rFonts w:eastAsia="Calibri"/>
          <w:sz w:val="22"/>
          <w:szCs w:val="22"/>
          <w:lang w:val="fr-CA" w:eastAsia="en-US"/>
        </w:rPr>
        <w:t> </w:t>
      </w:r>
      <w:r w:rsidRPr="00217EFC">
        <w:rPr>
          <w:rFonts w:eastAsia="Calibri"/>
          <w:sz w:val="22"/>
          <w:szCs w:val="22"/>
          <w:lang w:val="fr-CA" w:eastAsia="en-US"/>
        </w:rPr>
        <w:t xml:space="preserve">9, 10 et 12 ont élu à la fois des échevins </w:t>
      </w:r>
      <w:r>
        <w:rPr>
          <w:rFonts w:eastAsia="Calibri"/>
          <w:sz w:val="22"/>
          <w:szCs w:val="22"/>
          <w:lang w:val="fr-CA" w:eastAsia="en-US"/>
        </w:rPr>
        <w:t>f</w:t>
      </w:r>
      <w:r w:rsidRPr="00217EFC">
        <w:rPr>
          <w:rFonts w:eastAsia="Calibri"/>
          <w:sz w:val="22"/>
          <w:szCs w:val="22"/>
          <w:lang w:val="fr-CA" w:eastAsia="en-US"/>
        </w:rPr>
        <w:t>ranco-</w:t>
      </w:r>
      <w:r>
        <w:rPr>
          <w:rFonts w:eastAsia="Calibri"/>
          <w:sz w:val="22"/>
          <w:szCs w:val="22"/>
          <w:lang w:val="fr-CA" w:eastAsia="en-US"/>
        </w:rPr>
        <w:t>a</w:t>
      </w:r>
      <w:r w:rsidRPr="00217EFC">
        <w:rPr>
          <w:rFonts w:eastAsia="Calibri"/>
          <w:sz w:val="22"/>
          <w:szCs w:val="22"/>
          <w:lang w:val="fr-CA" w:eastAsia="en-US"/>
        </w:rPr>
        <w:t>méricains et au moins un ou plusieurs conseillers municipaux. De plus, des conseillers franco-américains sont présent</w:t>
      </w:r>
      <w:r>
        <w:rPr>
          <w:rFonts w:eastAsia="Calibri"/>
          <w:sz w:val="22"/>
          <w:szCs w:val="22"/>
          <w:lang w:val="fr-CA" w:eastAsia="en-US"/>
        </w:rPr>
        <w:t>s</w:t>
      </w:r>
      <w:r w:rsidRPr="00217EFC">
        <w:rPr>
          <w:rFonts w:eastAsia="Calibri"/>
          <w:sz w:val="22"/>
          <w:szCs w:val="22"/>
          <w:lang w:val="fr-CA" w:eastAsia="en-US"/>
        </w:rPr>
        <w:t xml:space="preserve"> dans les quartiers</w:t>
      </w:r>
      <w:r w:rsidR="002B1534">
        <w:rPr>
          <w:rFonts w:eastAsia="Calibri"/>
          <w:sz w:val="22"/>
          <w:szCs w:val="22"/>
          <w:lang w:val="fr-CA" w:eastAsia="en-US"/>
        </w:rPr>
        <w:t> </w:t>
      </w:r>
      <w:r w:rsidRPr="00217EFC">
        <w:rPr>
          <w:rFonts w:eastAsia="Calibri"/>
          <w:sz w:val="22"/>
          <w:szCs w:val="22"/>
          <w:lang w:val="fr-CA" w:eastAsia="en-US"/>
        </w:rPr>
        <w:t>2, 3, 4 et 6</w:t>
      </w:r>
      <w:r w:rsidRPr="00217EFC">
        <w:rPr>
          <w:rStyle w:val="FootnoteReference"/>
          <w:rFonts w:eastAsia="Calibri"/>
          <w:sz w:val="22"/>
          <w:szCs w:val="22"/>
          <w:lang w:val="fr-CA" w:eastAsia="en-US"/>
        </w:rPr>
        <w:footnoteReference w:id="116"/>
      </w:r>
      <w:r w:rsidRPr="00217EFC">
        <w:rPr>
          <w:rFonts w:eastAsia="Calibri"/>
          <w:sz w:val="22"/>
          <w:szCs w:val="22"/>
          <w:lang w:val="fr-CA" w:eastAsia="en-US"/>
        </w:rPr>
        <w:t>. Quant aux postes administratifs de la ville</w:t>
      </w:r>
      <w:r>
        <w:rPr>
          <w:rFonts w:eastAsia="Calibri"/>
          <w:sz w:val="22"/>
          <w:szCs w:val="22"/>
          <w:lang w:val="fr-CA" w:eastAsia="en-US"/>
        </w:rPr>
        <w:t>,</w:t>
      </w:r>
      <w:r w:rsidRPr="00217EFC">
        <w:rPr>
          <w:rFonts w:eastAsia="Calibri"/>
          <w:sz w:val="22"/>
          <w:szCs w:val="22"/>
          <w:lang w:val="fr-CA" w:eastAsia="en-US"/>
        </w:rPr>
        <w:t xml:space="preserve"> les </w:t>
      </w:r>
      <w:r>
        <w:rPr>
          <w:rFonts w:eastAsia="Calibri"/>
          <w:sz w:val="22"/>
          <w:szCs w:val="22"/>
          <w:lang w:val="fr-CA" w:eastAsia="en-US"/>
        </w:rPr>
        <w:t xml:space="preserve">postes de </w:t>
      </w:r>
      <w:r w:rsidRPr="00217EFC">
        <w:rPr>
          <w:rFonts w:eastAsia="Calibri"/>
          <w:sz w:val="22"/>
          <w:szCs w:val="22"/>
          <w:lang w:val="fr-CA" w:eastAsia="en-US"/>
        </w:rPr>
        <w:t>secrétaire des quartiers</w:t>
      </w:r>
      <w:r w:rsidR="002B1534">
        <w:rPr>
          <w:rFonts w:eastAsia="Calibri"/>
          <w:sz w:val="22"/>
          <w:szCs w:val="22"/>
          <w:lang w:val="fr-CA" w:eastAsia="en-US"/>
        </w:rPr>
        <w:t> </w:t>
      </w:r>
      <w:r w:rsidRPr="00217EFC">
        <w:rPr>
          <w:rFonts w:eastAsia="Calibri"/>
          <w:sz w:val="22"/>
          <w:szCs w:val="22"/>
          <w:lang w:val="fr-CA" w:eastAsia="en-US"/>
        </w:rPr>
        <w:t>6, 11, 12, 13 sont occupés par des Franco-Américains</w:t>
      </w:r>
      <w:r>
        <w:rPr>
          <w:rFonts w:eastAsia="Calibri"/>
          <w:sz w:val="22"/>
          <w:szCs w:val="22"/>
          <w:lang w:val="fr-CA" w:eastAsia="en-US"/>
        </w:rPr>
        <w:t>. B</w:t>
      </w:r>
      <w:r w:rsidRPr="00217EFC">
        <w:rPr>
          <w:rFonts w:eastAsia="Calibri"/>
          <w:sz w:val="22"/>
          <w:szCs w:val="22"/>
          <w:lang w:val="fr-CA" w:eastAsia="en-US"/>
        </w:rPr>
        <w:t>eaucoup d</w:t>
      </w:r>
      <w:r>
        <w:rPr>
          <w:rFonts w:eastAsia="Calibri"/>
          <w:sz w:val="22"/>
          <w:szCs w:val="22"/>
          <w:lang w:val="fr-CA" w:eastAsia="en-US"/>
        </w:rPr>
        <w:t xml:space="preserve">’entre eux </w:t>
      </w:r>
      <w:r w:rsidRPr="00217EFC">
        <w:rPr>
          <w:rFonts w:eastAsia="Calibri"/>
          <w:sz w:val="22"/>
          <w:szCs w:val="22"/>
          <w:lang w:val="fr-CA" w:eastAsia="en-US"/>
        </w:rPr>
        <w:t>sont membres des différents comités municipaux</w:t>
      </w:r>
      <w:r>
        <w:rPr>
          <w:rFonts w:eastAsia="Calibri"/>
          <w:sz w:val="22"/>
          <w:szCs w:val="22"/>
          <w:lang w:val="fr-CA" w:eastAsia="en-US"/>
        </w:rPr>
        <w:t xml:space="preserve">, notamment, </w:t>
      </w:r>
      <w:r w:rsidRPr="00217EFC">
        <w:rPr>
          <w:rFonts w:eastAsia="Calibri"/>
          <w:sz w:val="22"/>
          <w:szCs w:val="22"/>
          <w:lang w:val="fr-CA" w:eastAsia="en-US"/>
        </w:rPr>
        <w:t>ceux de l’hygiène, de la police, des finances publiques, de la bibliothèque et des feux et des bornes-fontaines</w:t>
      </w:r>
      <w:r w:rsidRPr="00217EFC">
        <w:rPr>
          <w:rStyle w:val="FootnoteReference"/>
          <w:rFonts w:eastAsia="Calibri"/>
          <w:sz w:val="22"/>
          <w:szCs w:val="22"/>
          <w:lang w:val="fr-CA" w:eastAsia="en-US"/>
        </w:rPr>
        <w:footnoteReference w:id="117"/>
      </w:r>
      <w:r w:rsidRPr="00217EFC">
        <w:rPr>
          <w:rFonts w:eastAsia="Calibri"/>
          <w:sz w:val="22"/>
          <w:szCs w:val="22"/>
          <w:lang w:val="fr-CA" w:eastAsia="en-US"/>
        </w:rPr>
        <w:t>. Un autre fait intéressant est la participation de Messieurs T. Raiche, ancien membre de la Garde Lafayette et d’Henri Voisard aux comités des œuvres charitables, patriotiques et philanthropiques</w:t>
      </w:r>
      <w:r w:rsidRPr="00217EFC">
        <w:rPr>
          <w:rStyle w:val="FootnoteReference"/>
          <w:rFonts w:eastAsia="Calibri"/>
          <w:sz w:val="22"/>
          <w:szCs w:val="22"/>
          <w:lang w:val="fr-CA" w:eastAsia="en-US"/>
        </w:rPr>
        <w:footnoteReference w:id="118"/>
      </w:r>
      <w:r w:rsidRPr="00217EFC">
        <w:rPr>
          <w:rFonts w:eastAsia="Calibri"/>
          <w:sz w:val="22"/>
          <w:szCs w:val="22"/>
          <w:lang w:val="fr-CA" w:eastAsia="en-US"/>
        </w:rPr>
        <w:t>.</w:t>
      </w:r>
    </w:p>
    <w:p w14:paraId="258D50AD"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En 1916, le comté de Hillsborough compte quatorze Franco-Américains qui siègent à la Chambre des représentants de l’État du New Hampshire. Historiquement les Franco-Américains de Manchester choisissent majoritairement des représentants républicains</w:t>
      </w:r>
      <w:r w:rsidRPr="00217EFC">
        <w:rPr>
          <w:rStyle w:val="FootnoteReference"/>
          <w:rFonts w:eastAsia="Calibri"/>
          <w:sz w:val="22"/>
          <w:szCs w:val="22"/>
          <w:lang w:val="fr-CA" w:eastAsia="en-US"/>
        </w:rPr>
        <w:footnoteReference w:id="119"/>
      </w:r>
      <w:r w:rsidRPr="00217EFC">
        <w:rPr>
          <w:rFonts w:eastAsia="Calibri"/>
          <w:sz w:val="22"/>
          <w:szCs w:val="22"/>
          <w:lang w:val="fr-CA" w:eastAsia="en-US"/>
        </w:rPr>
        <w:t xml:space="preserve">. Parmi </w:t>
      </w:r>
      <w:r>
        <w:rPr>
          <w:rFonts w:eastAsia="Calibri"/>
          <w:sz w:val="22"/>
          <w:szCs w:val="22"/>
          <w:lang w:val="fr-CA" w:eastAsia="en-US"/>
        </w:rPr>
        <w:t>c</w:t>
      </w:r>
      <w:r w:rsidRPr="00217EFC">
        <w:rPr>
          <w:rFonts w:eastAsia="Calibri"/>
          <w:sz w:val="22"/>
          <w:szCs w:val="22"/>
          <w:lang w:val="fr-CA" w:eastAsia="en-US"/>
        </w:rPr>
        <w:t xml:space="preserve">es représentants, Maître Aimé Boisvert </w:t>
      </w:r>
      <w:r>
        <w:rPr>
          <w:rFonts w:eastAsia="Calibri"/>
          <w:sz w:val="22"/>
          <w:szCs w:val="22"/>
          <w:lang w:val="fr-CA" w:eastAsia="en-US"/>
        </w:rPr>
        <w:t xml:space="preserve">a </w:t>
      </w:r>
      <w:r w:rsidRPr="00217EFC">
        <w:rPr>
          <w:rFonts w:eastAsia="Calibri"/>
          <w:sz w:val="22"/>
          <w:szCs w:val="22"/>
          <w:lang w:val="fr-CA" w:eastAsia="en-US"/>
        </w:rPr>
        <w:t>rempli les fonctions de procureur pour le comté et en 1904, il est «</w:t>
      </w:r>
      <w:r w:rsidR="002B1534">
        <w:rPr>
          <w:rFonts w:eastAsia="Calibri"/>
          <w:sz w:val="22"/>
          <w:szCs w:val="22"/>
          <w:lang w:val="fr-CA" w:eastAsia="en-US"/>
        </w:rPr>
        <w:t> </w:t>
      </w:r>
      <w:r w:rsidRPr="00217EFC">
        <w:rPr>
          <w:rFonts w:eastAsia="Calibri"/>
          <w:sz w:val="22"/>
          <w:szCs w:val="22"/>
          <w:lang w:val="fr-CA" w:eastAsia="en-US"/>
        </w:rPr>
        <w:t>membre du comité exécutif du parti républicain de l’État</w:t>
      </w:r>
      <w:r w:rsidR="002B1534">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120"/>
      </w:r>
      <w:r w:rsidRPr="00217EFC">
        <w:rPr>
          <w:rFonts w:eastAsia="Calibri"/>
          <w:sz w:val="22"/>
          <w:szCs w:val="22"/>
          <w:lang w:val="fr-CA" w:eastAsia="en-US"/>
        </w:rPr>
        <w:t xml:space="preserve">. De plus, en 1916, trois Franco-Américains sont </w:t>
      </w:r>
      <w:r w:rsidR="002B1534">
        <w:rPr>
          <w:rFonts w:eastAsia="Calibri"/>
          <w:sz w:val="22"/>
          <w:szCs w:val="22"/>
          <w:lang w:val="fr-CA" w:eastAsia="en-US"/>
        </w:rPr>
        <w:t>sélection</w:t>
      </w:r>
      <w:r w:rsidRPr="00217EFC">
        <w:rPr>
          <w:rFonts w:eastAsia="Calibri"/>
          <w:sz w:val="22"/>
          <w:szCs w:val="22"/>
          <w:lang w:val="fr-CA" w:eastAsia="en-US"/>
        </w:rPr>
        <w:t>nés pour remplir les postes de syndic des institutions d’État, commissionnaire du bureau pharmaceutique de l’État et de commissaire de police de Manchester</w:t>
      </w:r>
      <w:r w:rsidRPr="00217EFC">
        <w:rPr>
          <w:rStyle w:val="FootnoteReference"/>
          <w:rFonts w:eastAsia="Calibri"/>
          <w:sz w:val="22"/>
          <w:szCs w:val="22"/>
          <w:lang w:val="fr-CA" w:eastAsia="en-US"/>
        </w:rPr>
        <w:footnoteReference w:id="121"/>
      </w:r>
      <w:r w:rsidRPr="00217EFC">
        <w:rPr>
          <w:rFonts w:eastAsia="Calibri"/>
          <w:sz w:val="22"/>
          <w:szCs w:val="22"/>
          <w:lang w:val="fr-CA" w:eastAsia="en-US"/>
        </w:rPr>
        <w:t>. Il est important de préciser que l’élite politique franco-américaine de l’époque, qui est principalement constitué</w:t>
      </w:r>
      <w:r>
        <w:rPr>
          <w:rFonts w:eastAsia="Calibri"/>
          <w:sz w:val="22"/>
          <w:szCs w:val="22"/>
          <w:lang w:val="fr-CA" w:eastAsia="en-US"/>
        </w:rPr>
        <w:t>e</w:t>
      </w:r>
      <w:r w:rsidRPr="00217EFC">
        <w:rPr>
          <w:rFonts w:eastAsia="Calibri"/>
          <w:sz w:val="22"/>
          <w:szCs w:val="22"/>
          <w:lang w:val="fr-CA" w:eastAsia="en-US"/>
        </w:rPr>
        <w:t xml:space="preserve"> d’avocats, insiste grandement </w:t>
      </w:r>
      <w:r>
        <w:rPr>
          <w:rFonts w:eastAsia="Calibri"/>
          <w:sz w:val="22"/>
          <w:szCs w:val="22"/>
          <w:lang w:val="fr-CA" w:eastAsia="en-US"/>
        </w:rPr>
        <w:t xml:space="preserve">pour que </w:t>
      </w:r>
      <w:r w:rsidRPr="00217EFC">
        <w:rPr>
          <w:rFonts w:eastAsia="Calibri"/>
          <w:sz w:val="22"/>
          <w:szCs w:val="22"/>
          <w:lang w:val="fr-CA" w:eastAsia="en-US"/>
        </w:rPr>
        <w:t>les membres de la population canadienne</w:t>
      </w:r>
      <w:r w:rsidR="002B1534">
        <w:rPr>
          <w:rFonts w:eastAsia="Calibri"/>
          <w:sz w:val="22"/>
          <w:szCs w:val="22"/>
          <w:lang w:val="fr-CA" w:eastAsia="en-US"/>
        </w:rPr>
        <w:t>-</w:t>
      </w:r>
      <w:r w:rsidRPr="00217EFC">
        <w:rPr>
          <w:rFonts w:eastAsia="Calibri"/>
          <w:sz w:val="22"/>
          <w:szCs w:val="22"/>
          <w:lang w:val="fr-CA" w:eastAsia="en-US"/>
        </w:rPr>
        <w:t>française se naturalise</w:t>
      </w:r>
      <w:r w:rsidR="002B1534">
        <w:rPr>
          <w:rFonts w:eastAsia="Calibri"/>
          <w:sz w:val="22"/>
          <w:szCs w:val="22"/>
          <w:lang w:val="fr-CA" w:eastAsia="en-US"/>
        </w:rPr>
        <w:t>nt</w:t>
      </w:r>
      <w:r>
        <w:rPr>
          <w:rFonts w:eastAsia="Calibri"/>
          <w:sz w:val="22"/>
          <w:szCs w:val="22"/>
          <w:lang w:val="fr-CA" w:eastAsia="en-US"/>
        </w:rPr>
        <w:t xml:space="preserve"> afin de se doter du droit de vote</w:t>
      </w:r>
      <w:r w:rsidRPr="00217EFC">
        <w:rPr>
          <w:rFonts w:eastAsia="Calibri"/>
          <w:sz w:val="22"/>
          <w:szCs w:val="22"/>
          <w:lang w:val="fr-CA" w:eastAsia="en-US"/>
        </w:rPr>
        <w:t xml:space="preserve">. </w:t>
      </w:r>
      <w:r>
        <w:rPr>
          <w:rFonts w:eastAsia="Calibri"/>
          <w:sz w:val="22"/>
          <w:szCs w:val="22"/>
          <w:lang w:val="fr-CA" w:eastAsia="en-US"/>
        </w:rPr>
        <w:t xml:space="preserve">Ce processus </w:t>
      </w:r>
      <w:r w:rsidRPr="00217EFC">
        <w:rPr>
          <w:rFonts w:eastAsia="Calibri"/>
          <w:sz w:val="22"/>
          <w:szCs w:val="22"/>
          <w:lang w:val="fr-CA" w:eastAsia="en-US"/>
        </w:rPr>
        <w:t xml:space="preserve">permet d’accroitre l’influence des politiciens franco-américains </w:t>
      </w:r>
      <w:r>
        <w:rPr>
          <w:rFonts w:eastAsia="Calibri"/>
          <w:sz w:val="22"/>
          <w:szCs w:val="22"/>
          <w:lang w:val="fr-CA" w:eastAsia="en-US"/>
        </w:rPr>
        <w:t xml:space="preserve">dans </w:t>
      </w:r>
      <w:r w:rsidRPr="00217EFC">
        <w:rPr>
          <w:rFonts w:eastAsia="Calibri"/>
          <w:sz w:val="22"/>
          <w:szCs w:val="22"/>
          <w:lang w:val="fr-CA" w:eastAsia="en-US"/>
        </w:rPr>
        <w:t xml:space="preserve">la gestion des affaires de l’État. À cet effet, nous relevons souvent dans les différentes publications de l’époque, comme dans le </w:t>
      </w:r>
      <w:r w:rsidRPr="00217EFC">
        <w:rPr>
          <w:rFonts w:eastAsia="Calibri"/>
          <w:i/>
          <w:iCs/>
          <w:sz w:val="22"/>
          <w:szCs w:val="22"/>
          <w:lang w:val="fr-CA" w:eastAsia="en-US"/>
        </w:rPr>
        <w:t xml:space="preserve">Guide des Franco-Américains </w:t>
      </w:r>
      <w:r w:rsidRPr="00217EFC">
        <w:rPr>
          <w:rFonts w:eastAsia="Calibri"/>
          <w:sz w:val="22"/>
          <w:szCs w:val="22"/>
          <w:lang w:val="fr-CA" w:eastAsia="en-US"/>
        </w:rPr>
        <w:t xml:space="preserve">ou de </w:t>
      </w:r>
      <w:r w:rsidRPr="00217EFC">
        <w:rPr>
          <w:rFonts w:eastAsia="Calibri"/>
          <w:i/>
          <w:iCs/>
          <w:sz w:val="22"/>
          <w:szCs w:val="22"/>
          <w:lang w:val="fr-CA" w:eastAsia="en-US"/>
        </w:rPr>
        <w:t>L’Avenir National</w:t>
      </w:r>
      <w:r>
        <w:rPr>
          <w:rFonts w:eastAsia="Calibri"/>
          <w:sz w:val="22"/>
          <w:szCs w:val="22"/>
          <w:lang w:val="fr-CA" w:eastAsia="en-US"/>
        </w:rPr>
        <w:t xml:space="preserve">, </w:t>
      </w:r>
      <w:r w:rsidRPr="00217EFC">
        <w:rPr>
          <w:rFonts w:eastAsia="Calibri"/>
          <w:sz w:val="22"/>
          <w:szCs w:val="22"/>
          <w:lang w:val="fr-CA" w:eastAsia="en-US"/>
        </w:rPr>
        <w:t>la mention du terme «</w:t>
      </w:r>
      <w:r w:rsidR="002B1534">
        <w:rPr>
          <w:rFonts w:eastAsia="Calibri"/>
          <w:sz w:val="22"/>
          <w:szCs w:val="22"/>
          <w:lang w:val="fr-CA" w:eastAsia="en-US"/>
        </w:rPr>
        <w:t> </w:t>
      </w:r>
      <w:r w:rsidRPr="00217EFC">
        <w:rPr>
          <w:rFonts w:eastAsia="Calibri"/>
          <w:sz w:val="22"/>
          <w:szCs w:val="22"/>
          <w:lang w:val="fr-CA" w:eastAsia="en-US"/>
        </w:rPr>
        <w:t>propriétaire votant</w:t>
      </w:r>
      <w:r w:rsidR="002B1534">
        <w:rPr>
          <w:rFonts w:eastAsia="Calibri"/>
          <w:sz w:val="22"/>
          <w:szCs w:val="22"/>
          <w:lang w:val="fr-CA" w:eastAsia="en-US"/>
        </w:rPr>
        <w:t> </w:t>
      </w:r>
      <w:r>
        <w:rPr>
          <w:rFonts w:eastAsia="Calibri"/>
          <w:sz w:val="22"/>
          <w:szCs w:val="22"/>
          <w:lang w:val="fr-CA" w:eastAsia="en-US"/>
        </w:rPr>
        <w:t>»</w:t>
      </w:r>
      <w:r w:rsidRPr="006F492A">
        <w:rPr>
          <w:rFonts w:eastAsia="Calibri"/>
          <w:sz w:val="22"/>
          <w:szCs w:val="22"/>
          <w:lang w:val="fr-CA" w:eastAsia="en-US"/>
        </w:rPr>
        <w:t>.</w:t>
      </w:r>
      <w:r w:rsidRPr="00217EFC">
        <w:rPr>
          <w:rFonts w:eastAsia="Calibri"/>
          <w:sz w:val="22"/>
          <w:szCs w:val="22"/>
          <w:lang w:val="fr-CA" w:eastAsia="en-US"/>
        </w:rPr>
        <w:t xml:space="preserve"> De </w:t>
      </w:r>
      <w:r w:rsidRPr="00217EFC">
        <w:rPr>
          <w:rFonts w:eastAsia="Calibri"/>
          <w:sz w:val="22"/>
          <w:szCs w:val="22"/>
          <w:lang w:val="fr-CA" w:eastAsia="en-US"/>
        </w:rPr>
        <w:lastRenderedPageBreak/>
        <w:t xml:space="preserve">plus, les journaux </w:t>
      </w:r>
      <w:r>
        <w:rPr>
          <w:rFonts w:eastAsia="Calibri"/>
          <w:sz w:val="22"/>
          <w:szCs w:val="22"/>
          <w:lang w:val="fr-CA" w:eastAsia="en-US"/>
        </w:rPr>
        <w:t xml:space="preserve">présentent avantageusement </w:t>
      </w:r>
      <w:r w:rsidRPr="00217EFC">
        <w:rPr>
          <w:rFonts w:eastAsia="Calibri"/>
          <w:sz w:val="22"/>
          <w:szCs w:val="22"/>
          <w:lang w:val="fr-CA" w:eastAsia="en-US"/>
        </w:rPr>
        <w:t>l’influence politique qu’exerce</w:t>
      </w:r>
      <w:r>
        <w:rPr>
          <w:rFonts w:eastAsia="Calibri"/>
          <w:sz w:val="22"/>
          <w:szCs w:val="22"/>
          <w:lang w:val="fr-CA" w:eastAsia="en-US"/>
        </w:rPr>
        <w:t>nt</w:t>
      </w:r>
      <w:r w:rsidRPr="00217EFC">
        <w:rPr>
          <w:rFonts w:eastAsia="Calibri"/>
          <w:sz w:val="22"/>
          <w:szCs w:val="22"/>
          <w:lang w:val="fr-CA" w:eastAsia="en-US"/>
        </w:rPr>
        <w:t xml:space="preserve"> les politiciens franco-américains </w:t>
      </w:r>
      <w:r>
        <w:rPr>
          <w:rFonts w:eastAsia="Calibri"/>
          <w:sz w:val="22"/>
          <w:szCs w:val="22"/>
          <w:lang w:val="fr-CA" w:eastAsia="en-US"/>
        </w:rPr>
        <w:t xml:space="preserve">afin de </w:t>
      </w:r>
      <w:r w:rsidRPr="00217EFC">
        <w:rPr>
          <w:rFonts w:eastAsia="Calibri"/>
          <w:sz w:val="22"/>
          <w:szCs w:val="22"/>
          <w:lang w:val="fr-CA" w:eastAsia="en-US"/>
        </w:rPr>
        <w:t xml:space="preserve">servir les intérêts de leurs concitoyens et </w:t>
      </w:r>
      <w:r>
        <w:rPr>
          <w:rFonts w:eastAsia="Calibri"/>
          <w:sz w:val="22"/>
          <w:szCs w:val="22"/>
          <w:lang w:val="fr-CA" w:eastAsia="en-US"/>
        </w:rPr>
        <w:t xml:space="preserve">ils insistent sur l’importance </w:t>
      </w:r>
      <w:r w:rsidRPr="00217EFC">
        <w:rPr>
          <w:rFonts w:eastAsia="Calibri"/>
          <w:sz w:val="22"/>
          <w:szCs w:val="22"/>
          <w:lang w:val="fr-CA" w:eastAsia="en-US"/>
        </w:rPr>
        <w:t>politique que leur vote donne</w:t>
      </w:r>
      <w:r>
        <w:rPr>
          <w:rFonts w:eastAsia="Calibri"/>
          <w:sz w:val="22"/>
          <w:szCs w:val="22"/>
          <w:lang w:val="fr-CA" w:eastAsia="en-US"/>
        </w:rPr>
        <w:t xml:space="preserve"> à ces derniers</w:t>
      </w:r>
      <w:r w:rsidRPr="00217EFC">
        <w:rPr>
          <w:rStyle w:val="FootnoteReference"/>
          <w:noProof/>
          <w:sz w:val="22"/>
          <w:szCs w:val="22"/>
        </w:rPr>
        <w:footnoteReference w:id="122"/>
      </w:r>
      <w:r w:rsidRPr="00217EFC">
        <w:rPr>
          <w:rFonts w:eastAsia="Calibri"/>
          <w:sz w:val="22"/>
          <w:szCs w:val="22"/>
          <w:lang w:val="fr-CA" w:eastAsia="en-US"/>
        </w:rPr>
        <w:t>.</w:t>
      </w:r>
    </w:p>
    <w:p w14:paraId="395CB319" w14:textId="77777777" w:rsidR="000264D6" w:rsidRPr="005702E0" w:rsidRDefault="000264D6" w:rsidP="003C57D5">
      <w:pPr>
        <w:spacing w:before="100" w:beforeAutospacing="1" w:after="100" w:afterAutospacing="1" w:line="480" w:lineRule="auto"/>
        <w:jc w:val="both"/>
        <w:rPr>
          <w:rFonts w:eastAsia="Calibri"/>
          <w:b/>
          <w:bCs/>
          <w:sz w:val="22"/>
          <w:szCs w:val="22"/>
          <w:lang w:val="fr-CA" w:eastAsia="en-US"/>
        </w:rPr>
      </w:pPr>
      <w:r w:rsidRPr="005702E0">
        <w:rPr>
          <w:rFonts w:eastAsia="Calibri"/>
          <w:b/>
          <w:bCs/>
          <w:sz w:val="22"/>
          <w:szCs w:val="22"/>
          <w:lang w:val="fr-CA" w:eastAsia="en-US"/>
        </w:rPr>
        <w:t>Élite locale</w:t>
      </w:r>
    </w:p>
    <w:p w14:paraId="344F988B" w14:textId="77777777" w:rsidR="000264D6"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Outre le haut et bas clergé, il</w:t>
      </w:r>
      <w:r>
        <w:rPr>
          <w:rFonts w:eastAsia="Calibri"/>
          <w:sz w:val="22"/>
          <w:szCs w:val="22"/>
          <w:lang w:val="fr-CA" w:eastAsia="en-US"/>
        </w:rPr>
        <w:t xml:space="preserve"> faut souligner </w:t>
      </w:r>
      <w:r w:rsidRPr="00217EFC">
        <w:rPr>
          <w:rFonts w:eastAsia="Calibri"/>
          <w:sz w:val="22"/>
          <w:szCs w:val="22"/>
          <w:lang w:val="fr-CA" w:eastAsia="en-US"/>
        </w:rPr>
        <w:t xml:space="preserve">que l’élite sociale de Manchester est également constituée d’entrepreneurs, de médecins et d’avocats. Le numéro souvenir de </w:t>
      </w:r>
      <w:r w:rsidRPr="00217EFC">
        <w:rPr>
          <w:rFonts w:eastAsia="Calibri"/>
          <w:i/>
          <w:iCs/>
          <w:sz w:val="22"/>
          <w:szCs w:val="22"/>
          <w:lang w:val="fr-CA" w:eastAsia="en-US"/>
        </w:rPr>
        <w:t xml:space="preserve">L’Avenir National </w:t>
      </w:r>
      <w:r w:rsidRPr="00217EFC">
        <w:rPr>
          <w:rFonts w:eastAsia="Calibri"/>
          <w:sz w:val="22"/>
          <w:szCs w:val="22"/>
          <w:lang w:val="fr-CA" w:eastAsia="en-US"/>
        </w:rPr>
        <w:t>rapporte la présence de six avocats qui pratiquent légalement le droit au New Hampshire. Cinq d’</w:t>
      </w:r>
      <w:r>
        <w:rPr>
          <w:rFonts w:eastAsia="Calibri"/>
          <w:sz w:val="22"/>
          <w:szCs w:val="22"/>
          <w:lang w:val="fr-CA" w:eastAsia="en-US"/>
        </w:rPr>
        <w:t>en</w:t>
      </w:r>
      <w:r w:rsidRPr="00217EFC">
        <w:rPr>
          <w:rFonts w:eastAsia="Calibri"/>
          <w:sz w:val="22"/>
          <w:szCs w:val="22"/>
          <w:lang w:val="fr-CA" w:eastAsia="en-US"/>
        </w:rPr>
        <w:t>tre eux sont impliqués dans des activités sociales et relatives à la gestion politique de leur État. Ils sont généralement élus comme représentant</w:t>
      </w:r>
      <w:r>
        <w:rPr>
          <w:rFonts w:eastAsia="Calibri"/>
          <w:sz w:val="22"/>
          <w:szCs w:val="22"/>
          <w:lang w:val="fr-CA" w:eastAsia="en-US"/>
        </w:rPr>
        <w:t>s</w:t>
      </w:r>
      <w:r w:rsidRPr="00217EFC">
        <w:rPr>
          <w:rFonts w:eastAsia="Calibri"/>
          <w:sz w:val="22"/>
          <w:szCs w:val="22"/>
          <w:lang w:val="fr-CA" w:eastAsia="en-US"/>
        </w:rPr>
        <w:t xml:space="preserve"> de leur district à la Chambre des représentants du New Hampshire. Ainsi, Cyprien Bélanger obt</w:t>
      </w:r>
      <w:r>
        <w:rPr>
          <w:rFonts w:eastAsia="Calibri"/>
          <w:sz w:val="22"/>
          <w:szCs w:val="22"/>
          <w:lang w:val="fr-CA" w:eastAsia="en-US"/>
        </w:rPr>
        <w:t>ient</w:t>
      </w:r>
      <w:r w:rsidRPr="00217EFC">
        <w:rPr>
          <w:rFonts w:eastAsia="Calibri"/>
          <w:sz w:val="22"/>
          <w:szCs w:val="22"/>
          <w:lang w:val="fr-CA" w:eastAsia="en-US"/>
        </w:rPr>
        <w:t>, en 1916, la nomination aux primaires pour le poste de sénateur démocrate du district</w:t>
      </w:r>
      <w:r w:rsidR="002B1534">
        <w:rPr>
          <w:rFonts w:eastAsia="Calibri"/>
          <w:sz w:val="22"/>
          <w:szCs w:val="22"/>
          <w:lang w:val="fr-CA" w:eastAsia="en-US"/>
        </w:rPr>
        <w:t> </w:t>
      </w:r>
      <w:r w:rsidRPr="00217EFC">
        <w:rPr>
          <w:rFonts w:eastAsia="Calibri"/>
          <w:sz w:val="22"/>
          <w:szCs w:val="22"/>
          <w:lang w:val="fr-CA" w:eastAsia="en-US"/>
        </w:rPr>
        <w:t>19, qui inclu</w:t>
      </w:r>
      <w:r>
        <w:rPr>
          <w:rFonts w:eastAsia="Calibri"/>
          <w:sz w:val="22"/>
          <w:szCs w:val="22"/>
          <w:lang w:val="fr-CA" w:eastAsia="en-US"/>
        </w:rPr>
        <w:t>t</w:t>
      </w:r>
      <w:r w:rsidRPr="00217EFC">
        <w:rPr>
          <w:rFonts w:eastAsia="Calibri"/>
          <w:sz w:val="22"/>
          <w:szCs w:val="22"/>
          <w:lang w:val="fr-CA" w:eastAsia="en-US"/>
        </w:rPr>
        <w:t xml:space="preserve"> les quartiers</w:t>
      </w:r>
      <w:r w:rsidR="002B1534">
        <w:rPr>
          <w:rFonts w:eastAsia="Calibri"/>
          <w:sz w:val="22"/>
          <w:szCs w:val="22"/>
          <w:lang w:val="fr-CA" w:eastAsia="en-US"/>
        </w:rPr>
        <w:t> </w:t>
      </w:r>
      <w:r w:rsidRPr="00217EFC">
        <w:rPr>
          <w:rFonts w:eastAsia="Calibri"/>
          <w:sz w:val="22"/>
          <w:szCs w:val="22"/>
          <w:lang w:val="fr-CA" w:eastAsia="en-US"/>
        </w:rPr>
        <w:t xml:space="preserve">12 et 13. Malgré son nom d’origine irlandaise, Ferdinand Farley est </w:t>
      </w:r>
      <w:r>
        <w:rPr>
          <w:rFonts w:eastAsia="Calibri"/>
          <w:sz w:val="22"/>
          <w:szCs w:val="22"/>
          <w:lang w:val="fr-CA" w:eastAsia="en-US"/>
        </w:rPr>
        <w:t>f</w:t>
      </w:r>
      <w:r w:rsidRPr="00217EFC">
        <w:rPr>
          <w:rFonts w:eastAsia="Calibri"/>
          <w:sz w:val="22"/>
          <w:szCs w:val="22"/>
          <w:lang w:val="fr-CA" w:eastAsia="en-US"/>
        </w:rPr>
        <w:t>ranco-</w:t>
      </w:r>
      <w:r>
        <w:rPr>
          <w:rFonts w:eastAsia="Calibri"/>
          <w:sz w:val="22"/>
          <w:szCs w:val="22"/>
          <w:lang w:val="fr-CA" w:eastAsia="en-US"/>
        </w:rPr>
        <w:t>a</w:t>
      </w:r>
      <w:r w:rsidRPr="00217EFC">
        <w:rPr>
          <w:rFonts w:eastAsia="Calibri"/>
          <w:sz w:val="22"/>
          <w:szCs w:val="22"/>
          <w:lang w:val="fr-CA" w:eastAsia="en-US"/>
        </w:rPr>
        <w:t>méricain. Il étud</w:t>
      </w:r>
      <w:r>
        <w:rPr>
          <w:rFonts w:eastAsia="Calibri"/>
          <w:sz w:val="22"/>
          <w:szCs w:val="22"/>
          <w:lang w:val="fr-CA" w:eastAsia="en-US"/>
        </w:rPr>
        <w:t>ie l</w:t>
      </w:r>
      <w:r w:rsidRPr="00217EFC">
        <w:rPr>
          <w:rFonts w:eastAsia="Calibri"/>
          <w:sz w:val="22"/>
          <w:szCs w:val="22"/>
          <w:lang w:val="fr-CA" w:eastAsia="en-US"/>
        </w:rPr>
        <w:t xml:space="preserve">e droit à l’Université de Harvard </w:t>
      </w:r>
      <w:r>
        <w:rPr>
          <w:rFonts w:eastAsia="Calibri"/>
          <w:sz w:val="22"/>
          <w:szCs w:val="22"/>
          <w:lang w:val="fr-CA" w:eastAsia="en-US"/>
        </w:rPr>
        <w:t xml:space="preserve">pour </w:t>
      </w:r>
      <w:r w:rsidRPr="00217EFC">
        <w:rPr>
          <w:rFonts w:eastAsia="Calibri"/>
          <w:sz w:val="22"/>
          <w:szCs w:val="22"/>
          <w:lang w:val="fr-CA" w:eastAsia="en-US"/>
        </w:rPr>
        <w:t xml:space="preserve">ensuite </w:t>
      </w:r>
      <w:r w:rsidRPr="00363970">
        <w:rPr>
          <w:rFonts w:eastAsia="Calibri"/>
          <w:sz w:val="22"/>
          <w:szCs w:val="22"/>
          <w:lang w:val="fr-CA" w:eastAsia="en-US"/>
        </w:rPr>
        <w:t>ê</w:t>
      </w:r>
      <w:r>
        <w:rPr>
          <w:rFonts w:eastAsia="Calibri"/>
          <w:sz w:val="22"/>
          <w:szCs w:val="22"/>
          <w:lang w:val="fr-CA" w:eastAsia="en-US"/>
        </w:rPr>
        <w:t xml:space="preserve">tre </w:t>
      </w:r>
      <w:r w:rsidRPr="00217EFC">
        <w:rPr>
          <w:rFonts w:eastAsia="Calibri"/>
          <w:sz w:val="22"/>
          <w:szCs w:val="22"/>
          <w:lang w:val="fr-CA" w:eastAsia="en-US"/>
        </w:rPr>
        <w:t>admis au barreau</w:t>
      </w:r>
      <w:r>
        <w:rPr>
          <w:rFonts w:eastAsia="Calibri"/>
          <w:sz w:val="22"/>
          <w:szCs w:val="22"/>
          <w:lang w:val="fr-CA" w:eastAsia="en-US"/>
        </w:rPr>
        <w:t>,</w:t>
      </w:r>
      <w:r w:rsidRPr="00217EFC">
        <w:rPr>
          <w:rFonts w:eastAsia="Calibri"/>
          <w:sz w:val="22"/>
          <w:szCs w:val="22"/>
          <w:lang w:val="fr-CA" w:eastAsia="en-US"/>
        </w:rPr>
        <w:t xml:space="preserve"> en 1909. En plus de pratiquer le droit à Manchester, il est </w:t>
      </w:r>
      <w:r w:rsidR="002B1534">
        <w:rPr>
          <w:rFonts w:eastAsia="Calibri"/>
          <w:sz w:val="22"/>
          <w:szCs w:val="22"/>
          <w:lang w:val="fr-CA" w:eastAsia="en-US"/>
        </w:rPr>
        <w:t>sélection</w:t>
      </w:r>
      <w:r w:rsidRPr="00217EFC">
        <w:rPr>
          <w:rFonts w:eastAsia="Calibri"/>
          <w:sz w:val="22"/>
          <w:szCs w:val="22"/>
          <w:lang w:val="fr-CA" w:eastAsia="en-US"/>
        </w:rPr>
        <w:t>né comme candidat républicain pour le quartier</w:t>
      </w:r>
      <w:r w:rsidR="002B1534">
        <w:rPr>
          <w:rFonts w:eastAsia="Calibri"/>
          <w:sz w:val="22"/>
          <w:szCs w:val="22"/>
          <w:lang w:val="fr-CA" w:eastAsia="en-US"/>
        </w:rPr>
        <w:t> </w:t>
      </w:r>
      <w:r w:rsidRPr="00217EFC">
        <w:rPr>
          <w:rFonts w:eastAsia="Calibri"/>
          <w:sz w:val="22"/>
          <w:szCs w:val="22"/>
          <w:lang w:val="fr-CA" w:eastAsia="en-US"/>
        </w:rPr>
        <w:t xml:space="preserve">13. </w:t>
      </w:r>
      <w:r>
        <w:rPr>
          <w:rFonts w:eastAsia="Calibri"/>
          <w:sz w:val="22"/>
          <w:szCs w:val="22"/>
          <w:lang w:val="fr-CA" w:eastAsia="en-US"/>
        </w:rPr>
        <w:t xml:space="preserve">Le </w:t>
      </w:r>
      <w:r w:rsidRPr="00217EFC">
        <w:rPr>
          <w:rFonts w:eastAsia="Calibri"/>
          <w:sz w:val="22"/>
          <w:szCs w:val="22"/>
          <w:lang w:val="fr-CA" w:eastAsia="en-US"/>
        </w:rPr>
        <w:t xml:space="preserve">troisième avocat </w:t>
      </w:r>
      <w:r>
        <w:rPr>
          <w:rFonts w:eastAsia="Calibri"/>
          <w:sz w:val="22"/>
          <w:szCs w:val="22"/>
          <w:lang w:val="fr-CA" w:eastAsia="en-US"/>
        </w:rPr>
        <w:t xml:space="preserve">de Manchester </w:t>
      </w:r>
      <w:r w:rsidRPr="00217EFC">
        <w:rPr>
          <w:rFonts w:eastAsia="Calibri"/>
          <w:sz w:val="22"/>
          <w:szCs w:val="22"/>
          <w:lang w:val="fr-CA" w:eastAsia="en-US"/>
        </w:rPr>
        <w:t xml:space="preserve">est Joseph Lachance. Avant qu’il </w:t>
      </w:r>
      <w:r w:rsidR="002B1534">
        <w:rPr>
          <w:rFonts w:eastAsia="Calibri"/>
          <w:sz w:val="22"/>
          <w:szCs w:val="22"/>
          <w:lang w:val="fr-CA" w:eastAsia="en-US"/>
        </w:rPr>
        <w:t>fass</w:t>
      </w:r>
      <w:r w:rsidRPr="00217EFC">
        <w:rPr>
          <w:rFonts w:eastAsia="Calibri"/>
          <w:sz w:val="22"/>
          <w:szCs w:val="22"/>
          <w:lang w:val="fr-CA" w:eastAsia="en-US"/>
        </w:rPr>
        <w:t>e ses études en droit et qu’il ouvre son cabinet à Manchester, M.</w:t>
      </w:r>
      <w:r w:rsidR="002B1534">
        <w:rPr>
          <w:rFonts w:eastAsia="Calibri"/>
          <w:sz w:val="22"/>
          <w:szCs w:val="22"/>
          <w:lang w:val="fr-CA" w:eastAsia="en-US"/>
        </w:rPr>
        <w:t> </w:t>
      </w:r>
      <w:r w:rsidRPr="00217EFC">
        <w:rPr>
          <w:rFonts w:eastAsia="Calibri"/>
          <w:sz w:val="22"/>
          <w:szCs w:val="22"/>
          <w:lang w:val="fr-CA" w:eastAsia="en-US"/>
        </w:rPr>
        <w:t>Lachance occup</w:t>
      </w:r>
      <w:r>
        <w:rPr>
          <w:rFonts w:eastAsia="Calibri"/>
          <w:sz w:val="22"/>
          <w:szCs w:val="22"/>
          <w:lang w:val="fr-CA" w:eastAsia="en-US"/>
        </w:rPr>
        <w:t>e</w:t>
      </w:r>
      <w:r w:rsidRPr="00217EFC">
        <w:rPr>
          <w:rFonts w:eastAsia="Calibri"/>
          <w:sz w:val="22"/>
          <w:szCs w:val="22"/>
          <w:lang w:val="fr-CA" w:eastAsia="en-US"/>
        </w:rPr>
        <w:t xml:space="preserve"> initialement les postes de comptable et de secrétaire général </w:t>
      </w:r>
      <w:r>
        <w:rPr>
          <w:rFonts w:eastAsia="Calibri"/>
          <w:sz w:val="22"/>
          <w:szCs w:val="22"/>
          <w:lang w:val="fr-CA" w:eastAsia="en-US"/>
        </w:rPr>
        <w:t xml:space="preserve">de </w:t>
      </w:r>
      <w:r w:rsidRPr="00546D33">
        <w:rPr>
          <w:rFonts w:eastAsia="Calibri"/>
          <w:sz w:val="22"/>
          <w:szCs w:val="22"/>
          <w:lang w:val="fr-CA" w:eastAsia="en-US"/>
        </w:rPr>
        <w:t xml:space="preserve">l’Association </w:t>
      </w:r>
      <w:r w:rsidR="00D34D2E">
        <w:rPr>
          <w:rFonts w:eastAsia="Calibri"/>
          <w:sz w:val="22"/>
          <w:szCs w:val="22"/>
          <w:lang w:val="fr-CA" w:eastAsia="en-US"/>
        </w:rPr>
        <w:t>c</w:t>
      </w:r>
      <w:r w:rsidRPr="00546D33">
        <w:rPr>
          <w:rFonts w:eastAsia="Calibri"/>
          <w:sz w:val="22"/>
          <w:szCs w:val="22"/>
          <w:lang w:val="fr-CA" w:eastAsia="en-US"/>
        </w:rPr>
        <w:t>anado-</w:t>
      </w:r>
      <w:r w:rsidR="00D34D2E">
        <w:rPr>
          <w:rFonts w:eastAsia="Calibri"/>
          <w:sz w:val="22"/>
          <w:szCs w:val="22"/>
          <w:lang w:val="fr-CA" w:eastAsia="en-US"/>
        </w:rPr>
        <w:t>a</w:t>
      </w:r>
      <w:r w:rsidRPr="00546D33">
        <w:rPr>
          <w:rFonts w:eastAsia="Calibri"/>
          <w:sz w:val="22"/>
          <w:szCs w:val="22"/>
          <w:lang w:val="fr-CA" w:eastAsia="en-US"/>
        </w:rPr>
        <w:t xml:space="preserve">méricaine. Il s’implique grandement dans différentes associations franco-américaines et politiques. Par exemple, il agit comme procureur général pour l’Association </w:t>
      </w:r>
      <w:r w:rsidR="00D34D2E">
        <w:rPr>
          <w:rFonts w:eastAsia="Calibri"/>
          <w:sz w:val="22"/>
          <w:szCs w:val="22"/>
          <w:lang w:val="fr-CA" w:eastAsia="en-US"/>
        </w:rPr>
        <w:t>c</w:t>
      </w:r>
      <w:r w:rsidRPr="00546D33">
        <w:rPr>
          <w:rFonts w:eastAsia="Calibri"/>
          <w:sz w:val="22"/>
          <w:szCs w:val="22"/>
          <w:lang w:val="fr-CA" w:eastAsia="en-US"/>
        </w:rPr>
        <w:t>anado-</w:t>
      </w:r>
      <w:r w:rsidR="00D34D2E">
        <w:rPr>
          <w:rFonts w:eastAsia="Calibri"/>
          <w:sz w:val="22"/>
          <w:szCs w:val="22"/>
          <w:lang w:val="fr-CA" w:eastAsia="en-US"/>
        </w:rPr>
        <w:t>a</w:t>
      </w:r>
      <w:r w:rsidRPr="00546D33">
        <w:rPr>
          <w:rFonts w:eastAsia="Calibri"/>
          <w:sz w:val="22"/>
          <w:szCs w:val="22"/>
          <w:lang w:val="fr-CA" w:eastAsia="en-US"/>
        </w:rPr>
        <w:t>méricaine</w:t>
      </w:r>
      <w:r w:rsidRPr="00217EFC">
        <w:rPr>
          <w:rFonts w:eastAsia="Calibri"/>
          <w:sz w:val="22"/>
          <w:szCs w:val="22"/>
          <w:lang w:val="fr-CA" w:eastAsia="en-US"/>
        </w:rPr>
        <w:t xml:space="preserve"> et </w:t>
      </w:r>
      <w:r>
        <w:rPr>
          <w:rFonts w:eastAsia="Calibri"/>
          <w:sz w:val="22"/>
          <w:szCs w:val="22"/>
          <w:lang w:val="fr-CA" w:eastAsia="en-US"/>
        </w:rPr>
        <w:t xml:space="preserve">comme </w:t>
      </w:r>
      <w:r w:rsidRPr="00217EFC">
        <w:rPr>
          <w:rFonts w:eastAsia="Calibri"/>
          <w:sz w:val="22"/>
          <w:szCs w:val="22"/>
          <w:lang w:val="fr-CA" w:eastAsia="en-US"/>
        </w:rPr>
        <w:t>secrétaire du comité démocratique de la ville de Manchester pour le parti démocrate. Quoiqu</w:t>
      </w:r>
      <w:r>
        <w:rPr>
          <w:rFonts w:eastAsia="Calibri"/>
          <w:sz w:val="22"/>
          <w:szCs w:val="22"/>
          <w:lang w:val="fr-CA" w:eastAsia="en-US"/>
        </w:rPr>
        <w:t xml:space="preserve">e </w:t>
      </w:r>
      <w:r w:rsidRPr="00217EFC">
        <w:rPr>
          <w:rFonts w:eastAsia="Calibri"/>
          <w:sz w:val="22"/>
          <w:szCs w:val="22"/>
          <w:lang w:val="fr-CA" w:eastAsia="en-US"/>
        </w:rPr>
        <w:t xml:space="preserve">Wilfrid Lessard ne </w:t>
      </w:r>
      <w:r>
        <w:rPr>
          <w:rFonts w:eastAsia="Calibri"/>
          <w:sz w:val="22"/>
          <w:szCs w:val="22"/>
          <w:lang w:val="fr-CA" w:eastAsia="en-US"/>
        </w:rPr>
        <w:t>s’</w:t>
      </w:r>
      <w:r w:rsidRPr="00217EFC">
        <w:rPr>
          <w:rFonts w:eastAsia="Calibri"/>
          <w:sz w:val="22"/>
          <w:szCs w:val="22"/>
          <w:lang w:val="fr-CA" w:eastAsia="en-US"/>
        </w:rPr>
        <w:t>impliqu</w:t>
      </w:r>
      <w:r>
        <w:rPr>
          <w:rFonts w:eastAsia="Calibri"/>
          <w:sz w:val="22"/>
          <w:szCs w:val="22"/>
          <w:lang w:val="fr-CA" w:eastAsia="en-US"/>
        </w:rPr>
        <w:t xml:space="preserve">e pas </w:t>
      </w:r>
      <w:r w:rsidRPr="00217EFC">
        <w:rPr>
          <w:rFonts w:eastAsia="Calibri"/>
          <w:sz w:val="22"/>
          <w:szCs w:val="22"/>
          <w:lang w:val="fr-CA" w:eastAsia="en-US"/>
        </w:rPr>
        <w:t xml:space="preserve">dans la politique de l’État, </w:t>
      </w:r>
      <w:r>
        <w:rPr>
          <w:rFonts w:eastAsia="Calibri"/>
          <w:sz w:val="22"/>
          <w:szCs w:val="22"/>
          <w:lang w:val="fr-CA" w:eastAsia="en-US"/>
        </w:rPr>
        <w:t xml:space="preserve">il s’engage </w:t>
      </w:r>
      <w:r w:rsidRPr="00217EFC">
        <w:rPr>
          <w:rFonts w:eastAsia="Calibri"/>
          <w:sz w:val="22"/>
          <w:szCs w:val="22"/>
          <w:lang w:val="fr-CA" w:eastAsia="en-US"/>
        </w:rPr>
        <w:t>activement au sein de Union Saint-Jean-Baptiste et de la jeunesse de sa paroisse où il fond</w:t>
      </w:r>
      <w:r>
        <w:rPr>
          <w:rFonts w:eastAsia="Calibri"/>
          <w:sz w:val="22"/>
          <w:szCs w:val="22"/>
          <w:lang w:val="fr-CA" w:eastAsia="en-US"/>
        </w:rPr>
        <w:t xml:space="preserve">e </w:t>
      </w:r>
      <w:r w:rsidRPr="00217EFC">
        <w:rPr>
          <w:rFonts w:eastAsia="Calibri"/>
          <w:sz w:val="22"/>
          <w:szCs w:val="22"/>
          <w:lang w:val="fr-CA" w:eastAsia="en-US"/>
        </w:rPr>
        <w:t xml:space="preserve">un cercle pour les jeunes gens qui fait la promotion de l’instruction et </w:t>
      </w:r>
      <w:r>
        <w:rPr>
          <w:rFonts w:eastAsia="Calibri"/>
          <w:sz w:val="22"/>
          <w:szCs w:val="22"/>
          <w:lang w:val="fr-CA" w:eastAsia="en-US"/>
        </w:rPr>
        <w:t xml:space="preserve">de l’importance </w:t>
      </w:r>
      <w:r w:rsidRPr="00217EFC">
        <w:rPr>
          <w:rFonts w:eastAsia="Calibri"/>
          <w:sz w:val="22"/>
          <w:szCs w:val="22"/>
          <w:lang w:val="fr-CA" w:eastAsia="en-US"/>
        </w:rPr>
        <w:t>«</w:t>
      </w:r>
      <w:r w:rsidR="002B1534">
        <w:rPr>
          <w:rFonts w:eastAsia="Calibri"/>
          <w:sz w:val="22"/>
          <w:szCs w:val="22"/>
          <w:lang w:val="fr-CA" w:eastAsia="en-US"/>
        </w:rPr>
        <w:t> </w:t>
      </w:r>
      <w:r w:rsidRPr="00217EFC">
        <w:rPr>
          <w:rFonts w:eastAsia="Calibri"/>
          <w:sz w:val="22"/>
          <w:szCs w:val="22"/>
          <w:lang w:val="fr-CA" w:eastAsia="en-US"/>
        </w:rPr>
        <w:t>de se récréer honnêtement</w:t>
      </w:r>
      <w:r w:rsidR="002B1534">
        <w:rPr>
          <w:rFonts w:eastAsia="Calibri"/>
          <w:sz w:val="22"/>
          <w:szCs w:val="22"/>
          <w:lang w:val="fr-CA" w:eastAsia="en-US"/>
        </w:rPr>
        <w:t> </w:t>
      </w:r>
      <w:r w:rsidRPr="00217EFC">
        <w:rPr>
          <w:rStyle w:val="FootnoteReference"/>
          <w:rFonts w:eastAsia="Calibri"/>
          <w:sz w:val="22"/>
          <w:szCs w:val="22"/>
          <w:lang w:val="fr-CA" w:eastAsia="en-US"/>
        </w:rPr>
        <w:footnoteReference w:id="123"/>
      </w:r>
      <w:r w:rsidRPr="00217EFC">
        <w:rPr>
          <w:rFonts w:eastAsia="Calibri"/>
          <w:sz w:val="22"/>
          <w:szCs w:val="22"/>
          <w:lang w:val="fr-CA" w:eastAsia="en-US"/>
        </w:rPr>
        <w:t xml:space="preserve">». </w:t>
      </w:r>
      <w:r>
        <w:rPr>
          <w:rFonts w:eastAsia="Calibri"/>
          <w:sz w:val="22"/>
          <w:szCs w:val="22"/>
          <w:lang w:val="fr-CA" w:eastAsia="en-US"/>
        </w:rPr>
        <w:t xml:space="preserve">D’ailleurs, </w:t>
      </w:r>
      <w:r w:rsidRPr="00217EFC">
        <w:rPr>
          <w:rFonts w:eastAsia="Calibri"/>
          <w:sz w:val="22"/>
          <w:szCs w:val="22"/>
          <w:lang w:val="fr-CA" w:eastAsia="en-US"/>
        </w:rPr>
        <w:t>il travaill</w:t>
      </w:r>
      <w:r>
        <w:rPr>
          <w:rFonts w:eastAsia="Calibri"/>
          <w:sz w:val="22"/>
          <w:szCs w:val="22"/>
          <w:lang w:val="fr-CA" w:eastAsia="en-US"/>
        </w:rPr>
        <w:t xml:space="preserve">e à </w:t>
      </w:r>
      <w:r w:rsidRPr="00217EFC">
        <w:rPr>
          <w:rFonts w:eastAsia="Calibri"/>
          <w:i/>
          <w:iCs/>
          <w:sz w:val="22"/>
          <w:szCs w:val="22"/>
          <w:lang w:val="fr-CA" w:eastAsia="en-US"/>
        </w:rPr>
        <w:t>L’Avenir National</w:t>
      </w:r>
      <w:r>
        <w:rPr>
          <w:rFonts w:eastAsia="Calibri"/>
          <w:i/>
          <w:iCs/>
          <w:sz w:val="22"/>
          <w:szCs w:val="22"/>
          <w:lang w:val="fr-CA" w:eastAsia="en-US"/>
        </w:rPr>
        <w:t xml:space="preserve"> </w:t>
      </w:r>
      <w:r>
        <w:rPr>
          <w:rFonts w:eastAsia="Calibri"/>
          <w:sz w:val="22"/>
          <w:szCs w:val="22"/>
          <w:lang w:val="fr-CA" w:eastAsia="en-US"/>
        </w:rPr>
        <w:t xml:space="preserve">comme </w:t>
      </w:r>
      <w:r w:rsidRPr="00217EFC">
        <w:rPr>
          <w:rFonts w:eastAsia="Calibri"/>
          <w:sz w:val="22"/>
          <w:szCs w:val="22"/>
          <w:lang w:val="fr-CA" w:eastAsia="en-US"/>
        </w:rPr>
        <w:t>journaliste spécialisé dans les causes criminelles</w:t>
      </w:r>
      <w:r>
        <w:rPr>
          <w:rFonts w:eastAsia="Calibri"/>
          <w:sz w:val="22"/>
          <w:szCs w:val="22"/>
          <w:lang w:val="fr-CA" w:eastAsia="en-US"/>
        </w:rPr>
        <w:t>,</w:t>
      </w:r>
      <w:r w:rsidRPr="00217EFC">
        <w:rPr>
          <w:rFonts w:eastAsia="Calibri"/>
          <w:sz w:val="22"/>
          <w:szCs w:val="22"/>
          <w:lang w:val="fr-CA" w:eastAsia="en-US"/>
        </w:rPr>
        <w:t xml:space="preserve"> </w:t>
      </w:r>
      <w:r>
        <w:rPr>
          <w:rFonts w:eastAsia="Calibri"/>
          <w:sz w:val="22"/>
          <w:szCs w:val="22"/>
          <w:lang w:val="fr-CA" w:eastAsia="en-US"/>
        </w:rPr>
        <w:t>p</w:t>
      </w:r>
      <w:r w:rsidRPr="00217EFC">
        <w:rPr>
          <w:rFonts w:eastAsia="Calibri"/>
          <w:sz w:val="22"/>
          <w:szCs w:val="22"/>
          <w:lang w:val="fr-CA" w:eastAsia="en-US"/>
        </w:rPr>
        <w:t>endant quinze ans</w:t>
      </w:r>
      <w:r>
        <w:rPr>
          <w:rFonts w:eastAsia="Calibri"/>
          <w:sz w:val="22"/>
          <w:szCs w:val="22"/>
          <w:lang w:val="fr-CA" w:eastAsia="en-US"/>
        </w:rPr>
        <w:t>,</w:t>
      </w:r>
      <w:r w:rsidRPr="00217EFC">
        <w:rPr>
          <w:rFonts w:eastAsia="Calibri"/>
          <w:sz w:val="22"/>
          <w:szCs w:val="22"/>
          <w:lang w:val="fr-CA" w:eastAsia="en-US"/>
        </w:rPr>
        <w:t xml:space="preserve"> avant de devenir chef des nouvelles. </w:t>
      </w:r>
      <w:r>
        <w:rPr>
          <w:rFonts w:eastAsia="Calibri"/>
          <w:sz w:val="22"/>
          <w:szCs w:val="22"/>
          <w:lang w:val="fr-CA" w:eastAsia="en-US"/>
        </w:rPr>
        <w:t xml:space="preserve">Il reste avec </w:t>
      </w:r>
      <w:r w:rsidRPr="00E760E4">
        <w:rPr>
          <w:rFonts w:eastAsia="Calibri"/>
          <w:i/>
          <w:sz w:val="22"/>
          <w:lang w:val="fr-CA"/>
        </w:rPr>
        <w:t>L’Avenir National</w:t>
      </w:r>
      <w:r>
        <w:rPr>
          <w:rFonts w:eastAsia="Calibri"/>
          <w:sz w:val="22"/>
          <w:szCs w:val="22"/>
          <w:lang w:val="fr-CA" w:eastAsia="en-US"/>
        </w:rPr>
        <w:t xml:space="preserve"> jusqu’au moment où sa clientèle croissante le force à démissionner de son poste,</w:t>
      </w:r>
      <w:r w:rsidRPr="00B340C3">
        <w:rPr>
          <w:rFonts w:eastAsia="Calibri"/>
          <w:sz w:val="22"/>
          <w:szCs w:val="22"/>
          <w:lang w:val="fr-CA" w:eastAsia="en-US"/>
        </w:rPr>
        <w:t xml:space="preserve"> </w:t>
      </w:r>
      <w:r>
        <w:rPr>
          <w:rFonts w:eastAsia="Calibri"/>
          <w:sz w:val="22"/>
          <w:szCs w:val="22"/>
          <w:lang w:val="fr-CA" w:eastAsia="en-US"/>
        </w:rPr>
        <w:t xml:space="preserve">en </w:t>
      </w:r>
      <w:r w:rsidRPr="00217EFC">
        <w:rPr>
          <w:rFonts w:eastAsia="Calibri"/>
          <w:sz w:val="22"/>
          <w:szCs w:val="22"/>
          <w:lang w:val="fr-CA" w:eastAsia="en-US"/>
        </w:rPr>
        <w:t>1913.</w:t>
      </w:r>
      <w:r>
        <w:rPr>
          <w:rFonts w:eastAsia="Calibri"/>
          <w:sz w:val="22"/>
          <w:szCs w:val="22"/>
          <w:lang w:val="fr-CA" w:eastAsia="en-US"/>
        </w:rPr>
        <w:t xml:space="preserve"> </w:t>
      </w:r>
      <w:r w:rsidRPr="00217EFC">
        <w:rPr>
          <w:rFonts w:eastAsia="Calibri"/>
          <w:sz w:val="22"/>
          <w:szCs w:val="22"/>
          <w:lang w:val="fr-CA" w:eastAsia="en-US"/>
        </w:rPr>
        <w:t xml:space="preserve">Le dernier avocat franco-américain de Manchester que nous notons est Oscar Moreau. </w:t>
      </w:r>
      <w:r>
        <w:rPr>
          <w:rFonts w:eastAsia="Calibri"/>
          <w:sz w:val="22"/>
          <w:szCs w:val="22"/>
          <w:lang w:val="fr-CA" w:eastAsia="en-US"/>
        </w:rPr>
        <w:t>I</w:t>
      </w:r>
      <w:r w:rsidRPr="00217EFC">
        <w:rPr>
          <w:rFonts w:eastAsia="Calibri"/>
          <w:sz w:val="22"/>
          <w:szCs w:val="22"/>
          <w:lang w:val="fr-CA" w:eastAsia="en-US"/>
        </w:rPr>
        <w:t xml:space="preserve">l préside </w:t>
      </w:r>
      <w:r>
        <w:rPr>
          <w:rFonts w:eastAsia="Calibri"/>
          <w:sz w:val="22"/>
          <w:szCs w:val="22"/>
          <w:lang w:val="fr-CA" w:eastAsia="en-US"/>
        </w:rPr>
        <w:t xml:space="preserve">à </w:t>
      </w:r>
      <w:r w:rsidRPr="00217EFC">
        <w:rPr>
          <w:rFonts w:eastAsia="Calibri"/>
          <w:sz w:val="22"/>
          <w:szCs w:val="22"/>
          <w:lang w:val="fr-CA" w:eastAsia="en-US"/>
        </w:rPr>
        <w:t>maintes reprises</w:t>
      </w:r>
      <w:r>
        <w:rPr>
          <w:rFonts w:eastAsia="Calibri"/>
          <w:sz w:val="22"/>
          <w:szCs w:val="22"/>
          <w:lang w:val="fr-CA" w:eastAsia="en-US"/>
        </w:rPr>
        <w:t xml:space="preserve"> le </w:t>
      </w:r>
      <w:r w:rsidRPr="00217EFC">
        <w:rPr>
          <w:rFonts w:eastAsia="Calibri"/>
          <w:sz w:val="22"/>
          <w:szCs w:val="22"/>
          <w:lang w:val="fr-CA" w:eastAsia="en-US"/>
        </w:rPr>
        <w:t>comité républicain pour le quartier</w:t>
      </w:r>
      <w:r w:rsidR="002B1534">
        <w:rPr>
          <w:rFonts w:eastAsia="Calibri"/>
          <w:sz w:val="22"/>
          <w:szCs w:val="22"/>
          <w:lang w:val="fr-CA" w:eastAsia="en-US"/>
        </w:rPr>
        <w:t> </w:t>
      </w:r>
      <w:r w:rsidRPr="00217EFC">
        <w:rPr>
          <w:rFonts w:eastAsia="Calibri"/>
          <w:sz w:val="22"/>
          <w:szCs w:val="22"/>
          <w:lang w:val="fr-CA" w:eastAsia="en-US"/>
        </w:rPr>
        <w:t xml:space="preserve">9 et il </w:t>
      </w:r>
      <w:r>
        <w:rPr>
          <w:rFonts w:eastAsia="Calibri"/>
          <w:sz w:val="22"/>
          <w:szCs w:val="22"/>
          <w:lang w:val="fr-CA" w:eastAsia="en-US"/>
        </w:rPr>
        <w:t xml:space="preserve">est </w:t>
      </w:r>
      <w:r w:rsidRPr="00217EFC">
        <w:rPr>
          <w:rFonts w:eastAsia="Calibri"/>
          <w:sz w:val="22"/>
          <w:szCs w:val="22"/>
          <w:lang w:val="fr-CA" w:eastAsia="en-US"/>
        </w:rPr>
        <w:t xml:space="preserve">élu représentant de ce même quartier lors des législatures de 1909 et 1911. Pendant ces termes, il </w:t>
      </w:r>
      <w:r>
        <w:rPr>
          <w:rFonts w:eastAsia="Calibri"/>
          <w:sz w:val="22"/>
          <w:szCs w:val="22"/>
          <w:lang w:val="fr-CA" w:eastAsia="en-US"/>
        </w:rPr>
        <w:t xml:space="preserve">agit comme </w:t>
      </w:r>
      <w:r w:rsidRPr="00217EFC">
        <w:rPr>
          <w:rFonts w:eastAsia="Calibri"/>
          <w:sz w:val="22"/>
          <w:szCs w:val="22"/>
          <w:lang w:val="fr-CA" w:eastAsia="en-US"/>
        </w:rPr>
        <w:t xml:space="preserve">membre du comité de révision des lois et </w:t>
      </w:r>
      <w:r>
        <w:rPr>
          <w:rFonts w:eastAsia="Calibri"/>
          <w:sz w:val="22"/>
          <w:szCs w:val="22"/>
          <w:lang w:val="fr-CA" w:eastAsia="en-US"/>
        </w:rPr>
        <w:t xml:space="preserve">comme </w:t>
      </w:r>
      <w:r w:rsidRPr="00217EFC">
        <w:rPr>
          <w:rFonts w:eastAsia="Calibri"/>
          <w:sz w:val="22"/>
          <w:szCs w:val="22"/>
          <w:lang w:val="fr-CA" w:eastAsia="en-US"/>
        </w:rPr>
        <w:t>scrutateur de la chambre de la Législature</w:t>
      </w:r>
      <w:r>
        <w:rPr>
          <w:rFonts w:eastAsia="Calibri"/>
          <w:sz w:val="22"/>
          <w:szCs w:val="22"/>
          <w:lang w:val="fr-CA" w:eastAsia="en-US"/>
        </w:rPr>
        <w:t>,</w:t>
      </w:r>
      <w:r w:rsidRPr="00217EFC">
        <w:rPr>
          <w:rFonts w:eastAsia="Calibri"/>
          <w:sz w:val="22"/>
          <w:szCs w:val="22"/>
          <w:lang w:val="fr-CA" w:eastAsia="en-US"/>
        </w:rPr>
        <w:t xml:space="preserve"> </w:t>
      </w:r>
      <w:r>
        <w:rPr>
          <w:rFonts w:eastAsia="Calibri"/>
          <w:sz w:val="22"/>
          <w:szCs w:val="22"/>
          <w:lang w:val="fr-CA" w:eastAsia="en-US"/>
        </w:rPr>
        <w:t xml:space="preserve">pour </w:t>
      </w:r>
      <w:r w:rsidRPr="00217EFC">
        <w:rPr>
          <w:rFonts w:eastAsia="Calibri"/>
          <w:sz w:val="22"/>
          <w:szCs w:val="22"/>
          <w:lang w:val="fr-CA" w:eastAsia="en-US"/>
        </w:rPr>
        <w:t xml:space="preserve">l’État du New Hampshire. En 1911, il </w:t>
      </w:r>
      <w:r>
        <w:rPr>
          <w:rFonts w:eastAsia="Calibri"/>
          <w:sz w:val="22"/>
          <w:szCs w:val="22"/>
          <w:lang w:val="fr-CA" w:eastAsia="en-US"/>
        </w:rPr>
        <w:t xml:space="preserve">devient </w:t>
      </w:r>
      <w:r w:rsidRPr="00217EFC">
        <w:rPr>
          <w:rFonts w:eastAsia="Calibri"/>
          <w:sz w:val="22"/>
          <w:szCs w:val="22"/>
          <w:lang w:val="fr-CA" w:eastAsia="en-US"/>
        </w:rPr>
        <w:t>procureur de la ville de Manchester pour un</w:t>
      </w:r>
      <w:r w:rsidR="002B1534">
        <w:rPr>
          <w:rFonts w:eastAsia="Calibri"/>
          <w:sz w:val="22"/>
          <w:szCs w:val="22"/>
          <w:lang w:val="fr-CA" w:eastAsia="en-US"/>
        </w:rPr>
        <w:t>e</w:t>
      </w:r>
      <w:r w:rsidRPr="00217EFC">
        <w:rPr>
          <w:rFonts w:eastAsia="Calibri"/>
          <w:sz w:val="22"/>
          <w:szCs w:val="22"/>
          <w:lang w:val="fr-CA" w:eastAsia="en-US"/>
        </w:rPr>
        <w:t xml:space="preserve"> période de deux ans. </w:t>
      </w:r>
      <w:r>
        <w:rPr>
          <w:rFonts w:eastAsia="Calibri"/>
          <w:sz w:val="22"/>
          <w:szCs w:val="22"/>
          <w:lang w:val="fr-CA" w:eastAsia="en-US"/>
        </w:rPr>
        <w:t>Auparavant</w:t>
      </w:r>
      <w:r w:rsidRPr="00217EFC">
        <w:rPr>
          <w:rFonts w:eastAsia="Calibri"/>
          <w:sz w:val="22"/>
          <w:szCs w:val="22"/>
          <w:lang w:val="fr-CA" w:eastAsia="en-US"/>
        </w:rPr>
        <w:t>, il conduit les campagnes politiques des candidats républicains, dont celle de M.</w:t>
      </w:r>
      <w:r w:rsidR="002B1534">
        <w:rPr>
          <w:rFonts w:eastAsia="Calibri"/>
          <w:sz w:val="22"/>
          <w:szCs w:val="22"/>
          <w:lang w:val="fr-CA" w:eastAsia="en-US"/>
        </w:rPr>
        <w:t> </w:t>
      </w:r>
      <w:r w:rsidRPr="00217EFC">
        <w:rPr>
          <w:rFonts w:eastAsia="Calibri"/>
          <w:sz w:val="22"/>
          <w:szCs w:val="22"/>
          <w:lang w:val="fr-CA" w:eastAsia="en-US"/>
        </w:rPr>
        <w:t xml:space="preserve">Henry Keyes en septembre 1915. Finalement, il </w:t>
      </w:r>
      <w:r>
        <w:rPr>
          <w:rFonts w:eastAsia="Calibri"/>
          <w:sz w:val="22"/>
          <w:szCs w:val="22"/>
          <w:lang w:val="fr-CA" w:eastAsia="en-US"/>
        </w:rPr>
        <w:t xml:space="preserve">exécute la fonction de </w:t>
      </w:r>
      <w:r w:rsidRPr="00217EFC">
        <w:rPr>
          <w:rFonts w:eastAsia="Calibri"/>
          <w:sz w:val="22"/>
          <w:szCs w:val="22"/>
          <w:lang w:val="fr-CA" w:eastAsia="en-US"/>
        </w:rPr>
        <w:t xml:space="preserve">commissaire de la province du Québec pour l’État et il </w:t>
      </w:r>
      <w:r>
        <w:rPr>
          <w:rFonts w:eastAsia="Calibri"/>
          <w:sz w:val="22"/>
          <w:szCs w:val="22"/>
          <w:lang w:val="fr-CA" w:eastAsia="en-US"/>
        </w:rPr>
        <w:t xml:space="preserve">participe, avec </w:t>
      </w:r>
      <w:r w:rsidRPr="00217EFC">
        <w:rPr>
          <w:rFonts w:eastAsia="Calibri"/>
          <w:sz w:val="22"/>
          <w:szCs w:val="22"/>
          <w:lang w:val="fr-CA" w:eastAsia="en-US"/>
        </w:rPr>
        <w:t>trois commissionnaires</w:t>
      </w:r>
      <w:r>
        <w:rPr>
          <w:rFonts w:eastAsia="Calibri"/>
          <w:sz w:val="22"/>
          <w:szCs w:val="22"/>
          <w:lang w:val="fr-CA" w:eastAsia="en-US"/>
        </w:rPr>
        <w:t>,</w:t>
      </w:r>
      <w:r w:rsidRPr="00217EFC">
        <w:rPr>
          <w:rFonts w:eastAsia="Calibri"/>
          <w:sz w:val="22"/>
          <w:szCs w:val="22"/>
          <w:lang w:val="fr-CA" w:eastAsia="en-US"/>
        </w:rPr>
        <w:t xml:space="preserve"> </w:t>
      </w:r>
      <w:r>
        <w:rPr>
          <w:rFonts w:eastAsia="Calibri"/>
          <w:sz w:val="22"/>
          <w:szCs w:val="22"/>
          <w:lang w:val="fr-CA" w:eastAsia="en-US"/>
        </w:rPr>
        <w:t xml:space="preserve">au comité </w:t>
      </w:r>
      <w:r w:rsidRPr="00217EFC">
        <w:rPr>
          <w:rFonts w:eastAsia="Calibri"/>
          <w:sz w:val="22"/>
          <w:szCs w:val="22"/>
          <w:lang w:val="fr-CA" w:eastAsia="en-US"/>
        </w:rPr>
        <w:t>d’administr</w:t>
      </w:r>
      <w:r>
        <w:rPr>
          <w:rFonts w:eastAsia="Calibri"/>
          <w:sz w:val="22"/>
          <w:szCs w:val="22"/>
          <w:lang w:val="fr-CA" w:eastAsia="en-US"/>
        </w:rPr>
        <w:t xml:space="preserve">ation du </w:t>
      </w:r>
      <w:r w:rsidRPr="00217EFC">
        <w:rPr>
          <w:rFonts w:eastAsia="Calibri"/>
          <w:sz w:val="22"/>
          <w:szCs w:val="22"/>
          <w:lang w:val="fr-CA" w:eastAsia="en-US"/>
        </w:rPr>
        <w:t>service policier de Manchester</w:t>
      </w:r>
      <w:r>
        <w:rPr>
          <w:rFonts w:eastAsia="Calibri"/>
          <w:sz w:val="22"/>
          <w:szCs w:val="22"/>
          <w:lang w:val="fr-CA" w:eastAsia="en-US"/>
        </w:rPr>
        <w:t xml:space="preserve">. Ces </w:t>
      </w:r>
      <w:r w:rsidRPr="00217EFC">
        <w:rPr>
          <w:rFonts w:eastAsia="Calibri"/>
          <w:sz w:val="22"/>
          <w:szCs w:val="22"/>
          <w:lang w:val="fr-CA" w:eastAsia="en-US"/>
        </w:rPr>
        <w:t xml:space="preserve">postes sont </w:t>
      </w:r>
      <w:r w:rsidR="002B1534">
        <w:rPr>
          <w:rFonts w:eastAsia="Calibri"/>
          <w:sz w:val="22"/>
          <w:szCs w:val="22"/>
          <w:lang w:val="fr-CA" w:eastAsia="en-US"/>
        </w:rPr>
        <w:t>sélection</w:t>
      </w:r>
      <w:r w:rsidRPr="00217EFC">
        <w:rPr>
          <w:rFonts w:eastAsia="Calibri"/>
          <w:sz w:val="22"/>
          <w:szCs w:val="22"/>
          <w:lang w:val="fr-CA" w:eastAsia="en-US"/>
        </w:rPr>
        <w:t>né</w:t>
      </w:r>
      <w:r>
        <w:rPr>
          <w:rFonts w:eastAsia="Calibri"/>
          <w:sz w:val="22"/>
          <w:szCs w:val="22"/>
          <w:lang w:val="fr-CA" w:eastAsia="en-US"/>
        </w:rPr>
        <w:t>s</w:t>
      </w:r>
      <w:r w:rsidRPr="00217EFC">
        <w:rPr>
          <w:rFonts w:eastAsia="Calibri"/>
          <w:sz w:val="22"/>
          <w:szCs w:val="22"/>
          <w:lang w:val="fr-CA" w:eastAsia="en-US"/>
        </w:rPr>
        <w:t xml:space="preserve"> par le gouverneur de l’État</w:t>
      </w:r>
      <w:r w:rsidRPr="00217EFC">
        <w:rPr>
          <w:rStyle w:val="FootnoteReference"/>
          <w:rFonts w:eastAsia="Calibri"/>
          <w:sz w:val="22"/>
          <w:szCs w:val="22"/>
          <w:lang w:val="fr-CA" w:eastAsia="en-US"/>
        </w:rPr>
        <w:footnoteReference w:id="124"/>
      </w:r>
      <w:r w:rsidRPr="00217EFC">
        <w:rPr>
          <w:rFonts w:eastAsia="Calibri"/>
          <w:sz w:val="22"/>
          <w:szCs w:val="22"/>
          <w:lang w:val="fr-CA" w:eastAsia="en-US"/>
        </w:rPr>
        <w:t>.</w:t>
      </w:r>
    </w:p>
    <w:p w14:paraId="6C9BCF2E"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Pr>
          <w:rFonts w:eastAsia="Calibri"/>
          <w:sz w:val="22"/>
          <w:szCs w:val="22"/>
          <w:lang w:val="fr-CA" w:eastAsia="en-US"/>
        </w:rPr>
        <w:t xml:space="preserve">Ainsi, la majorité de ces </w:t>
      </w:r>
      <w:r w:rsidRPr="00217EFC">
        <w:rPr>
          <w:rFonts w:eastAsia="Calibri"/>
          <w:sz w:val="22"/>
          <w:szCs w:val="22"/>
          <w:lang w:val="fr-CA" w:eastAsia="en-US"/>
        </w:rPr>
        <w:t xml:space="preserve">avocats </w:t>
      </w:r>
      <w:r>
        <w:rPr>
          <w:rFonts w:eastAsia="Calibri"/>
          <w:sz w:val="22"/>
          <w:szCs w:val="22"/>
          <w:lang w:val="fr-CA" w:eastAsia="en-US"/>
        </w:rPr>
        <w:t>occupent des postes qui leur permettent d’</w:t>
      </w:r>
      <w:r w:rsidRPr="00217EFC">
        <w:rPr>
          <w:rFonts w:eastAsia="Calibri"/>
          <w:sz w:val="22"/>
          <w:szCs w:val="22"/>
          <w:lang w:val="fr-CA" w:eastAsia="en-US"/>
        </w:rPr>
        <w:t>influence</w:t>
      </w:r>
      <w:r>
        <w:rPr>
          <w:rFonts w:eastAsia="Calibri"/>
          <w:sz w:val="22"/>
          <w:szCs w:val="22"/>
          <w:lang w:val="fr-CA" w:eastAsia="en-US"/>
        </w:rPr>
        <w:t>r</w:t>
      </w:r>
      <w:r w:rsidRPr="00217EFC">
        <w:rPr>
          <w:rFonts w:eastAsia="Calibri"/>
          <w:sz w:val="22"/>
          <w:szCs w:val="22"/>
          <w:lang w:val="fr-CA" w:eastAsia="en-US"/>
        </w:rPr>
        <w:t xml:space="preserve"> la population franco-américaine, soit par leurs activités politiques, soit par leur contribution à la presse écrite. Évidemment, le sujet de la naturalisation </w:t>
      </w:r>
      <w:r>
        <w:rPr>
          <w:rFonts w:eastAsia="Calibri"/>
          <w:sz w:val="22"/>
          <w:szCs w:val="22"/>
          <w:lang w:val="fr-CA" w:eastAsia="en-US"/>
        </w:rPr>
        <w:t>est pour eux</w:t>
      </w:r>
      <w:r w:rsidRPr="00217EFC">
        <w:rPr>
          <w:rFonts w:eastAsia="Calibri"/>
          <w:sz w:val="22"/>
          <w:szCs w:val="22"/>
          <w:lang w:val="fr-CA" w:eastAsia="en-US"/>
        </w:rPr>
        <w:t xml:space="preserve"> </w:t>
      </w:r>
      <w:r w:rsidRPr="00B96F58">
        <w:rPr>
          <w:rFonts w:eastAsia="Calibri"/>
          <w:sz w:val="22"/>
          <w:lang w:val="fr-CA"/>
        </w:rPr>
        <w:t>d’une importance primordiale</w:t>
      </w:r>
      <w:r w:rsidRPr="00217EFC">
        <w:rPr>
          <w:rFonts w:eastAsia="Calibri"/>
          <w:sz w:val="22"/>
          <w:szCs w:val="22"/>
          <w:lang w:val="fr-CA" w:eastAsia="en-US"/>
        </w:rPr>
        <w:t>.</w:t>
      </w:r>
      <w:r>
        <w:rPr>
          <w:rFonts w:eastAsia="Calibri"/>
          <w:sz w:val="22"/>
          <w:szCs w:val="22"/>
          <w:lang w:val="fr-CA" w:eastAsia="en-US"/>
        </w:rPr>
        <w:t xml:space="preserve"> En fait</w:t>
      </w:r>
      <w:r w:rsidRPr="00217EFC">
        <w:rPr>
          <w:rFonts w:eastAsia="Calibri"/>
          <w:sz w:val="22"/>
          <w:szCs w:val="22"/>
          <w:lang w:val="fr-CA" w:eastAsia="en-US"/>
        </w:rPr>
        <w:t xml:space="preserve">, ils </w:t>
      </w:r>
      <w:r>
        <w:rPr>
          <w:rFonts w:eastAsia="Calibri"/>
          <w:sz w:val="22"/>
          <w:szCs w:val="22"/>
          <w:lang w:val="fr-CA" w:eastAsia="en-US"/>
        </w:rPr>
        <w:t>agissent comme d</w:t>
      </w:r>
      <w:r w:rsidRPr="00217EFC">
        <w:rPr>
          <w:rFonts w:eastAsia="Calibri"/>
          <w:sz w:val="22"/>
          <w:szCs w:val="22"/>
          <w:lang w:val="fr-CA" w:eastAsia="en-US"/>
        </w:rPr>
        <w:t>es fers de lance pour inciter les Canadiens français à devenir citoyens américains. E</w:t>
      </w:r>
      <w:r>
        <w:rPr>
          <w:rFonts w:eastAsia="Calibri"/>
          <w:sz w:val="22"/>
          <w:szCs w:val="22"/>
          <w:lang w:val="fr-CA" w:eastAsia="en-US"/>
        </w:rPr>
        <w:t>ffectivement</w:t>
      </w:r>
      <w:r w:rsidRPr="00217EFC">
        <w:rPr>
          <w:rFonts w:eastAsia="Calibri"/>
          <w:sz w:val="22"/>
          <w:szCs w:val="22"/>
          <w:lang w:val="fr-CA" w:eastAsia="en-US"/>
        </w:rPr>
        <w:t xml:space="preserve">, les politiciens franco-américains sont les premiers bénéficiaires, </w:t>
      </w:r>
      <w:r>
        <w:rPr>
          <w:rFonts w:eastAsia="Calibri"/>
          <w:sz w:val="22"/>
          <w:szCs w:val="22"/>
          <w:lang w:val="fr-CA" w:eastAsia="en-US"/>
        </w:rPr>
        <w:t xml:space="preserve">car </w:t>
      </w:r>
      <w:r w:rsidRPr="00217EFC">
        <w:rPr>
          <w:rFonts w:eastAsia="Calibri"/>
          <w:sz w:val="22"/>
          <w:szCs w:val="22"/>
          <w:lang w:val="fr-CA" w:eastAsia="en-US"/>
        </w:rPr>
        <w:t xml:space="preserve">plus </w:t>
      </w:r>
      <w:r>
        <w:rPr>
          <w:rFonts w:eastAsia="Calibri"/>
          <w:sz w:val="22"/>
          <w:szCs w:val="22"/>
          <w:lang w:val="fr-CA" w:eastAsia="en-US"/>
        </w:rPr>
        <w:t xml:space="preserve">la population franco-américaine devient considérable plus son </w:t>
      </w:r>
      <w:r w:rsidRPr="00217EFC">
        <w:rPr>
          <w:rFonts w:eastAsia="Calibri"/>
          <w:sz w:val="22"/>
          <w:szCs w:val="22"/>
          <w:lang w:val="fr-CA" w:eastAsia="en-US"/>
        </w:rPr>
        <w:t xml:space="preserve">influence politique auprès des </w:t>
      </w:r>
      <w:r w:rsidRPr="00217EFC">
        <w:rPr>
          <w:rFonts w:eastAsia="Calibri"/>
          <w:sz w:val="22"/>
          <w:szCs w:val="22"/>
          <w:lang w:val="fr-CA" w:eastAsia="en-US"/>
        </w:rPr>
        <w:lastRenderedPageBreak/>
        <w:t>dirigeants de l’État du New Hampshire</w:t>
      </w:r>
      <w:r>
        <w:rPr>
          <w:rFonts w:eastAsia="Calibri"/>
          <w:sz w:val="22"/>
          <w:szCs w:val="22"/>
          <w:lang w:val="fr-CA" w:eastAsia="en-US"/>
        </w:rPr>
        <w:t xml:space="preserve"> devient importante</w:t>
      </w:r>
      <w:r w:rsidRPr="00217EFC">
        <w:rPr>
          <w:rFonts w:eastAsia="Calibri"/>
          <w:sz w:val="22"/>
          <w:szCs w:val="22"/>
          <w:lang w:val="fr-CA" w:eastAsia="en-US"/>
        </w:rPr>
        <w:t xml:space="preserve">. </w:t>
      </w:r>
      <w:r>
        <w:rPr>
          <w:rFonts w:eastAsia="Calibri"/>
          <w:sz w:val="22"/>
          <w:szCs w:val="22"/>
          <w:lang w:val="fr-CA" w:eastAsia="en-US"/>
        </w:rPr>
        <w:t xml:space="preserve">C’est pourquoi ces avocats </w:t>
      </w:r>
      <w:r w:rsidRPr="00217EFC">
        <w:rPr>
          <w:rFonts w:eastAsia="Calibri"/>
          <w:sz w:val="22"/>
          <w:szCs w:val="22"/>
          <w:lang w:val="fr-CA" w:eastAsia="en-US"/>
        </w:rPr>
        <w:t>organise</w:t>
      </w:r>
      <w:r>
        <w:rPr>
          <w:rFonts w:eastAsia="Calibri"/>
          <w:sz w:val="22"/>
          <w:szCs w:val="22"/>
          <w:lang w:val="fr-CA" w:eastAsia="en-US"/>
        </w:rPr>
        <w:t xml:space="preserve">nt </w:t>
      </w:r>
      <w:r w:rsidRPr="00217EFC">
        <w:rPr>
          <w:rFonts w:eastAsia="Calibri"/>
          <w:sz w:val="22"/>
          <w:szCs w:val="22"/>
          <w:lang w:val="fr-CA" w:eastAsia="en-US"/>
        </w:rPr>
        <w:t>des soirées d’information afin d’inciter les Canadiens</w:t>
      </w:r>
      <w:r>
        <w:rPr>
          <w:rFonts w:eastAsia="Calibri"/>
          <w:sz w:val="22"/>
          <w:szCs w:val="22"/>
          <w:lang w:val="fr-CA" w:eastAsia="en-US"/>
        </w:rPr>
        <w:t xml:space="preserve"> </w:t>
      </w:r>
      <w:r w:rsidRPr="00217EFC">
        <w:rPr>
          <w:rFonts w:eastAsia="Calibri"/>
          <w:sz w:val="22"/>
          <w:szCs w:val="22"/>
          <w:lang w:val="fr-CA" w:eastAsia="en-US"/>
        </w:rPr>
        <w:t>français à devenir citoyen</w:t>
      </w:r>
      <w:r>
        <w:rPr>
          <w:rFonts w:eastAsia="Calibri"/>
          <w:sz w:val="22"/>
          <w:szCs w:val="22"/>
          <w:lang w:val="fr-CA" w:eastAsia="en-US"/>
        </w:rPr>
        <w:t>s</w:t>
      </w:r>
      <w:r w:rsidRPr="00217EFC">
        <w:rPr>
          <w:rFonts w:eastAsia="Calibri"/>
          <w:sz w:val="22"/>
          <w:szCs w:val="22"/>
          <w:lang w:val="fr-CA" w:eastAsia="en-US"/>
        </w:rPr>
        <w:t xml:space="preserve"> américains</w:t>
      </w:r>
      <w:r w:rsidRPr="00217EFC">
        <w:rPr>
          <w:rStyle w:val="FootnoteReference"/>
          <w:rFonts w:eastAsia="Calibri"/>
          <w:sz w:val="22"/>
          <w:szCs w:val="22"/>
          <w:lang w:val="fr-CA" w:eastAsia="en-US"/>
        </w:rPr>
        <w:footnoteReference w:id="125"/>
      </w:r>
      <w:r w:rsidRPr="00217EFC">
        <w:rPr>
          <w:rFonts w:eastAsia="Calibri"/>
          <w:sz w:val="22"/>
          <w:szCs w:val="22"/>
          <w:lang w:val="fr-CA" w:eastAsia="en-US"/>
        </w:rPr>
        <w:t>. À titre d’exemple, en juillet 1917, cent dix-sept Canadiens</w:t>
      </w:r>
      <w:r>
        <w:rPr>
          <w:rFonts w:eastAsia="Calibri"/>
          <w:sz w:val="22"/>
          <w:szCs w:val="22"/>
          <w:lang w:val="fr-CA" w:eastAsia="en-US"/>
        </w:rPr>
        <w:t xml:space="preserve"> </w:t>
      </w:r>
      <w:r w:rsidRPr="00217EFC">
        <w:rPr>
          <w:rFonts w:eastAsia="Calibri"/>
          <w:sz w:val="22"/>
          <w:szCs w:val="22"/>
          <w:lang w:val="fr-CA" w:eastAsia="en-US"/>
        </w:rPr>
        <w:t xml:space="preserve">français dont la majorité </w:t>
      </w:r>
      <w:r w:rsidR="002B1534">
        <w:rPr>
          <w:rFonts w:eastAsia="Calibri"/>
          <w:sz w:val="22"/>
          <w:szCs w:val="22"/>
          <w:lang w:val="fr-CA" w:eastAsia="en-US"/>
        </w:rPr>
        <w:t>es</w:t>
      </w:r>
      <w:r>
        <w:rPr>
          <w:rFonts w:eastAsia="Calibri"/>
          <w:sz w:val="22"/>
          <w:szCs w:val="22"/>
          <w:lang w:val="fr-CA" w:eastAsia="en-US"/>
        </w:rPr>
        <w:t xml:space="preserve">t </w:t>
      </w:r>
      <w:r w:rsidRPr="00217EFC">
        <w:rPr>
          <w:rFonts w:eastAsia="Calibri"/>
          <w:sz w:val="22"/>
          <w:szCs w:val="22"/>
          <w:lang w:val="fr-CA" w:eastAsia="en-US"/>
        </w:rPr>
        <w:t>membres du Club Le Citoyen sont naturalisés au palais de justice de Manchester</w:t>
      </w:r>
      <w:r w:rsidRPr="00217EFC">
        <w:rPr>
          <w:rStyle w:val="FootnoteReference"/>
          <w:rFonts w:eastAsia="Calibri"/>
          <w:sz w:val="22"/>
          <w:szCs w:val="22"/>
          <w:lang w:val="fr-CA" w:eastAsia="en-US"/>
        </w:rPr>
        <w:footnoteReference w:id="126"/>
      </w:r>
      <w:r>
        <w:rPr>
          <w:rFonts w:eastAsia="Calibri"/>
          <w:sz w:val="22"/>
          <w:szCs w:val="22"/>
          <w:lang w:val="fr-CA" w:eastAsia="en-US"/>
        </w:rPr>
        <w:t>.</w:t>
      </w:r>
      <w:r w:rsidRPr="00217EFC">
        <w:rPr>
          <w:rFonts w:eastAsia="Calibri"/>
          <w:sz w:val="22"/>
          <w:szCs w:val="22"/>
          <w:lang w:val="fr-CA" w:eastAsia="en-US"/>
        </w:rPr>
        <w:t xml:space="preserve"> </w:t>
      </w:r>
      <w:r>
        <w:rPr>
          <w:rFonts w:eastAsia="Calibri"/>
          <w:sz w:val="22"/>
          <w:szCs w:val="22"/>
          <w:lang w:val="fr-CA" w:eastAsia="en-US"/>
        </w:rPr>
        <w:t xml:space="preserve">D’ailleurs, </w:t>
      </w:r>
      <w:r w:rsidRPr="00217EFC">
        <w:rPr>
          <w:rFonts w:eastAsia="Calibri"/>
          <w:sz w:val="22"/>
          <w:szCs w:val="22"/>
          <w:lang w:val="fr-CA" w:eastAsia="en-US"/>
        </w:rPr>
        <w:t>cette organisation aide 1</w:t>
      </w:r>
      <w:r>
        <w:rPr>
          <w:rFonts w:eastAsia="Calibri"/>
          <w:sz w:val="22"/>
          <w:szCs w:val="22"/>
          <w:lang w:val="fr-CA" w:eastAsia="en-US"/>
        </w:rPr>
        <w:t> </w:t>
      </w:r>
      <w:r w:rsidRPr="00217EFC">
        <w:rPr>
          <w:rFonts w:eastAsia="Calibri"/>
          <w:sz w:val="22"/>
          <w:szCs w:val="22"/>
          <w:lang w:val="fr-CA" w:eastAsia="en-US"/>
        </w:rPr>
        <w:t>400 Canadiens</w:t>
      </w:r>
      <w:r>
        <w:rPr>
          <w:rFonts w:eastAsia="Calibri"/>
          <w:sz w:val="22"/>
          <w:szCs w:val="22"/>
          <w:lang w:val="fr-CA" w:eastAsia="en-US"/>
        </w:rPr>
        <w:t xml:space="preserve"> </w:t>
      </w:r>
      <w:r w:rsidRPr="00217EFC">
        <w:rPr>
          <w:rFonts w:eastAsia="Calibri"/>
          <w:sz w:val="22"/>
          <w:szCs w:val="22"/>
          <w:lang w:val="fr-CA" w:eastAsia="en-US"/>
        </w:rPr>
        <w:t>français à obtenir leur</w:t>
      </w:r>
      <w:r>
        <w:rPr>
          <w:rFonts w:eastAsia="Calibri"/>
          <w:sz w:val="22"/>
          <w:szCs w:val="22"/>
          <w:lang w:val="fr-CA" w:eastAsia="en-US"/>
        </w:rPr>
        <w:t>s</w:t>
      </w:r>
      <w:r w:rsidRPr="00217EFC">
        <w:rPr>
          <w:rFonts w:eastAsia="Calibri"/>
          <w:sz w:val="22"/>
          <w:szCs w:val="22"/>
          <w:lang w:val="fr-CA" w:eastAsia="en-US"/>
        </w:rPr>
        <w:t xml:space="preserve"> papiers</w:t>
      </w:r>
      <w:r>
        <w:rPr>
          <w:rFonts w:eastAsia="Calibri"/>
          <w:sz w:val="22"/>
          <w:szCs w:val="22"/>
          <w:lang w:val="fr-CA" w:eastAsia="en-US"/>
        </w:rPr>
        <w:t xml:space="preserve"> de citoyenneté américaine en 1918</w:t>
      </w:r>
      <w:r w:rsidRPr="00217EFC">
        <w:rPr>
          <w:rStyle w:val="FootnoteReference"/>
          <w:rFonts w:eastAsia="Calibri"/>
          <w:sz w:val="22"/>
          <w:szCs w:val="22"/>
          <w:lang w:val="fr-CA" w:eastAsia="en-US"/>
        </w:rPr>
        <w:footnoteReference w:id="127"/>
      </w:r>
      <w:r w:rsidRPr="00217EFC">
        <w:rPr>
          <w:rFonts w:eastAsia="Calibri"/>
          <w:sz w:val="22"/>
          <w:szCs w:val="22"/>
          <w:lang w:val="fr-CA" w:eastAsia="en-US"/>
        </w:rPr>
        <w:t xml:space="preserve">. </w:t>
      </w:r>
    </w:p>
    <w:p w14:paraId="30680AE1" w14:textId="77777777" w:rsidR="000264D6" w:rsidRPr="003266F9" w:rsidRDefault="000264D6" w:rsidP="003C57D5">
      <w:pPr>
        <w:spacing w:before="100" w:beforeAutospacing="1" w:after="100" w:afterAutospacing="1" w:line="480" w:lineRule="auto"/>
        <w:jc w:val="both"/>
        <w:rPr>
          <w:rFonts w:eastAsia="Calibri"/>
          <w:b/>
          <w:bCs/>
          <w:sz w:val="22"/>
          <w:szCs w:val="22"/>
          <w:lang w:val="fr-CA" w:eastAsia="en-US"/>
        </w:rPr>
      </w:pPr>
      <w:r w:rsidRPr="003266F9">
        <w:rPr>
          <w:rFonts w:eastAsia="Calibri"/>
          <w:b/>
          <w:bCs/>
          <w:sz w:val="22"/>
          <w:szCs w:val="22"/>
          <w:lang w:val="fr-CA" w:eastAsia="en-US"/>
        </w:rPr>
        <w:t>Associations fraternelles</w:t>
      </w:r>
    </w:p>
    <w:p w14:paraId="22761442"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Les sociétés nationales jouent un rôle primordial dans la vie des Franco-Américains</w:t>
      </w:r>
      <w:r>
        <w:rPr>
          <w:rFonts w:eastAsia="Calibri"/>
          <w:sz w:val="22"/>
          <w:szCs w:val="22"/>
          <w:lang w:val="fr-CA" w:eastAsia="en-US"/>
        </w:rPr>
        <w:t>,</w:t>
      </w:r>
      <w:r w:rsidRPr="00217EFC">
        <w:rPr>
          <w:rFonts w:eastAsia="Calibri"/>
          <w:sz w:val="22"/>
          <w:szCs w:val="22"/>
          <w:lang w:val="fr-CA" w:eastAsia="en-US"/>
        </w:rPr>
        <w:t xml:space="preserve"> </w:t>
      </w:r>
      <w:r>
        <w:rPr>
          <w:rFonts w:eastAsia="Calibri"/>
          <w:sz w:val="22"/>
          <w:szCs w:val="22"/>
          <w:lang w:val="fr-CA" w:eastAsia="en-US"/>
        </w:rPr>
        <w:t xml:space="preserve">car </w:t>
      </w:r>
      <w:r w:rsidRPr="00217EFC">
        <w:rPr>
          <w:rFonts w:eastAsia="Calibri"/>
          <w:sz w:val="22"/>
          <w:szCs w:val="22"/>
          <w:lang w:val="fr-CA" w:eastAsia="en-US"/>
        </w:rPr>
        <w:t xml:space="preserve">elles exercent </w:t>
      </w:r>
      <w:r>
        <w:rPr>
          <w:rFonts w:eastAsia="Calibri"/>
          <w:sz w:val="22"/>
          <w:szCs w:val="22"/>
          <w:lang w:val="fr-CA" w:eastAsia="en-US"/>
        </w:rPr>
        <w:t xml:space="preserve">une très grande influence </w:t>
      </w:r>
      <w:r w:rsidRPr="00217EFC">
        <w:rPr>
          <w:rFonts w:eastAsia="Calibri"/>
          <w:sz w:val="22"/>
          <w:szCs w:val="22"/>
          <w:lang w:val="fr-CA" w:eastAsia="en-US"/>
        </w:rPr>
        <w:t>sur eux. Par exemple, avant même la fondation de la première paroisse</w:t>
      </w:r>
      <w:r>
        <w:rPr>
          <w:rFonts w:eastAsia="Calibri"/>
          <w:sz w:val="22"/>
          <w:szCs w:val="22"/>
          <w:lang w:val="fr-CA" w:eastAsia="en-US"/>
        </w:rPr>
        <w:t xml:space="preserve"> franco-américaine</w:t>
      </w:r>
      <w:r w:rsidRPr="00217EFC">
        <w:rPr>
          <w:rFonts w:eastAsia="Calibri"/>
          <w:sz w:val="22"/>
          <w:szCs w:val="22"/>
          <w:lang w:val="fr-CA" w:eastAsia="en-US"/>
        </w:rPr>
        <w:t xml:space="preserve">, la </w:t>
      </w:r>
      <w:r w:rsidR="0042585E">
        <w:rPr>
          <w:rFonts w:eastAsia="Calibri"/>
          <w:sz w:val="22"/>
          <w:szCs w:val="22"/>
          <w:lang w:val="fr-CA" w:eastAsia="en-US"/>
        </w:rPr>
        <w:t>S</w:t>
      </w:r>
      <w:r w:rsidRPr="00217EFC">
        <w:rPr>
          <w:rFonts w:eastAsia="Calibri"/>
          <w:sz w:val="22"/>
          <w:szCs w:val="22"/>
          <w:lang w:val="fr-CA" w:eastAsia="en-US"/>
        </w:rPr>
        <w:t xml:space="preserve">ociété Saint-Jean-Baptiste était </w:t>
      </w:r>
      <w:r w:rsidR="00507EDC">
        <w:rPr>
          <w:rFonts w:eastAsia="Calibri"/>
          <w:sz w:val="22"/>
          <w:szCs w:val="22"/>
          <w:lang w:val="fr-CA" w:eastAsia="en-US"/>
        </w:rPr>
        <w:t xml:space="preserve">déjà </w:t>
      </w:r>
      <w:r w:rsidRPr="00217EFC">
        <w:rPr>
          <w:rFonts w:eastAsia="Calibri"/>
          <w:sz w:val="22"/>
          <w:szCs w:val="22"/>
          <w:lang w:val="fr-CA" w:eastAsia="en-US"/>
        </w:rPr>
        <w:t xml:space="preserve">bien établie à Manchester. Ces sociétés agissent comme référents identitaires pour le maintien des valeurs religieuses, sociales, culturelles et linguistiques de la population franco-américaine. À l’instar des autres sociétés d’entraide, la société Saint-Jean-Baptiste </w:t>
      </w:r>
      <w:r>
        <w:rPr>
          <w:rFonts w:eastAsia="Calibri"/>
          <w:sz w:val="22"/>
          <w:szCs w:val="22"/>
          <w:lang w:val="fr-CA" w:eastAsia="en-US"/>
        </w:rPr>
        <w:t>aide</w:t>
      </w:r>
      <w:r w:rsidRPr="00217EFC">
        <w:rPr>
          <w:rFonts w:eastAsia="Calibri"/>
          <w:sz w:val="22"/>
          <w:szCs w:val="22"/>
          <w:lang w:val="fr-CA" w:eastAsia="en-US"/>
        </w:rPr>
        <w:t xml:space="preserve"> la population dans toutes les facettes de la vie personnelle, sociale et religieuse</w:t>
      </w:r>
      <w:r w:rsidRPr="00217EFC">
        <w:rPr>
          <w:rStyle w:val="FootnoteReference"/>
          <w:rFonts w:eastAsia="Calibri"/>
          <w:sz w:val="22"/>
          <w:szCs w:val="22"/>
          <w:lang w:val="fr-CA" w:eastAsia="en-US"/>
        </w:rPr>
        <w:footnoteReference w:id="128"/>
      </w:r>
      <w:r w:rsidRPr="00217EFC">
        <w:rPr>
          <w:rFonts w:eastAsia="Calibri"/>
          <w:sz w:val="22"/>
          <w:szCs w:val="22"/>
          <w:lang w:val="fr-CA" w:eastAsia="en-US"/>
        </w:rPr>
        <w:t xml:space="preserve">. </w:t>
      </w:r>
      <w:r>
        <w:rPr>
          <w:rFonts w:eastAsia="Calibri"/>
          <w:sz w:val="22"/>
          <w:szCs w:val="22"/>
          <w:lang w:val="fr-CA" w:eastAsia="en-US"/>
        </w:rPr>
        <w:t>En mai 1900, l</w:t>
      </w:r>
      <w:r w:rsidRPr="00217EFC">
        <w:rPr>
          <w:rFonts w:eastAsia="Calibri"/>
          <w:sz w:val="22"/>
          <w:szCs w:val="22"/>
          <w:lang w:val="fr-CA" w:eastAsia="en-US"/>
        </w:rPr>
        <w:t>es différentes sociétés que l’on retrouve partout en Nouvelle-Angleterre se regroupent pour devenir une organisation nationale</w:t>
      </w:r>
      <w:r>
        <w:rPr>
          <w:rFonts w:eastAsia="Calibri"/>
          <w:sz w:val="22"/>
          <w:szCs w:val="22"/>
          <w:lang w:val="fr-CA" w:eastAsia="en-US"/>
        </w:rPr>
        <w:t xml:space="preserve"> qui est alors </w:t>
      </w:r>
      <w:r w:rsidRPr="00217EFC">
        <w:rPr>
          <w:rFonts w:eastAsia="Calibri"/>
          <w:sz w:val="22"/>
          <w:szCs w:val="22"/>
          <w:lang w:val="fr-CA" w:eastAsia="en-US"/>
        </w:rPr>
        <w:t>l’Union Saint-Jean-Baptiste d’Amérique</w:t>
      </w:r>
      <w:r w:rsidRPr="00217EFC">
        <w:rPr>
          <w:rStyle w:val="FootnoteReference"/>
          <w:rFonts w:eastAsia="Calibri"/>
          <w:sz w:val="22"/>
          <w:szCs w:val="22"/>
          <w:lang w:val="fr-CA" w:eastAsia="en-US"/>
        </w:rPr>
        <w:footnoteReference w:id="129"/>
      </w:r>
      <w:r w:rsidRPr="00217EFC">
        <w:rPr>
          <w:rFonts w:eastAsia="Calibri"/>
          <w:sz w:val="22"/>
          <w:szCs w:val="22"/>
          <w:lang w:val="fr-CA" w:eastAsia="en-US"/>
        </w:rPr>
        <w:t>. Comme société de secours mutuels nationale, son but est aussi de propager l’usage de la langue française et la conservation des traditions canadiennes</w:t>
      </w:r>
      <w:r>
        <w:rPr>
          <w:rFonts w:eastAsia="Calibri"/>
          <w:sz w:val="22"/>
          <w:szCs w:val="22"/>
          <w:lang w:val="fr-CA" w:eastAsia="en-US"/>
        </w:rPr>
        <w:t>-</w:t>
      </w:r>
      <w:r w:rsidRPr="00217EFC">
        <w:rPr>
          <w:rFonts w:eastAsia="Calibri"/>
          <w:sz w:val="22"/>
          <w:szCs w:val="22"/>
          <w:lang w:val="fr-CA" w:eastAsia="en-US"/>
        </w:rPr>
        <w:t>françaises</w:t>
      </w:r>
      <w:r w:rsidRPr="00217EFC">
        <w:rPr>
          <w:rStyle w:val="FootnoteReference"/>
          <w:rFonts w:eastAsia="Calibri"/>
          <w:sz w:val="22"/>
          <w:szCs w:val="22"/>
          <w:lang w:val="fr-CA" w:eastAsia="en-US"/>
        </w:rPr>
        <w:footnoteReference w:id="130"/>
      </w:r>
      <w:r w:rsidRPr="00217EFC">
        <w:rPr>
          <w:rFonts w:eastAsia="Calibri"/>
          <w:sz w:val="22"/>
          <w:szCs w:val="22"/>
          <w:lang w:val="fr-CA" w:eastAsia="en-US"/>
        </w:rPr>
        <w:t>. En 1916, la branche de Manchester compte plus de trois cents membres et la société compte une division pour ses membres féminins</w:t>
      </w:r>
      <w:r w:rsidRPr="00217EFC">
        <w:rPr>
          <w:rStyle w:val="FootnoteReference"/>
          <w:rFonts w:eastAsia="Calibri"/>
          <w:sz w:val="22"/>
          <w:szCs w:val="22"/>
          <w:lang w:val="fr-CA" w:eastAsia="en-US"/>
        </w:rPr>
        <w:footnoteReference w:id="131"/>
      </w:r>
      <w:r w:rsidRPr="00217EFC">
        <w:rPr>
          <w:rFonts w:eastAsia="Calibri"/>
          <w:sz w:val="22"/>
          <w:szCs w:val="22"/>
          <w:lang w:val="fr-CA" w:eastAsia="en-US"/>
        </w:rPr>
        <w:t>.</w:t>
      </w:r>
    </w:p>
    <w:p w14:paraId="26F3FC7F"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On retrouve d’ailleurs </w:t>
      </w:r>
      <w:r>
        <w:rPr>
          <w:rFonts w:eastAsia="Calibri"/>
          <w:sz w:val="22"/>
          <w:szCs w:val="22"/>
          <w:lang w:val="fr-CA" w:eastAsia="en-US"/>
        </w:rPr>
        <w:t>d</w:t>
      </w:r>
      <w:r w:rsidRPr="00217EFC">
        <w:rPr>
          <w:rFonts w:eastAsia="Calibri"/>
          <w:sz w:val="22"/>
          <w:szCs w:val="22"/>
          <w:lang w:val="fr-CA" w:eastAsia="en-US"/>
        </w:rPr>
        <w:t>es ordres fraternels francophon</w:t>
      </w:r>
      <w:r>
        <w:rPr>
          <w:rFonts w:eastAsia="Calibri"/>
          <w:sz w:val="22"/>
          <w:szCs w:val="22"/>
          <w:lang w:val="fr-CA" w:eastAsia="en-US"/>
        </w:rPr>
        <w:t>es</w:t>
      </w:r>
      <w:r w:rsidRPr="00217EFC">
        <w:rPr>
          <w:rFonts w:eastAsia="Calibri"/>
          <w:sz w:val="22"/>
          <w:szCs w:val="22"/>
          <w:lang w:val="fr-CA" w:eastAsia="en-US"/>
        </w:rPr>
        <w:t xml:space="preserve"> qui équivalent </w:t>
      </w:r>
      <w:r>
        <w:rPr>
          <w:rFonts w:eastAsia="Calibri"/>
          <w:sz w:val="22"/>
          <w:szCs w:val="22"/>
          <w:lang w:val="fr-CA" w:eastAsia="en-US"/>
        </w:rPr>
        <w:t xml:space="preserve">aux </w:t>
      </w:r>
      <w:r w:rsidRPr="00217EFC">
        <w:rPr>
          <w:rFonts w:eastAsia="Calibri"/>
          <w:sz w:val="22"/>
          <w:szCs w:val="22"/>
          <w:lang w:val="fr-CA" w:eastAsia="en-US"/>
        </w:rPr>
        <w:t xml:space="preserve">ordres catholiques qui </w:t>
      </w:r>
      <w:r>
        <w:rPr>
          <w:rFonts w:eastAsia="Calibri"/>
          <w:sz w:val="22"/>
          <w:szCs w:val="22"/>
          <w:lang w:val="fr-CA" w:eastAsia="en-US"/>
        </w:rPr>
        <w:t xml:space="preserve">existent parmi </w:t>
      </w:r>
      <w:r w:rsidRPr="00217EFC">
        <w:rPr>
          <w:rFonts w:eastAsia="Calibri"/>
          <w:sz w:val="22"/>
          <w:szCs w:val="22"/>
          <w:lang w:val="fr-CA" w:eastAsia="en-US"/>
        </w:rPr>
        <w:t xml:space="preserve">la population anglophone. Ces ordres </w:t>
      </w:r>
      <w:r>
        <w:rPr>
          <w:rFonts w:eastAsia="Calibri"/>
          <w:sz w:val="22"/>
          <w:szCs w:val="22"/>
          <w:lang w:val="fr-CA" w:eastAsia="en-US"/>
        </w:rPr>
        <w:t>satisfont</w:t>
      </w:r>
      <w:r w:rsidRPr="00217EFC">
        <w:rPr>
          <w:rFonts w:eastAsia="Calibri"/>
          <w:sz w:val="22"/>
          <w:szCs w:val="22"/>
          <w:lang w:val="fr-CA" w:eastAsia="en-US"/>
        </w:rPr>
        <w:t xml:space="preserve"> le besoin des Franco-Américains de </w:t>
      </w:r>
      <w:r>
        <w:rPr>
          <w:rFonts w:eastAsia="Calibri"/>
          <w:sz w:val="22"/>
          <w:szCs w:val="22"/>
          <w:lang w:val="fr-CA" w:eastAsia="en-US"/>
        </w:rPr>
        <w:t xml:space="preserve">se </w:t>
      </w:r>
      <w:r w:rsidRPr="00217EFC">
        <w:rPr>
          <w:rFonts w:eastAsia="Calibri"/>
          <w:sz w:val="22"/>
          <w:szCs w:val="22"/>
          <w:lang w:val="fr-CA" w:eastAsia="en-US"/>
        </w:rPr>
        <w:t xml:space="preserve">joindre </w:t>
      </w:r>
      <w:r w:rsidRPr="009464BB">
        <w:rPr>
          <w:rFonts w:eastAsia="Calibri"/>
          <w:sz w:val="22"/>
          <w:szCs w:val="22"/>
          <w:lang w:val="fr-CA" w:eastAsia="en-US"/>
        </w:rPr>
        <w:t>à</w:t>
      </w:r>
      <w:r>
        <w:rPr>
          <w:rFonts w:eastAsia="Calibri"/>
          <w:sz w:val="22"/>
          <w:szCs w:val="22"/>
          <w:lang w:val="fr-CA" w:eastAsia="en-US"/>
        </w:rPr>
        <w:t xml:space="preserve"> </w:t>
      </w:r>
      <w:r w:rsidRPr="00217EFC">
        <w:rPr>
          <w:rFonts w:eastAsia="Calibri"/>
          <w:sz w:val="22"/>
          <w:szCs w:val="22"/>
          <w:lang w:val="fr-CA" w:eastAsia="en-US"/>
        </w:rPr>
        <w:t>un ordre fraternel</w:t>
      </w:r>
      <w:r>
        <w:rPr>
          <w:rFonts w:eastAsia="Calibri"/>
          <w:sz w:val="22"/>
          <w:szCs w:val="22"/>
          <w:lang w:val="fr-CA" w:eastAsia="en-US"/>
        </w:rPr>
        <w:t xml:space="preserve">. </w:t>
      </w:r>
      <w:r w:rsidRPr="00217EFC">
        <w:rPr>
          <w:rFonts w:eastAsia="Calibri"/>
          <w:sz w:val="22"/>
          <w:szCs w:val="22"/>
          <w:lang w:val="fr-CA" w:eastAsia="en-US"/>
        </w:rPr>
        <w:t xml:space="preserve">Par exemple, l’Ordre des </w:t>
      </w:r>
      <w:r w:rsidR="006D3C2D">
        <w:rPr>
          <w:rFonts w:eastAsia="Calibri"/>
          <w:sz w:val="22"/>
          <w:szCs w:val="22"/>
          <w:lang w:val="fr-CA" w:eastAsia="en-US"/>
        </w:rPr>
        <w:t>f</w:t>
      </w:r>
      <w:r w:rsidRPr="00217EFC">
        <w:rPr>
          <w:rFonts w:eastAsia="Calibri"/>
          <w:sz w:val="22"/>
          <w:szCs w:val="22"/>
          <w:lang w:val="fr-CA" w:eastAsia="en-US"/>
        </w:rPr>
        <w:t xml:space="preserve">orestiers </w:t>
      </w:r>
      <w:r w:rsidR="006D3C2D">
        <w:rPr>
          <w:rFonts w:eastAsia="Calibri"/>
          <w:sz w:val="22"/>
          <w:szCs w:val="22"/>
          <w:lang w:val="fr-CA" w:eastAsia="en-US"/>
        </w:rPr>
        <w:t>c</w:t>
      </w:r>
      <w:r w:rsidRPr="00217EFC">
        <w:rPr>
          <w:rFonts w:eastAsia="Calibri"/>
          <w:sz w:val="22"/>
          <w:szCs w:val="22"/>
          <w:lang w:val="fr-CA" w:eastAsia="en-US"/>
        </w:rPr>
        <w:t>atholiques (</w:t>
      </w:r>
      <w:r w:rsidRPr="00217EFC">
        <w:rPr>
          <w:rFonts w:eastAsia="Calibri"/>
          <w:i/>
          <w:iCs/>
          <w:sz w:val="22"/>
          <w:szCs w:val="22"/>
          <w:lang w:val="fr-CA" w:eastAsia="en-US"/>
        </w:rPr>
        <w:t>Order of Foresters</w:t>
      </w:r>
      <w:r w:rsidRPr="00217EFC">
        <w:rPr>
          <w:rFonts w:eastAsia="Calibri"/>
          <w:sz w:val="22"/>
          <w:szCs w:val="22"/>
          <w:lang w:val="fr-CA" w:eastAsia="en-US"/>
        </w:rPr>
        <w:t xml:space="preserve">) recrutait plusieurs Franco-Américains avant que ne soit établi </w:t>
      </w:r>
      <w:r>
        <w:rPr>
          <w:rFonts w:eastAsia="Calibri"/>
          <w:sz w:val="22"/>
          <w:szCs w:val="22"/>
          <w:lang w:val="fr-CA" w:eastAsia="en-US"/>
        </w:rPr>
        <w:t xml:space="preserve">en octobre 1905 </w:t>
      </w:r>
      <w:r w:rsidRPr="00217EFC">
        <w:rPr>
          <w:rFonts w:eastAsia="Calibri"/>
          <w:sz w:val="22"/>
          <w:szCs w:val="22"/>
          <w:lang w:val="fr-CA" w:eastAsia="en-US"/>
        </w:rPr>
        <w:t xml:space="preserve">l’Ordre des </w:t>
      </w:r>
      <w:r w:rsidR="006D3C2D">
        <w:rPr>
          <w:rFonts w:eastAsia="Calibri"/>
          <w:sz w:val="22"/>
          <w:szCs w:val="22"/>
          <w:lang w:val="fr-CA" w:eastAsia="en-US"/>
        </w:rPr>
        <w:t>f</w:t>
      </w:r>
      <w:r w:rsidRPr="00217EFC">
        <w:rPr>
          <w:rFonts w:eastAsia="Calibri"/>
          <w:sz w:val="22"/>
          <w:szCs w:val="22"/>
          <w:lang w:val="fr-CA" w:eastAsia="en-US"/>
        </w:rPr>
        <w:t xml:space="preserve">orestiers </w:t>
      </w:r>
      <w:r w:rsidR="006D3C2D">
        <w:rPr>
          <w:rFonts w:eastAsia="Calibri"/>
          <w:sz w:val="22"/>
          <w:szCs w:val="22"/>
          <w:lang w:val="fr-CA" w:eastAsia="en-US"/>
        </w:rPr>
        <w:t>f</w:t>
      </w:r>
      <w:r w:rsidRPr="00217EFC">
        <w:rPr>
          <w:rFonts w:eastAsia="Calibri"/>
          <w:sz w:val="22"/>
          <w:szCs w:val="22"/>
          <w:lang w:val="fr-CA" w:eastAsia="en-US"/>
        </w:rPr>
        <w:t>ranco-</w:t>
      </w:r>
      <w:r w:rsidR="006D3C2D">
        <w:rPr>
          <w:rFonts w:eastAsia="Calibri"/>
          <w:sz w:val="22"/>
          <w:szCs w:val="22"/>
          <w:lang w:val="fr-CA" w:eastAsia="en-US"/>
        </w:rPr>
        <w:t>a</w:t>
      </w:r>
      <w:r w:rsidRPr="00217EFC">
        <w:rPr>
          <w:rFonts w:eastAsia="Calibri"/>
          <w:sz w:val="22"/>
          <w:szCs w:val="22"/>
          <w:lang w:val="fr-CA" w:eastAsia="en-US"/>
        </w:rPr>
        <w:t>méricains à Manchester. L’</w:t>
      </w:r>
      <w:r>
        <w:rPr>
          <w:rFonts w:eastAsia="Calibri"/>
          <w:sz w:val="22"/>
          <w:szCs w:val="22"/>
          <w:lang w:val="fr-CA" w:eastAsia="en-US"/>
        </w:rPr>
        <w:t>O</w:t>
      </w:r>
      <w:r w:rsidRPr="00217EFC">
        <w:rPr>
          <w:rFonts w:eastAsia="Calibri"/>
          <w:sz w:val="22"/>
          <w:szCs w:val="22"/>
          <w:lang w:val="fr-CA" w:eastAsia="en-US"/>
        </w:rPr>
        <w:t xml:space="preserve">rdre franco-américain est créé à la suite de la décision de la direction nationale de l’Ordre des </w:t>
      </w:r>
      <w:r w:rsidR="008D5002">
        <w:rPr>
          <w:rFonts w:eastAsia="Calibri"/>
          <w:sz w:val="22"/>
          <w:szCs w:val="22"/>
          <w:lang w:val="fr-CA" w:eastAsia="en-US"/>
        </w:rPr>
        <w:t>f</w:t>
      </w:r>
      <w:r w:rsidRPr="00217EFC">
        <w:rPr>
          <w:rFonts w:eastAsia="Calibri"/>
          <w:sz w:val="22"/>
          <w:szCs w:val="22"/>
          <w:lang w:val="fr-CA" w:eastAsia="en-US"/>
        </w:rPr>
        <w:t xml:space="preserve">orestiers </w:t>
      </w:r>
      <w:r w:rsidR="008D5002">
        <w:rPr>
          <w:rFonts w:eastAsia="Calibri"/>
          <w:sz w:val="22"/>
          <w:szCs w:val="22"/>
          <w:lang w:val="fr-CA" w:eastAsia="en-US"/>
        </w:rPr>
        <w:t>c</w:t>
      </w:r>
      <w:r w:rsidRPr="00217EFC">
        <w:rPr>
          <w:rFonts w:eastAsia="Calibri"/>
          <w:sz w:val="22"/>
          <w:szCs w:val="22"/>
          <w:lang w:val="fr-CA" w:eastAsia="en-US"/>
        </w:rPr>
        <w:t>atholiques de décrét</w:t>
      </w:r>
      <w:r>
        <w:rPr>
          <w:rFonts w:eastAsia="Calibri"/>
          <w:sz w:val="22"/>
          <w:szCs w:val="22"/>
          <w:lang w:val="fr-CA" w:eastAsia="en-US"/>
        </w:rPr>
        <w:t>er</w:t>
      </w:r>
      <w:r w:rsidRPr="00217EFC">
        <w:rPr>
          <w:rFonts w:eastAsia="Calibri"/>
          <w:sz w:val="22"/>
          <w:szCs w:val="22"/>
          <w:lang w:val="fr-CA" w:eastAsia="en-US"/>
        </w:rPr>
        <w:t xml:space="preserve"> le bannissement de l’usage du français dans la société l’année précédente</w:t>
      </w:r>
      <w:r w:rsidRPr="00217EFC">
        <w:rPr>
          <w:rStyle w:val="FootnoteReference"/>
          <w:rFonts w:eastAsia="Calibri"/>
          <w:sz w:val="22"/>
          <w:szCs w:val="22"/>
          <w:lang w:val="fr-CA" w:eastAsia="en-US"/>
        </w:rPr>
        <w:footnoteReference w:id="132"/>
      </w:r>
      <w:r w:rsidRPr="00217EFC">
        <w:rPr>
          <w:rFonts w:eastAsia="Calibri"/>
          <w:sz w:val="22"/>
          <w:szCs w:val="22"/>
          <w:lang w:val="fr-CA" w:eastAsia="en-US"/>
        </w:rPr>
        <w:t xml:space="preserve">. De plus, </w:t>
      </w:r>
      <w:r w:rsidRPr="00677772">
        <w:rPr>
          <w:rFonts w:eastAsia="Calibri"/>
          <w:sz w:val="22"/>
          <w:szCs w:val="22"/>
          <w:lang w:val="fr-CA" w:eastAsia="en-US"/>
        </w:rPr>
        <w:t xml:space="preserve">l’Association </w:t>
      </w:r>
      <w:r w:rsidR="00D34D2E">
        <w:rPr>
          <w:rFonts w:eastAsia="Calibri"/>
          <w:sz w:val="22"/>
          <w:szCs w:val="22"/>
          <w:lang w:val="fr-CA" w:eastAsia="en-US"/>
        </w:rPr>
        <w:t>c</w:t>
      </w:r>
      <w:r w:rsidRPr="00677772">
        <w:rPr>
          <w:rFonts w:eastAsia="Calibri"/>
          <w:sz w:val="22"/>
          <w:szCs w:val="22"/>
          <w:lang w:val="fr-CA" w:eastAsia="en-US"/>
        </w:rPr>
        <w:t>anado-</w:t>
      </w:r>
      <w:r w:rsidR="00D34D2E">
        <w:rPr>
          <w:rFonts w:eastAsia="Calibri"/>
          <w:sz w:val="22"/>
          <w:szCs w:val="22"/>
          <w:lang w:val="fr-CA" w:eastAsia="en-US"/>
        </w:rPr>
        <w:t>a</w:t>
      </w:r>
      <w:r w:rsidRPr="00677772">
        <w:rPr>
          <w:rFonts w:eastAsia="Calibri"/>
          <w:sz w:val="22"/>
          <w:szCs w:val="22"/>
          <w:lang w:val="fr-CA" w:eastAsia="en-US"/>
        </w:rPr>
        <w:t>méricaine existe</w:t>
      </w:r>
      <w:r>
        <w:rPr>
          <w:rFonts w:eastAsia="Calibri"/>
          <w:sz w:val="22"/>
          <w:szCs w:val="22"/>
          <w:lang w:val="fr-CA" w:eastAsia="en-US"/>
        </w:rPr>
        <w:t xml:space="preserve"> </w:t>
      </w:r>
      <w:r w:rsidRPr="00217EFC">
        <w:rPr>
          <w:rFonts w:eastAsia="Calibri"/>
          <w:sz w:val="22"/>
          <w:szCs w:val="22"/>
          <w:lang w:val="fr-CA" w:eastAsia="en-US"/>
        </w:rPr>
        <w:t>depuis 1896</w:t>
      </w:r>
      <w:r w:rsidRPr="003266F9">
        <w:rPr>
          <w:rFonts w:eastAsia="Calibri"/>
          <w:sz w:val="22"/>
          <w:szCs w:val="22"/>
          <w:lang w:val="fr-CA" w:eastAsia="en-US"/>
        </w:rPr>
        <w:t xml:space="preserve"> </w:t>
      </w:r>
      <w:r w:rsidRPr="00217EFC">
        <w:rPr>
          <w:rFonts w:eastAsia="Calibri"/>
          <w:sz w:val="22"/>
          <w:szCs w:val="22"/>
          <w:lang w:val="fr-CA" w:eastAsia="en-US"/>
        </w:rPr>
        <w:t xml:space="preserve">à Manchester. Elle est une société de secours mutuels pour des catholiques francophones des deux sexes et elle vise à regrouper toutes les organisations franco-américaines. Également, elle cherche à dissuader la population franco-américaine </w:t>
      </w:r>
      <w:r>
        <w:rPr>
          <w:rFonts w:eastAsia="Calibri"/>
          <w:sz w:val="22"/>
          <w:szCs w:val="22"/>
          <w:lang w:val="fr-CA" w:eastAsia="en-US"/>
        </w:rPr>
        <w:t xml:space="preserve">de </w:t>
      </w:r>
      <w:r w:rsidRPr="00217EFC">
        <w:rPr>
          <w:rFonts w:eastAsia="Calibri"/>
          <w:sz w:val="22"/>
          <w:szCs w:val="22"/>
          <w:lang w:val="fr-CA" w:eastAsia="en-US"/>
        </w:rPr>
        <w:t>joindre les rangs «</w:t>
      </w:r>
      <w:r>
        <w:rPr>
          <w:rFonts w:eastAsia="Calibri"/>
          <w:sz w:val="22"/>
          <w:szCs w:val="22"/>
          <w:lang w:val="fr-CA" w:eastAsia="en-US"/>
        </w:rPr>
        <w:t> </w:t>
      </w:r>
      <w:r w:rsidRPr="00217EFC">
        <w:rPr>
          <w:rFonts w:eastAsia="Calibri"/>
          <w:sz w:val="22"/>
          <w:szCs w:val="22"/>
          <w:lang w:val="fr-CA" w:eastAsia="en-US"/>
        </w:rPr>
        <w:t>d’organisations neutres ou défendues</w:t>
      </w:r>
      <w:r>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133"/>
      </w:r>
      <w:r w:rsidRPr="00217EFC">
        <w:rPr>
          <w:rFonts w:eastAsia="Calibri"/>
          <w:sz w:val="22"/>
          <w:szCs w:val="22"/>
          <w:lang w:val="fr-CA" w:eastAsia="en-US"/>
        </w:rPr>
        <w:t xml:space="preserve">. En 1913, l’actif de la caisse d’assurance de l’Association </w:t>
      </w:r>
      <w:r w:rsidR="00D34D2E">
        <w:rPr>
          <w:rFonts w:eastAsia="Calibri"/>
          <w:sz w:val="22"/>
          <w:szCs w:val="22"/>
          <w:lang w:val="fr-CA" w:eastAsia="en-US"/>
        </w:rPr>
        <w:t>c</w:t>
      </w:r>
      <w:r w:rsidRPr="00217EFC">
        <w:rPr>
          <w:rFonts w:eastAsia="Calibri"/>
          <w:sz w:val="22"/>
          <w:szCs w:val="22"/>
          <w:lang w:val="fr-CA" w:eastAsia="en-US"/>
        </w:rPr>
        <w:t>anado-</w:t>
      </w:r>
      <w:r w:rsidR="00D34D2E">
        <w:rPr>
          <w:rFonts w:eastAsia="Calibri"/>
          <w:sz w:val="22"/>
          <w:szCs w:val="22"/>
          <w:lang w:val="fr-CA" w:eastAsia="en-US"/>
        </w:rPr>
        <w:t>a</w:t>
      </w:r>
      <w:r w:rsidRPr="00217EFC">
        <w:rPr>
          <w:rFonts w:eastAsia="Calibri"/>
          <w:sz w:val="22"/>
          <w:szCs w:val="22"/>
          <w:lang w:val="fr-CA" w:eastAsia="en-US"/>
        </w:rPr>
        <w:t>méricaine est de 52</w:t>
      </w:r>
      <w:r w:rsidR="002B1534">
        <w:rPr>
          <w:rFonts w:eastAsia="Calibri"/>
          <w:sz w:val="22"/>
          <w:szCs w:val="22"/>
          <w:lang w:val="fr-CA" w:eastAsia="en-US"/>
        </w:rPr>
        <w:t> </w:t>
      </w:r>
      <w:r w:rsidRPr="00217EFC">
        <w:rPr>
          <w:rFonts w:eastAsia="Calibri"/>
          <w:sz w:val="22"/>
          <w:szCs w:val="22"/>
          <w:lang w:val="fr-CA" w:eastAsia="en-US"/>
        </w:rPr>
        <w:t>779</w:t>
      </w:r>
      <w:r>
        <w:rPr>
          <w:rFonts w:eastAsia="Calibri"/>
          <w:sz w:val="22"/>
          <w:szCs w:val="22"/>
          <w:lang w:val="fr-CA" w:eastAsia="en-US"/>
        </w:rPr>
        <w:t> </w:t>
      </w:r>
      <w:r w:rsidRPr="00217EFC">
        <w:rPr>
          <w:sz w:val="22"/>
          <w:szCs w:val="22"/>
          <w:lang w:val="fr-CA"/>
        </w:rPr>
        <w:t>$</w:t>
      </w:r>
      <w:r>
        <w:rPr>
          <w:rFonts w:eastAsia="Calibri"/>
          <w:sz w:val="22"/>
          <w:szCs w:val="22"/>
          <w:lang w:val="fr-CA" w:eastAsia="en-US"/>
        </w:rPr>
        <w:t xml:space="preserve">. Elle compte </w:t>
      </w:r>
      <w:r w:rsidRPr="00217EFC">
        <w:rPr>
          <w:rFonts w:eastAsia="Calibri"/>
          <w:sz w:val="22"/>
          <w:szCs w:val="22"/>
          <w:lang w:val="fr-CA" w:eastAsia="en-US"/>
        </w:rPr>
        <w:t>14</w:t>
      </w:r>
      <w:r w:rsidR="002B1534">
        <w:rPr>
          <w:rFonts w:eastAsia="Calibri"/>
          <w:sz w:val="22"/>
          <w:szCs w:val="22"/>
          <w:lang w:val="fr-CA" w:eastAsia="en-US"/>
        </w:rPr>
        <w:t> </w:t>
      </w:r>
      <w:r w:rsidRPr="00217EFC">
        <w:rPr>
          <w:rFonts w:eastAsia="Calibri"/>
          <w:sz w:val="22"/>
          <w:szCs w:val="22"/>
          <w:lang w:val="fr-CA" w:eastAsia="en-US"/>
        </w:rPr>
        <w:t xml:space="preserve">000 membres </w:t>
      </w:r>
      <w:r>
        <w:rPr>
          <w:rFonts w:eastAsia="Calibri"/>
          <w:sz w:val="22"/>
          <w:szCs w:val="22"/>
          <w:lang w:val="fr-CA" w:eastAsia="en-US"/>
        </w:rPr>
        <w:t xml:space="preserve">qui sont répartis </w:t>
      </w:r>
      <w:r>
        <w:rPr>
          <w:rFonts w:eastAsia="Calibri"/>
          <w:sz w:val="22"/>
          <w:szCs w:val="22"/>
          <w:lang w:val="fr-CA" w:eastAsia="en-US"/>
        </w:rPr>
        <w:lastRenderedPageBreak/>
        <w:t xml:space="preserve">dans </w:t>
      </w:r>
      <w:r w:rsidRPr="00217EFC">
        <w:rPr>
          <w:rFonts w:eastAsia="Calibri"/>
          <w:sz w:val="22"/>
          <w:szCs w:val="22"/>
          <w:lang w:val="fr-CA" w:eastAsia="en-US"/>
        </w:rPr>
        <w:t xml:space="preserve">280 succursales </w:t>
      </w:r>
      <w:r>
        <w:rPr>
          <w:rFonts w:eastAsia="Calibri"/>
          <w:sz w:val="22"/>
          <w:szCs w:val="22"/>
          <w:lang w:val="fr-CA" w:eastAsia="en-US"/>
        </w:rPr>
        <w:t xml:space="preserve">que l’on retrouve non </w:t>
      </w:r>
      <w:r w:rsidRPr="00217EFC">
        <w:rPr>
          <w:rFonts w:eastAsia="Calibri"/>
          <w:sz w:val="22"/>
          <w:szCs w:val="22"/>
          <w:lang w:val="fr-CA" w:eastAsia="en-US"/>
        </w:rPr>
        <w:t>seulement en sol américain, mais également au Canada</w:t>
      </w:r>
      <w:r w:rsidRPr="00217EFC">
        <w:rPr>
          <w:rStyle w:val="FootnoteReference"/>
          <w:rFonts w:eastAsia="Calibri"/>
          <w:sz w:val="22"/>
          <w:szCs w:val="22"/>
          <w:lang w:val="fr-CA" w:eastAsia="en-US"/>
        </w:rPr>
        <w:footnoteReference w:id="134"/>
      </w:r>
      <w:r w:rsidRPr="00217EFC">
        <w:rPr>
          <w:rFonts w:eastAsia="Calibri"/>
          <w:sz w:val="22"/>
          <w:szCs w:val="22"/>
          <w:lang w:val="fr-CA" w:eastAsia="en-US"/>
        </w:rPr>
        <w:t>.</w:t>
      </w:r>
    </w:p>
    <w:p w14:paraId="792A69C7" w14:textId="77777777" w:rsidR="000264D6"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L’Ordre des </w:t>
      </w:r>
      <w:r w:rsidR="006D3C2D">
        <w:rPr>
          <w:rFonts w:eastAsia="Calibri"/>
          <w:sz w:val="22"/>
          <w:szCs w:val="22"/>
          <w:lang w:val="fr-CA" w:eastAsia="en-US"/>
        </w:rPr>
        <w:t>c</w:t>
      </w:r>
      <w:r w:rsidRPr="00217EFC">
        <w:rPr>
          <w:rFonts w:eastAsia="Calibri"/>
          <w:sz w:val="22"/>
          <w:szCs w:val="22"/>
          <w:lang w:val="fr-CA" w:eastAsia="en-US"/>
        </w:rPr>
        <w:t>hevaliers de Jacques-Cartier est fondé, en 1902. À l’instar des autres mutualités</w:t>
      </w:r>
      <w:r>
        <w:rPr>
          <w:rFonts w:eastAsia="Calibri"/>
          <w:sz w:val="22"/>
          <w:szCs w:val="22"/>
          <w:lang w:val="fr-CA" w:eastAsia="en-US"/>
        </w:rPr>
        <w:t>,</w:t>
      </w:r>
      <w:r w:rsidRPr="00217EFC">
        <w:rPr>
          <w:rFonts w:eastAsia="Calibri"/>
          <w:sz w:val="22"/>
          <w:szCs w:val="22"/>
          <w:lang w:val="fr-CA" w:eastAsia="en-US"/>
        </w:rPr>
        <w:t xml:space="preserve"> l’Ordre joue «</w:t>
      </w:r>
      <w:r w:rsidR="002B1534">
        <w:rPr>
          <w:rFonts w:eastAsia="Calibri"/>
          <w:sz w:val="22"/>
          <w:szCs w:val="22"/>
          <w:lang w:val="fr-CA" w:eastAsia="en-US"/>
        </w:rPr>
        <w:t> </w:t>
      </w:r>
      <w:r w:rsidRPr="00217EFC">
        <w:rPr>
          <w:rFonts w:eastAsia="Calibri"/>
          <w:sz w:val="22"/>
          <w:szCs w:val="22"/>
          <w:lang w:val="fr-CA" w:eastAsia="en-US"/>
        </w:rPr>
        <w:t xml:space="preserve">un rôle de première importance dans la préservation du français, et à cet égard elles sont de puissants auxiliaires non seulement </w:t>
      </w:r>
      <w:r>
        <w:rPr>
          <w:rFonts w:eastAsia="Calibri"/>
          <w:sz w:val="22"/>
          <w:szCs w:val="22"/>
          <w:lang w:val="fr-CA" w:eastAsia="en-US"/>
        </w:rPr>
        <w:t>à</w:t>
      </w:r>
      <w:r w:rsidRPr="00217EFC">
        <w:rPr>
          <w:rFonts w:eastAsia="Calibri"/>
          <w:sz w:val="22"/>
          <w:szCs w:val="22"/>
          <w:lang w:val="fr-CA" w:eastAsia="en-US"/>
        </w:rPr>
        <w:t xml:space="preserve"> la famille, mais aussi </w:t>
      </w:r>
      <w:r>
        <w:rPr>
          <w:rFonts w:eastAsia="Calibri"/>
          <w:sz w:val="22"/>
          <w:szCs w:val="22"/>
          <w:lang w:val="fr-CA" w:eastAsia="en-US"/>
        </w:rPr>
        <w:t>à</w:t>
      </w:r>
      <w:r w:rsidRPr="00217EFC">
        <w:rPr>
          <w:rFonts w:eastAsia="Calibri"/>
          <w:sz w:val="22"/>
          <w:szCs w:val="22"/>
          <w:lang w:val="fr-CA" w:eastAsia="en-US"/>
        </w:rPr>
        <w:t xml:space="preserve"> l’Église, car elles portent </w:t>
      </w:r>
      <w:r>
        <w:rPr>
          <w:rFonts w:eastAsia="Calibri"/>
          <w:sz w:val="22"/>
          <w:szCs w:val="22"/>
          <w:lang w:val="fr-CA" w:eastAsia="en-US"/>
        </w:rPr>
        <w:t xml:space="preserve">toutes </w:t>
      </w:r>
      <w:r w:rsidRPr="00217EFC">
        <w:rPr>
          <w:rFonts w:eastAsia="Calibri"/>
          <w:sz w:val="22"/>
          <w:szCs w:val="22"/>
          <w:lang w:val="fr-CA" w:eastAsia="en-US"/>
        </w:rPr>
        <w:t>la marque catholique par leurs règlements [et elles sont entièrement soumis</w:t>
      </w:r>
      <w:r>
        <w:rPr>
          <w:rFonts w:eastAsia="Calibri"/>
          <w:sz w:val="22"/>
          <w:szCs w:val="22"/>
          <w:lang w:val="fr-CA" w:eastAsia="en-US"/>
        </w:rPr>
        <w:t>es</w:t>
      </w:r>
      <w:r w:rsidRPr="00217EFC">
        <w:rPr>
          <w:rFonts w:eastAsia="Calibri"/>
          <w:sz w:val="22"/>
          <w:szCs w:val="22"/>
          <w:lang w:val="fr-CA" w:eastAsia="en-US"/>
        </w:rPr>
        <w:t>] à l’autorité religieuse</w:t>
      </w:r>
      <w:r w:rsidR="002B1534">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135"/>
      </w:r>
      <w:r w:rsidRPr="00217EFC">
        <w:rPr>
          <w:rFonts w:eastAsia="Calibri"/>
          <w:sz w:val="22"/>
          <w:szCs w:val="22"/>
          <w:lang w:val="fr-CA" w:eastAsia="en-US"/>
        </w:rPr>
        <w:t xml:space="preserve">. Également, la Fédération des </w:t>
      </w:r>
      <w:r w:rsidR="0042585E">
        <w:rPr>
          <w:rFonts w:eastAsia="Calibri"/>
          <w:sz w:val="22"/>
          <w:szCs w:val="22"/>
          <w:lang w:val="fr-CA" w:eastAsia="en-US"/>
        </w:rPr>
        <w:t>s</w:t>
      </w:r>
      <w:r w:rsidRPr="00217EFC">
        <w:rPr>
          <w:rFonts w:eastAsia="Calibri"/>
          <w:sz w:val="22"/>
          <w:szCs w:val="22"/>
          <w:lang w:val="fr-CA" w:eastAsia="en-US"/>
        </w:rPr>
        <w:t xml:space="preserve">ociétés </w:t>
      </w:r>
      <w:r w:rsidR="0042585E">
        <w:rPr>
          <w:rFonts w:eastAsia="Calibri"/>
          <w:sz w:val="22"/>
          <w:szCs w:val="22"/>
          <w:lang w:val="fr-CA" w:eastAsia="en-US"/>
        </w:rPr>
        <w:t>c</w:t>
      </w:r>
      <w:r w:rsidRPr="00217EFC">
        <w:rPr>
          <w:rFonts w:eastAsia="Calibri"/>
          <w:sz w:val="22"/>
          <w:szCs w:val="22"/>
          <w:lang w:val="fr-CA" w:eastAsia="en-US"/>
        </w:rPr>
        <w:t xml:space="preserve">atholiques </w:t>
      </w:r>
      <w:r w:rsidR="0042585E">
        <w:rPr>
          <w:rFonts w:eastAsia="Calibri"/>
          <w:sz w:val="22"/>
          <w:szCs w:val="22"/>
          <w:lang w:val="fr-CA" w:eastAsia="en-US"/>
        </w:rPr>
        <w:t>f</w:t>
      </w:r>
      <w:r w:rsidRPr="00217EFC">
        <w:rPr>
          <w:rFonts w:eastAsia="Calibri"/>
          <w:sz w:val="22"/>
          <w:szCs w:val="22"/>
          <w:lang w:val="fr-CA" w:eastAsia="en-US"/>
        </w:rPr>
        <w:t>ranco-</w:t>
      </w:r>
      <w:r w:rsidR="0042585E">
        <w:rPr>
          <w:rFonts w:eastAsia="Calibri"/>
          <w:sz w:val="22"/>
          <w:szCs w:val="22"/>
          <w:lang w:val="fr-CA" w:eastAsia="en-US"/>
        </w:rPr>
        <w:t>a</w:t>
      </w:r>
      <w:r w:rsidRPr="00217EFC">
        <w:rPr>
          <w:rFonts w:eastAsia="Calibri"/>
          <w:sz w:val="22"/>
          <w:szCs w:val="22"/>
          <w:lang w:val="fr-CA" w:eastAsia="en-US"/>
        </w:rPr>
        <w:t xml:space="preserve">méricaines est une nouvelle organisation qui </w:t>
      </w:r>
      <w:r>
        <w:rPr>
          <w:rFonts w:eastAsia="Calibri"/>
          <w:sz w:val="22"/>
          <w:szCs w:val="22"/>
          <w:lang w:val="fr-CA" w:eastAsia="en-US"/>
        </w:rPr>
        <w:t xml:space="preserve">aspire </w:t>
      </w:r>
      <w:r w:rsidRPr="00217EFC">
        <w:rPr>
          <w:rFonts w:eastAsia="Calibri"/>
          <w:sz w:val="22"/>
          <w:szCs w:val="22"/>
          <w:lang w:val="fr-CA" w:eastAsia="en-US"/>
        </w:rPr>
        <w:t xml:space="preserve">à regrouper toutes ces organisations fraternelles francophones </w:t>
      </w:r>
      <w:r>
        <w:rPr>
          <w:rFonts w:eastAsia="Calibri"/>
          <w:sz w:val="22"/>
          <w:szCs w:val="22"/>
          <w:lang w:val="fr-CA" w:eastAsia="en-US"/>
        </w:rPr>
        <w:t xml:space="preserve">et catholiques </w:t>
      </w:r>
      <w:r w:rsidRPr="00217EFC">
        <w:rPr>
          <w:rFonts w:eastAsia="Calibri"/>
          <w:sz w:val="22"/>
          <w:szCs w:val="22"/>
          <w:lang w:val="fr-CA" w:eastAsia="en-US"/>
        </w:rPr>
        <w:t xml:space="preserve">sous un même toit. Similairement à ce </w:t>
      </w:r>
      <w:r>
        <w:rPr>
          <w:rFonts w:eastAsia="Calibri"/>
          <w:sz w:val="22"/>
          <w:szCs w:val="22"/>
          <w:lang w:val="fr-CA" w:eastAsia="en-US"/>
        </w:rPr>
        <w:t xml:space="preserve">que la population </w:t>
      </w:r>
      <w:r w:rsidRPr="00217EFC">
        <w:rPr>
          <w:rFonts w:eastAsia="Calibri"/>
          <w:sz w:val="22"/>
          <w:szCs w:val="22"/>
          <w:lang w:val="fr-CA" w:eastAsia="en-US"/>
        </w:rPr>
        <w:t xml:space="preserve">irlandaise des États-Unis </w:t>
      </w:r>
      <w:r>
        <w:rPr>
          <w:rFonts w:eastAsia="Calibri"/>
          <w:sz w:val="22"/>
          <w:szCs w:val="22"/>
          <w:lang w:val="fr-CA" w:eastAsia="en-US"/>
        </w:rPr>
        <w:t xml:space="preserve">accomplit, la fédération </w:t>
      </w:r>
      <w:r w:rsidRPr="00217EFC">
        <w:rPr>
          <w:rFonts w:eastAsia="Calibri"/>
          <w:sz w:val="22"/>
          <w:szCs w:val="22"/>
          <w:lang w:val="fr-CA" w:eastAsia="en-US"/>
        </w:rPr>
        <w:t>organise «</w:t>
      </w:r>
      <w:r w:rsidR="002B1534">
        <w:rPr>
          <w:rFonts w:eastAsia="Calibri"/>
          <w:sz w:val="22"/>
          <w:szCs w:val="22"/>
          <w:lang w:val="fr-CA" w:eastAsia="en-US"/>
        </w:rPr>
        <w:t> “</w:t>
      </w:r>
      <w:r w:rsidRPr="00217EFC">
        <w:rPr>
          <w:rFonts w:eastAsia="Calibri"/>
          <w:sz w:val="22"/>
          <w:szCs w:val="22"/>
          <w:lang w:val="fr-CA" w:eastAsia="en-US"/>
        </w:rPr>
        <w:t>des semaines catholiques</w:t>
      </w:r>
      <w:r w:rsidR="002B1534">
        <w:rPr>
          <w:rFonts w:eastAsia="Calibri"/>
          <w:sz w:val="22"/>
          <w:szCs w:val="22"/>
          <w:lang w:val="fr-CA" w:eastAsia="en-US"/>
        </w:rPr>
        <w:t>”</w:t>
      </w:r>
      <w:r w:rsidRPr="00217EFC">
        <w:rPr>
          <w:rFonts w:eastAsia="Calibri"/>
          <w:sz w:val="22"/>
          <w:szCs w:val="22"/>
          <w:lang w:val="fr-CA" w:eastAsia="en-US"/>
        </w:rPr>
        <w:t xml:space="preserve"> dans une grande ville du pays</w:t>
      </w:r>
      <w:r w:rsidR="002B1534">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136"/>
      </w:r>
      <w:r w:rsidRPr="00217EFC">
        <w:rPr>
          <w:rFonts w:eastAsia="Calibri"/>
          <w:sz w:val="22"/>
          <w:szCs w:val="22"/>
          <w:lang w:val="fr-CA" w:eastAsia="en-US"/>
        </w:rPr>
        <w:t xml:space="preserve">. En </w:t>
      </w:r>
      <w:r w:rsidR="002B1534">
        <w:rPr>
          <w:rFonts w:eastAsia="Calibri"/>
          <w:sz w:val="22"/>
          <w:szCs w:val="22"/>
          <w:lang w:val="fr-CA" w:eastAsia="en-US"/>
        </w:rPr>
        <w:t>fin de compt</w:t>
      </w:r>
      <w:r>
        <w:rPr>
          <w:rFonts w:eastAsia="Calibri"/>
          <w:sz w:val="22"/>
          <w:szCs w:val="22"/>
          <w:lang w:val="fr-CA" w:eastAsia="en-US"/>
        </w:rPr>
        <w:t>e</w:t>
      </w:r>
      <w:r w:rsidRPr="00217EFC">
        <w:rPr>
          <w:rFonts w:eastAsia="Calibri"/>
          <w:sz w:val="22"/>
          <w:szCs w:val="22"/>
          <w:lang w:val="fr-CA" w:eastAsia="en-US"/>
        </w:rPr>
        <w:t xml:space="preserve">, elle permet aux membres des diverses associations </w:t>
      </w:r>
      <w:r>
        <w:rPr>
          <w:rFonts w:eastAsia="Calibri"/>
          <w:sz w:val="22"/>
          <w:szCs w:val="22"/>
          <w:lang w:val="fr-CA" w:eastAsia="en-US"/>
        </w:rPr>
        <w:t xml:space="preserve">de </w:t>
      </w:r>
      <w:r w:rsidRPr="00217EFC">
        <w:rPr>
          <w:rFonts w:eastAsia="Calibri"/>
          <w:sz w:val="22"/>
          <w:szCs w:val="22"/>
          <w:lang w:val="fr-CA" w:eastAsia="en-US"/>
        </w:rPr>
        <w:t xml:space="preserve">discuter des problèmes affectant l’Église et </w:t>
      </w:r>
      <w:r>
        <w:rPr>
          <w:rFonts w:eastAsia="Calibri"/>
          <w:sz w:val="22"/>
          <w:szCs w:val="22"/>
          <w:lang w:val="fr-CA" w:eastAsia="en-US"/>
        </w:rPr>
        <w:t xml:space="preserve">de </w:t>
      </w:r>
      <w:r w:rsidRPr="00217EFC">
        <w:rPr>
          <w:rFonts w:eastAsia="Calibri"/>
          <w:sz w:val="22"/>
          <w:szCs w:val="22"/>
          <w:lang w:val="fr-CA" w:eastAsia="en-US"/>
        </w:rPr>
        <w:t xml:space="preserve">revendiquer et défendre les droits de l’Église de </w:t>
      </w:r>
      <w:r>
        <w:rPr>
          <w:rFonts w:eastAsia="Calibri"/>
          <w:sz w:val="22"/>
          <w:szCs w:val="22"/>
          <w:lang w:val="fr-CA" w:eastAsia="en-US"/>
        </w:rPr>
        <w:t>l</w:t>
      </w:r>
      <w:r w:rsidRPr="00217EFC">
        <w:rPr>
          <w:rFonts w:eastAsia="Calibri"/>
          <w:sz w:val="22"/>
          <w:szCs w:val="22"/>
          <w:lang w:val="fr-CA" w:eastAsia="en-US"/>
        </w:rPr>
        <w:t>a population franco-américaine</w:t>
      </w:r>
      <w:r w:rsidRPr="00217EFC">
        <w:rPr>
          <w:rStyle w:val="FootnoteReference"/>
          <w:rFonts w:eastAsia="Calibri"/>
          <w:sz w:val="22"/>
          <w:szCs w:val="22"/>
          <w:lang w:val="fr-CA" w:eastAsia="en-US"/>
        </w:rPr>
        <w:footnoteReference w:id="137"/>
      </w:r>
      <w:r w:rsidRPr="00217EFC">
        <w:rPr>
          <w:rFonts w:eastAsia="Calibri"/>
          <w:sz w:val="22"/>
          <w:szCs w:val="22"/>
          <w:lang w:val="fr-CA" w:eastAsia="en-US"/>
        </w:rPr>
        <w:t>.</w:t>
      </w:r>
    </w:p>
    <w:p w14:paraId="6B28E8BB"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Le Club Joliet et le Cercle National sont des clubs privés qui regroupe</w:t>
      </w:r>
      <w:r>
        <w:rPr>
          <w:rFonts w:eastAsia="Calibri"/>
          <w:sz w:val="22"/>
          <w:szCs w:val="22"/>
          <w:lang w:val="fr-CA" w:eastAsia="en-US"/>
        </w:rPr>
        <w:t>nt</w:t>
      </w:r>
      <w:r w:rsidRPr="00217EFC">
        <w:rPr>
          <w:rFonts w:eastAsia="Calibri"/>
          <w:sz w:val="22"/>
          <w:szCs w:val="22"/>
          <w:lang w:val="fr-CA" w:eastAsia="en-US"/>
        </w:rPr>
        <w:t xml:space="preserve"> principalement l’élite financière francophone de Manchester. Le premier club compte 325 membres, tandis que l’on retrouve approximativement deux cents membres au Cercle National</w:t>
      </w:r>
      <w:r w:rsidRPr="00217EFC">
        <w:rPr>
          <w:rStyle w:val="FootnoteReference"/>
          <w:rFonts w:eastAsia="Calibri"/>
          <w:sz w:val="22"/>
          <w:szCs w:val="22"/>
          <w:lang w:val="fr-CA" w:eastAsia="en-US"/>
        </w:rPr>
        <w:footnoteReference w:id="138"/>
      </w:r>
      <w:r w:rsidRPr="00217EFC">
        <w:rPr>
          <w:rFonts w:eastAsia="Calibri"/>
          <w:sz w:val="22"/>
          <w:szCs w:val="22"/>
          <w:lang w:val="fr-CA" w:eastAsia="en-US"/>
        </w:rPr>
        <w:t>.</w:t>
      </w:r>
    </w:p>
    <w:p w14:paraId="1B754E70"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Pr>
          <w:rFonts w:eastAsia="Calibri"/>
          <w:sz w:val="22"/>
          <w:szCs w:val="22"/>
          <w:lang w:val="fr-CA" w:eastAsia="en-US"/>
        </w:rPr>
        <w:t>Finalement, t</w:t>
      </w:r>
      <w:r w:rsidRPr="00217EFC">
        <w:rPr>
          <w:rFonts w:eastAsia="Calibri"/>
          <w:sz w:val="22"/>
          <w:szCs w:val="22"/>
          <w:lang w:val="fr-CA" w:eastAsia="en-US"/>
        </w:rPr>
        <w:t xml:space="preserve">outes ces associations font de la propagande afin que </w:t>
      </w:r>
      <w:r>
        <w:rPr>
          <w:rFonts w:eastAsia="Calibri"/>
          <w:sz w:val="22"/>
          <w:szCs w:val="22"/>
          <w:lang w:val="fr-CA" w:eastAsia="en-US"/>
        </w:rPr>
        <w:t xml:space="preserve">leurs </w:t>
      </w:r>
      <w:r w:rsidRPr="00217EFC">
        <w:rPr>
          <w:rFonts w:eastAsia="Calibri"/>
          <w:sz w:val="22"/>
          <w:szCs w:val="22"/>
          <w:lang w:val="fr-CA" w:eastAsia="en-US"/>
        </w:rPr>
        <w:t>membres se naturalisent</w:t>
      </w:r>
      <w:r>
        <w:rPr>
          <w:rFonts w:eastAsia="Calibri"/>
          <w:sz w:val="22"/>
          <w:szCs w:val="22"/>
          <w:lang w:val="fr-CA" w:eastAsia="en-US"/>
        </w:rPr>
        <w:t>,</w:t>
      </w:r>
      <w:r w:rsidRPr="00217EFC">
        <w:rPr>
          <w:rFonts w:eastAsia="Calibri"/>
          <w:sz w:val="22"/>
          <w:szCs w:val="22"/>
          <w:lang w:val="fr-CA" w:eastAsia="en-US"/>
        </w:rPr>
        <w:t xml:space="preserve"> afin d’accroitre l’influence politique des Franco-Américains</w:t>
      </w:r>
      <w:r w:rsidRPr="00217EFC">
        <w:rPr>
          <w:rStyle w:val="FootnoteReference"/>
          <w:rFonts w:eastAsia="Calibri"/>
          <w:sz w:val="22"/>
          <w:szCs w:val="22"/>
          <w:lang w:val="fr-CA" w:eastAsia="en-US"/>
        </w:rPr>
        <w:footnoteReference w:id="139"/>
      </w:r>
      <w:r w:rsidRPr="00217EFC">
        <w:rPr>
          <w:rFonts w:eastAsia="Calibri"/>
          <w:sz w:val="22"/>
          <w:szCs w:val="22"/>
          <w:lang w:val="fr-CA" w:eastAsia="en-US"/>
        </w:rPr>
        <w:t>. En général, elles fournissent à leurs membres des secours mutuels, elles font la promotion de l’usage de la langue française et elles discutent de questions religieuses</w:t>
      </w:r>
      <w:r w:rsidRPr="00217EFC">
        <w:rPr>
          <w:rStyle w:val="FootnoteReference"/>
          <w:rFonts w:eastAsia="Calibri"/>
          <w:sz w:val="22"/>
          <w:szCs w:val="22"/>
          <w:lang w:val="fr-CA" w:eastAsia="en-US"/>
        </w:rPr>
        <w:footnoteReference w:id="140"/>
      </w:r>
      <w:r w:rsidRPr="00217EFC">
        <w:rPr>
          <w:rFonts w:eastAsia="Calibri"/>
          <w:sz w:val="22"/>
          <w:szCs w:val="22"/>
          <w:lang w:val="fr-CA" w:eastAsia="en-US"/>
        </w:rPr>
        <w:t xml:space="preserve">. De plus, chacune des sociétés </w:t>
      </w:r>
      <w:r>
        <w:rPr>
          <w:rFonts w:eastAsia="Calibri"/>
          <w:sz w:val="22"/>
          <w:szCs w:val="22"/>
          <w:lang w:val="fr-CA" w:eastAsia="en-US"/>
        </w:rPr>
        <w:t xml:space="preserve">cherche </w:t>
      </w:r>
      <w:r w:rsidR="002B1534">
        <w:rPr>
          <w:rFonts w:eastAsia="Calibri"/>
          <w:sz w:val="22"/>
          <w:szCs w:val="22"/>
          <w:lang w:val="fr-CA" w:eastAsia="en-US"/>
        </w:rPr>
        <w:t xml:space="preserve">à </w:t>
      </w:r>
      <w:r w:rsidRPr="00217EFC">
        <w:rPr>
          <w:rFonts w:eastAsia="Calibri"/>
          <w:sz w:val="22"/>
          <w:szCs w:val="22"/>
          <w:lang w:val="fr-CA" w:eastAsia="en-US"/>
        </w:rPr>
        <w:t xml:space="preserve">unifier la population franco-américaine dans le but de démontrer le patriotisme de </w:t>
      </w:r>
      <w:r>
        <w:rPr>
          <w:rFonts w:eastAsia="Calibri"/>
          <w:sz w:val="22"/>
          <w:szCs w:val="22"/>
          <w:lang w:val="fr-CA" w:eastAsia="en-US"/>
        </w:rPr>
        <w:t xml:space="preserve">ses </w:t>
      </w:r>
      <w:r w:rsidRPr="00217EFC">
        <w:rPr>
          <w:rFonts w:eastAsia="Calibri"/>
          <w:sz w:val="22"/>
          <w:szCs w:val="22"/>
          <w:lang w:val="fr-CA" w:eastAsia="en-US"/>
        </w:rPr>
        <w:t>membres, par l’</w:t>
      </w:r>
      <w:r>
        <w:rPr>
          <w:rFonts w:eastAsia="Calibri"/>
          <w:sz w:val="22"/>
          <w:szCs w:val="22"/>
          <w:lang w:val="fr-CA" w:eastAsia="en-US"/>
        </w:rPr>
        <w:t xml:space="preserve">évidence de leur </w:t>
      </w:r>
      <w:r w:rsidRPr="00217EFC">
        <w:rPr>
          <w:rFonts w:eastAsia="Calibri"/>
          <w:sz w:val="22"/>
          <w:szCs w:val="22"/>
          <w:lang w:val="fr-CA" w:eastAsia="en-US"/>
        </w:rPr>
        <w:t>adhé</w:t>
      </w:r>
      <w:r>
        <w:rPr>
          <w:rFonts w:eastAsia="Calibri"/>
          <w:sz w:val="22"/>
          <w:szCs w:val="22"/>
          <w:lang w:val="fr-CA" w:eastAsia="en-US"/>
        </w:rPr>
        <w:t xml:space="preserve">sion </w:t>
      </w:r>
      <w:r w:rsidRPr="00217EFC">
        <w:rPr>
          <w:rFonts w:eastAsia="Calibri"/>
          <w:sz w:val="22"/>
          <w:szCs w:val="22"/>
          <w:lang w:val="fr-CA" w:eastAsia="en-US"/>
        </w:rPr>
        <w:t>aux valeurs civiques américaines</w:t>
      </w:r>
      <w:r w:rsidRPr="00217EFC">
        <w:rPr>
          <w:rStyle w:val="FootnoteReference"/>
          <w:rFonts w:eastAsia="Calibri"/>
          <w:sz w:val="22"/>
          <w:szCs w:val="22"/>
          <w:lang w:val="fr-CA" w:eastAsia="en-US"/>
        </w:rPr>
        <w:footnoteReference w:id="141"/>
      </w:r>
      <w:r w:rsidRPr="00217EFC">
        <w:rPr>
          <w:rFonts w:eastAsia="Calibri"/>
          <w:sz w:val="22"/>
          <w:szCs w:val="22"/>
          <w:lang w:val="fr-CA" w:eastAsia="en-US"/>
        </w:rPr>
        <w:t xml:space="preserve">. </w:t>
      </w:r>
    </w:p>
    <w:p w14:paraId="7E4EE5F1" w14:textId="77777777" w:rsidR="000264D6"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Donc, la population franco-américaine de Manchester, en 1916, est une communauté très bien établie</w:t>
      </w:r>
      <w:r>
        <w:rPr>
          <w:rFonts w:eastAsia="Calibri"/>
          <w:sz w:val="22"/>
          <w:szCs w:val="22"/>
          <w:lang w:val="fr-CA" w:eastAsia="en-US"/>
        </w:rPr>
        <w:t>. S</w:t>
      </w:r>
      <w:r w:rsidRPr="00217EFC">
        <w:rPr>
          <w:rFonts w:eastAsia="Calibri"/>
          <w:sz w:val="22"/>
          <w:szCs w:val="22"/>
          <w:lang w:val="fr-CA" w:eastAsia="en-US"/>
        </w:rPr>
        <w:t xml:space="preserve">on influence sociale, religieuse et politique est </w:t>
      </w:r>
      <w:r>
        <w:rPr>
          <w:rFonts w:eastAsia="Calibri"/>
          <w:sz w:val="22"/>
          <w:szCs w:val="22"/>
          <w:lang w:val="fr-CA" w:eastAsia="en-US"/>
        </w:rPr>
        <w:t>bien présente</w:t>
      </w:r>
      <w:r w:rsidRPr="00217EFC">
        <w:rPr>
          <w:rFonts w:eastAsia="Calibri"/>
          <w:sz w:val="22"/>
          <w:szCs w:val="22"/>
          <w:lang w:val="fr-CA" w:eastAsia="en-US"/>
        </w:rPr>
        <w:t xml:space="preserve">. Les gens sont </w:t>
      </w:r>
      <w:r>
        <w:rPr>
          <w:rFonts w:eastAsia="Calibri"/>
          <w:sz w:val="22"/>
          <w:szCs w:val="22"/>
          <w:lang w:val="fr-CA" w:eastAsia="en-US"/>
        </w:rPr>
        <w:t xml:space="preserve">rassemblés grâce à </w:t>
      </w:r>
      <w:r w:rsidRPr="00217EFC">
        <w:rPr>
          <w:rFonts w:eastAsia="Calibri"/>
          <w:sz w:val="22"/>
          <w:szCs w:val="22"/>
          <w:lang w:val="fr-CA" w:eastAsia="en-US"/>
        </w:rPr>
        <w:t>leur Église, leurs associations communautaires, leur</w:t>
      </w:r>
      <w:r>
        <w:rPr>
          <w:rFonts w:eastAsia="Calibri"/>
          <w:sz w:val="22"/>
          <w:szCs w:val="22"/>
          <w:lang w:val="fr-CA" w:eastAsia="en-US"/>
        </w:rPr>
        <w:t>s</w:t>
      </w:r>
      <w:r w:rsidRPr="00217EFC">
        <w:rPr>
          <w:rFonts w:eastAsia="Calibri"/>
          <w:sz w:val="22"/>
          <w:szCs w:val="22"/>
          <w:lang w:val="fr-CA" w:eastAsia="en-US"/>
        </w:rPr>
        <w:t xml:space="preserve"> </w:t>
      </w:r>
      <w:r>
        <w:rPr>
          <w:rFonts w:eastAsia="Calibri"/>
          <w:sz w:val="22"/>
          <w:szCs w:val="22"/>
          <w:lang w:val="fr-CA" w:eastAsia="en-US"/>
        </w:rPr>
        <w:t xml:space="preserve">emplois </w:t>
      </w:r>
      <w:r w:rsidRPr="00217EFC">
        <w:rPr>
          <w:rFonts w:eastAsia="Calibri"/>
          <w:sz w:val="22"/>
          <w:szCs w:val="22"/>
          <w:lang w:val="fr-CA" w:eastAsia="en-US"/>
        </w:rPr>
        <w:t>et leur</w:t>
      </w:r>
      <w:r>
        <w:rPr>
          <w:rFonts w:eastAsia="Calibri"/>
          <w:sz w:val="22"/>
          <w:szCs w:val="22"/>
          <w:lang w:val="fr-CA" w:eastAsia="en-US"/>
        </w:rPr>
        <w:t>s</w:t>
      </w:r>
      <w:r w:rsidRPr="00217EFC">
        <w:rPr>
          <w:rFonts w:eastAsia="Calibri"/>
          <w:sz w:val="22"/>
          <w:szCs w:val="22"/>
          <w:lang w:val="fr-CA" w:eastAsia="en-US"/>
        </w:rPr>
        <w:t xml:space="preserve"> activisme</w:t>
      </w:r>
      <w:r>
        <w:rPr>
          <w:rFonts w:eastAsia="Calibri"/>
          <w:sz w:val="22"/>
          <w:szCs w:val="22"/>
          <w:lang w:val="fr-CA" w:eastAsia="en-US"/>
        </w:rPr>
        <w:t>s</w:t>
      </w:r>
      <w:r w:rsidRPr="00217EFC">
        <w:rPr>
          <w:rFonts w:eastAsia="Calibri"/>
          <w:sz w:val="22"/>
          <w:szCs w:val="22"/>
          <w:lang w:val="fr-CA" w:eastAsia="en-US"/>
        </w:rPr>
        <w:t xml:space="preserve"> politique</w:t>
      </w:r>
      <w:r>
        <w:rPr>
          <w:rFonts w:eastAsia="Calibri"/>
          <w:sz w:val="22"/>
          <w:szCs w:val="22"/>
          <w:lang w:val="fr-CA" w:eastAsia="en-US"/>
        </w:rPr>
        <w:t>s</w:t>
      </w:r>
      <w:r w:rsidRPr="00217EFC">
        <w:rPr>
          <w:rFonts w:eastAsia="Calibri"/>
          <w:sz w:val="22"/>
          <w:szCs w:val="22"/>
          <w:lang w:val="fr-CA" w:eastAsia="en-US"/>
        </w:rPr>
        <w:t xml:space="preserve"> au sein de leur </w:t>
      </w:r>
      <w:r>
        <w:rPr>
          <w:rFonts w:eastAsia="Calibri"/>
          <w:sz w:val="22"/>
          <w:szCs w:val="22"/>
          <w:lang w:val="fr-CA" w:eastAsia="en-US"/>
        </w:rPr>
        <w:t>communauté</w:t>
      </w:r>
      <w:r w:rsidRPr="00217EFC">
        <w:rPr>
          <w:rFonts w:eastAsia="Calibri"/>
          <w:sz w:val="22"/>
          <w:szCs w:val="22"/>
          <w:lang w:val="fr-CA" w:eastAsia="en-US"/>
        </w:rPr>
        <w:t xml:space="preserve"> et de leur État. </w:t>
      </w:r>
      <w:r>
        <w:rPr>
          <w:rFonts w:eastAsia="Calibri"/>
          <w:sz w:val="22"/>
          <w:szCs w:val="22"/>
          <w:lang w:val="fr-CA" w:eastAsia="en-US"/>
        </w:rPr>
        <w:t>O</w:t>
      </w:r>
      <w:r w:rsidRPr="00217EFC">
        <w:rPr>
          <w:rFonts w:eastAsia="Calibri"/>
          <w:sz w:val="22"/>
          <w:szCs w:val="22"/>
          <w:lang w:val="fr-CA" w:eastAsia="en-US"/>
        </w:rPr>
        <w:t xml:space="preserve">n retrouve des Franco-Américains dans les différents organismes décisionnels de la ville et </w:t>
      </w:r>
      <w:r>
        <w:rPr>
          <w:rFonts w:eastAsia="Calibri"/>
          <w:sz w:val="22"/>
          <w:szCs w:val="22"/>
          <w:lang w:val="fr-CA" w:eastAsia="en-US"/>
        </w:rPr>
        <w:t xml:space="preserve">ils </w:t>
      </w:r>
      <w:r w:rsidRPr="00217EFC">
        <w:rPr>
          <w:rFonts w:eastAsia="Calibri"/>
          <w:sz w:val="22"/>
          <w:szCs w:val="22"/>
          <w:lang w:val="fr-CA" w:eastAsia="en-US"/>
        </w:rPr>
        <w:t>ne sont plus un groupe reclus comme au XIX</w:t>
      </w:r>
      <w:r w:rsidRPr="00217EFC">
        <w:rPr>
          <w:rFonts w:eastAsia="Calibri"/>
          <w:sz w:val="22"/>
          <w:szCs w:val="22"/>
          <w:vertAlign w:val="superscript"/>
          <w:lang w:val="fr-CA" w:eastAsia="en-US"/>
        </w:rPr>
        <w:t>e</w:t>
      </w:r>
      <w:r w:rsidRPr="00217EFC">
        <w:rPr>
          <w:rFonts w:eastAsia="Calibri"/>
          <w:sz w:val="22"/>
          <w:szCs w:val="22"/>
          <w:lang w:val="fr-CA" w:eastAsia="en-US"/>
        </w:rPr>
        <w:t xml:space="preserve"> siècle. Les Franco-Américains sont </w:t>
      </w:r>
      <w:r>
        <w:rPr>
          <w:rFonts w:eastAsia="Calibri"/>
          <w:sz w:val="22"/>
          <w:szCs w:val="22"/>
          <w:lang w:val="fr-CA" w:eastAsia="en-US"/>
        </w:rPr>
        <w:t xml:space="preserve">très </w:t>
      </w:r>
      <w:r w:rsidRPr="00217EFC">
        <w:rPr>
          <w:rFonts w:eastAsia="Calibri"/>
          <w:sz w:val="22"/>
          <w:szCs w:val="22"/>
          <w:lang w:val="fr-CA" w:eastAsia="en-US"/>
        </w:rPr>
        <w:t xml:space="preserve">bien intégrés </w:t>
      </w:r>
      <w:r>
        <w:rPr>
          <w:rFonts w:eastAsia="Calibri"/>
          <w:sz w:val="22"/>
          <w:szCs w:val="22"/>
          <w:lang w:val="fr-CA" w:eastAsia="en-US"/>
        </w:rPr>
        <w:t xml:space="preserve">et adaptés à </w:t>
      </w:r>
      <w:r w:rsidRPr="00217EFC">
        <w:rPr>
          <w:rFonts w:eastAsia="Calibri"/>
          <w:sz w:val="22"/>
          <w:szCs w:val="22"/>
          <w:lang w:val="fr-CA" w:eastAsia="en-US"/>
        </w:rPr>
        <w:t>la société américaine</w:t>
      </w:r>
      <w:r>
        <w:rPr>
          <w:rFonts w:eastAsia="Calibri"/>
          <w:sz w:val="22"/>
          <w:szCs w:val="22"/>
          <w:lang w:val="fr-CA" w:eastAsia="en-US"/>
        </w:rPr>
        <w:t>. De plus, à cette époque, i</w:t>
      </w:r>
      <w:r w:rsidRPr="00217EFC">
        <w:rPr>
          <w:rFonts w:eastAsia="Calibri"/>
          <w:sz w:val="22"/>
          <w:szCs w:val="22"/>
          <w:lang w:val="fr-CA" w:eastAsia="en-US"/>
        </w:rPr>
        <w:t xml:space="preserve">ls contrôlent leurs écoles qui fournissent un enseignement bilingue et leurs </w:t>
      </w:r>
      <w:r>
        <w:rPr>
          <w:rFonts w:eastAsia="Calibri"/>
          <w:sz w:val="22"/>
          <w:szCs w:val="22"/>
          <w:lang w:val="fr-CA" w:eastAsia="en-US"/>
        </w:rPr>
        <w:t>é</w:t>
      </w:r>
      <w:r w:rsidRPr="00217EFC">
        <w:rPr>
          <w:rFonts w:eastAsia="Calibri"/>
          <w:sz w:val="22"/>
          <w:szCs w:val="22"/>
          <w:lang w:val="fr-CA" w:eastAsia="en-US"/>
        </w:rPr>
        <w:t xml:space="preserve">glises sont desservies par des prêtres francophones. </w:t>
      </w:r>
      <w:r>
        <w:rPr>
          <w:rFonts w:eastAsia="Calibri"/>
          <w:sz w:val="22"/>
          <w:szCs w:val="22"/>
          <w:lang w:val="fr-CA" w:eastAsia="en-US"/>
        </w:rPr>
        <w:t>Par conséquent</w:t>
      </w:r>
      <w:r w:rsidR="002B1534">
        <w:rPr>
          <w:rFonts w:eastAsia="Calibri"/>
          <w:sz w:val="22"/>
          <w:szCs w:val="22"/>
          <w:lang w:val="fr-CA" w:eastAsia="en-US"/>
        </w:rPr>
        <w:t>,</w:t>
      </w:r>
      <w:r>
        <w:rPr>
          <w:rFonts w:eastAsia="Calibri"/>
          <w:sz w:val="22"/>
          <w:szCs w:val="22"/>
          <w:lang w:val="fr-CA" w:eastAsia="en-US"/>
        </w:rPr>
        <w:t xml:space="preserve"> </w:t>
      </w:r>
      <w:r w:rsidRPr="00CA6E60">
        <w:rPr>
          <w:rFonts w:eastAsia="Calibri"/>
          <w:sz w:val="22"/>
          <w:szCs w:val="22"/>
          <w:lang w:val="fr-CA" w:eastAsia="en-US"/>
        </w:rPr>
        <w:t>la question de demander</w:t>
      </w:r>
      <w:r w:rsidRPr="00CA6E60">
        <w:rPr>
          <w:rFonts w:eastAsia="Calibri"/>
          <w:sz w:val="22"/>
          <w:lang w:val="fr-CA"/>
        </w:rPr>
        <w:t xml:space="preserve"> la citoyenneté américaine</w:t>
      </w:r>
      <w:r w:rsidRPr="00CA6E60">
        <w:rPr>
          <w:rFonts w:eastAsia="Calibri"/>
          <w:sz w:val="22"/>
          <w:szCs w:val="22"/>
          <w:lang w:val="fr-CA" w:eastAsia="en-US"/>
        </w:rPr>
        <w:t xml:space="preserve"> demeure un enjeu majeur</w:t>
      </w:r>
      <w:r>
        <w:rPr>
          <w:rFonts w:eastAsia="Calibri"/>
          <w:sz w:val="22"/>
          <w:szCs w:val="22"/>
          <w:lang w:val="fr-CA" w:eastAsia="en-US"/>
        </w:rPr>
        <w:t>,</w:t>
      </w:r>
      <w:r w:rsidRPr="00CA6E60">
        <w:rPr>
          <w:rFonts w:eastAsia="Calibri"/>
          <w:sz w:val="22"/>
          <w:szCs w:val="22"/>
          <w:lang w:val="fr-CA" w:eastAsia="en-US"/>
        </w:rPr>
        <w:t xml:space="preserve"> bien</w:t>
      </w:r>
      <w:r>
        <w:rPr>
          <w:rFonts w:eastAsia="Calibri"/>
          <w:sz w:val="22"/>
          <w:szCs w:val="22"/>
          <w:lang w:val="fr-CA" w:eastAsia="en-US"/>
        </w:rPr>
        <w:t xml:space="preserve"> que</w:t>
      </w:r>
      <w:r w:rsidRPr="00217EFC">
        <w:rPr>
          <w:rFonts w:eastAsia="Calibri"/>
          <w:sz w:val="22"/>
          <w:szCs w:val="22"/>
          <w:lang w:val="fr-CA" w:eastAsia="en-US"/>
        </w:rPr>
        <w:t xml:space="preserve"> leur identité culturelle </w:t>
      </w:r>
      <w:r w:rsidRPr="00217EFC">
        <w:rPr>
          <w:rFonts w:eastAsia="Calibri"/>
          <w:sz w:val="22"/>
          <w:szCs w:val="22"/>
          <w:lang w:val="fr-CA" w:eastAsia="en-US"/>
        </w:rPr>
        <w:lastRenderedPageBreak/>
        <w:t>et religieuse ne semble pas menacée malgré les différentes épithètes qu</w:t>
      </w:r>
      <w:r>
        <w:rPr>
          <w:rFonts w:eastAsia="Calibri"/>
          <w:sz w:val="22"/>
          <w:szCs w:val="22"/>
          <w:lang w:val="fr-CA" w:eastAsia="en-US"/>
        </w:rPr>
        <w:t>’</w:t>
      </w:r>
      <w:r w:rsidRPr="00217EFC">
        <w:rPr>
          <w:rFonts w:eastAsia="Calibri"/>
          <w:sz w:val="22"/>
          <w:szCs w:val="22"/>
          <w:lang w:val="fr-CA" w:eastAsia="en-US"/>
        </w:rPr>
        <w:t>on avait données aux Franco-Américains</w:t>
      </w:r>
      <w:r>
        <w:rPr>
          <w:rFonts w:eastAsia="Calibri"/>
          <w:sz w:val="22"/>
          <w:szCs w:val="22"/>
          <w:lang w:val="fr-CA" w:eastAsia="en-US"/>
        </w:rPr>
        <w:t xml:space="preserve"> auparavant</w:t>
      </w:r>
      <w:r>
        <w:rPr>
          <w:rStyle w:val="FootnoteReference"/>
          <w:rFonts w:eastAsia="Calibri"/>
          <w:sz w:val="22"/>
          <w:szCs w:val="22"/>
          <w:lang w:val="fr-CA" w:eastAsia="en-US"/>
        </w:rPr>
        <w:footnoteReference w:id="142"/>
      </w:r>
      <w:r w:rsidRPr="00217EFC">
        <w:rPr>
          <w:rFonts w:eastAsia="Calibri"/>
          <w:sz w:val="22"/>
          <w:szCs w:val="22"/>
          <w:lang w:val="fr-CA" w:eastAsia="en-US"/>
        </w:rPr>
        <w:t>.</w:t>
      </w:r>
    </w:p>
    <w:p w14:paraId="33D844CA" w14:textId="77777777" w:rsidR="000264D6" w:rsidRPr="00217EFC" w:rsidRDefault="000264D6" w:rsidP="00CA6E60">
      <w:pPr>
        <w:spacing w:before="100" w:beforeAutospacing="1" w:after="100" w:afterAutospacing="1" w:line="480" w:lineRule="auto"/>
        <w:jc w:val="both"/>
        <w:rPr>
          <w:b/>
          <w:sz w:val="22"/>
          <w:szCs w:val="22"/>
          <w:lang w:val="fr-CA"/>
        </w:rPr>
      </w:pPr>
      <w:r>
        <w:rPr>
          <w:b/>
          <w:sz w:val="22"/>
          <w:szCs w:val="22"/>
          <w:u w:val="single"/>
          <w:lang w:val="fr-CA"/>
        </w:rPr>
        <w:br w:type="page"/>
      </w:r>
      <w:r w:rsidRPr="00217EFC">
        <w:rPr>
          <w:b/>
          <w:sz w:val="22"/>
          <w:szCs w:val="22"/>
          <w:u w:val="single"/>
          <w:lang w:val="fr-CA"/>
        </w:rPr>
        <w:lastRenderedPageBreak/>
        <w:t>Troisième chapitre</w:t>
      </w:r>
      <w:r w:rsidRPr="00217EFC">
        <w:rPr>
          <w:b/>
          <w:sz w:val="22"/>
          <w:szCs w:val="22"/>
          <w:lang w:val="fr-CA"/>
        </w:rPr>
        <w:t> :</w:t>
      </w:r>
      <w:r>
        <w:rPr>
          <w:b/>
          <w:sz w:val="22"/>
          <w:szCs w:val="22"/>
          <w:lang w:val="fr-CA"/>
        </w:rPr>
        <w:t xml:space="preserve"> </w:t>
      </w:r>
      <w:r w:rsidRPr="00217EFC">
        <w:rPr>
          <w:b/>
          <w:sz w:val="22"/>
          <w:szCs w:val="22"/>
          <w:lang w:val="fr-CA"/>
        </w:rPr>
        <w:t>Début du conflit et ralliement de la population franco-américaine en faveur de la cause des Alliés</w:t>
      </w:r>
    </w:p>
    <w:p w14:paraId="0AD3C524" w14:textId="77777777" w:rsidR="000264D6" w:rsidRPr="00E239FD" w:rsidRDefault="000264D6" w:rsidP="003C57D5">
      <w:pPr>
        <w:spacing w:before="100" w:beforeAutospacing="1" w:after="100" w:afterAutospacing="1" w:line="480" w:lineRule="auto"/>
        <w:jc w:val="both"/>
        <w:rPr>
          <w:b/>
          <w:bCs/>
          <w:sz w:val="22"/>
          <w:szCs w:val="22"/>
          <w:lang w:val="fr-CA"/>
        </w:rPr>
      </w:pPr>
      <w:r w:rsidRPr="00E239FD">
        <w:rPr>
          <w:b/>
          <w:bCs/>
          <w:sz w:val="22"/>
          <w:szCs w:val="22"/>
          <w:lang w:val="fr-CA"/>
        </w:rPr>
        <w:t>La neutralité affichée par le président Wilson et entrée en guerre progressive</w:t>
      </w:r>
    </w:p>
    <w:p w14:paraId="793E9BB0"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Dès le 4 août 1914, lorsque se tramait le conflit qui allait devenir la Première Guerre mondiale, le Président Wilson se prononce immédiatement pour la neutralité des États-Unis. Puis, dans les semaines qui suivent, il incite ses compatriotes </w:t>
      </w:r>
      <w:r>
        <w:rPr>
          <w:rFonts w:eastAsia="Calibri"/>
          <w:sz w:val="22"/>
          <w:szCs w:val="22"/>
          <w:lang w:val="fr-CA" w:eastAsia="en-US"/>
        </w:rPr>
        <w:t xml:space="preserve">de diverses origines </w:t>
      </w:r>
      <w:r w:rsidRPr="00217EFC">
        <w:rPr>
          <w:rFonts w:eastAsia="Calibri"/>
          <w:sz w:val="22"/>
          <w:szCs w:val="22"/>
          <w:lang w:val="fr-CA" w:eastAsia="en-US"/>
        </w:rPr>
        <w:t>à «</w:t>
      </w:r>
      <w:r w:rsidR="00F5530C">
        <w:rPr>
          <w:rFonts w:eastAsia="Calibri"/>
          <w:sz w:val="22"/>
          <w:szCs w:val="22"/>
          <w:lang w:val="fr-CA" w:eastAsia="en-US"/>
        </w:rPr>
        <w:t> </w:t>
      </w:r>
      <w:r w:rsidRPr="00217EFC">
        <w:rPr>
          <w:rFonts w:eastAsia="Calibri"/>
          <w:sz w:val="22"/>
          <w:szCs w:val="22"/>
          <w:lang w:val="fr-CA" w:eastAsia="en-US"/>
        </w:rPr>
        <w:t xml:space="preserve">montrer </w:t>
      </w:r>
      <w:r w:rsidR="00F5530C">
        <w:rPr>
          <w:rFonts w:eastAsia="Calibri"/>
          <w:sz w:val="22"/>
          <w:szCs w:val="22"/>
          <w:lang w:val="fr-CA" w:eastAsia="en-US"/>
        </w:rPr>
        <w:t>“</w:t>
      </w:r>
      <w:r w:rsidRPr="00217EFC">
        <w:rPr>
          <w:rFonts w:eastAsia="Calibri"/>
          <w:sz w:val="22"/>
          <w:szCs w:val="22"/>
          <w:lang w:val="fr-CA" w:eastAsia="en-US"/>
        </w:rPr>
        <w:t>leur impartialité en pensées comme en actes</w:t>
      </w:r>
      <w:r w:rsidR="00F5530C">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143"/>
      </w:r>
      <w:r w:rsidRPr="00217EFC">
        <w:rPr>
          <w:rFonts w:eastAsia="Calibri"/>
          <w:sz w:val="22"/>
          <w:szCs w:val="22"/>
          <w:lang w:val="fr-CA" w:eastAsia="en-US"/>
        </w:rPr>
        <w:t xml:space="preserve"> </w:t>
      </w:r>
      <w:r>
        <w:rPr>
          <w:rFonts w:eastAsia="Calibri"/>
          <w:sz w:val="22"/>
          <w:szCs w:val="22"/>
          <w:lang w:val="fr-CA" w:eastAsia="en-US"/>
        </w:rPr>
        <w:t xml:space="preserve">envers les </w:t>
      </w:r>
      <w:r w:rsidRPr="00217EFC">
        <w:rPr>
          <w:rFonts w:eastAsia="Calibri"/>
          <w:sz w:val="22"/>
          <w:szCs w:val="22"/>
          <w:lang w:val="fr-CA" w:eastAsia="en-US"/>
        </w:rPr>
        <w:t xml:space="preserve">nations antagonistes. En </w:t>
      </w:r>
      <w:r>
        <w:rPr>
          <w:rFonts w:eastAsia="Calibri"/>
          <w:sz w:val="22"/>
          <w:szCs w:val="22"/>
          <w:lang w:val="fr-CA" w:eastAsia="en-US"/>
        </w:rPr>
        <w:t>fait</w:t>
      </w:r>
      <w:r w:rsidRPr="00217EFC">
        <w:rPr>
          <w:rFonts w:eastAsia="Calibri"/>
          <w:sz w:val="22"/>
          <w:szCs w:val="22"/>
          <w:lang w:val="fr-CA" w:eastAsia="en-US"/>
        </w:rPr>
        <w:t>, cette neutralité n’était qu’une façade, car le Président lui-même éprouvait de la sympathie pour la Grande-Bretagne, comme bien d’autres Américains d’ailleurs. Wilson «</w:t>
      </w:r>
      <w:r w:rsidR="00F5530C">
        <w:rPr>
          <w:rFonts w:eastAsia="Calibri"/>
          <w:sz w:val="22"/>
          <w:szCs w:val="22"/>
          <w:lang w:val="fr-CA" w:eastAsia="en-US"/>
        </w:rPr>
        <w:t> </w:t>
      </w:r>
      <w:r w:rsidRPr="00217EFC">
        <w:rPr>
          <w:rFonts w:eastAsia="Calibri"/>
          <w:sz w:val="22"/>
          <w:szCs w:val="22"/>
          <w:lang w:val="fr-CA" w:eastAsia="en-US"/>
        </w:rPr>
        <w:t>estimait que 90 % de la population des Américains étaient pour l’Entente</w:t>
      </w:r>
      <w:r w:rsidR="00F5530C">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144"/>
      </w:r>
      <w:r w:rsidRPr="00217EFC">
        <w:rPr>
          <w:rFonts w:eastAsia="Calibri"/>
          <w:sz w:val="22"/>
          <w:szCs w:val="22"/>
          <w:lang w:val="fr-CA" w:eastAsia="en-US"/>
        </w:rPr>
        <w:t>. Cependant, il juge qu’il se devait d</w:t>
      </w:r>
      <w:r>
        <w:rPr>
          <w:rFonts w:eastAsia="Calibri"/>
          <w:sz w:val="22"/>
          <w:szCs w:val="22"/>
          <w:lang w:val="fr-CA" w:eastAsia="en-US"/>
        </w:rPr>
        <w:t xml:space="preserve">’épargner aux </w:t>
      </w:r>
      <w:r w:rsidRPr="00217EFC">
        <w:rPr>
          <w:rFonts w:eastAsia="Calibri"/>
          <w:sz w:val="22"/>
          <w:szCs w:val="22"/>
          <w:lang w:val="fr-CA" w:eastAsia="en-US"/>
        </w:rPr>
        <w:t xml:space="preserve">États-Unis </w:t>
      </w:r>
      <w:r>
        <w:rPr>
          <w:rFonts w:eastAsia="Calibri"/>
          <w:sz w:val="22"/>
          <w:szCs w:val="22"/>
          <w:lang w:val="fr-CA" w:eastAsia="en-US"/>
        </w:rPr>
        <w:t xml:space="preserve">une quelconque implication dans </w:t>
      </w:r>
      <w:r w:rsidRPr="00217EFC">
        <w:rPr>
          <w:rFonts w:eastAsia="Calibri"/>
          <w:sz w:val="22"/>
          <w:szCs w:val="22"/>
          <w:lang w:val="fr-CA" w:eastAsia="en-US"/>
        </w:rPr>
        <w:t xml:space="preserve">une guerre européenne. Toutefois, la population irlando-américaine, antibritannique, </w:t>
      </w:r>
      <w:r w:rsidRPr="00D338C0">
        <w:rPr>
          <w:rFonts w:eastAsia="Calibri"/>
          <w:sz w:val="22"/>
          <w:lang w:val="fr-CA"/>
        </w:rPr>
        <w:t xml:space="preserve">qui </w:t>
      </w:r>
      <w:r w:rsidRPr="00217EFC">
        <w:rPr>
          <w:rFonts w:eastAsia="Calibri"/>
          <w:sz w:val="22"/>
          <w:szCs w:val="22"/>
          <w:lang w:val="fr-CA" w:eastAsia="en-US"/>
        </w:rPr>
        <w:t>compte 3</w:t>
      </w:r>
      <w:r w:rsidR="00A147CC">
        <w:rPr>
          <w:rFonts w:eastAsia="Calibri"/>
          <w:sz w:val="22"/>
          <w:szCs w:val="22"/>
          <w:lang w:val="fr-CA" w:eastAsia="en-US"/>
        </w:rPr>
        <w:t>,</w:t>
      </w:r>
      <w:r w:rsidRPr="00217EFC">
        <w:rPr>
          <w:rFonts w:eastAsia="Calibri"/>
          <w:sz w:val="22"/>
          <w:szCs w:val="22"/>
          <w:lang w:val="fr-CA" w:eastAsia="en-US"/>
        </w:rPr>
        <w:t xml:space="preserve">4 millions de </w:t>
      </w:r>
      <w:r>
        <w:rPr>
          <w:rFonts w:eastAsia="Calibri"/>
          <w:sz w:val="22"/>
          <w:szCs w:val="22"/>
          <w:lang w:val="fr-CA" w:eastAsia="en-US"/>
        </w:rPr>
        <w:t xml:space="preserve">citoyens </w:t>
      </w:r>
      <w:r w:rsidRPr="00217EFC">
        <w:rPr>
          <w:rFonts w:eastAsia="Calibri"/>
          <w:sz w:val="22"/>
          <w:szCs w:val="22"/>
          <w:lang w:val="fr-CA" w:eastAsia="en-US"/>
        </w:rPr>
        <w:t>américain</w:t>
      </w:r>
      <w:r>
        <w:rPr>
          <w:rFonts w:eastAsia="Calibri"/>
          <w:sz w:val="22"/>
          <w:szCs w:val="22"/>
          <w:lang w:val="fr-CA" w:eastAsia="en-US"/>
        </w:rPr>
        <w:t xml:space="preserve">s </w:t>
      </w:r>
      <w:r w:rsidRPr="00217EFC">
        <w:rPr>
          <w:rFonts w:eastAsia="Calibri"/>
          <w:sz w:val="22"/>
          <w:szCs w:val="22"/>
          <w:lang w:val="fr-CA" w:eastAsia="en-US"/>
        </w:rPr>
        <w:t xml:space="preserve">n’apprécie pas </w:t>
      </w:r>
      <w:r w:rsidRPr="00243C47">
        <w:rPr>
          <w:rFonts w:eastAsia="Calibri"/>
          <w:sz w:val="22"/>
          <w:szCs w:val="22"/>
          <w:lang w:val="fr-CA" w:eastAsia="en-US"/>
        </w:rPr>
        <w:t>l’interaction commerciale</w:t>
      </w:r>
      <w:r w:rsidRPr="00217EFC">
        <w:rPr>
          <w:rFonts w:eastAsia="Calibri"/>
          <w:sz w:val="22"/>
          <w:szCs w:val="22"/>
          <w:lang w:val="fr-CA" w:eastAsia="en-US"/>
        </w:rPr>
        <w:t xml:space="preserve"> </w:t>
      </w:r>
      <w:r>
        <w:rPr>
          <w:rFonts w:eastAsia="Calibri"/>
          <w:sz w:val="22"/>
          <w:szCs w:val="22"/>
          <w:lang w:val="fr-CA" w:eastAsia="en-US"/>
        </w:rPr>
        <w:t xml:space="preserve">du gouvernement </w:t>
      </w:r>
      <w:r w:rsidRPr="00243C47">
        <w:rPr>
          <w:rFonts w:eastAsia="Calibri"/>
          <w:sz w:val="22"/>
          <w:szCs w:val="22"/>
          <w:lang w:val="fr-CA" w:eastAsia="en-US"/>
        </w:rPr>
        <w:t>am</w:t>
      </w:r>
      <w:r>
        <w:rPr>
          <w:rFonts w:eastAsia="Calibri"/>
          <w:sz w:val="22"/>
          <w:szCs w:val="22"/>
          <w:lang w:val="fr-CA" w:eastAsia="en-US"/>
        </w:rPr>
        <w:t xml:space="preserve">éricain </w:t>
      </w:r>
      <w:r w:rsidRPr="00217EFC">
        <w:rPr>
          <w:rFonts w:eastAsia="Calibri"/>
          <w:sz w:val="22"/>
          <w:szCs w:val="22"/>
          <w:lang w:val="fr-CA" w:eastAsia="en-US"/>
        </w:rPr>
        <w:t>avec la Grande-Bretagne</w:t>
      </w:r>
      <w:r w:rsidRPr="00217EFC">
        <w:rPr>
          <w:rStyle w:val="FootnoteReference"/>
          <w:rFonts w:eastAsia="Calibri"/>
          <w:sz w:val="22"/>
          <w:szCs w:val="22"/>
          <w:lang w:val="fr-CA" w:eastAsia="en-US"/>
        </w:rPr>
        <w:footnoteReference w:id="145"/>
      </w:r>
      <w:r w:rsidRPr="00217EFC">
        <w:rPr>
          <w:rFonts w:eastAsia="Calibri"/>
          <w:sz w:val="22"/>
          <w:szCs w:val="22"/>
          <w:lang w:val="fr-CA" w:eastAsia="en-US"/>
        </w:rPr>
        <w:t xml:space="preserve">. Au regard de l’Allemagne, malgré son régime autoritaire tempéré, le bris de la neutralité et ses exactions en territoire belge, ce pays </w:t>
      </w:r>
      <w:r>
        <w:rPr>
          <w:rFonts w:eastAsia="Calibri"/>
          <w:sz w:val="22"/>
          <w:szCs w:val="22"/>
          <w:lang w:val="fr-CA" w:eastAsia="en-US"/>
        </w:rPr>
        <w:t xml:space="preserve">obtenait </w:t>
      </w:r>
      <w:r w:rsidRPr="00217EFC">
        <w:rPr>
          <w:rFonts w:eastAsia="Calibri"/>
          <w:sz w:val="22"/>
          <w:szCs w:val="22"/>
          <w:lang w:val="fr-CA" w:eastAsia="en-US"/>
        </w:rPr>
        <w:t xml:space="preserve">tout de même la faveur de onze millions d’Américains de souche germanique sur une population totale approximative de cent millions d’Américains. </w:t>
      </w:r>
    </w:p>
    <w:p w14:paraId="71E7B62E" w14:textId="640DFBE9"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En dépit de la demande de Wilson </w:t>
      </w:r>
      <w:r>
        <w:rPr>
          <w:sz w:val="22"/>
          <w:szCs w:val="22"/>
          <w:lang w:val="fr-CA"/>
        </w:rPr>
        <w:t xml:space="preserve">de </w:t>
      </w:r>
      <w:r w:rsidRPr="00217EFC">
        <w:rPr>
          <w:sz w:val="22"/>
          <w:szCs w:val="22"/>
          <w:lang w:val="fr-CA"/>
        </w:rPr>
        <w:t xml:space="preserve">respecter la neutralité, les journaux </w:t>
      </w:r>
      <w:r>
        <w:rPr>
          <w:sz w:val="22"/>
          <w:szCs w:val="22"/>
          <w:lang w:val="fr-CA"/>
        </w:rPr>
        <w:t xml:space="preserve">montrent </w:t>
      </w:r>
      <w:r w:rsidRPr="00217EFC">
        <w:rPr>
          <w:sz w:val="22"/>
          <w:szCs w:val="22"/>
          <w:lang w:val="fr-CA"/>
        </w:rPr>
        <w:t>rapidement leur animosité pour</w:t>
      </w:r>
      <w:r>
        <w:rPr>
          <w:sz w:val="22"/>
          <w:szCs w:val="22"/>
          <w:lang w:val="fr-CA"/>
        </w:rPr>
        <w:t xml:space="preserve"> </w:t>
      </w:r>
      <w:r w:rsidRPr="00217EFC">
        <w:rPr>
          <w:sz w:val="22"/>
          <w:szCs w:val="22"/>
          <w:lang w:val="fr-CA"/>
        </w:rPr>
        <w:t xml:space="preserve">le peuple allemand. En effet, la première page de </w:t>
      </w:r>
      <w:r w:rsidRPr="00217EFC">
        <w:rPr>
          <w:i/>
          <w:iCs/>
          <w:sz w:val="22"/>
          <w:szCs w:val="22"/>
          <w:lang w:val="fr-CA"/>
        </w:rPr>
        <w:t>L’Avenir National</w:t>
      </w:r>
      <w:r w:rsidRPr="00217EFC">
        <w:rPr>
          <w:sz w:val="22"/>
          <w:szCs w:val="22"/>
          <w:lang w:val="fr-CA"/>
        </w:rPr>
        <w:t xml:space="preserve"> du 10 août 1914 rapporte les derniers bulletins de guerre</w:t>
      </w:r>
      <w:r>
        <w:rPr>
          <w:sz w:val="22"/>
          <w:szCs w:val="22"/>
          <w:lang w:val="fr-CA"/>
        </w:rPr>
        <w:t>,</w:t>
      </w:r>
      <w:r w:rsidRPr="00217EFC">
        <w:rPr>
          <w:sz w:val="22"/>
          <w:szCs w:val="22"/>
          <w:lang w:val="fr-CA"/>
        </w:rPr>
        <w:t xml:space="preserve"> </w:t>
      </w:r>
      <w:r>
        <w:rPr>
          <w:sz w:val="22"/>
          <w:szCs w:val="22"/>
          <w:lang w:val="fr-CA"/>
        </w:rPr>
        <w:t xml:space="preserve">dont les </w:t>
      </w:r>
      <w:r w:rsidRPr="00217EFC">
        <w:rPr>
          <w:sz w:val="22"/>
          <w:szCs w:val="22"/>
          <w:lang w:val="fr-CA"/>
        </w:rPr>
        <w:t xml:space="preserve">dépêches du ministère de la guerre belge qui dénonce les forces allemandes </w:t>
      </w:r>
      <w:r>
        <w:rPr>
          <w:sz w:val="22"/>
          <w:szCs w:val="22"/>
          <w:lang w:val="fr-CA"/>
        </w:rPr>
        <w:t xml:space="preserve">qui </w:t>
      </w:r>
      <w:r w:rsidRPr="00217EFC">
        <w:rPr>
          <w:sz w:val="22"/>
          <w:szCs w:val="22"/>
          <w:lang w:val="fr-CA"/>
        </w:rPr>
        <w:t xml:space="preserve">ont tué tous les résidents du village de Soiron, près de Liège. </w:t>
      </w:r>
      <w:r>
        <w:rPr>
          <w:sz w:val="22"/>
          <w:szCs w:val="22"/>
          <w:lang w:val="fr-CA"/>
        </w:rPr>
        <w:t xml:space="preserve">Cette </w:t>
      </w:r>
      <w:r w:rsidRPr="00217EFC">
        <w:rPr>
          <w:sz w:val="22"/>
          <w:szCs w:val="22"/>
          <w:lang w:val="fr-CA"/>
        </w:rPr>
        <w:t xml:space="preserve">dépêche </w:t>
      </w:r>
      <w:r>
        <w:rPr>
          <w:sz w:val="22"/>
          <w:szCs w:val="22"/>
          <w:lang w:val="fr-CA"/>
        </w:rPr>
        <w:t xml:space="preserve">explique </w:t>
      </w:r>
      <w:r w:rsidRPr="00217EFC">
        <w:rPr>
          <w:sz w:val="22"/>
          <w:szCs w:val="22"/>
          <w:lang w:val="fr-CA"/>
        </w:rPr>
        <w:t>que ce geste serait une riposte à une attaque de trois jardiniers qui auraient fait feu sur une compagnie allemande</w:t>
      </w:r>
      <w:r w:rsidRPr="00217EFC">
        <w:rPr>
          <w:rStyle w:val="FootnoteReference"/>
          <w:sz w:val="22"/>
          <w:szCs w:val="22"/>
          <w:lang w:val="fr-CA"/>
        </w:rPr>
        <w:footnoteReference w:id="146"/>
      </w:r>
      <w:r w:rsidRPr="00217EFC">
        <w:rPr>
          <w:sz w:val="22"/>
          <w:szCs w:val="22"/>
          <w:lang w:val="fr-CA"/>
        </w:rPr>
        <w:t xml:space="preserve">. </w:t>
      </w:r>
      <w:r w:rsidRPr="00217EFC">
        <w:rPr>
          <w:i/>
          <w:iCs/>
          <w:sz w:val="22"/>
          <w:szCs w:val="22"/>
          <w:lang w:val="fr-CA"/>
        </w:rPr>
        <w:t>L’Avenir National</w:t>
      </w:r>
      <w:r w:rsidRPr="00217EFC">
        <w:rPr>
          <w:sz w:val="22"/>
          <w:szCs w:val="22"/>
          <w:lang w:val="fr-CA"/>
        </w:rPr>
        <w:t xml:space="preserve"> informe ses lecteurs que M.</w:t>
      </w:r>
      <w:r w:rsidR="00A147CC">
        <w:rPr>
          <w:sz w:val="22"/>
          <w:szCs w:val="22"/>
          <w:lang w:val="fr-CA"/>
        </w:rPr>
        <w:t> </w:t>
      </w:r>
      <w:r w:rsidRPr="00217EFC">
        <w:rPr>
          <w:sz w:val="22"/>
          <w:szCs w:val="22"/>
          <w:lang w:val="fr-CA"/>
        </w:rPr>
        <w:t>Théophile Herrejodts et sa famille</w:t>
      </w:r>
      <w:r>
        <w:rPr>
          <w:sz w:val="22"/>
          <w:szCs w:val="22"/>
          <w:lang w:val="fr-CA"/>
        </w:rPr>
        <w:t>,</w:t>
      </w:r>
      <w:r w:rsidRPr="00217EFC">
        <w:rPr>
          <w:sz w:val="22"/>
          <w:szCs w:val="22"/>
          <w:lang w:val="fr-CA"/>
        </w:rPr>
        <w:t xml:space="preserve"> qui sont des résidents de Manchester-Ouest</w:t>
      </w:r>
      <w:r>
        <w:rPr>
          <w:sz w:val="22"/>
          <w:szCs w:val="22"/>
          <w:lang w:val="fr-CA"/>
        </w:rPr>
        <w:t>,</w:t>
      </w:r>
      <w:r w:rsidRPr="00217EFC">
        <w:rPr>
          <w:sz w:val="22"/>
          <w:szCs w:val="22"/>
          <w:lang w:val="fr-CA"/>
        </w:rPr>
        <w:t xml:space="preserve"> se sont échappés des forces militaires allemandes alors qu’ils étaient faits prisonniers en Belgique. Ils </w:t>
      </w:r>
      <w:r>
        <w:rPr>
          <w:sz w:val="22"/>
          <w:szCs w:val="22"/>
          <w:lang w:val="fr-CA"/>
        </w:rPr>
        <w:t xml:space="preserve">auraient </w:t>
      </w:r>
      <w:r w:rsidRPr="00217EFC">
        <w:rPr>
          <w:sz w:val="22"/>
          <w:szCs w:val="22"/>
          <w:lang w:val="fr-CA"/>
        </w:rPr>
        <w:t>passé à travers les lig</w:t>
      </w:r>
      <w:r>
        <w:rPr>
          <w:sz w:val="22"/>
          <w:szCs w:val="22"/>
          <w:lang w:val="fr-CA"/>
        </w:rPr>
        <w:t>n</w:t>
      </w:r>
      <w:r w:rsidRPr="00217EFC">
        <w:rPr>
          <w:sz w:val="22"/>
          <w:szCs w:val="22"/>
          <w:lang w:val="fr-CA"/>
        </w:rPr>
        <w:t>es de front et ils</w:t>
      </w:r>
      <w:r w:rsidRPr="00D338C0">
        <w:rPr>
          <w:sz w:val="22"/>
          <w:lang w:val="fr-CA"/>
        </w:rPr>
        <w:t xml:space="preserve"> se </w:t>
      </w:r>
      <w:r>
        <w:rPr>
          <w:sz w:val="22"/>
          <w:lang w:val="fr-CA"/>
        </w:rPr>
        <w:t xml:space="preserve">seraient </w:t>
      </w:r>
      <w:r w:rsidRPr="00217EFC">
        <w:rPr>
          <w:sz w:val="22"/>
          <w:szCs w:val="22"/>
          <w:lang w:val="fr-CA"/>
        </w:rPr>
        <w:t>rend</w:t>
      </w:r>
      <w:r>
        <w:rPr>
          <w:sz w:val="22"/>
          <w:szCs w:val="22"/>
          <w:lang w:val="fr-CA"/>
        </w:rPr>
        <w:t>u</w:t>
      </w:r>
      <w:r w:rsidR="005C7193">
        <w:rPr>
          <w:sz w:val="22"/>
          <w:szCs w:val="22"/>
          <w:lang w:val="fr-CA"/>
        </w:rPr>
        <w:t>s</w:t>
      </w:r>
      <w:r>
        <w:rPr>
          <w:sz w:val="22"/>
          <w:szCs w:val="22"/>
          <w:lang w:val="fr-CA"/>
        </w:rPr>
        <w:t xml:space="preserve"> en </w:t>
      </w:r>
      <w:r w:rsidRPr="00217EFC">
        <w:rPr>
          <w:sz w:val="22"/>
          <w:szCs w:val="22"/>
          <w:lang w:val="fr-CA"/>
        </w:rPr>
        <w:t xml:space="preserve">Grande-Bretagne seulement </w:t>
      </w:r>
      <w:r w:rsidRPr="00EB76F8">
        <w:rPr>
          <w:sz w:val="22"/>
          <w:szCs w:val="22"/>
          <w:lang w:val="fr-CA"/>
        </w:rPr>
        <w:t>grâce à leur citoyenneté américaine</w:t>
      </w:r>
      <w:r w:rsidRPr="00217EFC">
        <w:rPr>
          <w:rStyle w:val="FootnoteReference"/>
          <w:sz w:val="22"/>
          <w:szCs w:val="22"/>
          <w:lang w:val="fr-CA"/>
        </w:rPr>
        <w:footnoteReference w:id="147"/>
      </w:r>
      <w:r w:rsidRPr="00217EFC">
        <w:rPr>
          <w:sz w:val="22"/>
          <w:szCs w:val="22"/>
          <w:lang w:val="fr-CA"/>
        </w:rPr>
        <w:t>.</w:t>
      </w:r>
    </w:p>
    <w:p w14:paraId="6144FDAB" w14:textId="77777777"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t>En réaction à de multiples démonstrations d</w:t>
      </w:r>
      <w:r>
        <w:rPr>
          <w:sz w:val="22"/>
          <w:szCs w:val="22"/>
          <w:lang w:val="fr-CA"/>
        </w:rPr>
        <w:t xml:space="preserve">e haine </w:t>
      </w:r>
      <w:r w:rsidR="00F5530C">
        <w:rPr>
          <w:sz w:val="22"/>
          <w:szCs w:val="22"/>
          <w:lang w:val="fr-CA"/>
        </w:rPr>
        <w:t>le dimanche</w:t>
      </w:r>
      <w:r w:rsidRPr="00217EFC">
        <w:rPr>
          <w:sz w:val="22"/>
          <w:szCs w:val="22"/>
          <w:lang w:val="fr-CA"/>
        </w:rPr>
        <w:t xml:space="preserve"> </w:t>
      </w:r>
      <w:r w:rsidR="00F5530C">
        <w:rPr>
          <w:sz w:val="22"/>
          <w:szCs w:val="22"/>
          <w:lang w:val="fr-CA"/>
        </w:rPr>
        <w:t>9</w:t>
      </w:r>
      <w:r w:rsidRPr="00217EFC">
        <w:rPr>
          <w:sz w:val="22"/>
          <w:szCs w:val="22"/>
          <w:lang w:val="fr-CA"/>
        </w:rPr>
        <w:t xml:space="preserve"> août 1914</w:t>
      </w:r>
      <w:r>
        <w:rPr>
          <w:sz w:val="22"/>
          <w:szCs w:val="22"/>
          <w:lang w:val="fr-CA"/>
        </w:rPr>
        <w:t xml:space="preserve"> à l’égard de la population allemande</w:t>
      </w:r>
      <w:r w:rsidRPr="00217EFC">
        <w:rPr>
          <w:sz w:val="22"/>
          <w:szCs w:val="22"/>
          <w:lang w:val="fr-CA"/>
        </w:rPr>
        <w:t xml:space="preserve">, trois cents Allemands de Manchester-Ouest se regroupent pour dénoncer le traitement </w:t>
      </w:r>
      <w:r>
        <w:rPr>
          <w:sz w:val="22"/>
          <w:szCs w:val="22"/>
          <w:lang w:val="fr-CA"/>
        </w:rPr>
        <w:t xml:space="preserve">qui leur ait </w:t>
      </w:r>
      <w:r w:rsidRPr="00217EFC">
        <w:rPr>
          <w:sz w:val="22"/>
          <w:szCs w:val="22"/>
          <w:lang w:val="fr-CA"/>
        </w:rPr>
        <w:t xml:space="preserve">défavorable </w:t>
      </w:r>
      <w:r>
        <w:rPr>
          <w:sz w:val="22"/>
          <w:szCs w:val="22"/>
          <w:lang w:val="fr-CA"/>
        </w:rPr>
        <w:t>par</w:t>
      </w:r>
      <w:r w:rsidRPr="00217EFC">
        <w:rPr>
          <w:sz w:val="22"/>
          <w:szCs w:val="22"/>
          <w:lang w:val="fr-CA"/>
        </w:rPr>
        <w:t xml:space="preserve"> la presse </w:t>
      </w:r>
      <w:r>
        <w:rPr>
          <w:sz w:val="22"/>
          <w:szCs w:val="22"/>
          <w:lang w:val="fr-CA"/>
        </w:rPr>
        <w:t xml:space="preserve">américaine </w:t>
      </w:r>
      <w:r w:rsidRPr="00217EFC">
        <w:rPr>
          <w:sz w:val="22"/>
          <w:szCs w:val="22"/>
          <w:lang w:val="fr-CA"/>
        </w:rPr>
        <w:t>dans «</w:t>
      </w:r>
      <w:r w:rsidR="00F5530C">
        <w:rPr>
          <w:sz w:val="22"/>
          <w:szCs w:val="22"/>
          <w:lang w:val="fr-CA"/>
        </w:rPr>
        <w:t> </w:t>
      </w:r>
      <w:r w:rsidRPr="00217EFC">
        <w:rPr>
          <w:sz w:val="22"/>
          <w:szCs w:val="22"/>
          <w:lang w:val="fr-CA"/>
        </w:rPr>
        <w:t>les articles éditoriaux et les nouvelles de guerre d’Europe</w:t>
      </w:r>
      <w:r w:rsidR="00F5530C">
        <w:rPr>
          <w:sz w:val="22"/>
          <w:szCs w:val="22"/>
          <w:lang w:val="fr-CA"/>
        </w:rPr>
        <w:t> </w:t>
      </w:r>
      <w:r w:rsidRPr="00217EFC">
        <w:rPr>
          <w:sz w:val="22"/>
          <w:szCs w:val="22"/>
          <w:lang w:val="fr-CA"/>
        </w:rPr>
        <w:t>»</w:t>
      </w:r>
      <w:r w:rsidRPr="00217EFC">
        <w:rPr>
          <w:rStyle w:val="FootnoteReference"/>
          <w:sz w:val="22"/>
          <w:szCs w:val="22"/>
          <w:lang w:val="fr-CA"/>
        </w:rPr>
        <w:footnoteReference w:id="148"/>
      </w:r>
      <w:r w:rsidRPr="00217EFC">
        <w:rPr>
          <w:sz w:val="22"/>
          <w:szCs w:val="22"/>
          <w:lang w:val="fr-CA"/>
        </w:rPr>
        <w:t>. Le groupe indique que la presse ne respecte pas le principe d’impartialité</w:t>
      </w:r>
      <w:r>
        <w:rPr>
          <w:sz w:val="22"/>
          <w:szCs w:val="22"/>
          <w:lang w:val="fr-CA"/>
        </w:rPr>
        <w:t xml:space="preserve"> et </w:t>
      </w:r>
      <w:r w:rsidRPr="00217EFC">
        <w:rPr>
          <w:sz w:val="22"/>
          <w:szCs w:val="22"/>
          <w:lang w:val="fr-CA"/>
        </w:rPr>
        <w:t xml:space="preserve">demande que les journaux de la ville soient impartiaux dans le traitement de la </w:t>
      </w:r>
      <w:r w:rsidRPr="00217EFC">
        <w:rPr>
          <w:sz w:val="22"/>
          <w:szCs w:val="22"/>
          <w:lang w:val="fr-CA"/>
        </w:rPr>
        <w:lastRenderedPageBreak/>
        <w:t>guerre.</w:t>
      </w:r>
      <w:r>
        <w:rPr>
          <w:sz w:val="22"/>
          <w:szCs w:val="22"/>
          <w:lang w:val="fr-CA"/>
        </w:rPr>
        <w:t xml:space="preserve"> À l’instar des populations francophones de la Nouvelle-Angleterre, les populations allemandes rappellent qu’elles </w:t>
      </w:r>
      <w:r w:rsidRPr="00217EFC">
        <w:rPr>
          <w:sz w:val="22"/>
          <w:szCs w:val="22"/>
          <w:lang w:val="fr-CA"/>
        </w:rPr>
        <w:t>contribu</w:t>
      </w:r>
      <w:r>
        <w:rPr>
          <w:sz w:val="22"/>
          <w:szCs w:val="22"/>
          <w:lang w:val="fr-CA"/>
        </w:rPr>
        <w:t xml:space="preserve">ent depuis plusieurs générations </w:t>
      </w:r>
      <w:r w:rsidRPr="00217EFC">
        <w:rPr>
          <w:sz w:val="22"/>
          <w:szCs w:val="22"/>
          <w:lang w:val="fr-CA"/>
        </w:rPr>
        <w:t xml:space="preserve">à l’avancement </w:t>
      </w:r>
      <w:r>
        <w:rPr>
          <w:sz w:val="22"/>
          <w:szCs w:val="22"/>
          <w:lang w:val="fr-CA"/>
        </w:rPr>
        <w:t xml:space="preserve">des États-Unis. D’ailleurs, elles prétendent qu’elles peuvent être </w:t>
      </w:r>
      <w:r w:rsidRPr="007621E9">
        <w:rPr>
          <w:sz w:val="22"/>
          <w:szCs w:val="22"/>
          <w:lang w:val="fr-CA"/>
        </w:rPr>
        <w:t>é</w:t>
      </w:r>
      <w:r>
        <w:rPr>
          <w:sz w:val="22"/>
          <w:szCs w:val="22"/>
          <w:lang w:val="fr-CA"/>
        </w:rPr>
        <w:t>galement patriotiques et même si elle s’exprime dans une langue autre que l’anglais</w:t>
      </w:r>
      <w:r w:rsidRPr="00217EFC">
        <w:rPr>
          <w:rStyle w:val="FootnoteReference"/>
          <w:sz w:val="22"/>
          <w:szCs w:val="22"/>
          <w:lang w:val="fr-CA"/>
        </w:rPr>
        <w:footnoteReference w:id="149"/>
      </w:r>
      <w:r>
        <w:rPr>
          <w:sz w:val="22"/>
          <w:szCs w:val="22"/>
          <w:lang w:val="fr-CA"/>
        </w:rPr>
        <w:t>.</w:t>
      </w:r>
    </w:p>
    <w:p w14:paraId="2EC465CF" w14:textId="77777777" w:rsidR="000264D6" w:rsidRPr="006B2958"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À cet égard, </w:t>
      </w:r>
      <w:r w:rsidRPr="00217EFC">
        <w:rPr>
          <w:i/>
          <w:iCs/>
          <w:sz w:val="22"/>
          <w:szCs w:val="22"/>
          <w:lang w:val="fr-CA"/>
        </w:rPr>
        <w:t>L’Avenir National</w:t>
      </w:r>
      <w:r w:rsidRPr="00217EFC">
        <w:rPr>
          <w:sz w:val="22"/>
          <w:szCs w:val="22"/>
          <w:lang w:val="fr-CA"/>
        </w:rPr>
        <w:t xml:space="preserve"> prend position en faveur de la France et de la </w:t>
      </w:r>
      <w:r>
        <w:rPr>
          <w:sz w:val="22"/>
          <w:szCs w:val="22"/>
          <w:lang w:val="fr-CA"/>
        </w:rPr>
        <w:t xml:space="preserve">Belgique. En principe le journal continue toujours à rapporter des informations germanophobes. </w:t>
      </w:r>
      <w:r w:rsidRPr="00217EFC">
        <w:rPr>
          <w:bCs/>
          <w:sz w:val="22"/>
          <w:szCs w:val="22"/>
          <w:lang w:val="fr-CA"/>
        </w:rPr>
        <w:t xml:space="preserve">Le </w:t>
      </w:r>
      <w:r>
        <w:rPr>
          <w:bCs/>
          <w:sz w:val="22"/>
          <w:szCs w:val="22"/>
          <w:lang w:val="fr-CA"/>
        </w:rPr>
        <w:t>8</w:t>
      </w:r>
      <w:r w:rsidRPr="00217EFC">
        <w:rPr>
          <w:bCs/>
          <w:sz w:val="22"/>
          <w:szCs w:val="22"/>
          <w:lang w:val="fr-CA"/>
        </w:rPr>
        <w:t xml:space="preserve"> novembre 1915, </w:t>
      </w:r>
      <w:r w:rsidRPr="00217EFC">
        <w:rPr>
          <w:bCs/>
          <w:i/>
          <w:iCs/>
          <w:sz w:val="22"/>
          <w:szCs w:val="22"/>
          <w:lang w:val="fr-CA"/>
        </w:rPr>
        <w:t>L’Avenir National</w:t>
      </w:r>
      <w:r w:rsidRPr="00217EFC">
        <w:rPr>
          <w:bCs/>
          <w:sz w:val="22"/>
          <w:szCs w:val="22"/>
          <w:lang w:val="fr-CA"/>
        </w:rPr>
        <w:t xml:space="preserve"> indique que 650 personnes sont massacrées par les troupes allemandes </w:t>
      </w:r>
      <w:r w:rsidRPr="00A70AEC">
        <w:rPr>
          <w:bCs/>
          <w:sz w:val="22"/>
          <w:szCs w:val="22"/>
          <w:lang w:val="fr-CA"/>
        </w:rPr>
        <w:t xml:space="preserve">et publie la liste des noms des personnes qui sont </w:t>
      </w:r>
      <w:r w:rsidRPr="007D2421">
        <w:rPr>
          <w:bCs/>
          <w:sz w:val="22"/>
          <w:szCs w:val="22"/>
          <w:lang w:val="fr-CA"/>
        </w:rPr>
        <w:t>assassinées</w:t>
      </w:r>
      <w:r w:rsidRPr="00A70AEC">
        <w:rPr>
          <w:bCs/>
          <w:sz w:val="22"/>
          <w:szCs w:val="22"/>
          <w:lang w:val="fr-CA"/>
        </w:rPr>
        <w:t xml:space="preserve"> par les Allemand</w:t>
      </w:r>
      <w:r>
        <w:rPr>
          <w:bCs/>
          <w:sz w:val="22"/>
          <w:szCs w:val="22"/>
          <w:lang w:val="fr-CA"/>
        </w:rPr>
        <w:t>s</w:t>
      </w:r>
      <w:r w:rsidRPr="00A70AEC">
        <w:rPr>
          <w:bCs/>
          <w:sz w:val="22"/>
          <w:szCs w:val="22"/>
          <w:lang w:val="fr-CA"/>
        </w:rPr>
        <w:t xml:space="preserve"> à Dinat</w:t>
      </w:r>
      <w:r w:rsidRPr="006B2958">
        <w:rPr>
          <w:rStyle w:val="FootnoteReference"/>
          <w:bCs/>
          <w:sz w:val="22"/>
          <w:szCs w:val="22"/>
          <w:lang w:val="fr-CA"/>
        </w:rPr>
        <w:footnoteReference w:id="150"/>
      </w:r>
      <w:r w:rsidRPr="006B2958">
        <w:rPr>
          <w:bCs/>
          <w:sz w:val="22"/>
          <w:szCs w:val="22"/>
          <w:lang w:val="fr-CA"/>
        </w:rPr>
        <w:t xml:space="preserve">. </w:t>
      </w:r>
      <w:r>
        <w:rPr>
          <w:bCs/>
          <w:sz w:val="22"/>
          <w:szCs w:val="22"/>
          <w:lang w:val="fr-CA"/>
        </w:rPr>
        <w:t xml:space="preserve">Le journal, </w:t>
      </w:r>
      <w:r w:rsidRPr="00217EFC">
        <w:rPr>
          <w:sz w:val="22"/>
          <w:szCs w:val="22"/>
          <w:lang w:val="fr-CA"/>
        </w:rPr>
        <w:t>rapporte les informations du Canada</w:t>
      </w:r>
      <w:r>
        <w:rPr>
          <w:sz w:val="22"/>
          <w:szCs w:val="22"/>
          <w:lang w:val="fr-CA"/>
        </w:rPr>
        <w:t xml:space="preserve"> qui sont pertinentes pour ses lecteurs. Par exemple, </w:t>
      </w:r>
      <w:r w:rsidRPr="00123563">
        <w:rPr>
          <w:i/>
          <w:iCs/>
          <w:sz w:val="22"/>
          <w:szCs w:val="22"/>
          <w:lang w:val="fr-CA"/>
        </w:rPr>
        <w:t>L’Ave</w:t>
      </w:r>
      <w:r>
        <w:rPr>
          <w:i/>
          <w:iCs/>
          <w:sz w:val="22"/>
          <w:szCs w:val="22"/>
          <w:lang w:val="fr-CA"/>
        </w:rPr>
        <w:t>n</w:t>
      </w:r>
      <w:r w:rsidRPr="00123563">
        <w:rPr>
          <w:i/>
          <w:iCs/>
          <w:sz w:val="22"/>
          <w:szCs w:val="22"/>
          <w:lang w:val="fr-CA"/>
        </w:rPr>
        <w:t>ir National</w:t>
      </w:r>
      <w:r>
        <w:rPr>
          <w:sz w:val="22"/>
          <w:szCs w:val="22"/>
          <w:lang w:val="fr-CA"/>
        </w:rPr>
        <w:t xml:space="preserve"> relate </w:t>
      </w:r>
      <w:r w:rsidRPr="00217EFC">
        <w:rPr>
          <w:sz w:val="22"/>
          <w:szCs w:val="22"/>
          <w:lang w:val="fr-CA"/>
        </w:rPr>
        <w:t>les propos de Mgr Bruchesi</w:t>
      </w:r>
      <w:r>
        <w:rPr>
          <w:sz w:val="22"/>
          <w:szCs w:val="22"/>
          <w:lang w:val="fr-CA"/>
        </w:rPr>
        <w:t xml:space="preserve">, </w:t>
      </w:r>
      <w:r w:rsidRPr="00217EFC">
        <w:rPr>
          <w:sz w:val="22"/>
          <w:szCs w:val="22"/>
          <w:lang w:val="fr-CA"/>
        </w:rPr>
        <w:t>archevêque de Montréal</w:t>
      </w:r>
      <w:r>
        <w:rPr>
          <w:sz w:val="22"/>
          <w:szCs w:val="22"/>
          <w:lang w:val="fr-CA"/>
        </w:rPr>
        <w:t>,</w:t>
      </w:r>
      <w:r w:rsidRPr="00217EFC">
        <w:rPr>
          <w:sz w:val="22"/>
          <w:szCs w:val="22"/>
          <w:lang w:val="fr-CA"/>
        </w:rPr>
        <w:t xml:space="preserve"> lors de son sermon célébrant sa dix-septième année d’épiscopat</w:t>
      </w:r>
      <w:r>
        <w:rPr>
          <w:sz w:val="22"/>
          <w:szCs w:val="22"/>
          <w:lang w:val="fr-CA"/>
        </w:rPr>
        <w:t xml:space="preserve"> alors qu’i</w:t>
      </w:r>
      <w:r w:rsidRPr="00217EFC">
        <w:rPr>
          <w:sz w:val="22"/>
          <w:szCs w:val="22"/>
          <w:lang w:val="fr-CA"/>
        </w:rPr>
        <w:t>l mentionne que la Grande-Bretagne «</w:t>
      </w:r>
      <w:r w:rsidR="00F5530C">
        <w:rPr>
          <w:sz w:val="22"/>
          <w:szCs w:val="22"/>
          <w:lang w:val="fr-CA"/>
        </w:rPr>
        <w:t> </w:t>
      </w:r>
      <w:r w:rsidRPr="00217EFC">
        <w:rPr>
          <w:sz w:val="22"/>
          <w:szCs w:val="22"/>
          <w:lang w:val="fr-CA"/>
        </w:rPr>
        <w:t>s’est montrée admirablement patiente</w:t>
      </w:r>
      <w:r w:rsidR="00F5530C">
        <w:rPr>
          <w:sz w:val="22"/>
          <w:szCs w:val="22"/>
          <w:lang w:val="fr-CA"/>
        </w:rPr>
        <w:t> </w:t>
      </w:r>
      <w:r w:rsidRPr="00217EFC">
        <w:rPr>
          <w:sz w:val="22"/>
          <w:szCs w:val="22"/>
          <w:lang w:val="fr-CA"/>
        </w:rPr>
        <w:t>»</w:t>
      </w:r>
      <w:r w:rsidRPr="00217EFC">
        <w:rPr>
          <w:rStyle w:val="FootnoteReference"/>
          <w:sz w:val="22"/>
          <w:szCs w:val="22"/>
          <w:lang w:val="fr-CA"/>
        </w:rPr>
        <w:footnoteReference w:id="151"/>
      </w:r>
      <w:r w:rsidRPr="00217EFC">
        <w:rPr>
          <w:sz w:val="22"/>
          <w:szCs w:val="22"/>
          <w:lang w:val="fr-CA"/>
        </w:rPr>
        <w:t xml:space="preserve"> et qu’elle n’a pas provoqué l’Allemagne. </w:t>
      </w:r>
      <w:r>
        <w:rPr>
          <w:sz w:val="22"/>
          <w:szCs w:val="22"/>
          <w:lang w:val="fr-CA"/>
        </w:rPr>
        <w:t>Il</w:t>
      </w:r>
      <w:r w:rsidRPr="00217EFC">
        <w:rPr>
          <w:sz w:val="22"/>
          <w:szCs w:val="22"/>
          <w:lang w:val="fr-CA"/>
        </w:rPr>
        <w:t xml:space="preserve"> manifeste s</w:t>
      </w:r>
      <w:r>
        <w:rPr>
          <w:sz w:val="22"/>
          <w:szCs w:val="22"/>
          <w:lang w:val="fr-CA"/>
        </w:rPr>
        <w:t xml:space="preserve">a </w:t>
      </w:r>
      <w:r w:rsidRPr="00217EFC">
        <w:rPr>
          <w:sz w:val="22"/>
          <w:szCs w:val="22"/>
          <w:lang w:val="fr-CA"/>
        </w:rPr>
        <w:t>loya</w:t>
      </w:r>
      <w:r>
        <w:rPr>
          <w:sz w:val="22"/>
          <w:szCs w:val="22"/>
          <w:lang w:val="fr-CA"/>
        </w:rPr>
        <w:t xml:space="preserve">uté envers </w:t>
      </w:r>
      <w:r w:rsidRPr="00217EFC">
        <w:rPr>
          <w:sz w:val="22"/>
          <w:szCs w:val="22"/>
          <w:lang w:val="fr-CA"/>
        </w:rPr>
        <w:t xml:space="preserve">la </w:t>
      </w:r>
      <w:r>
        <w:rPr>
          <w:sz w:val="22"/>
          <w:szCs w:val="22"/>
          <w:lang w:val="fr-CA"/>
        </w:rPr>
        <w:t xml:space="preserve">Grande-Bretagne et </w:t>
      </w:r>
      <w:r w:rsidRPr="00217EFC">
        <w:rPr>
          <w:sz w:val="22"/>
          <w:szCs w:val="22"/>
          <w:lang w:val="fr-CA"/>
        </w:rPr>
        <w:t xml:space="preserve">il incite ses ouailles à l’appuyer dans </w:t>
      </w:r>
      <w:r>
        <w:rPr>
          <w:sz w:val="22"/>
          <w:szCs w:val="22"/>
          <w:lang w:val="fr-CA"/>
        </w:rPr>
        <w:t xml:space="preserve">cette </w:t>
      </w:r>
      <w:r w:rsidRPr="00217EFC">
        <w:rPr>
          <w:sz w:val="22"/>
          <w:szCs w:val="22"/>
          <w:lang w:val="fr-CA"/>
        </w:rPr>
        <w:t>cause, car il croit que cette guerre est juste et que «</w:t>
      </w:r>
      <w:r w:rsidR="00F5530C">
        <w:rPr>
          <w:sz w:val="22"/>
          <w:szCs w:val="22"/>
          <w:lang w:val="fr-CA"/>
        </w:rPr>
        <w:t> </w:t>
      </w:r>
      <w:r w:rsidRPr="00217EFC">
        <w:rPr>
          <w:sz w:val="22"/>
          <w:szCs w:val="22"/>
          <w:lang w:val="fr-CA"/>
        </w:rPr>
        <w:t>nous nous battons pour un principe dont dépend la civilisation</w:t>
      </w:r>
      <w:r w:rsidR="00F5530C">
        <w:rPr>
          <w:sz w:val="22"/>
          <w:szCs w:val="22"/>
          <w:lang w:val="fr-CA"/>
        </w:rPr>
        <w:t> </w:t>
      </w:r>
      <w:r w:rsidRPr="00217EFC">
        <w:rPr>
          <w:sz w:val="22"/>
          <w:szCs w:val="22"/>
          <w:lang w:val="fr-CA"/>
        </w:rPr>
        <w:t>»</w:t>
      </w:r>
      <w:r w:rsidRPr="00217EFC">
        <w:rPr>
          <w:rStyle w:val="FootnoteReference"/>
          <w:sz w:val="22"/>
          <w:szCs w:val="22"/>
          <w:lang w:val="fr-CA"/>
        </w:rPr>
        <w:footnoteReference w:id="152"/>
      </w:r>
      <w:r w:rsidRPr="00217EFC">
        <w:rPr>
          <w:sz w:val="22"/>
          <w:szCs w:val="22"/>
          <w:lang w:val="fr-CA"/>
        </w:rPr>
        <w:t>. Il juge que la France et la Belgique sont injustement envahi</w:t>
      </w:r>
      <w:r>
        <w:rPr>
          <w:sz w:val="22"/>
          <w:szCs w:val="22"/>
          <w:lang w:val="fr-CA"/>
        </w:rPr>
        <w:t>es</w:t>
      </w:r>
      <w:r w:rsidRPr="00217EFC">
        <w:rPr>
          <w:sz w:val="22"/>
          <w:szCs w:val="22"/>
          <w:lang w:val="fr-CA"/>
        </w:rPr>
        <w:t xml:space="preserve"> par l’Allemagne. Donc, dès le début de la guerre, le haut clergé au Québec </w:t>
      </w:r>
      <w:r>
        <w:rPr>
          <w:sz w:val="22"/>
          <w:szCs w:val="22"/>
          <w:lang w:val="fr-CA"/>
        </w:rPr>
        <w:t>enjoint</w:t>
      </w:r>
      <w:r w:rsidRPr="00217EFC">
        <w:rPr>
          <w:sz w:val="22"/>
          <w:szCs w:val="22"/>
          <w:lang w:val="fr-CA"/>
        </w:rPr>
        <w:t xml:space="preserve"> </w:t>
      </w:r>
      <w:r w:rsidRPr="00D338C0">
        <w:rPr>
          <w:sz w:val="22"/>
          <w:lang w:val="fr-CA"/>
        </w:rPr>
        <w:t>la population</w:t>
      </w:r>
      <w:r w:rsidRPr="00217EFC">
        <w:rPr>
          <w:sz w:val="22"/>
          <w:szCs w:val="22"/>
          <w:lang w:val="fr-CA"/>
        </w:rPr>
        <w:t xml:space="preserve"> </w:t>
      </w:r>
      <w:r>
        <w:rPr>
          <w:sz w:val="22"/>
          <w:szCs w:val="22"/>
          <w:lang w:val="fr-CA"/>
        </w:rPr>
        <w:t>canadienne-française</w:t>
      </w:r>
      <w:r w:rsidRPr="00D338C0">
        <w:rPr>
          <w:sz w:val="22"/>
          <w:lang w:val="fr-CA"/>
        </w:rPr>
        <w:t xml:space="preserve"> à prendre parti dans le conflit pour la cause de l’Entente</w:t>
      </w:r>
      <w:r w:rsidRPr="00217EFC">
        <w:rPr>
          <w:sz w:val="22"/>
          <w:szCs w:val="22"/>
          <w:lang w:val="fr-CA"/>
        </w:rPr>
        <w:t xml:space="preserve">. </w:t>
      </w:r>
      <w:r w:rsidRPr="006B2958">
        <w:rPr>
          <w:sz w:val="22"/>
          <w:szCs w:val="22"/>
          <w:lang w:val="fr-CA"/>
        </w:rPr>
        <w:t xml:space="preserve">D’ailleurs, dans un article de </w:t>
      </w:r>
      <w:r w:rsidRPr="006B2958">
        <w:rPr>
          <w:i/>
          <w:iCs/>
          <w:sz w:val="22"/>
          <w:szCs w:val="22"/>
          <w:lang w:val="fr-CA"/>
        </w:rPr>
        <w:t>L’Avenir National</w:t>
      </w:r>
      <w:r w:rsidRPr="006B2958">
        <w:rPr>
          <w:sz w:val="22"/>
          <w:szCs w:val="22"/>
          <w:lang w:val="fr-CA"/>
        </w:rPr>
        <w:t xml:space="preserve"> d’avril 1915, l’épiscopat </w:t>
      </w:r>
      <w:r>
        <w:rPr>
          <w:sz w:val="22"/>
          <w:szCs w:val="22"/>
          <w:lang w:val="fr-CA"/>
        </w:rPr>
        <w:t xml:space="preserve">canadien-français </w:t>
      </w:r>
      <w:r w:rsidRPr="006B2958">
        <w:rPr>
          <w:sz w:val="22"/>
          <w:szCs w:val="22"/>
          <w:lang w:val="fr-CA"/>
        </w:rPr>
        <w:t>croit que la guerre affectera bientôt les États-Unis et il se prononce en faveur pour</w:t>
      </w:r>
      <w:r>
        <w:rPr>
          <w:sz w:val="22"/>
          <w:szCs w:val="22"/>
          <w:lang w:val="fr-CA"/>
        </w:rPr>
        <w:t xml:space="preserve"> </w:t>
      </w:r>
      <w:r w:rsidRPr="006B2958">
        <w:rPr>
          <w:sz w:val="22"/>
          <w:szCs w:val="22"/>
          <w:lang w:val="fr-CA"/>
        </w:rPr>
        <w:t>l’Entente</w:t>
      </w:r>
      <w:r w:rsidRPr="006B2958">
        <w:rPr>
          <w:rStyle w:val="FootnoteReference"/>
          <w:sz w:val="22"/>
          <w:szCs w:val="22"/>
          <w:lang w:val="fr-CA"/>
        </w:rPr>
        <w:footnoteReference w:id="153"/>
      </w:r>
      <w:r w:rsidRPr="006B2958">
        <w:rPr>
          <w:sz w:val="22"/>
          <w:szCs w:val="22"/>
          <w:lang w:val="fr-CA"/>
        </w:rPr>
        <w:t>.</w:t>
      </w:r>
      <w:r>
        <w:rPr>
          <w:sz w:val="22"/>
          <w:szCs w:val="22"/>
          <w:lang w:val="fr-CA"/>
        </w:rPr>
        <w:t xml:space="preserve"> </w:t>
      </w:r>
      <w:r w:rsidRPr="00217EFC">
        <w:rPr>
          <w:sz w:val="22"/>
          <w:szCs w:val="22"/>
          <w:lang w:val="fr-CA"/>
        </w:rPr>
        <w:t xml:space="preserve">Il est important de souligner que </w:t>
      </w:r>
      <w:r>
        <w:rPr>
          <w:sz w:val="22"/>
          <w:szCs w:val="22"/>
          <w:lang w:val="fr-CA"/>
        </w:rPr>
        <w:t xml:space="preserve">le clergé canadien-français </w:t>
      </w:r>
      <w:r w:rsidRPr="00217EFC">
        <w:rPr>
          <w:sz w:val="22"/>
          <w:szCs w:val="22"/>
          <w:lang w:val="fr-CA"/>
        </w:rPr>
        <w:t>exerce une très grande influence sur les populations qui résident à l’extérieur du Québec, car l</w:t>
      </w:r>
      <w:r>
        <w:rPr>
          <w:sz w:val="22"/>
          <w:szCs w:val="22"/>
          <w:lang w:val="fr-CA"/>
        </w:rPr>
        <w:t xml:space="preserve">eur présence </w:t>
      </w:r>
      <w:r w:rsidRPr="00217EFC">
        <w:rPr>
          <w:sz w:val="22"/>
          <w:szCs w:val="22"/>
          <w:lang w:val="fr-CA"/>
        </w:rPr>
        <w:t>hors Canada est de nature plutôt</w:t>
      </w:r>
      <w:r>
        <w:rPr>
          <w:sz w:val="22"/>
          <w:szCs w:val="22"/>
          <w:lang w:val="fr-CA"/>
        </w:rPr>
        <w:t xml:space="preserve"> transitoire et temporaire.</w:t>
      </w:r>
      <w:r w:rsidRPr="00217EFC">
        <w:rPr>
          <w:bCs/>
          <w:sz w:val="22"/>
          <w:szCs w:val="22"/>
          <w:lang w:val="fr-CA"/>
        </w:rPr>
        <w:t xml:space="preserve"> </w:t>
      </w:r>
    </w:p>
    <w:p w14:paraId="3F828420" w14:textId="77777777" w:rsidR="000264D6" w:rsidRPr="00217EFC"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Malgré ces </w:t>
      </w:r>
      <w:r>
        <w:rPr>
          <w:rFonts w:eastAsia="Calibri"/>
          <w:sz w:val="22"/>
          <w:szCs w:val="22"/>
          <w:lang w:val="fr-CA" w:eastAsia="en-US"/>
        </w:rPr>
        <w:t>tensions</w:t>
      </w:r>
      <w:r w:rsidRPr="00217EFC">
        <w:rPr>
          <w:rFonts w:eastAsia="Calibri"/>
          <w:sz w:val="22"/>
          <w:szCs w:val="22"/>
          <w:lang w:val="fr-CA" w:eastAsia="en-US"/>
        </w:rPr>
        <w:t>, tou</w:t>
      </w:r>
      <w:r>
        <w:rPr>
          <w:rFonts w:eastAsia="Calibri"/>
          <w:sz w:val="22"/>
          <w:szCs w:val="22"/>
          <w:lang w:val="fr-CA" w:eastAsia="en-US"/>
        </w:rPr>
        <w:t xml:space="preserve">t le monde </w:t>
      </w:r>
      <w:r w:rsidRPr="00217EFC">
        <w:rPr>
          <w:rFonts w:eastAsia="Calibri"/>
          <w:sz w:val="22"/>
          <w:szCs w:val="22"/>
          <w:lang w:val="fr-CA" w:eastAsia="en-US"/>
        </w:rPr>
        <w:t>croyait que le conflit serait d</w:t>
      </w:r>
      <w:r>
        <w:rPr>
          <w:rFonts w:eastAsia="Calibri"/>
          <w:sz w:val="22"/>
          <w:szCs w:val="22"/>
          <w:lang w:val="fr-CA" w:eastAsia="en-US"/>
        </w:rPr>
        <w:t>e</w:t>
      </w:r>
      <w:r w:rsidRPr="00217EFC">
        <w:rPr>
          <w:rFonts w:eastAsia="Calibri"/>
          <w:sz w:val="22"/>
          <w:szCs w:val="22"/>
          <w:lang w:val="fr-CA" w:eastAsia="en-US"/>
        </w:rPr>
        <w:t xml:space="preserve"> courte durée</w:t>
      </w:r>
      <w:bookmarkStart w:id="6" w:name="_Hlk21858843"/>
      <w:r w:rsidRPr="00217EFC">
        <w:rPr>
          <w:rStyle w:val="FootnoteReference"/>
          <w:rFonts w:eastAsia="Calibri"/>
          <w:sz w:val="22"/>
          <w:szCs w:val="22"/>
          <w:lang w:val="fr-CA" w:eastAsia="en-US"/>
        </w:rPr>
        <w:footnoteReference w:id="154"/>
      </w:r>
      <w:bookmarkEnd w:id="6"/>
      <w:r w:rsidRPr="00217EFC">
        <w:rPr>
          <w:rFonts w:eastAsia="Calibri"/>
          <w:sz w:val="22"/>
          <w:szCs w:val="22"/>
          <w:lang w:val="fr-CA" w:eastAsia="en-US"/>
        </w:rPr>
        <w:t>. Ainsi, la vie politique américaine continue son cour</w:t>
      </w:r>
      <w:r>
        <w:rPr>
          <w:rFonts w:eastAsia="Calibri"/>
          <w:sz w:val="22"/>
          <w:szCs w:val="22"/>
          <w:lang w:val="fr-CA" w:eastAsia="en-US"/>
        </w:rPr>
        <w:t>s</w:t>
      </w:r>
      <w:r w:rsidRPr="00217EFC">
        <w:rPr>
          <w:rFonts w:eastAsia="Calibri"/>
          <w:sz w:val="22"/>
          <w:szCs w:val="22"/>
          <w:lang w:val="fr-CA" w:eastAsia="en-US"/>
        </w:rPr>
        <w:t xml:space="preserve"> jusqu</w:t>
      </w:r>
      <w:r w:rsidR="00F5530C">
        <w:rPr>
          <w:rFonts w:eastAsia="Calibri"/>
          <w:sz w:val="22"/>
          <w:szCs w:val="22"/>
          <w:lang w:val="fr-CA" w:eastAsia="en-US"/>
        </w:rPr>
        <w:t>’</w:t>
      </w:r>
      <w:r w:rsidRPr="00217EFC">
        <w:rPr>
          <w:rFonts w:eastAsia="Calibri"/>
          <w:sz w:val="22"/>
          <w:szCs w:val="22"/>
          <w:lang w:val="fr-CA" w:eastAsia="en-US"/>
        </w:rPr>
        <w:t xml:space="preserve">au 4 novembre 1914, lorsque la </w:t>
      </w:r>
      <w:r w:rsidRPr="00217EFC">
        <w:rPr>
          <w:rFonts w:eastAsia="Calibri"/>
          <w:i/>
          <w:sz w:val="22"/>
          <w:szCs w:val="22"/>
          <w:lang w:val="fr-CA" w:eastAsia="en-US"/>
        </w:rPr>
        <w:t>Royal Navy</w:t>
      </w:r>
      <w:r w:rsidRPr="00217EFC">
        <w:rPr>
          <w:rFonts w:eastAsia="Calibri"/>
          <w:sz w:val="22"/>
          <w:szCs w:val="22"/>
          <w:lang w:val="fr-CA" w:eastAsia="en-US"/>
        </w:rPr>
        <w:t xml:space="preserve"> impose le blocus naval </w:t>
      </w:r>
      <w:r>
        <w:rPr>
          <w:rFonts w:eastAsia="Calibri"/>
          <w:sz w:val="22"/>
          <w:szCs w:val="22"/>
          <w:lang w:val="fr-CA" w:eastAsia="en-US"/>
        </w:rPr>
        <w:t>à</w:t>
      </w:r>
      <w:r w:rsidRPr="00217EFC">
        <w:rPr>
          <w:rFonts w:eastAsia="Calibri"/>
          <w:sz w:val="22"/>
          <w:szCs w:val="22"/>
          <w:lang w:val="fr-CA" w:eastAsia="en-US"/>
        </w:rPr>
        <w:t xml:space="preserve"> l’Allemagne en déclarant la mer du Nord une «</w:t>
      </w:r>
      <w:r w:rsidR="00F5530C">
        <w:rPr>
          <w:rFonts w:eastAsia="Calibri"/>
          <w:sz w:val="22"/>
          <w:szCs w:val="22"/>
          <w:lang w:val="fr-CA" w:eastAsia="en-US"/>
        </w:rPr>
        <w:t> </w:t>
      </w:r>
      <w:r w:rsidRPr="00217EFC">
        <w:rPr>
          <w:rFonts w:eastAsia="Calibri"/>
          <w:sz w:val="22"/>
          <w:szCs w:val="22"/>
          <w:lang w:val="fr-CA" w:eastAsia="en-US"/>
        </w:rPr>
        <w:t>zone de guerre</w:t>
      </w:r>
      <w:r w:rsidR="00F5530C">
        <w:rPr>
          <w:rFonts w:eastAsia="Calibri"/>
          <w:sz w:val="22"/>
          <w:szCs w:val="22"/>
          <w:lang w:val="fr-CA" w:eastAsia="en-US"/>
        </w:rPr>
        <w:t> </w:t>
      </w:r>
      <w:r w:rsidRPr="00217EFC">
        <w:rPr>
          <w:rFonts w:eastAsia="Calibri"/>
          <w:sz w:val="22"/>
          <w:szCs w:val="22"/>
          <w:lang w:val="fr-CA" w:eastAsia="en-US"/>
        </w:rPr>
        <w:t>». Certes, ce blocus incommode les commerçants américains, qui entretiennent des liens commerciaux et financiers avec les deux camps belligérants</w:t>
      </w:r>
      <w:r w:rsidRPr="00217EFC">
        <w:rPr>
          <w:rStyle w:val="FootnoteReference"/>
          <w:rFonts w:eastAsia="Calibri"/>
          <w:sz w:val="22"/>
          <w:szCs w:val="22"/>
          <w:lang w:val="fr-CA" w:eastAsia="en-US"/>
        </w:rPr>
        <w:footnoteReference w:id="155"/>
      </w:r>
      <w:r w:rsidRPr="00217EFC">
        <w:rPr>
          <w:rFonts w:eastAsia="Calibri"/>
          <w:sz w:val="22"/>
          <w:szCs w:val="22"/>
          <w:lang w:val="fr-CA" w:eastAsia="en-US"/>
        </w:rPr>
        <w:t>.</w:t>
      </w:r>
      <w:r>
        <w:rPr>
          <w:rFonts w:eastAsia="Calibri"/>
          <w:sz w:val="22"/>
          <w:szCs w:val="22"/>
          <w:lang w:val="fr-CA" w:eastAsia="en-US"/>
        </w:rPr>
        <w:t xml:space="preserve"> Toutefois, l</w:t>
      </w:r>
      <w:r w:rsidRPr="00217EFC">
        <w:rPr>
          <w:rFonts w:eastAsia="Calibri"/>
          <w:sz w:val="22"/>
          <w:szCs w:val="22"/>
          <w:lang w:val="fr-CA" w:eastAsia="en-US"/>
        </w:rPr>
        <w:t xml:space="preserve">a réponse américaine à l’annonce du blocus britannique </w:t>
      </w:r>
      <w:r>
        <w:rPr>
          <w:rFonts w:eastAsia="Calibri"/>
          <w:sz w:val="22"/>
          <w:szCs w:val="22"/>
          <w:lang w:val="fr-CA" w:eastAsia="en-US"/>
        </w:rPr>
        <w:t xml:space="preserve">déclinera selon les aspects </w:t>
      </w:r>
      <w:r w:rsidRPr="00217EFC">
        <w:rPr>
          <w:rFonts w:eastAsia="Calibri"/>
          <w:sz w:val="22"/>
          <w:szCs w:val="22"/>
          <w:lang w:val="fr-CA" w:eastAsia="en-US"/>
        </w:rPr>
        <w:t>suivants : les États-Unis demeureraient neutres et ils reconnaissaient le droit des Britanniques de procéder avec l’arraisonnement des bâtiments battant pavillon neutre dans la zone de guerre</w:t>
      </w:r>
      <w:r w:rsidRPr="00217EFC">
        <w:rPr>
          <w:rStyle w:val="FootnoteReference"/>
          <w:rFonts w:eastAsia="Calibri"/>
          <w:sz w:val="22"/>
          <w:szCs w:val="22"/>
          <w:lang w:val="fr-CA" w:eastAsia="en-US"/>
        </w:rPr>
        <w:footnoteReference w:id="156"/>
      </w:r>
      <w:r w:rsidRPr="00217EFC">
        <w:rPr>
          <w:rFonts w:eastAsia="Calibri"/>
          <w:sz w:val="22"/>
          <w:szCs w:val="22"/>
          <w:lang w:val="fr-CA" w:eastAsia="en-US"/>
        </w:rPr>
        <w:t xml:space="preserve">. </w:t>
      </w:r>
      <w:r>
        <w:rPr>
          <w:rFonts w:eastAsia="Calibri"/>
          <w:sz w:val="22"/>
          <w:szCs w:val="22"/>
          <w:lang w:val="fr-CA" w:eastAsia="en-US"/>
        </w:rPr>
        <w:t xml:space="preserve">Or, </w:t>
      </w:r>
      <w:r w:rsidRPr="00217EFC">
        <w:rPr>
          <w:rFonts w:eastAsia="Calibri"/>
          <w:sz w:val="22"/>
          <w:szCs w:val="22"/>
          <w:lang w:val="fr-CA" w:eastAsia="en-US"/>
        </w:rPr>
        <w:t>le 4 février 1915, «</w:t>
      </w:r>
      <w:r w:rsidR="00F5530C">
        <w:rPr>
          <w:rFonts w:eastAsia="Calibri"/>
          <w:sz w:val="22"/>
          <w:szCs w:val="22"/>
          <w:lang w:val="fr-CA" w:eastAsia="en-US"/>
        </w:rPr>
        <w:t> </w:t>
      </w:r>
      <w:r w:rsidRPr="00217EFC">
        <w:rPr>
          <w:rFonts w:eastAsia="Calibri"/>
          <w:sz w:val="22"/>
          <w:szCs w:val="22"/>
          <w:lang w:val="fr-CA" w:eastAsia="en-US"/>
        </w:rPr>
        <w:t xml:space="preserve">les Allemands déclarèrent </w:t>
      </w:r>
      <w:r w:rsidR="00F5530C">
        <w:rPr>
          <w:rFonts w:eastAsia="Calibri"/>
          <w:sz w:val="22"/>
          <w:szCs w:val="22"/>
          <w:lang w:val="fr-CA" w:eastAsia="en-US"/>
        </w:rPr>
        <w:t>“</w:t>
      </w:r>
      <w:r w:rsidRPr="00217EFC">
        <w:rPr>
          <w:rFonts w:eastAsia="Calibri"/>
          <w:sz w:val="22"/>
          <w:szCs w:val="22"/>
          <w:lang w:val="fr-CA" w:eastAsia="en-US"/>
        </w:rPr>
        <w:t>zone de guerre</w:t>
      </w:r>
      <w:r w:rsidR="00F5530C">
        <w:rPr>
          <w:rFonts w:eastAsia="Calibri"/>
          <w:sz w:val="22"/>
          <w:szCs w:val="22"/>
          <w:lang w:val="fr-CA" w:eastAsia="en-US"/>
        </w:rPr>
        <w:t>”</w:t>
      </w:r>
      <w:r w:rsidRPr="00217EFC">
        <w:rPr>
          <w:rFonts w:eastAsia="Calibri"/>
          <w:sz w:val="22"/>
          <w:szCs w:val="22"/>
          <w:lang w:val="fr-CA" w:eastAsia="en-US"/>
        </w:rPr>
        <w:t xml:space="preserve"> tout le pourtour des </w:t>
      </w:r>
      <w:r w:rsidR="00F5530C">
        <w:rPr>
          <w:rFonts w:eastAsia="Calibri"/>
          <w:sz w:val="22"/>
          <w:szCs w:val="22"/>
          <w:lang w:val="fr-CA" w:eastAsia="en-US"/>
        </w:rPr>
        <w:t>î</w:t>
      </w:r>
      <w:r w:rsidRPr="00217EFC">
        <w:rPr>
          <w:rFonts w:eastAsia="Calibri"/>
          <w:sz w:val="22"/>
          <w:szCs w:val="22"/>
          <w:lang w:val="fr-CA" w:eastAsia="en-US"/>
        </w:rPr>
        <w:t>les Britanniques</w:t>
      </w:r>
      <w:r w:rsidR="00F5530C">
        <w:rPr>
          <w:rFonts w:eastAsia="Calibri"/>
          <w:sz w:val="22"/>
          <w:szCs w:val="22"/>
          <w:lang w:val="fr-CA" w:eastAsia="en-US"/>
        </w:rPr>
        <w:t> </w:t>
      </w:r>
      <w:r w:rsidRPr="00217EFC">
        <w:rPr>
          <w:rFonts w:eastAsia="Calibri"/>
          <w:sz w:val="22"/>
          <w:szCs w:val="22"/>
          <w:lang w:val="fr-CA" w:eastAsia="en-US"/>
        </w:rPr>
        <w:t>»</w:t>
      </w:r>
      <w:r w:rsidRPr="00217EFC">
        <w:rPr>
          <w:rStyle w:val="FootnoteReference"/>
          <w:rFonts w:eastAsia="Calibri"/>
          <w:sz w:val="22"/>
          <w:szCs w:val="22"/>
          <w:lang w:val="fr-CA" w:eastAsia="en-US"/>
        </w:rPr>
        <w:footnoteReference w:id="157"/>
      </w:r>
      <w:r w:rsidRPr="00217EFC">
        <w:rPr>
          <w:rFonts w:eastAsia="Calibri"/>
          <w:sz w:val="22"/>
          <w:szCs w:val="22"/>
          <w:lang w:val="fr-CA" w:eastAsia="en-US"/>
        </w:rPr>
        <w:t xml:space="preserve">. Puis, l’Allemagne commence une campagne de guerre sous-marine </w:t>
      </w:r>
      <w:r>
        <w:rPr>
          <w:rFonts w:eastAsia="Calibri"/>
          <w:sz w:val="22"/>
          <w:szCs w:val="22"/>
          <w:lang w:val="fr-CA" w:eastAsia="en-US"/>
        </w:rPr>
        <w:t xml:space="preserve">illimitée </w:t>
      </w:r>
      <w:r w:rsidRPr="00217EFC">
        <w:rPr>
          <w:rFonts w:eastAsia="Calibri"/>
          <w:sz w:val="22"/>
          <w:szCs w:val="22"/>
          <w:lang w:val="fr-CA" w:eastAsia="en-US"/>
        </w:rPr>
        <w:t xml:space="preserve">visant à la fois les navires des pays de l’Entente et les navires des pays neutres. De plus, </w:t>
      </w:r>
      <w:r>
        <w:rPr>
          <w:rFonts w:eastAsia="Calibri"/>
          <w:sz w:val="22"/>
          <w:szCs w:val="22"/>
          <w:lang w:val="fr-CA" w:eastAsia="en-US"/>
        </w:rPr>
        <w:t>l’Allemagne</w:t>
      </w:r>
      <w:r w:rsidRPr="00217EFC">
        <w:rPr>
          <w:rFonts w:eastAsia="Calibri"/>
          <w:sz w:val="22"/>
          <w:szCs w:val="22"/>
          <w:lang w:val="fr-CA" w:eastAsia="en-US"/>
        </w:rPr>
        <w:t xml:space="preserve"> avise les </w:t>
      </w:r>
      <w:r>
        <w:rPr>
          <w:rFonts w:eastAsia="Calibri"/>
          <w:sz w:val="22"/>
          <w:szCs w:val="22"/>
          <w:lang w:val="fr-CA" w:eastAsia="en-US"/>
        </w:rPr>
        <w:t xml:space="preserve">différents </w:t>
      </w:r>
      <w:r w:rsidRPr="00217EFC">
        <w:rPr>
          <w:rFonts w:eastAsia="Calibri"/>
          <w:sz w:val="22"/>
          <w:szCs w:val="22"/>
          <w:lang w:val="fr-CA" w:eastAsia="en-US"/>
        </w:rPr>
        <w:t xml:space="preserve">plénipotentiaires qu’elle </w:t>
      </w:r>
      <w:r>
        <w:rPr>
          <w:rFonts w:eastAsia="Calibri"/>
          <w:sz w:val="22"/>
          <w:szCs w:val="22"/>
          <w:lang w:val="fr-CA" w:eastAsia="en-US"/>
        </w:rPr>
        <w:t xml:space="preserve">mettrait un terme </w:t>
      </w:r>
      <w:r>
        <w:rPr>
          <w:rFonts w:eastAsia="Calibri"/>
          <w:sz w:val="22"/>
          <w:szCs w:val="22"/>
          <w:lang w:val="fr-CA" w:eastAsia="en-US"/>
        </w:rPr>
        <w:lastRenderedPageBreak/>
        <w:t xml:space="preserve">à sa </w:t>
      </w:r>
      <w:r w:rsidRPr="00217EFC">
        <w:rPr>
          <w:rFonts w:eastAsia="Calibri"/>
          <w:sz w:val="22"/>
          <w:szCs w:val="22"/>
          <w:lang w:val="fr-CA" w:eastAsia="en-US"/>
        </w:rPr>
        <w:t>guerre sous-marine si la Grande-Bretagne met</w:t>
      </w:r>
      <w:r>
        <w:rPr>
          <w:rFonts w:eastAsia="Calibri"/>
          <w:sz w:val="22"/>
          <w:szCs w:val="22"/>
          <w:lang w:val="fr-CA" w:eastAsia="en-US"/>
        </w:rPr>
        <w:t xml:space="preserve"> </w:t>
      </w:r>
      <w:r w:rsidRPr="00217EFC">
        <w:rPr>
          <w:rFonts w:eastAsia="Calibri"/>
          <w:sz w:val="22"/>
          <w:szCs w:val="22"/>
          <w:lang w:val="fr-CA" w:eastAsia="en-US"/>
        </w:rPr>
        <w:t xml:space="preserve">fin au blocus </w:t>
      </w:r>
      <w:r>
        <w:rPr>
          <w:rFonts w:eastAsia="Calibri"/>
          <w:sz w:val="22"/>
          <w:szCs w:val="22"/>
          <w:lang w:val="fr-CA" w:eastAsia="en-US"/>
        </w:rPr>
        <w:t>en</w:t>
      </w:r>
      <w:r w:rsidRPr="00217EFC">
        <w:rPr>
          <w:rFonts w:eastAsia="Calibri"/>
          <w:sz w:val="22"/>
          <w:szCs w:val="22"/>
          <w:lang w:val="fr-CA" w:eastAsia="en-US"/>
        </w:rPr>
        <w:t xml:space="preserve"> mer du Nord. Pour les gouvernements britannique et américain, cette demande est inacceptable, car on juge que les blocus sont légaux et conformes à la tradition de la guerre</w:t>
      </w:r>
      <w:r>
        <w:rPr>
          <w:rFonts w:eastAsia="Calibri"/>
          <w:sz w:val="22"/>
          <w:szCs w:val="22"/>
          <w:lang w:val="fr-CA" w:eastAsia="en-US"/>
        </w:rPr>
        <w:t>, alors que selon eux</w:t>
      </w:r>
      <w:r w:rsidRPr="00217EFC">
        <w:rPr>
          <w:rFonts w:eastAsia="Calibri"/>
          <w:sz w:val="22"/>
          <w:szCs w:val="22"/>
          <w:lang w:val="fr-CA" w:eastAsia="en-US"/>
        </w:rPr>
        <w:t xml:space="preserve">, la guerre sous-marine est sournoise et les </w:t>
      </w:r>
      <w:r>
        <w:rPr>
          <w:rFonts w:eastAsia="Calibri"/>
          <w:sz w:val="22"/>
          <w:szCs w:val="22"/>
          <w:lang w:val="fr-CA" w:eastAsia="en-US"/>
        </w:rPr>
        <w:t xml:space="preserve">juristes </w:t>
      </w:r>
      <w:r w:rsidRPr="00217EFC">
        <w:rPr>
          <w:rFonts w:eastAsia="Calibri"/>
          <w:sz w:val="22"/>
          <w:szCs w:val="22"/>
          <w:lang w:val="fr-CA" w:eastAsia="en-US"/>
        </w:rPr>
        <w:t>anglais et américains la qualifient d’illégale et de non civilisée.</w:t>
      </w:r>
    </w:p>
    <w:p w14:paraId="0D1395DF" w14:textId="77777777" w:rsidR="000264D6" w:rsidRPr="00053839" w:rsidRDefault="000264D6" w:rsidP="002B5319">
      <w:pPr>
        <w:spacing w:before="100" w:beforeAutospacing="1" w:after="100" w:afterAutospacing="1"/>
        <w:ind w:firstLine="720"/>
        <w:jc w:val="both"/>
        <w:rPr>
          <w:sz w:val="22"/>
          <w:szCs w:val="22"/>
          <w:lang w:val="fr-CA"/>
        </w:rPr>
      </w:pPr>
      <w:r w:rsidRPr="00217EFC">
        <w:rPr>
          <w:sz w:val="22"/>
          <w:szCs w:val="22"/>
          <w:lang w:val="fr-CA"/>
        </w:rPr>
        <w:t>Pendant cette période, nous constat</w:t>
      </w:r>
      <w:r>
        <w:rPr>
          <w:sz w:val="22"/>
          <w:szCs w:val="22"/>
          <w:lang w:val="fr-CA"/>
        </w:rPr>
        <w:t>ons</w:t>
      </w:r>
      <w:r w:rsidRPr="00217EFC">
        <w:rPr>
          <w:sz w:val="22"/>
          <w:szCs w:val="22"/>
          <w:lang w:val="fr-CA"/>
        </w:rPr>
        <w:t xml:space="preserve">, dans </w:t>
      </w:r>
      <w:r w:rsidRPr="00217EFC">
        <w:rPr>
          <w:i/>
          <w:iCs/>
          <w:sz w:val="22"/>
          <w:szCs w:val="22"/>
          <w:lang w:val="fr-CA"/>
        </w:rPr>
        <w:t>L’Avenir National</w:t>
      </w:r>
      <w:r w:rsidRPr="00217EFC">
        <w:rPr>
          <w:sz w:val="22"/>
          <w:szCs w:val="22"/>
          <w:lang w:val="fr-CA"/>
        </w:rPr>
        <w:t xml:space="preserve">, </w:t>
      </w:r>
      <w:r>
        <w:rPr>
          <w:sz w:val="22"/>
          <w:szCs w:val="22"/>
          <w:lang w:val="fr-CA"/>
        </w:rPr>
        <w:t xml:space="preserve">que </w:t>
      </w:r>
      <w:r w:rsidRPr="00217EFC">
        <w:rPr>
          <w:sz w:val="22"/>
          <w:szCs w:val="22"/>
          <w:lang w:val="fr-CA"/>
        </w:rPr>
        <w:t>les sentiments à l’égard de la population allemande</w:t>
      </w:r>
      <w:r>
        <w:rPr>
          <w:sz w:val="22"/>
          <w:szCs w:val="22"/>
          <w:lang w:val="fr-CA"/>
        </w:rPr>
        <w:t xml:space="preserve"> restent fort acerbes</w:t>
      </w:r>
      <w:r w:rsidRPr="00217EFC">
        <w:rPr>
          <w:sz w:val="22"/>
          <w:szCs w:val="22"/>
          <w:lang w:val="fr-CA"/>
        </w:rPr>
        <w:t>. La population</w:t>
      </w:r>
      <w:r>
        <w:rPr>
          <w:sz w:val="22"/>
          <w:szCs w:val="22"/>
          <w:lang w:val="fr-CA"/>
        </w:rPr>
        <w:t xml:space="preserve"> américaine </w:t>
      </w:r>
      <w:r w:rsidRPr="00217EFC">
        <w:rPr>
          <w:sz w:val="22"/>
          <w:szCs w:val="22"/>
          <w:lang w:val="fr-CA"/>
        </w:rPr>
        <w:t xml:space="preserve">via l’intermédiaire de la presse écrite, demande que les États-Unis jouent un rôle à la mesure de </w:t>
      </w:r>
      <w:r>
        <w:rPr>
          <w:sz w:val="22"/>
          <w:szCs w:val="22"/>
          <w:lang w:val="fr-CA"/>
        </w:rPr>
        <w:t xml:space="preserve">leur </w:t>
      </w:r>
      <w:r w:rsidRPr="00217EFC">
        <w:rPr>
          <w:sz w:val="22"/>
          <w:szCs w:val="22"/>
          <w:lang w:val="fr-CA"/>
        </w:rPr>
        <w:t>potentiel</w:t>
      </w:r>
      <w:r>
        <w:rPr>
          <w:sz w:val="22"/>
          <w:szCs w:val="22"/>
          <w:lang w:val="fr-CA"/>
        </w:rPr>
        <w:t>, s</w:t>
      </w:r>
      <w:r w:rsidRPr="00217EFC">
        <w:rPr>
          <w:sz w:val="22"/>
          <w:szCs w:val="22"/>
          <w:lang w:val="fr-CA"/>
        </w:rPr>
        <w:t xml:space="preserve">urtout lors de questionnements </w:t>
      </w:r>
      <w:r>
        <w:rPr>
          <w:sz w:val="22"/>
          <w:szCs w:val="22"/>
          <w:lang w:val="fr-CA"/>
        </w:rPr>
        <w:t xml:space="preserve">concernant </w:t>
      </w:r>
      <w:r w:rsidRPr="00217EFC">
        <w:rPr>
          <w:sz w:val="22"/>
          <w:szCs w:val="22"/>
          <w:lang w:val="fr-CA"/>
        </w:rPr>
        <w:t xml:space="preserve">des enjeux capitaux </w:t>
      </w:r>
      <w:r>
        <w:rPr>
          <w:sz w:val="22"/>
          <w:szCs w:val="22"/>
          <w:lang w:val="fr-CA"/>
        </w:rPr>
        <w:t xml:space="preserve">sur </w:t>
      </w:r>
      <w:r w:rsidRPr="00217EFC">
        <w:rPr>
          <w:sz w:val="22"/>
          <w:szCs w:val="22"/>
          <w:lang w:val="fr-CA"/>
        </w:rPr>
        <w:t xml:space="preserve">la scène internationale, car les États-Unis sont la plus puissante des </w:t>
      </w:r>
      <w:r>
        <w:rPr>
          <w:sz w:val="22"/>
          <w:szCs w:val="22"/>
          <w:lang w:val="fr-CA"/>
        </w:rPr>
        <w:t>n</w:t>
      </w:r>
      <w:r w:rsidRPr="00217EFC">
        <w:rPr>
          <w:sz w:val="22"/>
          <w:szCs w:val="22"/>
          <w:lang w:val="fr-CA"/>
        </w:rPr>
        <w:t>ations neutres. L</w:t>
      </w:r>
      <w:r>
        <w:rPr>
          <w:sz w:val="22"/>
          <w:szCs w:val="22"/>
          <w:lang w:val="fr-CA"/>
        </w:rPr>
        <w:t xml:space="preserve">a presse américaine </w:t>
      </w:r>
      <w:r w:rsidRPr="00217EFC">
        <w:rPr>
          <w:sz w:val="22"/>
          <w:szCs w:val="22"/>
          <w:lang w:val="fr-CA"/>
        </w:rPr>
        <w:t>dénonce</w:t>
      </w:r>
      <w:r>
        <w:rPr>
          <w:sz w:val="22"/>
          <w:szCs w:val="22"/>
          <w:lang w:val="fr-CA"/>
        </w:rPr>
        <w:t xml:space="preserve">, </w:t>
      </w:r>
      <w:r w:rsidRPr="00421063">
        <w:rPr>
          <w:bCs/>
          <w:sz w:val="22"/>
          <w:szCs w:val="22"/>
          <w:lang w:val="fr-CA"/>
        </w:rPr>
        <w:t>contrairement aux gouvernements américain et britannique</w:t>
      </w:r>
      <w:r>
        <w:rPr>
          <w:sz w:val="22"/>
          <w:szCs w:val="22"/>
          <w:lang w:val="fr-CA"/>
        </w:rPr>
        <w:t>,</w:t>
      </w:r>
      <w:r w:rsidRPr="00217EFC">
        <w:rPr>
          <w:sz w:val="22"/>
          <w:szCs w:val="22"/>
          <w:lang w:val="fr-CA"/>
        </w:rPr>
        <w:t xml:space="preserve"> l’application de règles anciennes par la Grande-Bretagne, comme le blocus, et les occasions manquées de faire </w:t>
      </w:r>
      <w:r>
        <w:rPr>
          <w:sz w:val="22"/>
          <w:szCs w:val="22"/>
          <w:lang w:val="fr-CA"/>
        </w:rPr>
        <w:t>v</w:t>
      </w:r>
      <w:r w:rsidRPr="00217EFC">
        <w:rPr>
          <w:sz w:val="22"/>
          <w:szCs w:val="22"/>
          <w:lang w:val="fr-CA"/>
        </w:rPr>
        <w:t xml:space="preserve">aloir les intérêts et la sécurité des </w:t>
      </w:r>
      <w:r>
        <w:rPr>
          <w:sz w:val="22"/>
          <w:szCs w:val="22"/>
          <w:lang w:val="fr-CA"/>
        </w:rPr>
        <w:t>A</w:t>
      </w:r>
      <w:r w:rsidRPr="00217EFC">
        <w:rPr>
          <w:sz w:val="22"/>
          <w:szCs w:val="22"/>
          <w:lang w:val="fr-CA"/>
        </w:rPr>
        <w:t xml:space="preserve">méricains lors des dernières années. </w:t>
      </w:r>
      <w:r>
        <w:rPr>
          <w:sz w:val="22"/>
          <w:szCs w:val="22"/>
          <w:lang w:val="fr-CA"/>
        </w:rPr>
        <w:t>El</w:t>
      </w:r>
      <w:r w:rsidRPr="00217EFC">
        <w:rPr>
          <w:sz w:val="22"/>
          <w:szCs w:val="22"/>
          <w:lang w:val="fr-CA"/>
        </w:rPr>
        <w:t>l</w:t>
      </w:r>
      <w:r>
        <w:rPr>
          <w:sz w:val="22"/>
          <w:szCs w:val="22"/>
          <w:lang w:val="fr-CA"/>
        </w:rPr>
        <w:t xml:space="preserve">e est </w:t>
      </w:r>
      <w:r w:rsidRPr="00217EFC">
        <w:rPr>
          <w:sz w:val="22"/>
          <w:szCs w:val="22"/>
          <w:lang w:val="fr-CA"/>
        </w:rPr>
        <w:t>dé</w:t>
      </w:r>
      <w:r>
        <w:rPr>
          <w:sz w:val="22"/>
          <w:szCs w:val="22"/>
          <w:lang w:val="fr-CA"/>
        </w:rPr>
        <w:t xml:space="preserve">çue </w:t>
      </w:r>
      <w:r w:rsidRPr="00217EFC">
        <w:rPr>
          <w:sz w:val="22"/>
          <w:szCs w:val="22"/>
          <w:lang w:val="fr-CA"/>
        </w:rPr>
        <w:t xml:space="preserve">du silence de la diplomatie américaine, car </w:t>
      </w:r>
      <w:r>
        <w:rPr>
          <w:sz w:val="22"/>
          <w:szCs w:val="22"/>
          <w:lang w:val="fr-CA"/>
        </w:rPr>
        <w:t xml:space="preserve">elle </w:t>
      </w:r>
      <w:r w:rsidRPr="00217EFC">
        <w:rPr>
          <w:sz w:val="22"/>
          <w:szCs w:val="22"/>
          <w:lang w:val="fr-CA"/>
        </w:rPr>
        <w:t xml:space="preserve">juge que l’Allemagne viole les droits des Américains et </w:t>
      </w:r>
      <w:r>
        <w:rPr>
          <w:sz w:val="22"/>
          <w:szCs w:val="22"/>
          <w:lang w:val="fr-CA"/>
        </w:rPr>
        <w:t xml:space="preserve">que </w:t>
      </w:r>
      <w:r w:rsidRPr="00217EFC">
        <w:rPr>
          <w:sz w:val="22"/>
          <w:szCs w:val="22"/>
          <w:lang w:val="fr-CA"/>
        </w:rPr>
        <w:t>la Grande-Bretagne ne se conforme pas strictement au droit international</w:t>
      </w:r>
      <w:r w:rsidRPr="00217EFC">
        <w:rPr>
          <w:rStyle w:val="FootnoteReference"/>
          <w:sz w:val="22"/>
          <w:szCs w:val="22"/>
          <w:lang w:val="fr-CA"/>
        </w:rPr>
        <w:footnoteReference w:id="158"/>
      </w:r>
      <w:r w:rsidRPr="00217EFC">
        <w:rPr>
          <w:sz w:val="22"/>
          <w:szCs w:val="22"/>
          <w:lang w:val="fr-CA"/>
        </w:rPr>
        <w:t>.</w:t>
      </w:r>
    </w:p>
    <w:p w14:paraId="4369421C" w14:textId="77777777" w:rsidR="000264D6" w:rsidRDefault="000264D6" w:rsidP="002B5319">
      <w:pPr>
        <w:spacing w:before="100" w:beforeAutospacing="1" w:after="100" w:afterAutospacing="1"/>
        <w:ind w:firstLine="720"/>
        <w:jc w:val="both"/>
        <w:rPr>
          <w:rFonts w:eastAsia="Calibri"/>
          <w:sz w:val="22"/>
          <w:szCs w:val="22"/>
          <w:lang w:val="fr-CA" w:eastAsia="en-US"/>
        </w:rPr>
      </w:pPr>
      <w:r w:rsidRPr="00217EFC">
        <w:rPr>
          <w:rFonts w:eastAsia="Calibri"/>
          <w:sz w:val="22"/>
          <w:szCs w:val="22"/>
          <w:lang w:val="fr-CA" w:eastAsia="en-US"/>
        </w:rPr>
        <w:t xml:space="preserve">L’événement le plus tragique dans cette </w:t>
      </w:r>
      <w:r>
        <w:rPr>
          <w:rFonts w:eastAsia="Calibri"/>
          <w:sz w:val="22"/>
          <w:szCs w:val="22"/>
          <w:lang w:val="fr-CA" w:eastAsia="en-US"/>
        </w:rPr>
        <w:t xml:space="preserve">escalade des tensions </w:t>
      </w:r>
      <w:r w:rsidRPr="00217EFC">
        <w:rPr>
          <w:rFonts w:eastAsia="Calibri"/>
          <w:sz w:val="22"/>
          <w:szCs w:val="22"/>
          <w:lang w:val="fr-CA" w:eastAsia="en-US"/>
        </w:rPr>
        <w:t>surv</w:t>
      </w:r>
      <w:r>
        <w:rPr>
          <w:rFonts w:eastAsia="Calibri"/>
          <w:sz w:val="22"/>
          <w:szCs w:val="22"/>
          <w:lang w:val="fr-CA" w:eastAsia="en-US"/>
        </w:rPr>
        <w:t xml:space="preserve">ient </w:t>
      </w:r>
      <w:r w:rsidRPr="00217EFC">
        <w:rPr>
          <w:rFonts w:eastAsia="Calibri"/>
          <w:sz w:val="22"/>
          <w:szCs w:val="22"/>
          <w:lang w:val="fr-CA" w:eastAsia="en-US"/>
        </w:rPr>
        <w:t xml:space="preserve">lorsqu’un </w:t>
      </w:r>
      <w:r w:rsidRPr="00217EFC">
        <w:rPr>
          <w:rFonts w:eastAsia="Calibri"/>
          <w:i/>
          <w:sz w:val="22"/>
          <w:szCs w:val="22"/>
          <w:lang w:val="fr-CA" w:eastAsia="en-US"/>
        </w:rPr>
        <w:t>U-Boot</w:t>
      </w:r>
      <w:r>
        <w:rPr>
          <w:rFonts w:eastAsia="Calibri"/>
          <w:i/>
          <w:sz w:val="22"/>
          <w:szCs w:val="22"/>
          <w:lang w:val="fr-CA" w:eastAsia="en-US"/>
        </w:rPr>
        <w:t xml:space="preserve"> </w:t>
      </w:r>
      <w:r w:rsidRPr="000D03F8">
        <w:rPr>
          <w:rFonts w:eastAsia="Calibri"/>
          <w:sz w:val="22"/>
          <w:szCs w:val="22"/>
          <w:lang w:val="fr-CA" w:eastAsia="en-US"/>
        </w:rPr>
        <w:t xml:space="preserve">allemand </w:t>
      </w:r>
      <w:r w:rsidRPr="00217EFC">
        <w:rPr>
          <w:rFonts w:eastAsia="Calibri"/>
          <w:sz w:val="22"/>
          <w:szCs w:val="22"/>
          <w:lang w:val="fr-CA" w:eastAsia="en-US"/>
        </w:rPr>
        <w:t xml:space="preserve">coule le paquebot transatlantique </w:t>
      </w:r>
      <w:r>
        <w:rPr>
          <w:rFonts w:eastAsia="Calibri"/>
          <w:sz w:val="22"/>
          <w:szCs w:val="22"/>
          <w:lang w:val="fr-CA" w:eastAsia="en-US"/>
        </w:rPr>
        <w:t>britannique, le</w:t>
      </w:r>
      <w:r w:rsidRPr="00217EFC">
        <w:rPr>
          <w:rFonts w:eastAsia="Calibri"/>
          <w:sz w:val="22"/>
          <w:szCs w:val="22"/>
          <w:lang w:val="fr-CA" w:eastAsia="en-US"/>
        </w:rPr>
        <w:t xml:space="preserve"> </w:t>
      </w:r>
      <w:r w:rsidRPr="00217EFC">
        <w:rPr>
          <w:rFonts w:eastAsia="Calibri"/>
          <w:i/>
          <w:sz w:val="22"/>
          <w:szCs w:val="22"/>
          <w:lang w:val="fr-CA" w:eastAsia="en-US"/>
        </w:rPr>
        <w:t>Lusitania</w:t>
      </w:r>
      <w:r w:rsidRPr="00217EFC">
        <w:rPr>
          <w:rFonts w:eastAsia="Calibri"/>
          <w:sz w:val="22"/>
          <w:szCs w:val="22"/>
          <w:lang w:val="fr-CA" w:eastAsia="en-US"/>
        </w:rPr>
        <w:t>,</w:t>
      </w:r>
      <w:r w:rsidRPr="00217EFC">
        <w:rPr>
          <w:rFonts w:eastAsia="Calibri"/>
          <w:i/>
          <w:sz w:val="22"/>
          <w:szCs w:val="22"/>
          <w:lang w:val="fr-CA" w:eastAsia="en-US"/>
        </w:rPr>
        <w:t xml:space="preserve"> </w:t>
      </w:r>
      <w:r w:rsidRPr="00217EFC">
        <w:rPr>
          <w:rFonts w:eastAsia="Calibri"/>
          <w:sz w:val="22"/>
          <w:szCs w:val="22"/>
          <w:lang w:val="fr-CA" w:eastAsia="en-US"/>
        </w:rPr>
        <w:t>le 7 mai 1915. Sur les 1</w:t>
      </w:r>
      <w:r w:rsidR="00A147CC">
        <w:rPr>
          <w:rFonts w:eastAsia="Calibri"/>
          <w:sz w:val="22"/>
          <w:szCs w:val="22"/>
          <w:lang w:val="fr-CA" w:eastAsia="en-US"/>
        </w:rPr>
        <w:t> </w:t>
      </w:r>
      <w:r w:rsidRPr="00217EFC">
        <w:rPr>
          <w:rFonts w:eastAsia="Calibri"/>
          <w:sz w:val="22"/>
          <w:szCs w:val="22"/>
          <w:lang w:val="fr-CA" w:eastAsia="en-US"/>
        </w:rPr>
        <w:t xml:space="preserve">198 passagers décédés, 128 étaient de nationalité américaine. Cette tragédie </w:t>
      </w:r>
      <w:r>
        <w:rPr>
          <w:rFonts w:eastAsia="Calibri"/>
          <w:sz w:val="22"/>
          <w:szCs w:val="22"/>
          <w:lang w:val="fr-CA" w:eastAsia="en-US"/>
        </w:rPr>
        <w:t>est</w:t>
      </w:r>
      <w:r w:rsidRPr="00217EFC">
        <w:rPr>
          <w:rFonts w:eastAsia="Calibri"/>
          <w:sz w:val="22"/>
          <w:szCs w:val="22"/>
          <w:lang w:val="fr-CA" w:eastAsia="en-US"/>
        </w:rPr>
        <w:t xml:space="preserve"> grandement exploitée par les propagandistes britanniques afin d</w:t>
      </w:r>
      <w:r w:rsidR="00F5530C">
        <w:rPr>
          <w:rFonts w:eastAsia="Calibri"/>
          <w:sz w:val="22"/>
          <w:szCs w:val="22"/>
          <w:lang w:val="fr-CA" w:eastAsia="en-US"/>
        </w:rPr>
        <w:t>’</w:t>
      </w:r>
      <w:r w:rsidRPr="00217EFC">
        <w:rPr>
          <w:rFonts w:eastAsia="Calibri"/>
          <w:sz w:val="22"/>
          <w:szCs w:val="22"/>
          <w:lang w:val="fr-CA" w:eastAsia="en-US"/>
        </w:rPr>
        <w:t xml:space="preserve">en faire un </w:t>
      </w:r>
      <w:r w:rsidRPr="00217EFC">
        <w:rPr>
          <w:rFonts w:eastAsia="Calibri"/>
          <w:i/>
          <w:sz w:val="22"/>
          <w:szCs w:val="22"/>
          <w:lang w:val="fr-CA" w:eastAsia="en-US"/>
        </w:rPr>
        <w:t>casus belli</w:t>
      </w:r>
      <w:r w:rsidRPr="00217EFC">
        <w:rPr>
          <w:rFonts w:eastAsia="Calibri"/>
          <w:sz w:val="22"/>
          <w:szCs w:val="22"/>
          <w:lang w:val="fr-CA" w:eastAsia="en-US"/>
        </w:rPr>
        <w:t xml:space="preserve"> pour les Américains</w:t>
      </w:r>
      <w:r w:rsidRPr="00217EFC">
        <w:rPr>
          <w:rStyle w:val="FootnoteReference"/>
          <w:rFonts w:eastAsia="Calibri"/>
          <w:sz w:val="22"/>
          <w:szCs w:val="22"/>
          <w:lang w:val="fr-CA" w:eastAsia="en-US"/>
        </w:rPr>
        <w:footnoteReference w:id="159"/>
      </w:r>
      <w:r w:rsidRPr="00217EFC">
        <w:rPr>
          <w:rFonts w:eastAsia="Calibri"/>
          <w:sz w:val="22"/>
          <w:szCs w:val="22"/>
          <w:lang w:val="fr-CA" w:eastAsia="en-US"/>
        </w:rPr>
        <w:t xml:space="preserve">. La nouvelle créa l’indignation </w:t>
      </w:r>
      <w:r>
        <w:rPr>
          <w:rFonts w:eastAsia="Calibri"/>
          <w:sz w:val="22"/>
          <w:szCs w:val="22"/>
          <w:lang w:val="fr-CA" w:eastAsia="en-US"/>
        </w:rPr>
        <w:t>chez le</w:t>
      </w:r>
      <w:r w:rsidRPr="00217EFC">
        <w:rPr>
          <w:rFonts w:eastAsia="Calibri"/>
          <w:sz w:val="22"/>
          <w:szCs w:val="22"/>
          <w:lang w:val="fr-CA" w:eastAsia="en-US"/>
        </w:rPr>
        <w:t xml:space="preserve"> peuple américain et un profond ressentiment à l’égard du peuple germanique. </w:t>
      </w:r>
    </w:p>
    <w:p w14:paraId="381A0B8E" w14:textId="77777777" w:rsidR="000264D6" w:rsidRDefault="000264D6" w:rsidP="002B5319">
      <w:pPr>
        <w:spacing w:before="100" w:beforeAutospacing="1" w:after="100" w:afterAutospacing="1"/>
        <w:ind w:firstLine="720"/>
        <w:jc w:val="both"/>
        <w:rPr>
          <w:rFonts w:eastAsia="Calibri"/>
          <w:sz w:val="22"/>
          <w:szCs w:val="22"/>
          <w:lang w:val="fr-CA" w:eastAsia="en-US"/>
        </w:rPr>
      </w:pPr>
      <w:r w:rsidRPr="00217EFC">
        <w:rPr>
          <w:sz w:val="22"/>
          <w:szCs w:val="22"/>
          <w:lang w:val="fr-CA"/>
        </w:rPr>
        <w:t>Toujours</w:t>
      </w:r>
      <w:r>
        <w:rPr>
          <w:rFonts w:eastAsia="Calibri"/>
          <w:sz w:val="22"/>
          <w:szCs w:val="22"/>
          <w:lang w:val="fr-CA" w:eastAsia="en-US"/>
        </w:rPr>
        <w:t xml:space="preserve"> </w:t>
      </w:r>
      <w:r w:rsidRPr="00217EFC">
        <w:rPr>
          <w:sz w:val="22"/>
          <w:szCs w:val="22"/>
          <w:lang w:val="fr-CA"/>
        </w:rPr>
        <w:t xml:space="preserve">en mai 1915, </w:t>
      </w:r>
      <w:r w:rsidRPr="00217EFC">
        <w:rPr>
          <w:bCs/>
          <w:i/>
          <w:iCs/>
          <w:sz w:val="22"/>
          <w:szCs w:val="22"/>
          <w:lang w:val="fr-CA"/>
        </w:rPr>
        <w:t>L’Avenir National</w:t>
      </w:r>
      <w:r w:rsidRPr="00217EFC">
        <w:rPr>
          <w:bCs/>
          <w:sz w:val="22"/>
          <w:szCs w:val="22"/>
          <w:lang w:val="fr-CA"/>
        </w:rPr>
        <w:t xml:space="preserve"> cite un extrait du </w:t>
      </w:r>
      <w:r w:rsidRPr="00217EFC">
        <w:rPr>
          <w:bCs/>
          <w:i/>
          <w:iCs/>
          <w:sz w:val="22"/>
          <w:szCs w:val="22"/>
          <w:lang w:val="fr-CA"/>
        </w:rPr>
        <w:t>Herald</w:t>
      </w:r>
      <w:r w:rsidRPr="00217EFC">
        <w:rPr>
          <w:bCs/>
          <w:sz w:val="22"/>
          <w:szCs w:val="22"/>
          <w:lang w:val="fr-CA"/>
        </w:rPr>
        <w:t xml:space="preserve"> qui demande combien de temps passera avant que les États-Unis ne déclarent la guerre à l’Allemagne, car les Allemands continuent à détruire les vaisseaux de la marine marchande américaine. Le </w:t>
      </w:r>
      <w:r w:rsidRPr="00217EFC">
        <w:rPr>
          <w:bCs/>
          <w:i/>
          <w:iCs/>
          <w:sz w:val="22"/>
          <w:szCs w:val="22"/>
          <w:lang w:val="fr-CA"/>
        </w:rPr>
        <w:t xml:space="preserve">Herald </w:t>
      </w:r>
      <w:r w:rsidRPr="00217EFC">
        <w:rPr>
          <w:bCs/>
          <w:sz w:val="22"/>
          <w:szCs w:val="22"/>
          <w:lang w:val="fr-CA"/>
        </w:rPr>
        <w:t>mentionne</w:t>
      </w:r>
      <w:r w:rsidRPr="00217EFC">
        <w:rPr>
          <w:bCs/>
          <w:i/>
          <w:iCs/>
          <w:sz w:val="22"/>
          <w:szCs w:val="22"/>
          <w:lang w:val="fr-CA"/>
        </w:rPr>
        <w:t xml:space="preserve"> </w:t>
      </w:r>
      <w:r w:rsidRPr="00217EFC">
        <w:rPr>
          <w:bCs/>
          <w:sz w:val="22"/>
          <w:szCs w:val="22"/>
          <w:lang w:val="fr-CA"/>
        </w:rPr>
        <w:t xml:space="preserve">que les </w:t>
      </w:r>
      <w:r>
        <w:rPr>
          <w:bCs/>
          <w:sz w:val="22"/>
          <w:szCs w:val="22"/>
          <w:lang w:val="fr-CA"/>
        </w:rPr>
        <w:t>A</w:t>
      </w:r>
      <w:r w:rsidRPr="00217EFC">
        <w:rPr>
          <w:bCs/>
          <w:sz w:val="22"/>
          <w:szCs w:val="22"/>
          <w:lang w:val="fr-CA"/>
        </w:rPr>
        <w:t xml:space="preserve">méricains ne veulent pas la guerre, mais les actions allemandes sont des atteintes directes à l’honneur et </w:t>
      </w:r>
      <w:r>
        <w:rPr>
          <w:bCs/>
          <w:sz w:val="22"/>
          <w:szCs w:val="22"/>
          <w:lang w:val="fr-CA"/>
        </w:rPr>
        <w:t xml:space="preserve">à </w:t>
      </w:r>
      <w:r w:rsidRPr="00217EFC">
        <w:rPr>
          <w:bCs/>
          <w:sz w:val="22"/>
          <w:szCs w:val="22"/>
          <w:lang w:val="fr-CA"/>
        </w:rPr>
        <w:t>la dignité américaine</w:t>
      </w:r>
      <w:r>
        <w:rPr>
          <w:bCs/>
          <w:sz w:val="22"/>
          <w:szCs w:val="22"/>
          <w:lang w:val="fr-CA"/>
        </w:rPr>
        <w:t xml:space="preserve"> et</w:t>
      </w:r>
      <w:r w:rsidRPr="00217EFC">
        <w:rPr>
          <w:bCs/>
          <w:sz w:val="22"/>
          <w:szCs w:val="22"/>
          <w:lang w:val="fr-CA"/>
        </w:rPr>
        <w:t xml:space="preserve"> qu’«</w:t>
      </w:r>
      <w:r w:rsidR="00F5530C">
        <w:rPr>
          <w:bCs/>
          <w:sz w:val="22"/>
          <w:szCs w:val="22"/>
          <w:lang w:val="fr-CA"/>
        </w:rPr>
        <w:t> </w:t>
      </w:r>
      <w:r w:rsidRPr="00217EFC">
        <w:rPr>
          <w:bCs/>
          <w:sz w:val="22"/>
          <w:szCs w:val="22"/>
          <w:lang w:val="fr-CA"/>
        </w:rPr>
        <w:t>Oncle Sam devra se faire respecter et punir l’insulteur</w:t>
      </w:r>
      <w:r w:rsidR="00F5530C">
        <w:rPr>
          <w:bCs/>
          <w:sz w:val="22"/>
          <w:szCs w:val="22"/>
          <w:lang w:val="fr-CA"/>
        </w:rPr>
        <w:t> </w:t>
      </w:r>
      <w:r w:rsidRPr="00217EFC">
        <w:rPr>
          <w:bCs/>
          <w:sz w:val="22"/>
          <w:szCs w:val="22"/>
          <w:lang w:val="fr-CA"/>
        </w:rPr>
        <w:t>»</w:t>
      </w:r>
      <w:r w:rsidRPr="00217EFC">
        <w:rPr>
          <w:rStyle w:val="FootnoteReference"/>
          <w:bCs/>
          <w:sz w:val="22"/>
          <w:szCs w:val="22"/>
          <w:lang w:val="fr-CA"/>
        </w:rPr>
        <w:footnoteReference w:id="160"/>
      </w:r>
      <w:r w:rsidRPr="00217EFC">
        <w:rPr>
          <w:bCs/>
          <w:sz w:val="22"/>
          <w:szCs w:val="22"/>
          <w:lang w:val="fr-CA"/>
        </w:rPr>
        <w:t>.</w:t>
      </w:r>
      <w:r w:rsidRPr="00217EFC">
        <w:rPr>
          <w:sz w:val="22"/>
          <w:szCs w:val="22"/>
          <w:lang w:val="fr-CA"/>
        </w:rPr>
        <w:t xml:space="preserve"> De plus, un éditorial de </w:t>
      </w:r>
      <w:r w:rsidRPr="00217EFC">
        <w:rPr>
          <w:i/>
          <w:iCs/>
          <w:sz w:val="22"/>
          <w:szCs w:val="22"/>
          <w:lang w:val="fr-CA"/>
        </w:rPr>
        <w:t>L’Avenir National</w:t>
      </w:r>
      <w:r w:rsidRPr="00217EFC">
        <w:rPr>
          <w:sz w:val="22"/>
          <w:szCs w:val="22"/>
          <w:lang w:val="fr-CA"/>
        </w:rPr>
        <w:t xml:space="preserve"> demande jusqu’où ira le Président avant de déclarer la guerre</w:t>
      </w:r>
      <w:r>
        <w:rPr>
          <w:sz w:val="22"/>
          <w:szCs w:val="22"/>
          <w:lang w:val="fr-CA"/>
        </w:rPr>
        <w:t xml:space="preserve"> à l’Allemagne</w:t>
      </w:r>
      <w:r w:rsidRPr="00217EFC">
        <w:rPr>
          <w:sz w:val="22"/>
          <w:szCs w:val="22"/>
          <w:lang w:val="fr-CA"/>
        </w:rPr>
        <w:t xml:space="preserve">, car </w:t>
      </w:r>
      <w:r>
        <w:rPr>
          <w:sz w:val="22"/>
          <w:szCs w:val="22"/>
          <w:lang w:val="fr-CA"/>
        </w:rPr>
        <w:t xml:space="preserve">cette dernière manque de toute </w:t>
      </w:r>
      <w:r w:rsidRPr="00ED1688">
        <w:rPr>
          <w:sz w:val="22"/>
          <w:lang w:val="fr-CA"/>
        </w:rPr>
        <w:t xml:space="preserve">considération </w:t>
      </w:r>
      <w:r>
        <w:rPr>
          <w:sz w:val="22"/>
          <w:lang w:val="fr-CA"/>
        </w:rPr>
        <w:t xml:space="preserve">envers </w:t>
      </w:r>
      <w:r w:rsidRPr="00ED1688">
        <w:rPr>
          <w:sz w:val="22"/>
          <w:lang w:val="fr-CA"/>
        </w:rPr>
        <w:t>les citoyens américains, et elle continue à commettre des erreurs politiques</w:t>
      </w:r>
      <w:r w:rsidRPr="00217EFC">
        <w:rPr>
          <w:rStyle w:val="FootnoteReference"/>
          <w:sz w:val="22"/>
          <w:szCs w:val="22"/>
          <w:lang w:val="fr-CA"/>
        </w:rPr>
        <w:footnoteReference w:id="161"/>
      </w:r>
      <w:r w:rsidRPr="00217EFC">
        <w:rPr>
          <w:sz w:val="22"/>
          <w:szCs w:val="22"/>
          <w:lang w:val="fr-CA"/>
        </w:rPr>
        <w:t>. On dé</w:t>
      </w:r>
      <w:r>
        <w:rPr>
          <w:sz w:val="22"/>
          <w:szCs w:val="22"/>
          <w:lang w:val="fr-CA"/>
        </w:rPr>
        <w:t xml:space="preserve">plore que </w:t>
      </w:r>
      <w:r w:rsidRPr="00217EFC">
        <w:rPr>
          <w:sz w:val="22"/>
          <w:szCs w:val="22"/>
          <w:lang w:val="fr-CA"/>
        </w:rPr>
        <w:t>le Président n’agi</w:t>
      </w:r>
      <w:r>
        <w:rPr>
          <w:sz w:val="22"/>
          <w:szCs w:val="22"/>
          <w:lang w:val="fr-CA"/>
        </w:rPr>
        <w:t xml:space="preserve">sse </w:t>
      </w:r>
      <w:r w:rsidRPr="00217EFC">
        <w:rPr>
          <w:sz w:val="22"/>
          <w:szCs w:val="22"/>
          <w:lang w:val="fr-CA"/>
        </w:rPr>
        <w:t xml:space="preserve">pas en </w:t>
      </w:r>
      <w:r>
        <w:rPr>
          <w:sz w:val="22"/>
          <w:szCs w:val="22"/>
          <w:lang w:val="fr-CA"/>
        </w:rPr>
        <w:t>accord avec</w:t>
      </w:r>
      <w:r w:rsidRPr="00217EFC">
        <w:rPr>
          <w:sz w:val="22"/>
          <w:szCs w:val="22"/>
          <w:lang w:val="fr-CA"/>
        </w:rPr>
        <w:t xml:space="preserve"> </w:t>
      </w:r>
      <w:r>
        <w:rPr>
          <w:sz w:val="22"/>
          <w:szCs w:val="22"/>
          <w:lang w:val="fr-CA"/>
        </w:rPr>
        <w:t>l</w:t>
      </w:r>
      <w:r w:rsidRPr="00217EFC">
        <w:rPr>
          <w:sz w:val="22"/>
          <w:szCs w:val="22"/>
          <w:lang w:val="fr-CA"/>
        </w:rPr>
        <w:t xml:space="preserve">es sentiments de la majorité des </w:t>
      </w:r>
      <w:r>
        <w:rPr>
          <w:sz w:val="22"/>
          <w:szCs w:val="22"/>
          <w:lang w:val="fr-CA"/>
        </w:rPr>
        <w:t>A</w:t>
      </w:r>
      <w:r w:rsidRPr="00217EFC">
        <w:rPr>
          <w:sz w:val="22"/>
          <w:szCs w:val="22"/>
          <w:lang w:val="fr-CA"/>
        </w:rPr>
        <w:t xml:space="preserve">méricains et </w:t>
      </w:r>
      <w:r>
        <w:rPr>
          <w:sz w:val="22"/>
          <w:szCs w:val="22"/>
          <w:lang w:val="fr-CA"/>
        </w:rPr>
        <w:t xml:space="preserve">on affirme </w:t>
      </w:r>
      <w:r w:rsidRPr="00217EFC">
        <w:rPr>
          <w:sz w:val="22"/>
          <w:szCs w:val="22"/>
          <w:lang w:val="fr-CA"/>
        </w:rPr>
        <w:t>qu’il est temps pour les États-Unis de joindre l’union morale des Alliés et leur but commun, «</w:t>
      </w:r>
      <w:r w:rsidR="00F5530C">
        <w:rPr>
          <w:sz w:val="22"/>
          <w:szCs w:val="22"/>
          <w:lang w:val="fr-CA"/>
        </w:rPr>
        <w:t> </w:t>
      </w:r>
      <w:r w:rsidRPr="00217EFC">
        <w:rPr>
          <w:sz w:val="22"/>
          <w:szCs w:val="22"/>
          <w:lang w:val="fr-CA"/>
        </w:rPr>
        <w:t>l’écrasement des Barbares</w:t>
      </w:r>
      <w:r w:rsidR="00F5530C">
        <w:rPr>
          <w:sz w:val="22"/>
          <w:szCs w:val="22"/>
          <w:lang w:val="fr-CA"/>
        </w:rPr>
        <w:t> </w:t>
      </w:r>
      <w:r w:rsidRPr="00217EFC">
        <w:rPr>
          <w:sz w:val="22"/>
          <w:szCs w:val="22"/>
          <w:lang w:val="fr-CA"/>
        </w:rPr>
        <w:t>»</w:t>
      </w:r>
      <w:r w:rsidRPr="00217EFC">
        <w:rPr>
          <w:rStyle w:val="FootnoteReference"/>
          <w:sz w:val="22"/>
          <w:szCs w:val="22"/>
          <w:lang w:val="fr-CA"/>
        </w:rPr>
        <w:footnoteReference w:id="162"/>
      </w:r>
      <w:r w:rsidRPr="00217EFC">
        <w:rPr>
          <w:sz w:val="22"/>
          <w:szCs w:val="22"/>
          <w:lang w:val="fr-CA"/>
        </w:rPr>
        <w:t xml:space="preserve">. </w:t>
      </w:r>
      <w:r w:rsidRPr="00217EFC">
        <w:rPr>
          <w:bCs/>
          <w:sz w:val="22"/>
          <w:szCs w:val="22"/>
          <w:lang w:val="fr-CA"/>
        </w:rPr>
        <w:t xml:space="preserve">Plus tard en mai, </w:t>
      </w:r>
      <w:r>
        <w:rPr>
          <w:bCs/>
          <w:i/>
          <w:iCs/>
          <w:sz w:val="22"/>
          <w:szCs w:val="22"/>
          <w:lang w:val="fr-CA"/>
        </w:rPr>
        <w:t xml:space="preserve">L’Avenir National </w:t>
      </w:r>
      <w:r w:rsidRPr="00217EFC">
        <w:rPr>
          <w:bCs/>
          <w:sz w:val="22"/>
          <w:szCs w:val="22"/>
          <w:lang w:val="fr-CA"/>
        </w:rPr>
        <w:t>louange Wilson lorsqu’il passe en revue la flotte de l’Atlantique et mentionne que les vaisseaux de la flotte sont «</w:t>
      </w:r>
      <w:r w:rsidR="00F5530C">
        <w:rPr>
          <w:bCs/>
          <w:sz w:val="22"/>
          <w:szCs w:val="22"/>
          <w:lang w:val="fr-CA"/>
        </w:rPr>
        <w:t> </w:t>
      </w:r>
      <w:r w:rsidRPr="00217EFC">
        <w:rPr>
          <w:bCs/>
          <w:sz w:val="22"/>
          <w:szCs w:val="22"/>
          <w:lang w:val="fr-CA"/>
        </w:rPr>
        <w:t>chargés de promouvoir les intérêts de l’humanité</w:t>
      </w:r>
      <w:r w:rsidR="00F5530C">
        <w:rPr>
          <w:bCs/>
          <w:sz w:val="22"/>
          <w:szCs w:val="22"/>
          <w:lang w:val="fr-CA"/>
        </w:rPr>
        <w:t> </w:t>
      </w:r>
      <w:r w:rsidRPr="00217EFC">
        <w:rPr>
          <w:bCs/>
          <w:sz w:val="22"/>
          <w:szCs w:val="22"/>
          <w:lang w:val="fr-CA"/>
        </w:rPr>
        <w:t>»</w:t>
      </w:r>
      <w:r w:rsidRPr="00217EFC">
        <w:rPr>
          <w:rStyle w:val="FootnoteReference"/>
          <w:bCs/>
          <w:sz w:val="22"/>
          <w:szCs w:val="22"/>
          <w:lang w:val="fr-CA"/>
        </w:rPr>
        <w:footnoteReference w:id="163"/>
      </w:r>
      <w:r w:rsidRPr="00217EFC">
        <w:rPr>
          <w:bCs/>
          <w:sz w:val="22"/>
          <w:szCs w:val="22"/>
          <w:lang w:val="fr-CA"/>
        </w:rPr>
        <w:t>. On reconnait les propos de Wilson comme magnifiques</w:t>
      </w:r>
      <w:r>
        <w:rPr>
          <w:bCs/>
          <w:sz w:val="22"/>
          <w:szCs w:val="22"/>
          <w:lang w:val="fr-CA"/>
        </w:rPr>
        <w:t xml:space="preserve"> et on voit en eux la preuve </w:t>
      </w:r>
      <w:r w:rsidRPr="00217EFC">
        <w:rPr>
          <w:bCs/>
          <w:sz w:val="22"/>
          <w:szCs w:val="22"/>
          <w:lang w:val="fr-CA"/>
        </w:rPr>
        <w:t>que le Président n’est pas «</w:t>
      </w:r>
      <w:r w:rsidR="00F5530C">
        <w:rPr>
          <w:bCs/>
          <w:sz w:val="22"/>
          <w:szCs w:val="22"/>
          <w:lang w:val="fr-CA"/>
        </w:rPr>
        <w:t> </w:t>
      </w:r>
      <w:r w:rsidRPr="00217EFC">
        <w:rPr>
          <w:bCs/>
          <w:sz w:val="22"/>
          <w:szCs w:val="22"/>
          <w:lang w:val="fr-CA"/>
        </w:rPr>
        <w:t>insensible à tou</w:t>
      </w:r>
      <w:r>
        <w:rPr>
          <w:bCs/>
          <w:sz w:val="22"/>
          <w:szCs w:val="22"/>
          <w:lang w:val="fr-CA"/>
        </w:rPr>
        <w:t>t</w:t>
      </w:r>
      <w:r w:rsidRPr="00217EFC">
        <w:rPr>
          <w:bCs/>
          <w:sz w:val="22"/>
          <w:szCs w:val="22"/>
          <w:lang w:val="fr-CA"/>
        </w:rPr>
        <w:t xml:space="preserve"> ce qui touche l’honneur et la justice</w:t>
      </w:r>
      <w:r w:rsidR="00F5530C">
        <w:rPr>
          <w:bCs/>
          <w:sz w:val="22"/>
          <w:szCs w:val="22"/>
          <w:lang w:val="fr-CA"/>
        </w:rPr>
        <w:t> </w:t>
      </w:r>
      <w:r w:rsidRPr="00217EFC">
        <w:rPr>
          <w:bCs/>
          <w:sz w:val="22"/>
          <w:szCs w:val="22"/>
          <w:lang w:val="fr-CA"/>
        </w:rPr>
        <w:t>»</w:t>
      </w:r>
      <w:r w:rsidRPr="00217EFC">
        <w:rPr>
          <w:rStyle w:val="FootnoteReference"/>
          <w:bCs/>
          <w:sz w:val="22"/>
          <w:szCs w:val="22"/>
          <w:lang w:val="fr-CA"/>
        </w:rPr>
        <w:footnoteReference w:id="164"/>
      </w:r>
      <w:r w:rsidRPr="00217EFC">
        <w:rPr>
          <w:bCs/>
          <w:sz w:val="22"/>
          <w:szCs w:val="22"/>
          <w:lang w:val="fr-CA"/>
        </w:rPr>
        <w:t xml:space="preserve">. </w:t>
      </w:r>
      <w:r w:rsidRPr="00217EFC">
        <w:rPr>
          <w:rFonts w:eastAsia="Calibri"/>
          <w:sz w:val="22"/>
          <w:szCs w:val="22"/>
          <w:lang w:val="fr-CA" w:eastAsia="en-US"/>
        </w:rPr>
        <w:t>Finalement, le 19 août 1915, le coulage de l’</w:t>
      </w:r>
      <w:r w:rsidRPr="00217EFC">
        <w:rPr>
          <w:rFonts w:eastAsia="Calibri"/>
          <w:i/>
          <w:sz w:val="22"/>
          <w:szCs w:val="22"/>
          <w:lang w:val="fr-CA" w:eastAsia="en-US"/>
        </w:rPr>
        <w:t>Arabic</w:t>
      </w:r>
      <w:r w:rsidRPr="00217EFC">
        <w:rPr>
          <w:rFonts w:eastAsia="Calibri"/>
          <w:sz w:val="22"/>
          <w:szCs w:val="22"/>
          <w:lang w:val="fr-CA" w:eastAsia="en-US"/>
        </w:rPr>
        <w:t xml:space="preserve"> m</w:t>
      </w:r>
      <w:r>
        <w:rPr>
          <w:rFonts w:eastAsia="Calibri"/>
          <w:sz w:val="22"/>
          <w:szCs w:val="22"/>
          <w:lang w:val="fr-CA" w:eastAsia="en-US"/>
        </w:rPr>
        <w:t xml:space="preserve">ène </w:t>
      </w:r>
      <w:r w:rsidRPr="00217EFC">
        <w:rPr>
          <w:rFonts w:eastAsia="Calibri"/>
          <w:sz w:val="22"/>
          <w:szCs w:val="22"/>
          <w:lang w:val="fr-CA" w:eastAsia="en-US"/>
        </w:rPr>
        <w:t>le Président Wilson à menacer l’Allemagne d</w:t>
      </w:r>
      <w:r>
        <w:rPr>
          <w:rFonts w:eastAsia="Calibri"/>
          <w:sz w:val="22"/>
          <w:szCs w:val="22"/>
          <w:lang w:val="fr-CA" w:eastAsia="en-US"/>
        </w:rPr>
        <w:t xml:space="preserve">e </w:t>
      </w:r>
      <w:r w:rsidRPr="00217EFC">
        <w:rPr>
          <w:rFonts w:eastAsia="Calibri"/>
          <w:sz w:val="22"/>
          <w:szCs w:val="22"/>
          <w:lang w:val="fr-CA" w:eastAsia="en-US"/>
        </w:rPr>
        <w:t>guerre, mais en guise d’apaisement, le 18 septembre 1915, le Kaiser lui promet (</w:t>
      </w:r>
      <w:r w:rsidRPr="00217EFC">
        <w:rPr>
          <w:rFonts w:eastAsia="Calibri"/>
          <w:i/>
          <w:sz w:val="22"/>
          <w:szCs w:val="22"/>
          <w:lang w:val="fr-CA" w:eastAsia="en-US"/>
        </w:rPr>
        <w:t>Arabic pledge</w:t>
      </w:r>
      <w:r w:rsidRPr="00217EFC">
        <w:rPr>
          <w:rFonts w:eastAsia="Calibri"/>
          <w:sz w:val="22"/>
          <w:szCs w:val="22"/>
          <w:lang w:val="fr-CA" w:eastAsia="en-US"/>
        </w:rPr>
        <w:t>) que les équipages de</w:t>
      </w:r>
      <w:r>
        <w:rPr>
          <w:rFonts w:eastAsia="Calibri"/>
          <w:sz w:val="22"/>
          <w:szCs w:val="22"/>
          <w:lang w:val="fr-CA" w:eastAsia="en-US"/>
        </w:rPr>
        <w:t>s</w:t>
      </w:r>
      <w:r w:rsidRPr="00217EFC">
        <w:rPr>
          <w:rFonts w:eastAsia="Calibri"/>
          <w:sz w:val="22"/>
          <w:szCs w:val="22"/>
          <w:lang w:val="fr-CA" w:eastAsia="en-US"/>
        </w:rPr>
        <w:t xml:space="preserve"> navire</w:t>
      </w:r>
      <w:r>
        <w:rPr>
          <w:rFonts w:eastAsia="Calibri"/>
          <w:sz w:val="22"/>
          <w:szCs w:val="22"/>
          <w:lang w:val="fr-CA" w:eastAsia="en-US"/>
        </w:rPr>
        <w:t>s</w:t>
      </w:r>
      <w:r w:rsidRPr="00217EFC">
        <w:rPr>
          <w:rFonts w:eastAsia="Calibri"/>
          <w:sz w:val="22"/>
          <w:szCs w:val="22"/>
          <w:lang w:val="fr-CA" w:eastAsia="en-US"/>
        </w:rPr>
        <w:t xml:space="preserve"> non militaire</w:t>
      </w:r>
      <w:r>
        <w:rPr>
          <w:rFonts w:eastAsia="Calibri"/>
          <w:sz w:val="22"/>
          <w:szCs w:val="22"/>
          <w:lang w:val="fr-CA" w:eastAsia="en-US"/>
        </w:rPr>
        <w:t>s</w:t>
      </w:r>
      <w:r w:rsidRPr="00217EFC">
        <w:rPr>
          <w:rFonts w:eastAsia="Calibri"/>
          <w:sz w:val="22"/>
          <w:szCs w:val="22"/>
          <w:lang w:val="fr-CA" w:eastAsia="en-US"/>
        </w:rPr>
        <w:t xml:space="preserve"> recevront un avis </w:t>
      </w:r>
      <w:r w:rsidRPr="00217EFC">
        <w:rPr>
          <w:rFonts w:eastAsia="Calibri"/>
          <w:sz w:val="22"/>
          <w:szCs w:val="22"/>
          <w:lang w:val="fr-CA" w:eastAsia="en-US"/>
        </w:rPr>
        <w:lastRenderedPageBreak/>
        <w:t xml:space="preserve">de trente minutes avant d’être coulés pour permettre aux équipages d’abandonner leur bâtiment. Toutefois, </w:t>
      </w:r>
      <w:r>
        <w:rPr>
          <w:rFonts w:eastAsia="Calibri"/>
          <w:sz w:val="22"/>
          <w:szCs w:val="22"/>
          <w:lang w:val="fr-CA" w:eastAsia="en-US"/>
        </w:rPr>
        <w:t xml:space="preserve">cette </w:t>
      </w:r>
      <w:r w:rsidRPr="00217EFC">
        <w:rPr>
          <w:rFonts w:eastAsia="Calibri"/>
          <w:sz w:val="22"/>
          <w:szCs w:val="22"/>
          <w:lang w:val="fr-CA" w:eastAsia="en-US"/>
        </w:rPr>
        <w:t xml:space="preserve">promesse </w:t>
      </w:r>
      <w:r>
        <w:rPr>
          <w:rFonts w:eastAsia="Calibri"/>
          <w:sz w:val="22"/>
          <w:szCs w:val="22"/>
          <w:lang w:val="fr-CA" w:eastAsia="en-US"/>
        </w:rPr>
        <w:t xml:space="preserve">allemande </w:t>
      </w:r>
      <w:r w:rsidRPr="00217EFC">
        <w:rPr>
          <w:rFonts w:eastAsia="Calibri"/>
          <w:sz w:val="22"/>
          <w:szCs w:val="22"/>
          <w:lang w:val="fr-CA" w:eastAsia="en-US"/>
        </w:rPr>
        <w:t xml:space="preserve">allait être brisée lors du coulage du </w:t>
      </w:r>
      <w:r>
        <w:rPr>
          <w:rFonts w:eastAsia="Calibri"/>
          <w:sz w:val="22"/>
          <w:szCs w:val="22"/>
          <w:lang w:val="fr-CA" w:eastAsia="en-US"/>
        </w:rPr>
        <w:t xml:space="preserve">navire français, le </w:t>
      </w:r>
      <w:r w:rsidRPr="00217EFC">
        <w:rPr>
          <w:rFonts w:eastAsia="Calibri"/>
          <w:i/>
          <w:sz w:val="22"/>
          <w:szCs w:val="22"/>
          <w:lang w:val="fr-CA" w:eastAsia="en-US"/>
        </w:rPr>
        <w:t>Sussex</w:t>
      </w:r>
      <w:r w:rsidRPr="00217EFC">
        <w:rPr>
          <w:rFonts w:eastAsia="Calibri"/>
          <w:sz w:val="22"/>
          <w:szCs w:val="22"/>
          <w:lang w:val="fr-CA" w:eastAsia="en-US"/>
        </w:rPr>
        <w:t>,</w:t>
      </w:r>
      <w:r w:rsidRPr="00217EFC">
        <w:rPr>
          <w:rFonts w:eastAsia="Calibri"/>
          <w:i/>
          <w:sz w:val="22"/>
          <w:szCs w:val="22"/>
          <w:lang w:val="fr-CA" w:eastAsia="en-US"/>
        </w:rPr>
        <w:t xml:space="preserve"> </w:t>
      </w:r>
      <w:r w:rsidRPr="00217EFC">
        <w:rPr>
          <w:rFonts w:eastAsia="Calibri"/>
          <w:sz w:val="22"/>
          <w:szCs w:val="22"/>
          <w:lang w:val="fr-CA" w:eastAsia="en-US"/>
        </w:rPr>
        <w:t>le 24 mars 1916</w:t>
      </w:r>
      <w:r>
        <w:rPr>
          <w:rFonts w:eastAsia="Calibri"/>
          <w:sz w:val="22"/>
          <w:szCs w:val="22"/>
          <w:lang w:val="fr-CA" w:eastAsia="en-US"/>
        </w:rPr>
        <w:t xml:space="preserve"> et p</w:t>
      </w:r>
      <w:r w:rsidRPr="00217EFC">
        <w:rPr>
          <w:rFonts w:eastAsia="Calibri"/>
          <w:sz w:val="22"/>
          <w:szCs w:val="22"/>
          <w:lang w:val="fr-CA" w:eastAsia="en-US"/>
        </w:rPr>
        <w:t>our le Président Wilson, les options devenaient</w:t>
      </w:r>
      <w:r>
        <w:rPr>
          <w:rFonts w:eastAsia="Calibri"/>
          <w:sz w:val="22"/>
          <w:szCs w:val="22"/>
          <w:lang w:val="fr-CA" w:eastAsia="en-US"/>
        </w:rPr>
        <w:t xml:space="preserve"> </w:t>
      </w:r>
      <w:r w:rsidRPr="00217EFC">
        <w:rPr>
          <w:rFonts w:eastAsia="Calibri"/>
          <w:sz w:val="22"/>
          <w:szCs w:val="22"/>
          <w:lang w:val="fr-CA" w:eastAsia="en-US"/>
        </w:rPr>
        <w:t>de plus en plus r</w:t>
      </w:r>
      <w:r>
        <w:rPr>
          <w:rFonts w:eastAsia="Calibri"/>
          <w:sz w:val="22"/>
          <w:szCs w:val="22"/>
          <w:lang w:val="fr-CA" w:eastAsia="en-US"/>
        </w:rPr>
        <w:t>estreintes. Après neuf notifications du Président</w:t>
      </w:r>
      <w:r>
        <w:rPr>
          <w:rStyle w:val="FootnoteReference"/>
          <w:rFonts w:eastAsia="Calibri"/>
          <w:sz w:val="22"/>
          <w:szCs w:val="22"/>
          <w:lang w:val="fr-CA" w:eastAsia="en-US"/>
        </w:rPr>
        <w:footnoteReference w:id="165"/>
      </w:r>
      <w:r>
        <w:rPr>
          <w:rFonts w:eastAsia="Calibri"/>
          <w:sz w:val="22"/>
          <w:szCs w:val="22"/>
          <w:lang w:val="fr-CA" w:eastAsia="en-US"/>
        </w:rPr>
        <w:t>, l</w:t>
      </w:r>
      <w:r w:rsidRPr="00217EFC">
        <w:rPr>
          <w:rFonts w:eastAsia="Calibri"/>
          <w:sz w:val="22"/>
          <w:szCs w:val="22"/>
          <w:lang w:val="fr-CA" w:eastAsia="en-US"/>
        </w:rPr>
        <w:t>es États-Unis se dirigeraient vers la guerre, car les ultimatum</w:t>
      </w:r>
      <w:r>
        <w:rPr>
          <w:rFonts w:eastAsia="Calibri"/>
          <w:sz w:val="22"/>
          <w:szCs w:val="22"/>
          <w:lang w:val="fr-CA" w:eastAsia="en-US"/>
        </w:rPr>
        <w:t>s</w:t>
      </w:r>
      <w:r w:rsidRPr="00217EFC">
        <w:rPr>
          <w:rFonts w:eastAsia="Calibri"/>
          <w:sz w:val="22"/>
          <w:szCs w:val="22"/>
          <w:lang w:val="fr-CA" w:eastAsia="en-US"/>
        </w:rPr>
        <w:t xml:space="preserve"> n’avaient plus d’effet sur le gouvernement allemand</w:t>
      </w:r>
      <w:r w:rsidRPr="00217EFC">
        <w:rPr>
          <w:rStyle w:val="FootnoteReference"/>
          <w:rFonts w:eastAsia="Calibri"/>
          <w:sz w:val="22"/>
          <w:szCs w:val="22"/>
          <w:lang w:val="fr-CA" w:eastAsia="en-US"/>
        </w:rPr>
        <w:footnoteReference w:id="166"/>
      </w:r>
      <w:r w:rsidRPr="00217EFC">
        <w:rPr>
          <w:rFonts w:eastAsia="Calibri"/>
          <w:sz w:val="22"/>
          <w:szCs w:val="22"/>
          <w:lang w:val="fr-CA" w:eastAsia="en-US"/>
        </w:rPr>
        <w:t>.</w:t>
      </w:r>
      <w:r>
        <w:rPr>
          <w:rFonts w:eastAsia="Calibri"/>
          <w:sz w:val="22"/>
          <w:szCs w:val="22"/>
          <w:lang w:val="fr-CA" w:eastAsia="en-US"/>
        </w:rPr>
        <w:t xml:space="preserve"> Cependant, l’Allemagne ordonne de nouveau, en mai 1916, de suspendre les opérations sous-marines contre les vaisseaux neutres (</w:t>
      </w:r>
      <w:r w:rsidRPr="001E0C91">
        <w:rPr>
          <w:rFonts w:eastAsia="Calibri"/>
          <w:i/>
          <w:iCs/>
          <w:sz w:val="22"/>
          <w:szCs w:val="22"/>
          <w:lang w:val="fr-CA" w:eastAsia="en-US"/>
        </w:rPr>
        <w:t>Sussex pledge</w:t>
      </w:r>
      <w:r>
        <w:rPr>
          <w:rFonts w:eastAsia="Calibri"/>
          <w:sz w:val="22"/>
          <w:szCs w:val="22"/>
          <w:lang w:val="fr-CA" w:eastAsia="en-US"/>
        </w:rPr>
        <w:t xml:space="preserve">), jusqu’à ce que le commandement de la </w:t>
      </w:r>
      <w:r w:rsidRPr="001E0C91">
        <w:rPr>
          <w:rFonts w:eastAsia="Calibri"/>
          <w:i/>
          <w:iCs/>
          <w:sz w:val="22"/>
          <w:szCs w:val="22"/>
          <w:lang w:val="fr-CA" w:eastAsia="en-US"/>
        </w:rPr>
        <w:t>Kriegsmarine</w:t>
      </w:r>
      <w:r>
        <w:rPr>
          <w:rFonts w:eastAsia="Calibri"/>
          <w:sz w:val="22"/>
          <w:szCs w:val="22"/>
          <w:lang w:val="fr-CA" w:eastAsia="en-US"/>
        </w:rPr>
        <w:t xml:space="preserve"> réussisse à imposer la guerre sous-marine totale, en janvier 1917</w:t>
      </w:r>
      <w:r>
        <w:rPr>
          <w:rStyle w:val="FootnoteReference"/>
          <w:rFonts w:eastAsia="Calibri"/>
          <w:sz w:val="22"/>
          <w:szCs w:val="22"/>
          <w:lang w:val="fr-CA" w:eastAsia="en-US"/>
        </w:rPr>
        <w:footnoteReference w:id="167"/>
      </w:r>
      <w:r>
        <w:rPr>
          <w:rFonts w:eastAsia="Calibri"/>
          <w:sz w:val="22"/>
          <w:szCs w:val="22"/>
          <w:lang w:val="fr-CA" w:eastAsia="en-US"/>
        </w:rPr>
        <w:t>.</w:t>
      </w:r>
    </w:p>
    <w:p w14:paraId="5A3A2931" w14:textId="77777777" w:rsidR="000264D6" w:rsidRDefault="000264D6" w:rsidP="002B5319">
      <w:pPr>
        <w:spacing w:before="100" w:beforeAutospacing="1" w:after="100" w:afterAutospacing="1"/>
        <w:ind w:firstLine="720"/>
        <w:jc w:val="both"/>
        <w:rPr>
          <w:rFonts w:eastAsia="Calibri"/>
          <w:sz w:val="22"/>
          <w:szCs w:val="22"/>
          <w:lang w:val="fr-CA" w:eastAsia="en-US"/>
        </w:rPr>
      </w:pPr>
      <w:r>
        <w:rPr>
          <w:rFonts w:eastAsia="Calibri"/>
          <w:sz w:val="22"/>
          <w:szCs w:val="22"/>
          <w:lang w:val="fr-CA" w:eastAsia="en-US"/>
        </w:rPr>
        <w:t>Reste que pendant cette période</w:t>
      </w:r>
      <w:r w:rsidRPr="008379B4">
        <w:rPr>
          <w:rFonts w:eastAsia="Calibri"/>
          <w:sz w:val="22"/>
          <w:szCs w:val="22"/>
          <w:lang w:val="fr-CA" w:eastAsia="en-US"/>
        </w:rPr>
        <w:t>, la découverte d’espions allemands, en sol américain, contribu</w:t>
      </w:r>
      <w:r>
        <w:rPr>
          <w:rFonts w:eastAsia="Calibri"/>
          <w:sz w:val="22"/>
          <w:szCs w:val="22"/>
          <w:lang w:val="fr-CA" w:eastAsia="en-US"/>
        </w:rPr>
        <w:t>e</w:t>
      </w:r>
      <w:r w:rsidRPr="008379B4">
        <w:rPr>
          <w:rFonts w:eastAsia="Calibri"/>
          <w:sz w:val="22"/>
          <w:szCs w:val="22"/>
          <w:lang w:val="fr-CA" w:eastAsia="en-US"/>
        </w:rPr>
        <w:t xml:space="preserve"> à accroître les sentiments antigermaniques. La presse maintient la population dans un état constant d’affolement </w:t>
      </w:r>
      <w:r>
        <w:rPr>
          <w:rFonts w:eastAsia="Calibri"/>
          <w:sz w:val="22"/>
          <w:szCs w:val="22"/>
          <w:lang w:val="fr-CA" w:eastAsia="en-US"/>
        </w:rPr>
        <w:t xml:space="preserve">en </w:t>
      </w:r>
      <w:r w:rsidRPr="008379B4">
        <w:rPr>
          <w:rFonts w:eastAsia="Calibri"/>
          <w:sz w:val="22"/>
          <w:szCs w:val="22"/>
          <w:lang w:val="fr-CA" w:eastAsia="en-US"/>
        </w:rPr>
        <w:t>insinu</w:t>
      </w:r>
      <w:r>
        <w:rPr>
          <w:rFonts w:eastAsia="Calibri"/>
          <w:sz w:val="22"/>
          <w:szCs w:val="22"/>
          <w:lang w:val="fr-CA" w:eastAsia="en-US"/>
        </w:rPr>
        <w:t xml:space="preserve">ant </w:t>
      </w:r>
      <w:r w:rsidRPr="008379B4">
        <w:rPr>
          <w:rFonts w:eastAsia="Calibri"/>
          <w:sz w:val="22"/>
          <w:szCs w:val="22"/>
          <w:lang w:val="fr-CA" w:eastAsia="en-US"/>
        </w:rPr>
        <w:t>que des saboteurs allemands sont partout en Amérique. En fait, les saboteurs allemands auraient commis près de deux-cents actes de sabotage avant 1917 aux États-Unis et ils auraient causé pour 150 millions dollars de dommages</w:t>
      </w:r>
      <w:r w:rsidRPr="008379B4">
        <w:rPr>
          <w:rStyle w:val="FootnoteReference"/>
          <w:rFonts w:eastAsia="Calibri"/>
          <w:sz w:val="22"/>
          <w:szCs w:val="22"/>
          <w:lang w:val="fr-CA" w:eastAsia="en-US"/>
        </w:rPr>
        <w:footnoteReference w:id="168"/>
      </w:r>
      <w:r w:rsidRPr="008379B4">
        <w:rPr>
          <w:rFonts w:eastAsia="Calibri"/>
          <w:sz w:val="22"/>
          <w:szCs w:val="22"/>
          <w:lang w:val="fr-CA" w:eastAsia="en-US"/>
        </w:rPr>
        <w:t xml:space="preserve">. </w:t>
      </w:r>
      <w:r w:rsidRPr="008379B4">
        <w:rPr>
          <w:i/>
          <w:iCs/>
          <w:sz w:val="22"/>
          <w:szCs w:val="22"/>
          <w:lang w:val="fr-CA"/>
        </w:rPr>
        <w:t>L’Avenir National</w:t>
      </w:r>
      <w:r w:rsidRPr="008379B4">
        <w:rPr>
          <w:sz w:val="22"/>
          <w:szCs w:val="22"/>
          <w:lang w:val="fr-CA"/>
        </w:rPr>
        <w:t xml:space="preserve"> rapporte qu’un espion allemand aurait été tué au Lac</w:t>
      </w:r>
      <w:r w:rsidR="00F5530C">
        <w:rPr>
          <w:sz w:val="22"/>
          <w:szCs w:val="22"/>
          <w:lang w:val="fr-CA"/>
        </w:rPr>
        <w:t>-</w:t>
      </w:r>
      <w:r w:rsidRPr="008379B4">
        <w:rPr>
          <w:sz w:val="22"/>
          <w:szCs w:val="22"/>
          <w:lang w:val="fr-CA"/>
        </w:rPr>
        <w:t>Saint-Jean alors qu’il a détruit le pont du chemin de fer de la rivière Saint-Jean</w:t>
      </w:r>
      <w:r w:rsidRPr="008379B4">
        <w:rPr>
          <w:rStyle w:val="FootnoteReference"/>
          <w:sz w:val="22"/>
          <w:szCs w:val="22"/>
          <w:lang w:val="fr-CA"/>
        </w:rPr>
        <w:footnoteReference w:id="169"/>
      </w:r>
      <w:r w:rsidRPr="008379B4">
        <w:rPr>
          <w:sz w:val="22"/>
          <w:szCs w:val="22"/>
          <w:lang w:val="fr-CA"/>
        </w:rPr>
        <w:t xml:space="preserve">. En novembre 1915, le journal mentionne que les services de renseignement </w:t>
      </w:r>
      <w:r w:rsidRPr="00ED1688">
        <w:rPr>
          <w:sz w:val="22"/>
          <w:lang w:val="fr-CA"/>
        </w:rPr>
        <w:t>déclarent</w:t>
      </w:r>
      <w:r>
        <w:rPr>
          <w:sz w:val="22"/>
          <w:szCs w:val="22"/>
          <w:lang w:val="fr-CA"/>
        </w:rPr>
        <w:t xml:space="preserve"> </w:t>
      </w:r>
      <w:r w:rsidRPr="008379B4">
        <w:rPr>
          <w:sz w:val="22"/>
          <w:szCs w:val="22"/>
          <w:lang w:val="fr-CA"/>
        </w:rPr>
        <w:t xml:space="preserve">que cinq cent mille dollars auraient été dépensés pour nuire aux </w:t>
      </w:r>
      <w:r>
        <w:rPr>
          <w:sz w:val="22"/>
          <w:szCs w:val="22"/>
          <w:lang w:val="fr-CA"/>
        </w:rPr>
        <w:t>A</w:t>
      </w:r>
      <w:r w:rsidRPr="008379B4">
        <w:rPr>
          <w:sz w:val="22"/>
          <w:szCs w:val="22"/>
          <w:lang w:val="fr-CA"/>
        </w:rPr>
        <w:t>lliés en sol américain</w:t>
      </w:r>
      <w:r w:rsidRPr="008379B4">
        <w:rPr>
          <w:rStyle w:val="FootnoteReference"/>
          <w:sz w:val="22"/>
          <w:szCs w:val="22"/>
          <w:lang w:val="fr-CA"/>
        </w:rPr>
        <w:footnoteReference w:id="170"/>
      </w:r>
      <w:r w:rsidRPr="008379B4">
        <w:rPr>
          <w:sz w:val="22"/>
          <w:szCs w:val="22"/>
          <w:lang w:val="fr-CA"/>
        </w:rPr>
        <w:t xml:space="preserve">. Il est important de noter que les informations portant sur </w:t>
      </w:r>
      <w:r>
        <w:rPr>
          <w:sz w:val="22"/>
          <w:szCs w:val="22"/>
          <w:lang w:val="fr-CA"/>
        </w:rPr>
        <w:t xml:space="preserve">les </w:t>
      </w:r>
      <w:r w:rsidRPr="008379B4">
        <w:rPr>
          <w:sz w:val="22"/>
          <w:szCs w:val="22"/>
          <w:lang w:val="fr-CA"/>
        </w:rPr>
        <w:t xml:space="preserve">actions des Allemands en Amérique sont toujours rapportées par les bureaux des agences de presse centrales. </w:t>
      </w:r>
      <w:r w:rsidRPr="00773944">
        <w:rPr>
          <w:sz w:val="22"/>
          <w:szCs w:val="22"/>
          <w:lang w:val="fr-CA"/>
        </w:rPr>
        <w:t>Curieusement</w:t>
      </w:r>
      <w:r w:rsidRPr="008379B4">
        <w:rPr>
          <w:sz w:val="22"/>
          <w:szCs w:val="22"/>
          <w:lang w:val="fr-CA"/>
        </w:rPr>
        <w:t>, afin de maintenir cet état d</w:t>
      </w:r>
      <w:r>
        <w:rPr>
          <w:sz w:val="22"/>
          <w:szCs w:val="22"/>
          <w:lang w:val="fr-CA"/>
        </w:rPr>
        <w:t>’inquiétude</w:t>
      </w:r>
      <w:r w:rsidRPr="008379B4">
        <w:rPr>
          <w:sz w:val="22"/>
          <w:szCs w:val="22"/>
          <w:lang w:val="fr-CA"/>
        </w:rPr>
        <w:t xml:space="preserve">, </w:t>
      </w:r>
      <w:r w:rsidRPr="008379B4">
        <w:rPr>
          <w:i/>
          <w:iCs/>
          <w:sz w:val="22"/>
          <w:szCs w:val="22"/>
          <w:lang w:val="fr-CA"/>
        </w:rPr>
        <w:t>L’Avenir National</w:t>
      </w:r>
      <w:r w:rsidRPr="008379B4">
        <w:rPr>
          <w:sz w:val="22"/>
          <w:szCs w:val="22"/>
          <w:lang w:val="fr-CA"/>
        </w:rPr>
        <w:t xml:space="preserve"> avise la population de Manchester de faire preuve de sens critique par rapport aux informations de sources </w:t>
      </w:r>
      <w:r>
        <w:rPr>
          <w:sz w:val="22"/>
          <w:szCs w:val="22"/>
          <w:lang w:val="fr-CA"/>
        </w:rPr>
        <w:t>a</w:t>
      </w:r>
      <w:r w:rsidRPr="008379B4">
        <w:rPr>
          <w:sz w:val="22"/>
          <w:szCs w:val="22"/>
          <w:lang w:val="fr-CA"/>
        </w:rPr>
        <w:t>llemandes qui sont influencées par les dirigeants de la Triplice</w:t>
      </w:r>
      <w:r w:rsidRPr="008379B4">
        <w:rPr>
          <w:rStyle w:val="FootnoteReference"/>
          <w:sz w:val="22"/>
          <w:szCs w:val="22"/>
          <w:lang w:val="fr-CA"/>
        </w:rPr>
        <w:footnoteReference w:id="171"/>
      </w:r>
      <w:r w:rsidRPr="008379B4">
        <w:rPr>
          <w:sz w:val="22"/>
          <w:szCs w:val="22"/>
          <w:lang w:val="fr-CA"/>
        </w:rPr>
        <w:t>.</w:t>
      </w:r>
      <w:r>
        <w:rPr>
          <w:sz w:val="22"/>
          <w:szCs w:val="22"/>
          <w:lang w:val="fr-CA"/>
        </w:rPr>
        <w:t xml:space="preserve"> </w:t>
      </w:r>
      <w:r w:rsidRPr="00217EFC">
        <w:rPr>
          <w:rFonts w:eastAsia="Calibri"/>
          <w:sz w:val="22"/>
          <w:szCs w:val="22"/>
          <w:lang w:val="fr-CA" w:eastAsia="en-US"/>
        </w:rPr>
        <w:t>De mois en mois, le sentiment germanophobe continue de croître.</w:t>
      </w:r>
    </w:p>
    <w:p w14:paraId="044B1824" w14:textId="77777777" w:rsidR="000264D6" w:rsidRDefault="000264D6" w:rsidP="002B5319">
      <w:pPr>
        <w:spacing w:before="100" w:beforeAutospacing="1" w:after="100" w:afterAutospacing="1"/>
        <w:ind w:firstLine="720"/>
        <w:jc w:val="both"/>
        <w:rPr>
          <w:sz w:val="22"/>
          <w:szCs w:val="22"/>
          <w:lang w:val="fr-CA"/>
        </w:rPr>
      </w:pPr>
      <w:r w:rsidRPr="00217EFC">
        <w:rPr>
          <w:rFonts w:eastAsia="Calibri"/>
          <w:sz w:val="22"/>
          <w:szCs w:val="22"/>
          <w:lang w:val="fr-CA" w:eastAsia="en-US"/>
        </w:rPr>
        <w:t xml:space="preserve">Le 31 janvier 1917, l’ambassadeur </w:t>
      </w:r>
      <w:r>
        <w:rPr>
          <w:rFonts w:eastAsia="Calibri"/>
          <w:sz w:val="22"/>
          <w:szCs w:val="22"/>
          <w:lang w:val="fr-CA" w:eastAsia="en-US"/>
        </w:rPr>
        <w:t>allemand</w:t>
      </w:r>
      <w:r w:rsidRPr="00217EFC">
        <w:rPr>
          <w:rFonts w:eastAsia="Calibri"/>
          <w:sz w:val="22"/>
          <w:szCs w:val="22"/>
          <w:lang w:val="fr-CA" w:eastAsia="en-US"/>
        </w:rPr>
        <w:t xml:space="preserve"> avise le Secrétaire d’État que les sous-marins allemands commenceraient à couler, à partir du 1</w:t>
      </w:r>
      <w:r w:rsidRPr="00217EFC">
        <w:rPr>
          <w:rFonts w:eastAsia="Calibri"/>
          <w:sz w:val="22"/>
          <w:szCs w:val="22"/>
          <w:vertAlign w:val="superscript"/>
          <w:lang w:val="fr-CA" w:eastAsia="en-US"/>
        </w:rPr>
        <w:t>er</w:t>
      </w:r>
      <w:r w:rsidRPr="00217EFC">
        <w:rPr>
          <w:rFonts w:eastAsia="Calibri"/>
          <w:sz w:val="22"/>
          <w:szCs w:val="22"/>
          <w:lang w:val="fr-CA" w:eastAsia="en-US"/>
        </w:rPr>
        <w:t xml:space="preserve"> février 1917, tous les navires qui entreraient dans la zone de guerre</w:t>
      </w:r>
      <w:r>
        <w:rPr>
          <w:rFonts w:eastAsia="Calibri"/>
          <w:sz w:val="22"/>
          <w:szCs w:val="22"/>
          <w:lang w:val="fr-CA" w:eastAsia="en-US"/>
        </w:rPr>
        <w:t xml:space="preserve"> (déclaration de guerre sous-marine à outrance)</w:t>
      </w:r>
      <w:r w:rsidRPr="00217EFC">
        <w:rPr>
          <w:rFonts w:eastAsia="Calibri"/>
          <w:sz w:val="22"/>
          <w:szCs w:val="22"/>
          <w:lang w:val="fr-CA" w:eastAsia="en-US"/>
        </w:rPr>
        <w:t>. La riposte américaine est venue le 3 février 1917, lorsque les États-Unis rompent leurs relations diplomatiques avec l’</w:t>
      </w:r>
      <w:r>
        <w:rPr>
          <w:rFonts w:eastAsia="Calibri"/>
          <w:sz w:val="22"/>
          <w:szCs w:val="22"/>
          <w:lang w:val="fr-CA" w:eastAsia="en-US"/>
        </w:rPr>
        <w:t>Allemagne</w:t>
      </w:r>
      <w:r w:rsidRPr="00217EFC">
        <w:rPr>
          <w:rFonts w:eastAsia="Calibri"/>
          <w:sz w:val="22"/>
          <w:szCs w:val="22"/>
          <w:lang w:val="fr-CA" w:eastAsia="en-US"/>
        </w:rPr>
        <w:t>. Finalement, deux autres événements subséquents en 1917 font monter les tensions entre Américains et Allemands. Le premier a été</w:t>
      </w:r>
      <w:r>
        <w:rPr>
          <w:rFonts w:eastAsia="Calibri"/>
          <w:sz w:val="22"/>
          <w:szCs w:val="22"/>
          <w:lang w:val="fr-CA" w:eastAsia="en-US"/>
        </w:rPr>
        <w:t xml:space="preserve"> </w:t>
      </w:r>
      <w:r w:rsidRPr="00217EFC">
        <w:rPr>
          <w:rFonts w:eastAsia="Calibri"/>
          <w:sz w:val="22"/>
          <w:szCs w:val="22"/>
          <w:lang w:val="fr-CA" w:eastAsia="en-US"/>
        </w:rPr>
        <w:t>l’annonce publique, le 1</w:t>
      </w:r>
      <w:r w:rsidRPr="00217EFC">
        <w:rPr>
          <w:rFonts w:eastAsia="Calibri"/>
          <w:sz w:val="22"/>
          <w:szCs w:val="22"/>
          <w:vertAlign w:val="superscript"/>
          <w:lang w:val="fr-CA" w:eastAsia="en-US"/>
        </w:rPr>
        <w:t>er</w:t>
      </w:r>
      <w:r w:rsidRPr="00217EFC">
        <w:rPr>
          <w:rFonts w:eastAsia="Calibri"/>
          <w:sz w:val="22"/>
          <w:szCs w:val="22"/>
          <w:lang w:val="fr-CA" w:eastAsia="en-US"/>
        </w:rPr>
        <w:t xml:space="preserve"> mars, par les Britanniques qu</w:t>
      </w:r>
      <w:r>
        <w:rPr>
          <w:rFonts w:eastAsia="Calibri"/>
          <w:sz w:val="22"/>
          <w:szCs w:val="22"/>
          <w:lang w:val="fr-CA" w:eastAsia="en-US"/>
        </w:rPr>
        <w:t>’i</w:t>
      </w:r>
      <w:r w:rsidRPr="00217EFC">
        <w:rPr>
          <w:rFonts w:eastAsia="Calibri"/>
          <w:sz w:val="22"/>
          <w:szCs w:val="22"/>
          <w:lang w:val="fr-CA" w:eastAsia="en-US"/>
        </w:rPr>
        <w:t>ls avaient intercepté</w:t>
      </w:r>
      <w:r w:rsidR="00F5530C">
        <w:rPr>
          <w:rFonts w:eastAsia="Calibri"/>
          <w:sz w:val="22"/>
          <w:szCs w:val="22"/>
          <w:lang w:val="fr-CA" w:eastAsia="en-US"/>
        </w:rPr>
        <w:t>s</w:t>
      </w:r>
      <w:r w:rsidRPr="00217EFC">
        <w:rPr>
          <w:rFonts w:eastAsia="Calibri"/>
          <w:sz w:val="22"/>
          <w:szCs w:val="22"/>
          <w:lang w:val="fr-CA" w:eastAsia="en-US"/>
        </w:rPr>
        <w:t xml:space="preserve"> un télégramme du ministre des Affaires étrangères allemandes</w:t>
      </w:r>
      <w:r>
        <w:rPr>
          <w:rFonts w:eastAsia="Calibri"/>
          <w:sz w:val="22"/>
          <w:szCs w:val="22"/>
          <w:lang w:val="fr-CA" w:eastAsia="en-US"/>
        </w:rPr>
        <w:t>, Zimmerman</w:t>
      </w:r>
      <w:r w:rsidRPr="00217EFC">
        <w:rPr>
          <w:rFonts w:eastAsia="Calibri"/>
          <w:sz w:val="22"/>
          <w:szCs w:val="22"/>
          <w:lang w:val="fr-CA" w:eastAsia="en-US"/>
        </w:rPr>
        <w:t xml:space="preserve">. Ce dernier incitait le gouvernement mexicain à s’allier avec l’Allemagne en retour de compensation territoriale </w:t>
      </w:r>
      <w:r>
        <w:rPr>
          <w:rFonts w:eastAsia="Calibri"/>
          <w:sz w:val="22"/>
          <w:szCs w:val="22"/>
          <w:lang w:val="fr-CA" w:eastAsia="en-US"/>
        </w:rPr>
        <w:t xml:space="preserve">incluant le territoire conquis par les États-Unis lors de </w:t>
      </w:r>
      <w:r w:rsidRPr="00217EFC">
        <w:rPr>
          <w:rFonts w:eastAsia="Calibri"/>
          <w:sz w:val="22"/>
          <w:szCs w:val="22"/>
          <w:lang w:val="fr-CA" w:eastAsia="en-US"/>
        </w:rPr>
        <w:t xml:space="preserve">la </w:t>
      </w:r>
      <w:r>
        <w:rPr>
          <w:rFonts w:eastAsia="Calibri"/>
          <w:sz w:val="22"/>
          <w:szCs w:val="22"/>
          <w:lang w:val="fr-CA" w:eastAsia="en-US"/>
        </w:rPr>
        <w:t xml:space="preserve">guerre américano-mexicaine de 1846-1848. L’autre </w:t>
      </w:r>
      <w:r w:rsidRPr="00217EFC">
        <w:rPr>
          <w:rFonts w:eastAsia="Calibri"/>
          <w:sz w:val="22"/>
          <w:szCs w:val="22"/>
          <w:lang w:val="fr-CA" w:eastAsia="en-US"/>
        </w:rPr>
        <w:t>incident</w:t>
      </w:r>
      <w:r>
        <w:rPr>
          <w:rFonts w:eastAsia="Calibri"/>
          <w:sz w:val="22"/>
          <w:szCs w:val="22"/>
          <w:lang w:val="fr-CA" w:eastAsia="en-US"/>
        </w:rPr>
        <w:t xml:space="preserve"> implique</w:t>
      </w:r>
      <w:r w:rsidRPr="00217EFC">
        <w:rPr>
          <w:rFonts w:eastAsia="Calibri"/>
          <w:sz w:val="22"/>
          <w:szCs w:val="22"/>
          <w:lang w:val="fr-CA" w:eastAsia="en-US"/>
        </w:rPr>
        <w:t xml:space="preserve"> trois navires américains </w:t>
      </w:r>
      <w:r>
        <w:rPr>
          <w:rFonts w:eastAsia="Calibri"/>
          <w:sz w:val="22"/>
          <w:szCs w:val="22"/>
          <w:lang w:val="fr-CA" w:eastAsia="en-US"/>
        </w:rPr>
        <w:t>qui</w:t>
      </w:r>
      <w:r w:rsidRPr="00217EFC">
        <w:rPr>
          <w:rFonts w:eastAsia="Calibri"/>
          <w:sz w:val="22"/>
          <w:szCs w:val="22"/>
          <w:lang w:val="fr-CA" w:eastAsia="en-US"/>
        </w:rPr>
        <w:t xml:space="preserve"> sont torpillés par </w:t>
      </w:r>
      <w:r>
        <w:rPr>
          <w:rFonts w:eastAsia="Calibri"/>
          <w:sz w:val="22"/>
          <w:szCs w:val="22"/>
          <w:lang w:val="fr-CA" w:eastAsia="en-US"/>
        </w:rPr>
        <w:t xml:space="preserve">des </w:t>
      </w:r>
      <w:r w:rsidRPr="00217EFC">
        <w:rPr>
          <w:rFonts w:eastAsia="Calibri"/>
          <w:i/>
          <w:sz w:val="22"/>
          <w:szCs w:val="22"/>
          <w:lang w:val="fr-CA" w:eastAsia="en-US"/>
        </w:rPr>
        <w:t>U-Boot</w:t>
      </w:r>
      <w:r>
        <w:rPr>
          <w:rFonts w:eastAsia="Calibri"/>
          <w:i/>
          <w:sz w:val="22"/>
          <w:szCs w:val="22"/>
          <w:lang w:val="fr-CA" w:eastAsia="en-US"/>
        </w:rPr>
        <w:t>s</w:t>
      </w:r>
      <w:r w:rsidRPr="00217EFC">
        <w:rPr>
          <w:rFonts w:eastAsia="Calibri"/>
          <w:sz w:val="22"/>
          <w:szCs w:val="22"/>
          <w:lang w:val="fr-CA" w:eastAsia="en-US"/>
        </w:rPr>
        <w:t xml:space="preserve">, </w:t>
      </w:r>
      <w:r>
        <w:rPr>
          <w:rFonts w:eastAsia="Calibri"/>
          <w:sz w:val="22"/>
          <w:szCs w:val="22"/>
          <w:lang w:val="fr-CA" w:eastAsia="en-US"/>
        </w:rPr>
        <w:t xml:space="preserve">en </w:t>
      </w:r>
      <w:r w:rsidRPr="00217EFC">
        <w:rPr>
          <w:rFonts w:eastAsia="Calibri"/>
          <w:sz w:val="22"/>
          <w:szCs w:val="22"/>
          <w:lang w:val="fr-CA" w:eastAsia="en-US"/>
        </w:rPr>
        <w:t>mars 1917</w:t>
      </w:r>
      <w:r w:rsidRPr="00217EFC">
        <w:rPr>
          <w:rStyle w:val="FootnoteReference"/>
          <w:rFonts w:eastAsia="Calibri"/>
          <w:sz w:val="22"/>
          <w:szCs w:val="22"/>
          <w:lang w:val="fr-CA" w:eastAsia="en-US"/>
        </w:rPr>
        <w:footnoteReference w:id="172"/>
      </w:r>
      <w:r w:rsidRPr="00217EFC">
        <w:rPr>
          <w:rFonts w:eastAsia="Calibri"/>
          <w:sz w:val="22"/>
          <w:szCs w:val="22"/>
          <w:lang w:val="fr-CA" w:eastAsia="en-US"/>
        </w:rPr>
        <w:t xml:space="preserve">. </w:t>
      </w:r>
      <w:r>
        <w:rPr>
          <w:rFonts w:eastAsia="Calibri"/>
          <w:sz w:val="22"/>
          <w:szCs w:val="22"/>
          <w:lang w:val="fr-CA" w:eastAsia="en-US"/>
        </w:rPr>
        <w:t xml:space="preserve">Cette situation amène </w:t>
      </w:r>
      <w:r w:rsidRPr="00217EFC">
        <w:rPr>
          <w:rFonts w:eastAsia="Calibri"/>
          <w:sz w:val="22"/>
          <w:szCs w:val="22"/>
          <w:lang w:val="fr-CA" w:eastAsia="en-US"/>
        </w:rPr>
        <w:t xml:space="preserve">le Président Wilson à </w:t>
      </w:r>
      <w:r w:rsidRPr="00217EFC">
        <w:rPr>
          <w:rFonts w:eastAsia="Calibri"/>
          <w:sz w:val="22"/>
          <w:szCs w:val="22"/>
          <w:lang w:val="fr-CA" w:eastAsia="en-US"/>
        </w:rPr>
        <w:lastRenderedPageBreak/>
        <w:t>demander</w:t>
      </w:r>
      <w:r>
        <w:rPr>
          <w:rFonts w:eastAsia="Calibri"/>
          <w:sz w:val="22"/>
          <w:szCs w:val="22"/>
          <w:lang w:val="fr-CA" w:eastAsia="en-US"/>
        </w:rPr>
        <w:t>,</w:t>
      </w:r>
      <w:r w:rsidRPr="00217EFC">
        <w:rPr>
          <w:rFonts w:eastAsia="Calibri"/>
          <w:sz w:val="22"/>
          <w:szCs w:val="22"/>
          <w:lang w:val="fr-CA" w:eastAsia="en-US"/>
        </w:rPr>
        <w:t xml:space="preserve"> le 2 avril</w:t>
      </w:r>
      <w:r>
        <w:rPr>
          <w:rFonts w:eastAsia="Calibri"/>
          <w:sz w:val="22"/>
          <w:szCs w:val="22"/>
          <w:lang w:val="fr-CA" w:eastAsia="en-US"/>
        </w:rPr>
        <w:t xml:space="preserve">, </w:t>
      </w:r>
      <w:r w:rsidRPr="00217EFC">
        <w:rPr>
          <w:rFonts w:eastAsia="Calibri"/>
          <w:sz w:val="22"/>
          <w:szCs w:val="22"/>
          <w:lang w:val="fr-CA" w:eastAsia="en-US"/>
        </w:rPr>
        <w:t xml:space="preserve">au </w:t>
      </w:r>
      <w:r>
        <w:rPr>
          <w:rFonts w:eastAsia="Calibri"/>
          <w:sz w:val="22"/>
          <w:szCs w:val="22"/>
          <w:lang w:val="fr-CA" w:eastAsia="en-US"/>
        </w:rPr>
        <w:t xml:space="preserve">Congrès de </w:t>
      </w:r>
      <w:r w:rsidRPr="00217EFC">
        <w:rPr>
          <w:rFonts w:eastAsia="Calibri"/>
          <w:sz w:val="22"/>
          <w:szCs w:val="22"/>
          <w:lang w:val="fr-CA" w:eastAsia="en-US"/>
        </w:rPr>
        <w:t>déclarer la guerre à l’</w:t>
      </w:r>
      <w:r>
        <w:rPr>
          <w:rFonts w:eastAsia="Calibri"/>
          <w:sz w:val="22"/>
          <w:szCs w:val="22"/>
          <w:lang w:val="fr-CA" w:eastAsia="en-US"/>
        </w:rPr>
        <w:t xml:space="preserve">Allemagne, ce qui fut fait le </w:t>
      </w:r>
      <w:r w:rsidRPr="00217EFC">
        <w:rPr>
          <w:rFonts w:eastAsia="Calibri"/>
          <w:sz w:val="22"/>
          <w:szCs w:val="22"/>
          <w:lang w:val="fr-CA" w:eastAsia="en-US"/>
        </w:rPr>
        <w:t>6 avril 1917</w:t>
      </w:r>
      <w:r>
        <w:rPr>
          <w:rFonts w:eastAsia="Calibri"/>
          <w:sz w:val="22"/>
          <w:szCs w:val="22"/>
          <w:lang w:val="fr-CA" w:eastAsia="en-US"/>
        </w:rPr>
        <w:t xml:space="preserve">. Les </w:t>
      </w:r>
      <w:r w:rsidRPr="00217EFC">
        <w:rPr>
          <w:rFonts w:eastAsia="Calibri"/>
          <w:sz w:val="22"/>
          <w:szCs w:val="22"/>
          <w:lang w:val="fr-CA" w:eastAsia="en-US"/>
        </w:rPr>
        <w:t xml:space="preserve">États-Unis </w:t>
      </w:r>
      <w:r>
        <w:rPr>
          <w:rFonts w:eastAsia="Calibri"/>
          <w:sz w:val="22"/>
          <w:szCs w:val="22"/>
          <w:lang w:val="fr-CA" w:eastAsia="en-US"/>
        </w:rPr>
        <w:t xml:space="preserve">entrent alors officiellement </w:t>
      </w:r>
      <w:r w:rsidRPr="00217EFC">
        <w:rPr>
          <w:rFonts w:eastAsia="Calibri"/>
          <w:sz w:val="22"/>
          <w:szCs w:val="22"/>
          <w:lang w:val="fr-CA" w:eastAsia="en-US"/>
        </w:rPr>
        <w:t>dans la Grande Guerre</w:t>
      </w:r>
      <w:r w:rsidRPr="00217EFC">
        <w:rPr>
          <w:rStyle w:val="FootnoteReference"/>
          <w:rFonts w:eastAsia="Calibri"/>
          <w:sz w:val="22"/>
          <w:szCs w:val="22"/>
          <w:lang w:val="fr-CA" w:eastAsia="en-US"/>
        </w:rPr>
        <w:footnoteReference w:id="173"/>
      </w:r>
      <w:r w:rsidRPr="00217EFC">
        <w:rPr>
          <w:rFonts w:eastAsia="Calibri"/>
          <w:sz w:val="22"/>
          <w:szCs w:val="22"/>
          <w:lang w:val="fr-CA" w:eastAsia="en-US"/>
        </w:rPr>
        <w:t>.</w:t>
      </w:r>
      <w:bookmarkStart w:id="8" w:name="_Hlk23427831"/>
    </w:p>
    <w:p w14:paraId="4FE9E0AA" w14:textId="77777777" w:rsidR="000264D6"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Quant aux </w:t>
      </w:r>
      <w:r>
        <w:rPr>
          <w:sz w:val="22"/>
          <w:szCs w:val="22"/>
          <w:lang w:val="fr-CA"/>
        </w:rPr>
        <w:t>actions</w:t>
      </w:r>
      <w:r w:rsidRPr="00217EFC">
        <w:rPr>
          <w:sz w:val="22"/>
          <w:szCs w:val="22"/>
          <w:lang w:val="fr-CA"/>
        </w:rPr>
        <w:t xml:space="preserve"> de la population de Manchester</w:t>
      </w:r>
      <w:r>
        <w:rPr>
          <w:sz w:val="22"/>
          <w:szCs w:val="22"/>
          <w:lang w:val="fr-CA"/>
        </w:rPr>
        <w:t xml:space="preserve"> devant de tels événements</w:t>
      </w:r>
      <w:r w:rsidRPr="00217EFC">
        <w:rPr>
          <w:sz w:val="22"/>
          <w:szCs w:val="22"/>
          <w:lang w:val="fr-CA"/>
        </w:rPr>
        <w:t>, nous constat</w:t>
      </w:r>
      <w:r>
        <w:rPr>
          <w:sz w:val="22"/>
          <w:szCs w:val="22"/>
          <w:lang w:val="fr-CA"/>
        </w:rPr>
        <w:t>ons que</w:t>
      </w:r>
      <w:r w:rsidRPr="00217EFC">
        <w:rPr>
          <w:sz w:val="22"/>
          <w:szCs w:val="22"/>
          <w:lang w:val="fr-CA"/>
        </w:rPr>
        <w:t xml:space="preserve"> dès l’invasion de la Belgique en août </w:t>
      </w:r>
      <w:r w:rsidRPr="00A908BD">
        <w:rPr>
          <w:sz w:val="22"/>
          <w:lang w:val="fr-CA"/>
        </w:rPr>
        <w:t>1914,</w:t>
      </w:r>
      <w:r w:rsidRPr="00217EFC">
        <w:rPr>
          <w:sz w:val="22"/>
          <w:szCs w:val="22"/>
          <w:lang w:val="fr-CA"/>
        </w:rPr>
        <w:t xml:space="preserve"> la communauté belge de Manchester se réunit </w:t>
      </w:r>
      <w:r>
        <w:rPr>
          <w:sz w:val="22"/>
          <w:szCs w:val="22"/>
          <w:lang w:val="fr-CA"/>
        </w:rPr>
        <w:t xml:space="preserve">pour </w:t>
      </w:r>
      <w:r w:rsidRPr="00217EFC">
        <w:rPr>
          <w:sz w:val="22"/>
          <w:szCs w:val="22"/>
          <w:lang w:val="fr-CA"/>
        </w:rPr>
        <w:t xml:space="preserve">créer un comité d’aide pour </w:t>
      </w:r>
      <w:r>
        <w:rPr>
          <w:sz w:val="22"/>
          <w:szCs w:val="22"/>
          <w:lang w:val="fr-CA"/>
        </w:rPr>
        <w:t>recueillir</w:t>
      </w:r>
      <w:r w:rsidRPr="00217EFC">
        <w:rPr>
          <w:sz w:val="22"/>
          <w:szCs w:val="22"/>
          <w:lang w:val="fr-CA"/>
        </w:rPr>
        <w:t xml:space="preserve"> des fonds pour aider les populations </w:t>
      </w:r>
      <w:r>
        <w:rPr>
          <w:sz w:val="22"/>
          <w:szCs w:val="22"/>
          <w:lang w:val="fr-CA"/>
        </w:rPr>
        <w:t>belges</w:t>
      </w:r>
      <w:r w:rsidRPr="00217EFC">
        <w:rPr>
          <w:sz w:val="22"/>
          <w:szCs w:val="22"/>
          <w:lang w:val="fr-CA"/>
        </w:rPr>
        <w:t xml:space="preserve">. </w:t>
      </w:r>
      <w:r>
        <w:rPr>
          <w:sz w:val="22"/>
          <w:szCs w:val="22"/>
          <w:lang w:val="fr-CA"/>
        </w:rPr>
        <w:t xml:space="preserve">Le comité </w:t>
      </w:r>
      <w:r w:rsidRPr="00217EFC">
        <w:rPr>
          <w:sz w:val="22"/>
          <w:szCs w:val="22"/>
          <w:lang w:val="fr-CA"/>
        </w:rPr>
        <w:t xml:space="preserve">travaille </w:t>
      </w:r>
      <w:r>
        <w:rPr>
          <w:sz w:val="22"/>
          <w:szCs w:val="22"/>
          <w:lang w:val="fr-CA"/>
        </w:rPr>
        <w:t xml:space="preserve">de concert </w:t>
      </w:r>
      <w:r w:rsidRPr="00217EFC">
        <w:rPr>
          <w:sz w:val="22"/>
          <w:szCs w:val="22"/>
          <w:lang w:val="fr-CA"/>
        </w:rPr>
        <w:t xml:space="preserve">avec la Commission </w:t>
      </w:r>
      <w:r w:rsidR="00F5530C">
        <w:rPr>
          <w:sz w:val="22"/>
          <w:szCs w:val="22"/>
          <w:lang w:val="fr-CA"/>
        </w:rPr>
        <w:t>r</w:t>
      </w:r>
      <w:r w:rsidRPr="00217EFC">
        <w:rPr>
          <w:sz w:val="22"/>
          <w:szCs w:val="22"/>
          <w:lang w:val="fr-CA"/>
        </w:rPr>
        <w:t>oyale belge qui visite les États-Unis</w:t>
      </w:r>
      <w:r w:rsidRPr="00217EFC">
        <w:rPr>
          <w:rStyle w:val="FootnoteReference"/>
          <w:sz w:val="22"/>
          <w:szCs w:val="22"/>
          <w:lang w:val="fr-CA"/>
        </w:rPr>
        <w:footnoteReference w:id="174"/>
      </w:r>
      <w:r w:rsidRPr="00217EFC">
        <w:rPr>
          <w:sz w:val="22"/>
          <w:szCs w:val="22"/>
          <w:lang w:val="fr-CA"/>
        </w:rPr>
        <w:t xml:space="preserve">. Ensuite, </w:t>
      </w:r>
      <w:r>
        <w:rPr>
          <w:sz w:val="22"/>
          <w:szCs w:val="22"/>
          <w:lang w:val="fr-CA"/>
        </w:rPr>
        <w:t>l</w:t>
      </w:r>
      <w:r w:rsidRPr="00217EFC">
        <w:rPr>
          <w:sz w:val="22"/>
          <w:szCs w:val="22"/>
          <w:lang w:val="fr-CA"/>
        </w:rPr>
        <w:t xml:space="preserve">e comité d’aide humanitaire de la Croix-Rouge est fondé, le 10 octobre 1914 à Manchester. Or, les </w:t>
      </w:r>
      <w:r w:rsidRPr="007416AD">
        <w:rPr>
          <w:sz w:val="22"/>
          <w:szCs w:val="22"/>
          <w:lang w:val="fr-CA"/>
        </w:rPr>
        <w:t>Dames de la Croix-Rouge</w:t>
      </w:r>
      <w:r w:rsidRPr="00217EFC">
        <w:rPr>
          <w:sz w:val="22"/>
          <w:szCs w:val="22"/>
          <w:lang w:val="fr-CA"/>
        </w:rPr>
        <w:t xml:space="preserve"> «</w:t>
      </w:r>
      <w:r w:rsidR="00F5530C">
        <w:rPr>
          <w:sz w:val="22"/>
          <w:szCs w:val="22"/>
          <w:lang w:val="fr-CA"/>
        </w:rPr>
        <w:t> </w:t>
      </w:r>
      <w:r w:rsidRPr="00217EFC">
        <w:rPr>
          <w:sz w:val="22"/>
          <w:szCs w:val="22"/>
          <w:lang w:val="fr-CA"/>
        </w:rPr>
        <w:t>s’occupent de former un fonds de secours</w:t>
      </w:r>
      <w:r w:rsidR="00F5530C">
        <w:rPr>
          <w:sz w:val="22"/>
          <w:szCs w:val="22"/>
          <w:lang w:val="fr-CA"/>
        </w:rPr>
        <w:t> </w:t>
      </w:r>
      <w:r w:rsidRPr="00217EFC">
        <w:rPr>
          <w:sz w:val="22"/>
          <w:szCs w:val="22"/>
          <w:lang w:val="fr-CA"/>
        </w:rPr>
        <w:t>»</w:t>
      </w:r>
      <w:r w:rsidRPr="00217EFC">
        <w:rPr>
          <w:rStyle w:val="FootnoteReference"/>
          <w:sz w:val="22"/>
          <w:szCs w:val="22"/>
          <w:lang w:val="fr-CA"/>
        </w:rPr>
        <w:footnoteReference w:id="175"/>
      </w:r>
      <w:r w:rsidRPr="00217EFC">
        <w:rPr>
          <w:sz w:val="22"/>
          <w:szCs w:val="22"/>
          <w:lang w:val="fr-CA"/>
        </w:rPr>
        <w:t xml:space="preserve"> pour ainsi «</w:t>
      </w:r>
      <w:r w:rsidR="00F5530C">
        <w:rPr>
          <w:sz w:val="22"/>
          <w:szCs w:val="22"/>
          <w:lang w:val="fr-CA"/>
        </w:rPr>
        <w:t> </w:t>
      </w:r>
      <w:r w:rsidRPr="00217EFC">
        <w:rPr>
          <w:sz w:val="22"/>
          <w:szCs w:val="22"/>
          <w:lang w:val="fr-CA"/>
        </w:rPr>
        <w:t>procurer aux soldats blessés et convalescents de la guerre d’Europe les vêtements et accessoires d’infirmerie</w:t>
      </w:r>
      <w:r w:rsidR="00F5530C">
        <w:rPr>
          <w:sz w:val="22"/>
          <w:szCs w:val="22"/>
          <w:lang w:val="fr-CA"/>
        </w:rPr>
        <w:t> </w:t>
      </w:r>
      <w:r w:rsidRPr="00217EFC">
        <w:rPr>
          <w:sz w:val="22"/>
          <w:szCs w:val="22"/>
          <w:lang w:val="fr-CA"/>
        </w:rPr>
        <w:t>»</w:t>
      </w:r>
      <w:r w:rsidRPr="00217EFC">
        <w:rPr>
          <w:rStyle w:val="FootnoteReference"/>
          <w:sz w:val="22"/>
          <w:szCs w:val="22"/>
          <w:lang w:val="fr-CA"/>
        </w:rPr>
        <w:footnoteReference w:id="176"/>
      </w:r>
      <w:r w:rsidRPr="00217EFC">
        <w:rPr>
          <w:sz w:val="22"/>
          <w:szCs w:val="22"/>
          <w:lang w:val="fr-CA"/>
        </w:rPr>
        <w:t>. Le comité d’approvisionnement, sous la présidence de Mme</w:t>
      </w:r>
      <w:r w:rsidR="00A147CC">
        <w:rPr>
          <w:sz w:val="22"/>
          <w:szCs w:val="22"/>
          <w:lang w:val="fr-CA"/>
        </w:rPr>
        <w:t> </w:t>
      </w:r>
      <w:r w:rsidRPr="00217EFC">
        <w:rPr>
          <w:sz w:val="22"/>
          <w:szCs w:val="22"/>
          <w:lang w:val="fr-CA"/>
        </w:rPr>
        <w:t xml:space="preserve">Varney, accepte non seulement des dons en argent, mais aussi du matériel comme des draps, de la flanelle, du coton pour confectionner des pansements et du coton ordinaire. De plus, trois tailleurs de la ville sont recrutés par </w:t>
      </w:r>
      <w:r>
        <w:rPr>
          <w:sz w:val="22"/>
          <w:szCs w:val="22"/>
          <w:lang w:val="fr-CA"/>
        </w:rPr>
        <w:t xml:space="preserve">le </w:t>
      </w:r>
      <w:r w:rsidRPr="00217EFC">
        <w:rPr>
          <w:sz w:val="22"/>
          <w:szCs w:val="22"/>
          <w:lang w:val="fr-CA"/>
        </w:rPr>
        <w:t>comité</w:t>
      </w:r>
      <w:r>
        <w:rPr>
          <w:sz w:val="22"/>
          <w:szCs w:val="22"/>
          <w:lang w:val="fr-CA"/>
        </w:rPr>
        <w:t xml:space="preserve"> pour </w:t>
      </w:r>
      <w:r w:rsidRPr="00217EFC">
        <w:rPr>
          <w:sz w:val="22"/>
          <w:szCs w:val="22"/>
          <w:lang w:val="fr-CA"/>
        </w:rPr>
        <w:t>fourni</w:t>
      </w:r>
      <w:r>
        <w:rPr>
          <w:sz w:val="22"/>
          <w:szCs w:val="22"/>
          <w:lang w:val="fr-CA"/>
        </w:rPr>
        <w:t xml:space="preserve">r </w:t>
      </w:r>
      <w:r w:rsidRPr="00217EFC">
        <w:rPr>
          <w:sz w:val="22"/>
          <w:szCs w:val="22"/>
          <w:lang w:val="fr-CA"/>
        </w:rPr>
        <w:t xml:space="preserve">575 verges de tissus taillés, </w:t>
      </w:r>
      <w:r>
        <w:rPr>
          <w:sz w:val="22"/>
          <w:szCs w:val="22"/>
          <w:lang w:val="fr-CA"/>
        </w:rPr>
        <w:t xml:space="preserve">pour la production </w:t>
      </w:r>
      <w:r w:rsidRPr="00217EFC">
        <w:rPr>
          <w:sz w:val="22"/>
          <w:szCs w:val="22"/>
          <w:lang w:val="fr-CA"/>
        </w:rPr>
        <w:t>de pyjamas</w:t>
      </w:r>
      <w:r w:rsidRPr="00217EFC">
        <w:rPr>
          <w:rStyle w:val="FootnoteReference"/>
          <w:sz w:val="22"/>
          <w:szCs w:val="22"/>
          <w:lang w:val="fr-CA"/>
        </w:rPr>
        <w:footnoteReference w:id="177"/>
      </w:r>
      <w:r w:rsidRPr="00217EFC">
        <w:rPr>
          <w:sz w:val="22"/>
          <w:szCs w:val="22"/>
          <w:lang w:val="fr-CA"/>
        </w:rPr>
        <w:t xml:space="preserve">. Finalement, </w:t>
      </w:r>
      <w:r>
        <w:rPr>
          <w:sz w:val="22"/>
          <w:szCs w:val="22"/>
          <w:lang w:val="fr-CA"/>
        </w:rPr>
        <w:t xml:space="preserve">le </w:t>
      </w:r>
      <w:r w:rsidRPr="00217EFC">
        <w:rPr>
          <w:sz w:val="22"/>
          <w:szCs w:val="22"/>
          <w:lang w:val="fr-CA"/>
        </w:rPr>
        <w:t>vendredi 16 octobre 1914, la succursale Manchester de la Croix-Rouge du New Hampshire élit le reste de ses membres. Lors de cette assemblé</w:t>
      </w:r>
      <w:r>
        <w:rPr>
          <w:sz w:val="22"/>
          <w:szCs w:val="22"/>
          <w:lang w:val="fr-CA"/>
        </w:rPr>
        <w:t>e</w:t>
      </w:r>
      <w:r w:rsidRPr="00217EFC">
        <w:rPr>
          <w:sz w:val="22"/>
          <w:szCs w:val="22"/>
          <w:lang w:val="fr-CA"/>
        </w:rPr>
        <w:t>, 24 des 25 représentants des sociétés fraternelles de la ville</w:t>
      </w:r>
      <w:r>
        <w:rPr>
          <w:sz w:val="22"/>
          <w:szCs w:val="22"/>
          <w:lang w:val="fr-CA"/>
        </w:rPr>
        <w:t xml:space="preserve"> </w:t>
      </w:r>
      <w:r w:rsidRPr="00217EFC">
        <w:rPr>
          <w:sz w:val="22"/>
          <w:szCs w:val="22"/>
          <w:lang w:val="fr-CA"/>
        </w:rPr>
        <w:t xml:space="preserve">acceptent d’appuyer la Croix-Rouge. </w:t>
      </w:r>
      <w:r>
        <w:rPr>
          <w:sz w:val="22"/>
          <w:szCs w:val="22"/>
          <w:lang w:val="fr-CA"/>
        </w:rPr>
        <w:t>De plus, s</w:t>
      </w:r>
      <w:r w:rsidRPr="00217EFC">
        <w:rPr>
          <w:sz w:val="22"/>
          <w:szCs w:val="22"/>
          <w:lang w:val="fr-CA"/>
        </w:rPr>
        <w:t>a présidente, Mme</w:t>
      </w:r>
      <w:r w:rsidR="00A147CC">
        <w:rPr>
          <w:sz w:val="22"/>
          <w:szCs w:val="22"/>
          <w:lang w:val="fr-CA"/>
        </w:rPr>
        <w:t> </w:t>
      </w:r>
      <w:r w:rsidRPr="00217EFC">
        <w:rPr>
          <w:sz w:val="22"/>
          <w:szCs w:val="22"/>
          <w:lang w:val="fr-CA"/>
        </w:rPr>
        <w:t>Robbins, fait état des conditions de vie des troupes et elle mentionne que 30</w:t>
      </w:r>
      <w:r w:rsidR="00A147CC">
        <w:rPr>
          <w:sz w:val="22"/>
          <w:szCs w:val="22"/>
          <w:lang w:val="fr-CA"/>
        </w:rPr>
        <w:t> </w:t>
      </w:r>
      <w:r w:rsidRPr="00217EFC">
        <w:rPr>
          <w:sz w:val="22"/>
          <w:szCs w:val="22"/>
          <w:lang w:val="fr-CA"/>
        </w:rPr>
        <w:t xml:space="preserve">000 soldats sont blessés par jour et qu’il </w:t>
      </w:r>
      <w:r>
        <w:rPr>
          <w:sz w:val="22"/>
          <w:szCs w:val="22"/>
          <w:lang w:val="fr-CA"/>
        </w:rPr>
        <w:t xml:space="preserve">y </w:t>
      </w:r>
      <w:r w:rsidRPr="00217EFC">
        <w:rPr>
          <w:sz w:val="22"/>
          <w:szCs w:val="22"/>
          <w:lang w:val="fr-CA"/>
        </w:rPr>
        <w:t>a un besoin pressant de bas</w:t>
      </w:r>
      <w:r w:rsidRPr="00217EFC">
        <w:rPr>
          <w:rStyle w:val="FootnoteReference"/>
          <w:sz w:val="22"/>
          <w:szCs w:val="22"/>
          <w:lang w:val="fr-CA"/>
        </w:rPr>
        <w:footnoteReference w:id="178"/>
      </w:r>
      <w:r w:rsidRPr="00217EFC">
        <w:rPr>
          <w:sz w:val="22"/>
          <w:szCs w:val="22"/>
          <w:lang w:val="fr-CA"/>
        </w:rPr>
        <w:t xml:space="preserve">. </w:t>
      </w:r>
      <w:r>
        <w:rPr>
          <w:sz w:val="22"/>
          <w:szCs w:val="22"/>
          <w:lang w:val="fr-CA"/>
        </w:rPr>
        <w:t>Par ailleurs</w:t>
      </w:r>
      <w:r w:rsidRPr="00217EFC">
        <w:rPr>
          <w:sz w:val="22"/>
          <w:szCs w:val="22"/>
          <w:lang w:val="fr-CA"/>
        </w:rPr>
        <w:t>, elle explique le fonctionnement du programme</w:t>
      </w:r>
      <w:r w:rsidR="00F5530C">
        <w:rPr>
          <w:sz w:val="22"/>
          <w:szCs w:val="22"/>
          <w:lang w:val="fr-CA"/>
        </w:rPr>
        <w:t>,</w:t>
      </w:r>
      <w:r w:rsidRPr="00217EFC">
        <w:rPr>
          <w:sz w:val="22"/>
          <w:szCs w:val="22"/>
          <w:lang w:val="fr-CA"/>
        </w:rPr>
        <w:t xml:space="preserve"> où protestants et catholiques se présenteron</w:t>
      </w:r>
      <w:r>
        <w:rPr>
          <w:sz w:val="22"/>
          <w:szCs w:val="22"/>
          <w:lang w:val="fr-CA"/>
        </w:rPr>
        <w:t>t</w:t>
      </w:r>
      <w:r w:rsidRPr="00217EFC">
        <w:rPr>
          <w:sz w:val="22"/>
          <w:szCs w:val="22"/>
          <w:lang w:val="fr-CA"/>
        </w:rPr>
        <w:t xml:space="preserve"> à l’hôtel de ville afin de recevoir les tâches hebdomadaires et que divers points de souscription seront établis dans la municipalité pour </w:t>
      </w:r>
      <w:r>
        <w:rPr>
          <w:sz w:val="22"/>
          <w:szCs w:val="22"/>
          <w:lang w:val="fr-CA"/>
        </w:rPr>
        <w:t xml:space="preserve">recevoir </w:t>
      </w:r>
      <w:r w:rsidRPr="00217EFC">
        <w:rPr>
          <w:sz w:val="22"/>
          <w:szCs w:val="22"/>
          <w:lang w:val="fr-CA"/>
        </w:rPr>
        <w:t xml:space="preserve">les dons. Chaque contribution financière sera publiée dans </w:t>
      </w:r>
      <w:r w:rsidRPr="00217EFC">
        <w:rPr>
          <w:i/>
          <w:iCs/>
          <w:sz w:val="22"/>
          <w:szCs w:val="22"/>
          <w:lang w:val="fr-CA"/>
        </w:rPr>
        <w:t>L’Avenir National</w:t>
      </w:r>
      <w:r w:rsidRPr="00217EFC">
        <w:rPr>
          <w:sz w:val="22"/>
          <w:szCs w:val="22"/>
          <w:lang w:val="fr-CA"/>
        </w:rPr>
        <w:t xml:space="preserve">. </w:t>
      </w:r>
      <w:r w:rsidRPr="00A908BD">
        <w:rPr>
          <w:sz w:val="22"/>
          <w:lang w:val="fr-CA"/>
        </w:rPr>
        <w:t xml:space="preserve">Par exemple, </w:t>
      </w:r>
      <w:r>
        <w:rPr>
          <w:sz w:val="22"/>
          <w:szCs w:val="22"/>
          <w:lang w:val="fr-CA"/>
        </w:rPr>
        <w:t>on apprend</w:t>
      </w:r>
      <w:r w:rsidRPr="00A908BD">
        <w:rPr>
          <w:sz w:val="22"/>
          <w:lang w:val="fr-CA"/>
        </w:rPr>
        <w:t xml:space="preserve"> que </w:t>
      </w:r>
      <w:r w:rsidRPr="00217EFC">
        <w:rPr>
          <w:sz w:val="22"/>
          <w:szCs w:val="22"/>
          <w:lang w:val="fr-CA"/>
        </w:rPr>
        <w:t>les dames de la paroisse de Saint-Antoine ont cousu 70 pyjamas en quatre jours</w:t>
      </w:r>
      <w:r w:rsidRPr="00217EFC">
        <w:rPr>
          <w:rStyle w:val="FootnoteReference"/>
          <w:sz w:val="22"/>
          <w:szCs w:val="22"/>
          <w:lang w:val="fr-CA"/>
        </w:rPr>
        <w:footnoteReference w:id="179"/>
      </w:r>
      <w:r w:rsidRPr="00217EFC">
        <w:rPr>
          <w:sz w:val="22"/>
          <w:szCs w:val="22"/>
          <w:lang w:val="fr-CA"/>
        </w:rPr>
        <w:t xml:space="preserve">. </w:t>
      </w:r>
      <w:r>
        <w:rPr>
          <w:sz w:val="22"/>
          <w:szCs w:val="22"/>
          <w:lang w:val="fr-CA"/>
        </w:rPr>
        <w:t>L</w:t>
      </w:r>
      <w:r w:rsidRPr="00217EFC">
        <w:rPr>
          <w:sz w:val="22"/>
          <w:szCs w:val="22"/>
          <w:lang w:val="fr-CA"/>
        </w:rPr>
        <w:t>e</w:t>
      </w:r>
      <w:r>
        <w:rPr>
          <w:sz w:val="22"/>
          <w:szCs w:val="22"/>
          <w:lang w:val="fr-CA"/>
        </w:rPr>
        <w:t xml:space="preserve"> </w:t>
      </w:r>
      <w:r w:rsidRPr="00217EFC">
        <w:rPr>
          <w:sz w:val="22"/>
          <w:szCs w:val="22"/>
          <w:lang w:val="fr-CA"/>
        </w:rPr>
        <w:t xml:space="preserve">comité </w:t>
      </w:r>
      <w:r>
        <w:rPr>
          <w:sz w:val="22"/>
          <w:szCs w:val="22"/>
          <w:lang w:val="fr-CA"/>
        </w:rPr>
        <w:t xml:space="preserve">local </w:t>
      </w:r>
      <w:r w:rsidRPr="00217EFC">
        <w:rPr>
          <w:sz w:val="22"/>
          <w:szCs w:val="22"/>
          <w:lang w:val="fr-CA"/>
        </w:rPr>
        <w:t>de la Croix-Rouge local rapporte qu</w:t>
      </w:r>
      <w:r>
        <w:rPr>
          <w:sz w:val="22"/>
          <w:szCs w:val="22"/>
          <w:lang w:val="fr-CA"/>
        </w:rPr>
        <w:t xml:space="preserve">’il a </w:t>
      </w:r>
      <w:r w:rsidRPr="00217EFC">
        <w:rPr>
          <w:sz w:val="22"/>
          <w:szCs w:val="22"/>
          <w:lang w:val="fr-CA"/>
        </w:rPr>
        <w:t>reçu 816</w:t>
      </w:r>
      <w:r>
        <w:rPr>
          <w:sz w:val="22"/>
          <w:szCs w:val="22"/>
          <w:lang w:val="fr-CA"/>
        </w:rPr>
        <w:t> </w:t>
      </w:r>
      <w:r w:rsidRPr="00217EFC">
        <w:rPr>
          <w:sz w:val="22"/>
          <w:szCs w:val="22"/>
          <w:lang w:val="fr-CA"/>
        </w:rPr>
        <w:t xml:space="preserve">$ en dons et </w:t>
      </w:r>
      <w:r>
        <w:rPr>
          <w:sz w:val="22"/>
          <w:szCs w:val="22"/>
          <w:lang w:val="fr-CA"/>
        </w:rPr>
        <w:t>qu’</w:t>
      </w:r>
      <w:r w:rsidRPr="00601721">
        <w:rPr>
          <w:sz w:val="22"/>
          <w:szCs w:val="22"/>
          <w:lang w:val="fr-CA"/>
        </w:rPr>
        <w:t>il</w:t>
      </w:r>
      <w:r>
        <w:rPr>
          <w:sz w:val="22"/>
          <w:szCs w:val="22"/>
          <w:lang w:val="fr-CA"/>
        </w:rPr>
        <w:t xml:space="preserve"> a </w:t>
      </w:r>
      <w:r w:rsidRPr="00217EFC">
        <w:rPr>
          <w:sz w:val="22"/>
          <w:szCs w:val="22"/>
          <w:lang w:val="fr-CA"/>
        </w:rPr>
        <w:t>utilisé 460</w:t>
      </w:r>
      <w:r>
        <w:rPr>
          <w:sz w:val="22"/>
          <w:szCs w:val="22"/>
          <w:lang w:val="fr-CA"/>
        </w:rPr>
        <w:t> </w:t>
      </w:r>
      <w:r w:rsidRPr="00217EFC">
        <w:rPr>
          <w:sz w:val="22"/>
          <w:szCs w:val="22"/>
          <w:lang w:val="fr-CA"/>
        </w:rPr>
        <w:t xml:space="preserve">$ pour acheter </w:t>
      </w:r>
      <w:r>
        <w:rPr>
          <w:sz w:val="22"/>
          <w:szCs w:val="22"/>
          <w:lang w:val="fr-CA"/>
        </w:rPr>
        <w:t>d</w:t>
      </w:r>
      <w:r w:rsidRPr="00217EFC">
        <w:rPr>
          <w:sz w:val="22"/>
          <w:szCs w:val="22"/>
          <w:lang w:val="fr-CA"/>
        </w:rPr>
        <w:t>es items pour la confection de vêtements et des produits pharmaceutiques qui seront distribués en Europe. D</w:t>
      </w:r>
      <w:r>
        <w:rPr>
          <w:sz w:val="22"/>
          <w:szCs w:val="22"/>
          <w:lang w:val="fr-CA"/>
        </w:rPr>
        <w:t xml:space="preserve">ès </w:t>
      </w:r>
      <w:r w:rsidRPr="00217EFC">
        <w:rPr>
          <w:sz w:val="22"/>
          <w:szCs w:val="22"/>
          <w:lang w:val="fr-CA"/>
        </w:rPr>
        <w:t>décembre 1914, 2</w:t>
      </w:r>
      <w:r>
        <w:rPr>
          <w:sz w:val="22"/>
          <w:szCs w:val="22"/>
          <w:lang w:val="fr-CA"/>
        </w:rPr>
        <w:t> </w:t>
      </w:r>
      <w:r w:rsidRPr="00217EFC">
        <w:rPr>
          <w:sz w:val="22"/>
          <w:szCs w:val="22"/>
          <w:lang w:val="fr-CA"/>
        </w:rPr>
        <w:t>025 paquets sont déjà envoyés et distribués en Europe</w:t>
      </w:r>
      <w:r w:rsidRPr="00217EFC">
        <w:rPr>
          <w:rStyle w:val="FootnoteReference"/>
          <w:sz w:val="22"/>
          <w:szCs w:val="22"/>
          <w:lang w:val="fr-CA"/>
        </w:rPr>
        <w:footnoteReference w:id="180"/>
      </w:r>
      <w:r w:rsidRPr="00217EFC">
        <w:rPr>
          <w:sz w:val="22"/>
          <w:szCs w:val="22"/>
          <w:lang w:val="fr-CA"/>
        </w:rPr>
        <w:t>.</w:t>
      </w:r>
    </w:p>
    <w:p w14:paraId="5A5CAD74" w14:textId="77777777" w:rsidR="000264D6" w:rsidRDefault="000264D6" w:rsidP="002B5319">
      <w:pPr>
        <w:spacing w:before="100" w:beforeAutospacing="1" w:after="100" w:afterAutospacing="1"/>
        <w:ind w:firstLine="360"/>
        <w:jc w:val="both"/>
        <w:rPr>
          <w:sz w:val="22"/>
          <w:szCs w:val="22"/>
          <w:lang w:val="fr-CA"/>
        </w:rPr>
      </w:pPr>
      <w:r>
        <w:rPr>
          <w:sz w:val="22"/>
          <w:szCs w:val="22"/>
          <w:lang w:val="fr-CA"/>
        </w:rPr>
        <w:t xml:space="preserve">Pour ce qui est du </w:t>
      </w:r>
      <w:r w:rsidRPr="00217EFC">
        <w:rPr>
          <w:sz w:val="22"/>
          <w:szCs w:val="22"/>
          <w:lang w:val="fr-CA"/>
        </w:rPr>
        <w:t>comité de l’Œuvre de Secours aux Belges</w:t>
      </w:r>
      <w:r>
        <w:rPr>
          <w:sz w:val="22"/>
          <w:szCs w:val="22"/>
          <w:lang w:val="fr-CA"/>
        </w:rPr>
        <w:t xml:space="preserve">, il est fondé pour </w:t>
      </w:r>
      <w:r w:rsidRPr="00217EFC">
        <w:rPr>
          <w:sz w:val="22"/>
          <w:szCs w:val="22"/>
          <w:lang w:val="fr-CA"/>
        </w:rPr>
        <w:t>aider les Belges dont le</w:t>
      </w:r>
      <w:r>
        <w:rPr>
          <w:sz w:val="22"/>
          <w:szCs w:val="22"/>
          <w:lang w:val="fr-CA"/>
        </w:rPr>
        <w:t>s</w:t>
      </w:r>
      <w:r w:rsidRPr="00217EFC">
        <w:rPr>
          <w:sz w:val="22"/>
          <w:szCs w:val="22"/>
          <w:lang w:val="fr-CA"/>
        </w:rPr>
        <w:t xml:space="preserve"> propriétés </w:t>
      </w:r>
      <w:r>
        <w:rPr>
          <w:sz w:val="22"/>
          <w:szCs w:val="22"/>
          <w:lang w:val="fr-CA"/>
        </w:rPr>
        <w:t>ont été</w:t>
      </w:r>
      <w:r w:rsidRPr="00217EFC">
        <w:rPr>
          <w:sz w:val="22"/>
          <w:szCs w:val="22"/>
          <w:lang w:val="fr-CA"/>
        </w:rPr>
        <w:t xml:space="preserve"> détruites par la guerre. Les fonds recueillis sont administrés par la Manchester </w:t>
      </w:r>
      <w:r w:rsidRPr="00AD3D42">
        <w:rPr>
          <w:i/>
          <w:iCs/>
          <w:sz w:val="22"/>
          <w:szCs w:val="22"/>
          <w:lang w:val="fr-CA"/>
        </w:rPr>
        <w:t>National Bank</w:t>
      </w:r>
      <w:r w:rsidRPr="00217EFC">
        <w:rPr>
          <w:sz w:val="22"/>
          <w:szCs w:val="22"/>
          <w:lang w:val="fr-CA"/>
        </w:rPr>
        <w:t xml:space="preserve"> et l’association acceptera aussi les dons de vêtements.</w:t>
      </w:r>
      <w:r>
        <w:rPr>
          <w:sz w:val="22"/>
          <w:szCs w:val="22"/>
          <w:lang w:val="fr-CA"/>
        </w:rPr>
        <w:t xml:space="preserve"> </w:t>
      </w:r>
      <w:r w:rsidRPr="00217EFC">
        <w:rPr>
          <w:sz w:val="22"/>
          <w:szCs w:val="22"/>
          <w:lang w:val="fr-CA"/>
        </w:rPr>
        <w:t xml:space="preserve">Quant à la nourriture, elle sera achetée à New York avant d’être transférée dans </w:t>
      </w:r>
      <w:r>
        <w:rPr>
          <w:sz w:val="22"/>
          <w:szCs w:val="22"/>
          <w:lang w:val="fr-CA"/>
        </w:rPr>
        <w:t xml:space="preserve">des bateaux </w:t>
      </w:r>
      <w:r w:rsidRPr="00217EFC">
        <w:rPr>
          <w:sz w:val="22"/>
          <w:szCs w:val="22"/>
          <w:lang w:val="fr-CA"/>
        </w:rPr>
        <w:t xml:space="preserve">qui </w:t>
      </w:r>
      <w:r w:rsidR="00F5530C">
        <w:rPr>
          <w:sz w:val="22"/>
          <w:szCs w:val="22"/>
          <w:lang w:val="fr-CA"/>
        </w:rPr>
        <w:t>parti</w:t>
      </w:r>
      <w:r w:rsidRPr="00217EFC">
        <w:rPr>
          <w:sz w:val="22"/>
          <w:szCs w:val="22"/>
          <w:lang w:val="fr-CA"/>
        </w:rPr>
        <w:t>r</w:t>
      </w:r>
      <w:r>
        <w:rPr>
          <w:sz w:val="22"/>
          <w:szCs w:val="22"/>
          <w:lang w:val="fr-CA"/>
        </w:rPr>
        <w:t xml:space="preserve">ont </w:t>
      </w:r>
      <w:r w:rsidRPr="00217EFC">
        <w:rPr>
          <w:sz w:val="22"/>
          <w:szCs w:val="22"/>
          <w:lang w:val="fr-CA"/>
        </w:rPr>
        <w:t>pour l’Europe</w:t>
      </w:r>
      <w:r w:rsidRPr="00217EFC">
        <w:rPr>
          <w:rStyle w:val="FootnoteReference"/>
          <w:sz w:val="22"/>
          <w:szCs w:val="22"/>
          <w:lang w:val="fr-CA"/>
        </w:rPr>
        <w:footnoteReference w:id="181"/>
      </w:r>
      <w:r w:rsidRPr="00217EFC">
        <w:rPr>
          <w:sz w:val="22"/>
          <w:szCs w:val="22"/>
          <w:lang w:val="fr-CA"/>
        </w:rPr>
        <w:t xml:space="preserve">. </w:t>
      </w:r>
      <w:r>
        <w:rPr>
          <w:sz w:val="22"/>
          <w:szCs w:val="22"/>
          <w:lang w:val="fr-CA"/>
        </w:rPr>
        <w:t xml:space="preserve">En fait, </w:t>
      </w:r>
      <w:r w:rsidRPr="00217EFC">
        <w:rPr>
          <w:sz w:val="22"/>
          <w:szCs w:val="22"/>
          <w:lang w:val="fr-CA"/>
        </w:rPr>
        <w:t xml:space="preserve">chaque État de la Nouvelle-Angleterre a constitué son propre comité et l’objectif est de </w:t>
      </w:r>
      <w:r>
        <w:rPr>
          <w:sz w:val="22"/>
          <w:szCs w:val="22"/>
          <w:lang w:val="fr-CA"/>
        </w:rPr>
        <w:t>recueillir</w:t>
      </w:r>
      <w:r w:rsidRPr="00217EFC">
        <w:rPr>
          <w:sz w:val="22"/>
          <w:szCs w:val="22"/>
          <w:lang w:val="fr-CA"/>
        </w:rPr>
        <w:t xml:space="preserve"> la somme de 500</w:t>
      </w:r>
      <w:r>
        <w:rPr>
          <w:sz w:val="22"/>
          <w:szCs w:val="22"/>
          <w:lang w:val="fr-CA"/>
        </w:rPr>
        <w:t> </w:t>
      </w:r>
      <w:r w:rsidRPr="00217EFC">
        <w:rPr>
          <w:sz w:val="22"/>
          <w:szCs w:val="22"/>
          <w:lang w:val="fr-CA"/>
        </w:rPr>
        <w:t>000</w:t>
      </w:r>
      <w:r>
        <w:rPr>
          <w:sz w:val="22"/>
          <w:szCs w:val="22"/>
          <w:lang w:val="fr-CA"/>
        </w:rPr>
        <w:t> </w:t>
      </w:r>
      <w:r w:rsidRPr="00217EFC">
        <w:rPr>
          <w:sz w:val="22"/>
          <w:szCs w:val="22"/>
          <w:lang w:val="fr-CA"/>
        </w:rPr>
        <w:t>$ pour aider les 1</w:t>
      </w:r>
      <w:r>
        <w:rPr>
          <w:sz w:val="22"/>
          <w:szCs w:val="22"/>
          <w:lang w:val="fr-CA"/>
        </w:rPr>
        <w:t> 600 </w:t>
      </w:r>
      <w:r w:rsidRPr="00217EFC">
        <w:rPr>
          <w:sz w:val="22"/>
          <w:szCs w:val="22"/>
          <w:lang w:val="fr-CA"/>
        </w:rPr>
        <w:t>000 Belges directement affectées par le conflit et qui sont «</w:t>
      </w:r>
      <w:r>
        <w:rPr>
          <w:sz w:val="22"/>
          <w:szCs w:val="22"/>
          <w:lang w:val="fr-CA"/>
        </w:rPr>
        <w:t> </w:t>
      </w:r>
      <w:r w:rsidRPr="00217EFC">
        <w:rPr>
          <w:sz w:val="22"/>
          <w:szCs w:val="22"/>
          <w:lang w:val="fr-CA"/>
        </w:rPr>
        <w:t>dans des camps de concentration où ils sont groupés plutôt comme des prisonniers, dit-on, que comme des martyrs d’une cause sainte</w:t>
      </w:r>
      <w:r>
        <w:rPr>
          <w:sz w:val="22"/>
          <w:szCs w:val="22"/>
          <w:lang w:val="fr-CA"/>
        </w:rPr>
        <w:t> </w:t>
      </w:r>
      <w:r w:rsidRPr="00217EFC">
        <w:rPr>
          <w:sz w:val="22"/>
          <w:szCs w:val="22"/>
          <w:lang w:val="fr-CA"/>
        </w:rPr>
        <w:t>»</w:t>
      </w:r>
      <w:r w:rsidRPr="00217EFC">
        <w:rPr>
          <w:rStyle w:val="FootnoteReference"/>
          <w:sz w:val="22"/>
          <w:szCs w:val="22"/>
          <w:lang w:val="fr-CA"/>
        </w:rPr>
        <w:footnoteReference w:id="182"/>
      </w:r>
      <w:r w:rsidRPr="00217EFC">
        <w:rPr>
          <w:sz w:val="22"/>
          <w:szCs w:val="22"/>
          <w:lang w:val="fr-CA"/>
        </w:rPr>
        <w:t xml:space="preserve">. Il est clair dans </w:t>
      </w:r>
      <w:r w:rsidRPr="00217EFC">
        <w:rPr>
          <w:sz w:val="22"/>
          <w:szCs w:val="22"/>
          <w:lang w:val="fr-CA"/>
        </w:rPr>
        <w:lastRenderedPageBreak/>
        <w:t>l’esprit du journal</w:t>
      </w:r>
      <w:r w:rsidRPr="00A908BD">
        <w:rPr>
          <w:sz w:val="22"/>
          <w:lang w:val="fr-CA"/>
        </w:rPr>
        <w:t xml:space="preserve"> </w:t>
      </w:r>
      <w:r w:rsidRPr="00217EFC">
        <w:rPr>
          <w:sz w:val="22"/>
          <w:szCs w:val="22"/>
          <w:lang w:val="fr-CA"/>
        </w:rPr>
        <w:t>que Manchester fera sa part, car «</w:t>
      </w:r>
      <w:r w:rsidR="00F5530C">
        <w:rPr>
          <w:sz w:val="22"/>
          <w:szCs w:val="22"/>
          <w:lang w:val="fr-CA"/>
        </w:rPr>
        <w:t> </w:t>
      </w:r>
      <w:r w:rsidRPr="00217EFC">
        <w:rPr>
          <w:sz w:val="22"/>
          <w:szCs w:val="22"/>
          <w:lang w:val="fr-CA"/>
        </w:rPr>
        <w:t>nous avons le bonheur indéfinissable d’aider des frères malheureux, puis, nous savons que ce que nous prêtons bel et bien à Dieu, qui ne laisse pas sans récompense le verre d’eau donné en son nom</w:t>
      </w:r>
      <w:r w:rsidR="00F5530C">
        <w:rPr>
          <w:sz w:val="22"/>
          <w:szCs w:val="22"/>
          <w:lang w:val="fr-CA"/>
        </w:rPr>
        <w:t> </w:t>
      </w:r>
      <w:r w:rsidRPr="00217EFC">
        <w:rPr>
          <w:sz w:val="22"/>
          <w:szCs w:val="22"/>
          <w:lang w:val="fr-CA"/>
        </w:rPr>
        <w:t>»</w:t>
      </w:r>
      <w:r w:rsidRPr="00217EFC">
        <w:rPr>
          <w:rStyle w:val="FootnoteReference"/>
          <w:sz w:val="22"/>
          <w:szCs w:val="22"/>
          <w:lang w:val="fr-CA"/>
        </w:rPr>
        <w:footnoteReference w:id="183"/>
      </w:r>
      <w:r w:rsidRPr="00217EFC">
        <w:rPr>
          <w:sz w:val="22"/>
          <w:szCs w:val="22"/>
          <w:lang w:val="fr-CA"/>
        </w:rPr>
        <w:t>. De plus, le journal rapporte qu’un groupe de 500 citoyens de Woonsocket</w:t>
      </w:r>
      <w:r>
        <w:rPr>
          <w:sz w:val="22"/>
          <w:szCs w:val="22"/>
          <w:lang w:val="fr-CA"/>
        </w:rPr>
        <w:t>, Rhode Island, ont form</w:t>
      </w:r>
      <w:r w:rsidRPr="007F7FA9">
        <w:rPr>
          <w:sz w:val="22"/>
          <w:szCs w:val="22"/>
          <w:lang w:val="fr-CA"/>
        </w:rPr>
        <w:t>é</w:t>
      </w:r>
      <w:r>
        <w:rPr>
          <w:sz w:val="22"/>
          <w:szCs w:val="22"/>
          <w:lang w:val="fr-CA"/>
        </w:rPr>
        <w:t xml:space="preserve"> </w:t>
      </w:r>
      <w:r w:rsidRPr="00217EFC">
        <w:rPr>
          <w:sz w:val="22"/>
          <w:szCs w:val="22"/>
          <w:lang w:val="fr-CA"/>
        </w:rPr>
        <w:t xml:space="preserve">un comité pour aider les femmes et enfants </w:t>
      </w:r>
      <w:r>
        <w:rPr>
          <w:sz w:val="22"/>
          <w:szCs w:val="22"/>
          <w:lang w:val="fr-CA"/>
        </w:rPr>
        <w:t>d’une cinquantaine de familles françaises et belges dont un membre est parti à la guerre</w:t>
      </w:r>
      <w:r w:rsidRPr="00217EFC">
        <w:rPr>
          <w:rStyle w:val="FootnoteReference"/>
          <w:sz w:val="22"/>
          <w:szCs w:val="22"/>
          <w:lang w:val="fr-CA"/>
        </w:rPr>
        <w:footnoteReference w:id="184"/>
      </w:r>
      <w:r w:rsidRPr="00217EFC">
        <w:rPr>
          <w:sz w:val="22"/>
          <w:szCs w:val="22"/>
          <w:lang w:val="fr-CA"/>
        </w:rPr>
        <w:t>.</w:t>
      </w:r>
    </w:p>
    <w:bookmarkEnd w:id="8"/>
    <w:p w14:paraId="307710DC" w14:textId="77777777" w:rsidR="000264D6" w:rsidRPr="007F7FA9" w:rsidRDefault="000264D6" w:rsidP="00A908BD">
      <w:pPr>
        <w:spacing w:before="100" w:beforeAutospacing="1" w:after="100" w:afterAutospacing="1" w:line="480" w:lineRule="auto"/>
        <w:jc w:val="both"/>
        <w:rPr>
          <w:b/>
          <w:bCs/>
          <w:sz w:val="22"/>
          <w:szCs w:val="22"/>
          <w:lang w:val="fr-CA"/>
        </w:rPr>
      </w:pPr>
      <w:r w:rsidRPr="007F7FA9">
        <w:rPr>
          <w:b/>
          <w:bCs/>
          <w:sz w:val="22"/>
          <w:szCs w:val="22"/>
          <w:lang w:val="fr-CA"/>
        </w:rPr>
        <w:t>Participation et engagement collectif dans le conflit</w:t>
      </w:r>
    </w:p>
    <w:p w14:paraId="62CE99F7" w14:textId="77777777" w:rsidR="000264D6" w:rsidRPr="00217EFC" w:rsidRDefault="000264D6" w:rsidP="002B5319">
      <w:pPr>
        <w:spacing w:before="100" w:beforeAutospacing="1" w:after="100" w:afterAutospacing="1"/>
        <w:ind w:firstLine="720"/>
        <w:jc w:val="both"/>
        <w:rPr>
          <w:sz w:val="22"/>
          <w:szCs w:val="22"/>
          <w:lang w:val="fr-CA"/>
        </w:rPr>
      </w:pPr>
      <w:r>
        <w:rPr>
          <w:sz w:val="22"/>
          <w:szCs w:val="22"/>
          <w:lang w:val="fr-CA"/>
        </w:rPr>
        <w:t>En effet</w:t>
      </w:r>
      <w:r w:rsidRPr="00217EFC">
        <w:rPr>
          <w:sz w:val="22"/>
          <w:szCs w:val="22"/>
          <w:lang w:val="fr-CA"/>
        </w:rPr>
        <w:t xml:space="preserve">, l’un des premiers constats que </w:t>
      </w:r>
      <w:r>
        <w:rPr>
          <w:sz w:val="22"/>
          <w:szCs w:val="22"/>
          <w:lang w:val="fr-CA"/>
        </w:rPr>
        <w:t xml:space="preserve">rapporte </w:t>
      </w:r>
      <w:r w:rsidRPr="00217EFC">
        <w:rPr>
          <w:i/>
          <w:iCs/>
          <w:sz w:val="22"/>
          <w:szCs w:val="22"/>
          <w:lang w:val="fr-CA"/>
        </w:rPr>
        <w:t>L’Avenir National</w:t>
      </w:r>
      <w:r w:rsidRPr="00217EFC">
        <w:rPr>
          <w:sz w:val="22"/>
          <w:szCs w:val="22"/>
          <w:lang w:val="fr-CA"/>
        </w:rPr>
        <w:t xml:space="preserve"> dès août 1914 est le départ de citoyens français ou belges qui font parti</w:t>
      </w:r>
      <w:r>
        <w:rPr>
          <w:sz w:val="22"/>
          <w:szCs w:val="22"/>
          <w:lang w:val="fr-CA"/>
        </w:rPr>
        <w:t>e</w:t>
      </w:r>
      <w:r w:rsidRPr="00217EFC">
        <w:rPr>
          <w:sz w:val="22"/>
          <w:szCs w:val="22"/>
          <w:lang w:val="fr-CA"/>
        </w:rPr>
        <w:t xml:space="preserve"> de leur armée de réserve respective. Le journal rapporte le premier départ pour la </w:t>
      </w:r>
      <w:r>
        <w:rPr>
          <w:sz w:val="22"/>
          <w:szCs w:val="22"/>
          <w:lang w:val="fr-CA"/>
        </w:rPr>
        <w:t xml:space="preserve">France de </w:t>
      </w:r>
      <w:r w:rsidRPr="00217EFC">
        <w:rPr>
          <w:sz w:val="22"/>
          <w:szCs w:val="22"/>
          <w:lang w:val="fr-CA"/>
        </w:rPr>
        <w:t xml:space="preserve">Louis Devalland, 35 ans et originaire de la région du Haut-Rhin (près de la frontière alsacienne), </w:t>
      </w:r>
      <w:r>
        <w:rPr>
          <w:sz w:val="22"/>
          <w:szCs w:val="22"/>
          <w:lang w:val="fr-CA"/>
        </w:rPr>
        <w:t xml:space="preserve">qui </w:t>
      </w:r>
      <w:r w:rsidRPr="00217EFC">
        <w:rPr>
          <w:sz w:val="22"/>
          <w:szCs w:val="22"/>
          <w:lang w:val="fr-CA"/>
        </w:rPr>
        <w:t xml:space="preserve">va rejoindre ses trois frères qui sont déjà mobilisés. D’ailleurs, la croyance populaire de l’époque laisse croire que la France est prête à repousser la cavalerie de son ennemi traditionnel et à mener une offensive jusqu’à Berlin, alors que la Grande-Bretagne ne semble pas </w:t>
      </w:r>
      <w:r w:rsidR="009618B0">
        <w:rPr>
          <w:sz w:val="22"/>
          <w:szCs w:val="22"/>
          <w:lang w:val="fr-CA"/>
        </w:rPr>
        <w:t xml:space="preserve">souhaiter </w:t>
      </w:r>
      <w:r w:rsidRPr="00217EFC">
        <w:rPr>
          <w:sz w:val="22"/>
          <w:szCs w:val="22"/>
          <w:lang w:val="fr-CA"/>
        </w:rPr>
        <w:t>prendre part au conflit pour aider la France</w:t>
      </w:r>
      <w:r w:rsidRPr="00217EFC">
        <w:rPr>
          <w:rStyle w:val="FootnoteReference"/>
          <w:sz w:val="22"/>
          <w:szCs w:val="22"/>
          <w:lang w:val="fr-CA"/>
        </w:rPr>
        <w:footnoteReference w:id="185"/>
      </w:r>
      <w:r w:rsidRPr="00217EFC">
        <w:rPr>
          <w:sz w:val="22"/>
          <w:szCs w:val="22"/>
          <w:lang w:val="fr-CA"/>
        </w:rPr>
        <w:t>. Donc, c’est le 12 août 1914 que les premiers volontaires français et belges quittent New York, pour se rendre en France, à bord du paquebot le</w:t>
      </w:r>
      <w:r w:rsidRPr="00217EFC">
        <w:rPr>
          <w:i/>
          <w:iCs/>
          <w:sz w:val="22"/>
          <w:szCs w:val="22"/>
          <w:lang w:val="fr-CA"/>
        </w:rPr>
        <w:t xml:space="preserve"> Rochambeau</w:t>
      </w:r>
      <w:r w:rsidRPr="00217EFC">
        <w:rPr>
          <w:sz w:val="22"/>
          <w:szCs w:val="22"/>
          <w:lang w:val="fr-CA"/>
        </w:rPr>
        <w:t>, de la compagnie générale transatlantique</w:t>
      </w:r>
      <w:r w:rsidRPr="00217EFC">
        <w:rPr>
          <w:rStyle w:val="FootnoteReference"/>
          <w:sz w:val="22"/>
          <w:szCs w:val="22"/>
          <w:lang w:val="fr-CA"/>
        </w:rPr>
        <w:footnoteReference w:id="186"/>
      </w:r>
      <w:r w:rsidRPr="00217EFC">
        <w:rPr>
          <w:sz w:val="22"/>
          <w:szCs w:val="22"/>
          <w:lang w:val="fr-CA"/>
        </w:rPr>
        <w:t>. Ensuite, Charles Leman, accompagné de son épouse, part pour la France, le 18 août 1914, où il joindra les rangs de l’artillerie de l’armée française</w:t>
      </w:r>
      <w:r w:rsidRPr="00217EFC">
        <w:rPr>
          <w:rStyle w:val="FootnoteReference"/>
          <w:sz w:val="22"/>
          <w:szCs w:val="22"/>
          <w:lang w:val="fr-CA"/>
        </w:rPr>
        <w:footnoteReference w:id="187"/>
      </w:r>
      <w:r w:rsidRPr="00217EFC">
        <w:rPr>
          <w:sz w:val="22"/>
          <w:szCs w:val="22"/>
          <w:lang w:val="fr-CA"/>
        </w:rPr>
        <w:t>. Pareillement, des réservistes allemands et autrichiens décident de joindre les rangs des forces de l</w:t>
      </w:r>
      <w:r>
        <w:rPr>
          <w:sz w:val="22"/>
          <w:szCs w:val="22"/>
          <w:lang w:val="fr-CA"/>
        </w:rPr>
        <w:t>a Triplice</w:t>
      </w:r>
      <w:r w:rsidRPr="00217EFC">
        <w:rPr>
          <w:sz w:val="22"/>
          <w:szCs w:val="22"/>
          <w:lang w:val="fr-CA"/>
        </w:rPr>
        <w:t>. Toutefois,</w:t>
      </w:r>
      <w:r>
        <w:rPr>
          <w:sz w:val="22"/>
          <w:szCs w:val="22"/>
          <w:lang w:val="fr-CA"/>
        </w:rPr>
        <w:t xml:space="preserve"> </w:t>
      </w:r>
      <w:r w:rsidRPr="00217EFC">
        <w:rPr>
          <w:sz w:val="22"/>
          <w:szCs w:val="22"/>
          <w:lang w:val="fr-CA"/>
        </w:rPr>
        <w:t xml:space="preserve">lors de leur transit un croiseur britannique capture le </w:t>
      </w:r>
      <w:r w:rsidRPr="00217EFC">
        <w:rPr>
          <w:i/>
          <w:iCs/>
          <w:sz w:val="22"/>
          <w:szCs w:val="22"/>
          <w:lang w:val="fr-CA"/>
        </w:rPr>
        <w:t>Noordam</w:t>
      </w:r>
      <w:r w:rsidRPr="00217EFC">
        <w:rPr>
          <w:sz w:val="22"/>
          <w:szCs w:val="22"/>
          <w:lang w:val="fr-CA"/>
        </w:rPr>
        <w:t>,</w:t>
      </w:r>
      <w:r w:rsidRPr="00217EFC">
        <w:rPr>
          <w:i/>
          <w:iCs/>
          <w:sz w:val="22"/>
          <w:szCs w:val="22"/>
          <w:lang w:val="fr-CA"/>
        </w:rPr>
        <w:t xml:space="preserve"> </w:t>
      </w:r>
      <w:r w:rsidRPr="00217EFC">
        <w:rPr>
          <w:sz w:val="22"/>
          <w:szCs w:val="22"/>
          <w:lang w:val="fr-CA"/>
        </w:rPr>
        <w:t xml:space="preserve">un navire de pavillon hollandais, qui avait quitté New York. Ces réservistes sont transférés dans un </w:t>
      </w:r>
      <w:r w:rsidRPr="00A908BD">
        <w:rPr>
          <w:sz w:val="22"/>
          <w:lang w:val="fr-CA"/>
        </w:rPr>
        <w:t>camp de concentration</w:t>
      </w:r>
      <w:r w:rsidRPr="00217EFC">
        <w:rPr>
          <w:sz w:val="22"/>
          <w:szCs w:val="22"/>
          <w:lang w:val="fr-CA"/>
        </w:rPr>
        <w:t xml:space="preserve"> (de prisonniers de guerre) dès leur arrivée en Grande-Bretagne</w:t>
      </w:r>
      <w:r w:rsidRPr="00217EFC">
        <w:rPr>
          <w:rStyle w:val="FootnoteReference"/>
          <w:sz w:val="22"/>
          <w:szCs w:val="22"/>
          <w:lang w:val="fr-CA"/>
        </w:rPr>
        <w:footnoteReference w:id="188"/>
      </w:r>
      <w:r w:rsidRPr="00217EFC">
        <w:rPr>
          <w:sz w:val="22"/>
          <w:szCs w:val="22"/>
          <w:lang w:val="fr-CA"/>
        </w:rPr>
        <w:t>.</w:t>
      </w:r>
    </w:p>
    <w:p w14:paraId="2AF594F7" w14:textId="77777777" w:rsidR="000264D6" w:rsidRPr="00345DBC" w:rsidRDefault="000264D6" w:rsidP="002B5319">
      <w:pPr>
        <w:spacing w:before="100" w:beforeAutospacing="1" w:after="100" w:afterAutospacing="1"/>
        <w:ind w:firstLine="720"/>
        <w:jc w:val="both"/>
        <w:rPr>
          <w:sz w:val="22"/>
          <w:szCs w:val="22"/>
          <w:lang w:val="fr-CA"/>
        </w:rPr>
      </w:pPr>
      <w:r>
        <w:rPr>
          <w:sz w:val="22"/>
          <w:szCs w:val="22"/>
          <w:lang w:val="fr-CA"/>
        </w:rPr>
        <w:t xml:space="preserve">En ce qui concerne les unités de </w:t>
      </w:r>
      <w:r w:rsidRPr="00217EFC">
        <w:rPr>
          <w:sz w:val="22"/>
          <w:szCs w:val="22"/>
          <w:lang w:val="fr-CA"/>
        </w:rPr>
        <w:t xml:space="preserve">la </w:t>
      </w:r>
      <w:r>
        <w:rPr>
          <w:sz w:val="22"/>
          <w:szCs w:val="22"/>
          <w:lang w:val="fr-CA"/>
        </w:rPr>
        <w:t xml:space="preserve">Garde Nationale de </w:t>
      </w:r>
      <w:r w:rsidRPr="00217EFC">
        <w:rPr>
          <w:sz w:val="22"/>
          <w:szCs w:val="22"/>
          <w:lang w:val="fr-CA"/>
        </w:rPr>
        <w:t>l’État</w:t>
      </w:r>
      <w:r>
        <w:rPr>
          <w:sz w:val="22"/>
          <w:szCs w:val="22"/>
          <w:lang w:val="fr-CA"/>
        </w:rPr>
        <w:t xml:space="preserve">, rien ne change pour elles et </w:t>
      </w:r>
      <w:r w:rsidRPr="00217EFC">
        <w:rPr>
          <w:sz w:val="22"/>
          <w:szCs w:val="22"/>
          <w:lang w:val="fr-CA"/>
        </w:rPr>
        <w:t>elles continuent leur entrainement normal</w:t>
      </w:r>
      <w:r>
        <w:rPr>
          <w:sz w:val="22"/>
          <w:szCs w:val="22"/>
          <w:lang w:val="fr-CA"/>
        </w:rPr>
        <w:t>. E</w:t>
      </w:r>
      <w:r w:rsidRPr="00217EFC">
        <w:rPr>
          <w:sz w:val="22"/>
          <w:szCs w:val="22"/>
          <w:lang w:val="fr-CA"/>
        </w:rPr>
        <w:t xml:space="preserve">lles se préparent pour la compétition de tir </w:t>
      </w:r>
      <w:r w:rsidRPr="002B235F">
        <w:rPr>
          <w:sz w:val="22"/>
          <w:lang w:val="fr-CA"/>
        </w:rPr>
        <w:t xml:space="preserve">qui </w:t>
      </w:r>
      <w:r w:rsidRPr="00217EFC">
        <w:rPr>
          <w:sz w:val="22"/>
          <w:szCs w:val="22"/>
          <w:lang w:val="fr-CA"/>
        </w:rPr>
        <w:t>a lieu</w:t>
      </w:r>
      <w:r w:rsidRPr="002B235F">
        <w:rPr>
          <w:sz w:val="22"/>
          <w:lang w:val="fr-CA"/>
        </w:rPr>
        <w:t xml:space="preserve"> le</w:t>
      </w:r>
      <w:r>
        <w:rPr>
          <w:sz w:val="22"/>
          <w:szCs w:val="22"/>
          <w:lang w:val="fr-CA"/>
        </w:rPr>
        <w:t xml:space="preserve"> </w:t>
      </w:r>
      <w:r w:rsidRPr="00217EFC">
        <w:rPr>
          <w:sz w:val="22"/>
          <w:szCs w:val="22"/>
          <w:lang w:val="fr-CA"/>
        </w:rPr>
        <w:t>19 septembre 1914</w:t>
      </w:r>
      <w:r w:rsidRPr="0070771D">
        <w:rPr>
          <w:sz w:val="22"/>
          <w:szCs w:val="22"/>
          <w:lang w:val="fr-CA"/>
        </w:rPr>
        <w:t xml:space="preserve"> </w:t>
      </w:r>
      <w:r>
        <w:rPr>
          <w:sz w:val="22"/>
          <w:szCs w:val="22"/>
          <w:lang w:val="fr-CA"/>
        </w:rPr>
        <w:t xml:space="preserve">afin de </w:t>
      </w:r>
      <w:r w:rsidRPr="00217EFC">
        <w:rPr>
          <w:sz w:val="22"/>
          <w:szCs w:val="22"/>
          <w:lang w:val="fr-CA"/>
        </w:rPr>
        <w:t>remporter la coupe Cilley</w:t>
      </w:r>
      <w:r w:rsidRPr="00217EFC">
        <w:rPr>
          <w:rStyle w:val="FootnoteReference"/>
          <w:sz w:val="22"/>
          <w:szCs w:val="22"/>
          <w:lang w:val="fr-CA"/>
        </w:rPr>
        <w:footnoteReference w:id="189"/>
      </w:r>
      <w:r>
        <w:rPr>
          <w:sz w:val="22"/>
          <w:szCs w:val="22"/>
          <w:lang w:val="fr-CA"/>
        </w:rPr>
        <w:t>. L</w:t>
      </w:r>
      <w:r w:rsidRPr="00217EFC">
        <w:rPr>
          <w:sz w:val="22"/>
          <w:szCs w:val="22"/>
          <w:lang w:val="fr-CA"/>
        </w:rPr>
        <w:t>e 7 juin 1915</w:t>
      </w:r>
      <w:r>
        <w:rPr>
          <w:sz w:val="22"/>
          <w:szCs w:val="22"/>
          <w:lang w:val="fr-CA"/>
        </w:rPr>
        <w:t xml:space="preserve"> à </w:t>
      </w:r>
      <w:r w:rsidRPr="00217EFC">
        <w:rPr>
          <w:sz w:val="22"/>
          <w:szCs w:val="22"/>
          <w:lang w:val="fr-CA"/>
        </w:rPr>
        <w:t>Concord</w:t>
      </w:r>
      <w:r>
        <w:rPr>
          <w:sz w:val="22"/>
          <w:szCs w:val="22"/>
          <w:lang w:val="fr-CA"/>
        </w:rPr>
        <w:t>,</w:t>
      </w:r>
      <w:r w:rsidRPr="00217EFC">
        <w:rPr>
          <w:sz w:val="22"/>
          <w:szCs w:val="22"/>
          <w:lang w:val="fr-CA"/>
        </w:rPr>
        <w:t xml:space="preserve"> </w:t>
      </w:r>
      <w:r>
        <w:rPr>
          <w:sz w:val="22"/>
          <w:szCs w:val="22"/>
          <w:lang w:val="fr-CA"/>
        </w:rPr>
        <w:t xml:space="preserve">NH, ces unités participent aux </w:t>
      </w:r>
      <w:r w:rsidRPr="00217EFC">
        <w:rPr>
          <w:sz w:val="22"/>
          <w:szCs w:val="22"/>
          <w:lang w:val="fr-CA"/>
        </w:rPr>
        <w:t>exercices annuels</w:t>
      </w:r>
      <w:r>
        <w:rPr>
          <w:sz w:val="22"/>
          <w:szCs w:val="22"/>
          <w:lang w:val="fr-CA"/>
        </w:rPr>
        <w:t>,</w:t>
      </w:r>
      <w:r w:rsidRPr="00217EFC">
        <w:rPr>
          <w:sz w:val="22"/>
          <w:szCs w:val="22"/>
          <w:lang w:val="fr-CA"/>
        </w:rPr>
        <w:t xml:space="preserve"> </w:t>
      </w:r>
      <w:r>
        <w:rPr>
          <w:sz w:val="22"/>
          <w:szCs w:val="22"/>
          <w:lang w:val="fr-CA"/>
        </w:rPr>
        <w:t>pendant cinq jours</w:t>
      </w:r>
      <w:r w:rsidRPr="00217EFC">
        <w:rPr>
          <w:sz w:val="22"/>
          <w:szCs w:val="22"/>
          <w:lang w:val="fr-CA"/>
        </w:rPr>
        <w:t>. Les troupes débute</w:t>
      </w:r>
      <w:r>
        <w:rPr>
          <w:sz w:val="22"/>
          <w:szCs w:val="22"/>
          <w:lang w:val="fr-CA"/>
        </w:rPr>
        <w:t xml:space="preserve">nt </w:t>
      </w:r>
      <w:r w:rsidRPr="00217EFC">
        <w:rPr>
          <w:sz w:val="22"/>
          <w:szCs w:val="22"/>
          <w:lang w:val="fr-CA"/>
        </w:rPr>
        <w:t>leur entrainement en célébrant le 150</w:t>
      </w:r>
      <w:r w:rsidRPr="00217EFC">
        <w:rPr>
          <w:sz w:val="22"/>
          <w:szCs w:val="22"/>
          <w:vertAlign w:val="superscript"/>
          <w:lang w:val="fr-CA"/>
        </w:rPr>
        <w:t>e</w:t>
      </w:r>
      <w:r w:rsidRPr="00217EFC">
        <w:rPr>
          <w:sz w:val="22"/>
          <w:szCs w:val="22"/>
          <w:lang w:val="fr-CA"/>
        </w:rPr>
        <w:t xml:space="preserve"> anniversaire de la ville de Concord. Après quoi, elles se préparent </w:t>
      </w:r>
      <w:r>
        <w:rPr>
          <w:sz w:val="22"/>
          <w:szCs w:val="22"/>
          <w:lang w:val="fr-CA"/>
        </w:rPr>
        <w:t xml:space="preserve">à </w:t>
      </w:r>
      <w:r w:rsidRPr="00217EFC">
        <w:rPr>
          <w:sz w:val="22"/>
          <w:szCs w:val="22"/>
          <w:lang w:val="fr-CA"/>
        </w:rPr>
        <w:t xml:space="preserve">effectuer des manœuvres offensives </w:t>
      </w:r>
      <w:r>
        <w:rPr>
          <w:sz w:val="22"/>
          <w:szCs w:val="22"/>
          <w:lang w:val="fr-CA"/>
        </w:rPr>
        <w:t xml:space="preserve">durant </w:t>
      </w:r>
      <w:r w:rsidRPr="00217EFC">
        <w:rPr>
          <w:sz w:val="22"/>
          <w:szCs w:val="22"/>
          <w:lang w:val="fr-CA"/>
        </w:rPr>
        <w:t xml:space="preserve">les trois jours </w:t>
      </w:r>
      <w:r>
        <w:rPr>
          <w:sz w:val="22"/>
          <w:szCs w:val="22"/>
          <w:lang w:val="fr-CA"/>
        </w:rPr>
        <w:t xml:space="preserve">suivants </w:t>
      </w:r>
      <w:r w:rsidRPr="00217EFC">
        <w:rPr>
          <w:sz w:val="22"/>
          <w:szCs w:val="22"/>
          <w:lang w:val="fr-CA"/>
        </w:rPr>
        <w:t xml:space="preserve">pour ensuite procéder à un camp de tir avant de passer aux cérémonies de fermeture sous la présidence du </w:t>
      </w:r>
      <w:r w:rsidRPr="00345DBC">
        <w:rPr>
          <w:sz w:val="22"/>
          <w:szCs w:val="22"/>
          <w:lang w:val="fr-CA"/>
        </w:rPr>
        <w:t>Gouverneur de l’État</w:t>
      </w:r>
      <w:r w:rsidRPr="00345DBC">
        <w:rPr>
          <w:rStyle w:val="FootnoteReference"/>
          <w:sz w:val="22"/>
          <w:szCs w:val="22"/>
          <w:lang w:val="fr-CA"/>
        </w:rPr>
        <w:footnoteReference w:id="190"/>
      </w:r>
      <w:r w:rsidRPr="00345DBC">
        <w:rPr>
          <w:sz w:val="22"/>
          <w:szCs w:val="22"/>
          <w:lang w:val="fr-CA"/>
        </w:rPr>
        <w:t>.</w:t>
      </w:r>
    </w:p>
    <w:p w14:paraId="2A60815A" w14:textId="77777777" w:rsidR="000264D6" w:rsidRDefault="000264D6" w:rsidP="002B5319">
      <w:pPr>
        <w:spacing w:before="100" w:beforeAutospacing="1" w:after="100" w:afterAutospacing="1"/>
        <w:ind w:firstLine="720"/>
        <w:jc w:val="both"/>
        <w:rPr>
          <w:sz w:val="22"/>
          <w:szCs w:val="22"/>
          <w:lang w:val="fr-CA"/>
        </w:rPr>
      </w:pPr>
      <w:r w:rsidRPr="00345DBC">
        <w:rPr>
          <w:sz w:val="22"/>
          <w:szCs w:val="22"/>
          <w:lang w:val="fr-CA"/>
        </w:rPr>
        <w:t>En dépit du fait que nous remarquons l’apparence d’un état de désinvolture de la part de la Garde Nationale</w:t>
      </w:r>
      <w:r>
        <w:rPr>
          <w:sz w:val="22"/>
          <w:szCs w:val="22"/>
          <w:lang w:val="fr-CA"/>
        </w:rPr>
        <w:t xml:space="preserve"> envers la situation en </w:t>
      </w:r>
      <w:r w:rsidRPr="002B235F">
        <w:rPr>
          <w:sz w:val="22"/>
          <w:lang w:val="fr-CA"/>
        </w:rPr>
        <w:t>Europe,</w:t>
      </w:r>
      <w:r>
        <w:rPr>
          <w:sz w:val="22"/>
          <w:szCs w:val="22"/>
          <w:lang w:val="fr-CA"/>
        </w:rPr>
        <w:t xml:space="preserve"> </w:t>
      </w:r>
      <w:r w:rsidRPr="00217EFC">
        <w:rPr>
          <w:i/>
          <w:iCs/>
          <w:sz w:val="22"/>
          <w:szCs w:val="22"/>
          <w:lang w:val="fr-CA"/>
        </w:rPr>
        <w:t>L’Avenir National</w:t>
      </w:r>
      <w:r w:rsidRPr="00217EFC">
        <w:rPr>
          <w:sz w:val="22"/>
          <w:szCs w:val="22"/>
          <w:lang w:val="fr-CA"/>
        </w:rPr>
        <w:t xml:space="preserve"> </w:t>
      </w:r>
      <w:r>
        <w:rPr>
          <w:sz w:val="22"/>
          <w:szCs w:val="22"/>
          <w:lang w:val="fr-CA"/>
        </w:rPr>
        <w:t xml:space="preserve">annonce </w:t>
      </w:r>
      <w:r w:rsidRPr="00217EFC">
        <w:rPr>
          <w:sz w:val="22"/>
          <w:szCs w:val="22"/>
          <w:lang w:val="fr-CA"/>
        </w:rPr>
        <w:t xml:space="preserve">l’établissement de la </w:t>
      </w:r>
      <w:r>
        <w:rPr>
          <w:sz w:val="22"/>
          <w:szCs w:val="22"/>
          <w:lang w:val="fr-CA"/>
        </w:rPr>
        <w:t>L</w:t>
      </w:r>
      <w:r w:rsidRPr="00217EFC">
        <w:rPr>
          <w:sz w:val="22"/>
          <w:szCs w:val="22"/>
          <w:lang w:val="fr-CA"/>
        </w:rPr>
        <w:t xml:space="preserve">igue de </w:t>
      </w:r>
      <w:r>
        <w:rPr>
          <w:sz w:val="22"/>
          <w:szCs w:val="22"/>
          <w:lang w:val="fr-CA"/>
        </w:rPr>
        <w:t>D</w:t>
      </w:r>
      <w:r w:rsidRPr="00217EFC">
        <w:rPr>
          <w:sz w:val="22"/>
          <w:szCs w:val="22"/>
          <w:lang w:val="fr-CA"/>
        </w:rPr>
        <w:t>éfense nationale à Manchester</w:t>
      </w:r>
      <w:r>
        <w:rPr>
          <w:sz w:val="22"/>
          <w:szCs w:val="22"/>
          <w:lang w:val="fr-CA"/>
        </w:rPr>
        <w:t>. En fait,</w:t>
      </w:r>
      <w:r w:rsidRPr="002B235F">
        <w:rPr>
          <w:sz w:val="22"/>
          <w:lang w:val="fr-CA"/>
        </w:rPr>
        <w:t xml:space="preserve"> </w:t>
      </w:r>
      <w:r>
        <w:rPr>
          <w:sz w:val="22"/>
          <w:szCs w:val="22"/>
          <w:lang w:val="fr-CA"/>
        </w:rPr>
        <w:t xml:space="preserve">cet organisme civil </w:t>
      </w:r>
      <w:r w:rsidRPr="002B235F">
        <w:rPr>
          <w:sz w:val="22"/>
          <w:lang w:val="fr-CA"/>
        </w:rPr>
        <w:t xml:space="preserve">est un groupe de lobby qui </w:t>
      </w:r>
      <w:r w:rsidRPr="002B235F">
        <w:rPr>
          <w:sz w:val="22"/>
          <w:lang w:val="fr-CA"/>
        </w:rPr>
        <w:lastRenderedPageBreak/>
        <w:t>coordonne</w:t>
      </w:r>
      <w:r w:rsidRPr="00217EFC">
        <w:rPr>
          <w:sz w:val="22"/>
          <w:szCs w:val="22"/>
          <w:lang w:val="fr-CA"/>
        </w:rPr>
        <w:t xml:space="preserve"> les efforts au niveau de l’État du New Hampshire</w:t>
      </w:r>
      <w:r>
        <w:rPr>
          <w:sz w:val="22"/>
          <w:szCs w:val="22"/>
          <w:lang w:val="fr-CA"/>
        </w:rPr>
        <w:t xml:space="preserve"> </w:t>
      </w:r>
      <w:r w:rsidRPr="002B235F">
        <w:rPr>
          <w:sz w:val="22"/>
          <w:lang w:val="fr-CA"/>
        </w:rPr>
        <w:t xml:space="preserve">et </w:t>
      </w:r>
      <w:r>
        <w:rPr>
          <w:sz w:val="22"/>
          <w:szCs w:val="22"/>
          <w:lang w:val="fr-CA"/>
        </w:rPr>
        <w:t xml:space="preserve">qui </w:t>
      </w:r>
      <w:r w:rsidRPr="002B235F">
        <w:rPr>
          <w:sz w:val="22"/>
          <w:lang w:val="fr-CA"/>
        </w:rPr>
        <w:t>vise</w:t>
      </w:r>
      <w:r w:rsidRPr="00217EFC">
        <w:rPr>
          <w:sz w:val="22"/>
          <w:szCs w:val="22"/>
          <w:lang w:val="fr-CA"/>
        </w:rPr>
        <w:t xml:space="preserve"> à préparer les États-Unis pour une implication future dans la </w:t>
      </w:r>
      <w:r w:rsidRPr="002B235F">
        <w:rPr>
          <w:sz w:val="22"/>
          <w:lang w:val="fr-CA"/>
        </w:rPr>
        <w:t>guerre</w:t>
      </w:r>
      <w:r>
        <w:rPr>
          <w:sz w:val="22"/>
          <w:szCs w:val="22"/>
          <w:lang w:val="fr-CA"/>
        </w:rPr>
        <w:t xml:space="preserve"> </w:t>
      </w:r>
      <w:r w:rsidRPr="00217EFC">
        <w:rPr>
          <w:sz w:val="22"/>
          <w:szCs w:val="22"/>
          <w:lang w:val="fr-CA"/>
        </w:rPr>
        <w:t>en augmentant</w:t>
      </w:r>
      <w:r>
        <w:rPr>
          <w:sz w:val="22"/>
          <w:szCs w:val="22"/>
          <w:lang w:val="fr-CA"/>
        </w:rPr>
        <w:t xml:space="preserve"> </w:t>
      </w:r>
      <w:r w:rsidRPr="00217EFC">
        <w:rPr>
          <w:sz w:val="22"/>
          <w:szCs w:val="22"/>
          <w:lang w:val="fr-CA"/>
        </w:rPr>
        <w:t xml:space="preserve">l’efficacité </w:t>
      </w:r>
      <w:r>
        <w:rPr>
          <w:sz w:val="22"/>
          <w:szCs w:val="22"/>
          <w:lang w:val="fr-CA"/>
        </w:rPr>
        <w:t xml:space="preserve">des forces militaires, ses </w:t>
      </w:r>
      <w:r w:rsidRPr="00217EFC">
        <w:rPr>
          <w:sz w:val="22"/>
          <w:szCs w:val="22"/>
          <w:lang w:val="fr-CA"/>
        </w:rPr>
        <w:t xml:space="preserve">effectifs et </w:t>
      </w:r>
      <w:r>
        <w:rPr>
          <w:sz w:val="22"/>
          <w:szCs w:val="22"/>
          <w:lang w:val="fr-CA"/>
        </w:rPr>
        <w:t>s</w:t>
      </w:r>
      <w:r w:rsidRPr="00217EFC">
        <w:rPr>
          <w:sz w:val="22"/>
          <w:szCs w:val="22"/>
          <w:lang w:val="fr-CA"/>
        </w:rPr>
        <w:t xml:space="preserve">es ressources matérielles afin qu’elles soient aptes à repousser toutes tentatives d’invasion </w:t>
      </w:r>
      <w:r>
        <w:rPr>
          <w:sz w:val="22"/>
          <w:szCs w:val="22"/>
          <w:lang w:val="fr-CA"/>
        </w:rPr>
        <w:t xml:space="preserve">du </w:t>
      </w:r>
      <w:r w:rsidRPr="00217EFC">
        <w:rPr>
          <w:sz w:val="22"/>
          <w:szCs w:val="22"/>
          <w:lang w:val="fr-CA"/>
        </w:rPr>
        <w:t>territoire américain</w:t>
      </w:r>
      <w:r w:rsidRPr="00217EFC">
        <w:rPr>
          <w:rStyle w:val="FootnoteReference"/>
          <w:sz w:val="22"/>
          <w:szCs w:val="22"/>
          <w:lang w:val="fr-CA"/>
        </w:rPr>
        <w:footnoteReference w:id="191"/>
      </w:r>
      <w:r w:rsidRPr="00217EFC">
        <w:rPr>
          <w:sz w:val="22"/>
          <w:szCs w:val="22"/>
          <w:lang w:val="fr-CA"/>
        </w:rPr>
        <w:t>.</w:t>
      </w:r>
      <w:r>
        <w:rPr>
          <w:sz w:val="22"/>
          <w:szCs w:val="22"/>
          <w:lang w:val="fr-CA"/>
        </w:rPr>
        <w:t xml:space="preserve"> </w:t>
      </w:r>
      <w:r w:rsidRPr="00217EFC">
        <w:rPr>
          <w:sz w:val="22"/>
          <w:szCs w:val="22"/>
          <w:lang w:val="fr-CA"/>
        </w:rPr>
        <w:t>En septembre 1915, lors d’une séance d’information</w:t>
      </w:r>
      <w:r>
        <w:rPr>
          <w:sz w:val="22"/>
          <w:szCs w:val="22"/>
          <w:lang w:val="fr-CA"/>
        </w:rPr>
        <w:t>,</w:t>
      </w:r>
      <w:r w:rsidRPr="00217EFC">
        <w:rPr>
          <w:sz w:val="22"/>
          <w:szCs w:val="22"/>
          <w:lang w:val="fr-CA"/>
        </w:rPr>
        <w:t xml:space="preserve"> 400 personnes sont réunies au club Joliet. Cette séance est présidée par John Bass, correspondant de guerre et frère de l’ancien gouverneur républicain de l’État du New Hampshire</w:t>
      </w:r>
      <w:r w:rsidRPr="00217EFC">
        <w:rPr>
          <w:rStyle w:val="FootnoteReference"/>
          <w:sz w:val="22"/>
          <w:szCs w:val="22"/>
          <w:lang w:val="fr-CA"/>
        </w:rPr>
        <w:footnoteReference w:id="192"/>
      </w:r>
      <w:r w:rsidRPr="00217EFC">
        <w:rPr>
          <w:sz w:val="22"/>
          <w:szCs w:val="22"/>
          <w:lang w:val="fr-CA"/>
        </w:rPr>
        <w:t xml:space="preserve">. La </w:t>
      </w:r>
      <w:r>
        <w:rPr>
          <w:sz w:val="22"/>
          <w:szCs w:val="22"/>
          <w:lang w:val="fr-CA"/>
        </w:rPr>
        <w:t>L</w:t>
      </w:r>
      <w:r w:rsidRPr="00217EFC">
        <w:rPr>
          <w:sz w:val="22"/>
          <w:szCs w:val="22"/>
          <w:lang w:val="fr-CA"/>
        </w:rPr>
        <w:t xml:space="preserve">igue </w:t>
      </w:r>
      <w:r>
        <w:rPr>
          <w:sz w:val="22"/>
          <w:szCs w:val="22"/>
          <w:lang w:val="fr-CA"/>
        </w:rPr>
        <w:t xml:space="preserve">ressemble </w:t>
      </w:r>
      <w:r w:rsidRPr="00217EFC">
        <w:rPr>
          <w:sz w:val="22"/>
          <w:szCs w:val="22"/>
          <w:lang w:val="fr-CA"/>
        </w:rPr>
        <w:t>à une organisation militaire</w:t>
      </w:r>
      <w:r>
        <w:rPr>
          <w:sz w:val="22"/>
          <w:szCs w:val="22"/>
          <w:lang w:val="fr-CA"/>
        </w:rPr>
        <w:t xml:space="preserve"> dont les membres reçoivent des grades similaires aux militaires</w:t>
      </w:r>
      <w:r w:rsidRPr="00217EFC">
        <w:rPr>
          <w:sz w:val="22"/>
          <w:szCs w:val="22"/>
          <w:lang w:val="fr-CA"/>
        </w:rPr>
        <w:t xml:space="preserve">. D’ailleurs, elle </w:t>
      </w:r>
      <w:r>
        <w:rPr>
          <w:sz w:val="22"/>
          <w:szCs w:val="22"/>
          <w:lang w:val="fr-CA"/>
        </w:rPr>
        <w:t xml:space="preserve">dispose </w:t>
      </w:r>
      <w:r w:rsidRPr="00217EFC">
        <w:rPr>
          <w:sz w:val="22"/>
          <w:szCs w:val="22"/>
          <w:lang w:val="fr-CA"/>
        </w:rPr>
        <w:t xml:space="preserve">d’une section de communication radio </w:t>
      </w:r>
      <w:r>
        <w:rPr>
          <w:sz w:val="22"/>
          <w:szCs w:val="22"/>
          <w:lang w:val="fr-CA"/>
        </w:rPr>
        <w:t xml:space="preserve">qui compte </w:t>
      </w:r>
      <w:r w:rsidRPr="00217EFC">
        <w:rPr>
          <w:sz w:val="22"/>
          <w:szCs w:val="22"/>
          <w:lang w:val="fr-CA"/>
        </w:rPr>
        <w:t xml:space="preserve">dix membres </w:t>
      </w:r>
      <w:r>
        <w:rPr>
          <w:sz w:val="22"/>
          <w:szCs w:val="22"/>
          <w:lang w:val="fr-CA"/>
        </w:rPr>
        <w:t xml:space="preserve">et </w:t>
      </w:r>
      <w:r w:rsidRPr="00217EFC">
        <w:rPr>
          <w:sz w:val="22"/>
          <w:szCs w:val="22"/>
          <w:lang w:val="fr-CA"/>
        </w:rPr>
        <w:t>opèr</w:t>
      </w:r>
      <w:r>
        <w:rPr>
          <w:sz w:val="22"/>
          <w:szCs w:val="22"/>
          <w:lang w:val="fr-CA"/>
        </w:rPr>
        <w:t>e</w:t>
      </w:r>
      <w:r w:rsidRPr="00217EFC">
        <w:rPr>
          <w:sz w:val="22"/>
          <w:szCs w:val="22"/>
          <w:lang w:val="fr-CA"/>
        </w:rPr>
        <w:t xml:space="preserve"> des télégraphes sans fils</w:t>
      </w:r>
      <w:r w:rsidRPr="00217EFC">
        <w:rPr>
          <w:rStyle w:val="FootnoteReference"/>
          <w:sz w:val="22"/>
          <w:szCs w:val="22"/>
          <w:lang w:val="fr-CA"/>
        </w:rPr>
        <w:footnoteReference w:id="193"/>
      </w:r>
      <w:r w:rsidRPr="00217EFC">
        <w:rPr>
          <w:sz w:val="22"/>
          <w:szCs w:val="22"/>
          <w:lang w:val="fr-CA"/>
        </w:rPr>
        <w:t xml:space="preserve">. </w:t>
      </w:r>
      <w:r>
        <w:rPr>
          <w:sz w:val="22"/>
          <w:lang w:val="fr-CA"/>
        </w:rPr>
        <w:t>L</w:t>
      </w:r>
      <w:r w:rsidRPr="002B235F">
        <w:rPr>
          <w:sz w:val="22"/>
          <w:lang w:val="fr-CA"/>
        </w:rPr>
        <w:t xml:space="preserve">es membres s’impliquent politiquement afin de </w:t>
      </w:r>
      <w:r w:rsidRPr="00217EFC">
        <w:rPr>
          <w:sz w:val="22"/>
          <w:szCs w:val="22"/>
          <w:lang w:val="fr-CA"/>
        </w:rPr>
        <w:t>dénoncer aux autorités</w:t>
      </w:r>
      <w:r w:rsidRPr="002B235F">
        <w:rPr>
          <w:sz w:val="22"/>
          <w:lang w:val="fr-CA"/>
        </w:rPr>
        <w:t xml:space="preserve"> le piètre état de préparation militaire du pays</w:t>
      </w:r>
      <w:r w:rsidRPr="00217EFC">
        <w:rPr>
          <w:sz w:val="22"/>
          <w:szCs w:val="22"/>
          <w:lang w:val="fr-CA"/>
        </w:rPr>
        <w:t>, en organisant</w:t>
      </w:r>
      <w:r w:rsidRPr="002B235F">
        <w:rPr>
          <w:sz w:val="22"/>
          <w:lang w:val="fr-CA"/>
        </w:rPr>
        <w:t xml:space="preserve"> des manifestations</w:t>
      </w:r>
      <w:r>
        <w:rPr>
          <w:sz w:val="22"/>
          <w:szCs w:val="22"/>
          <w:lang w:val="fr-CA"/>
        </w:rPr>
        <w:t xml:space="preserve"> c</w:t>
      </w:r>
      <w:r w:rsidRPr="00217EFC">
        <w:rPr>
          <w:sz w:val="22"/>
          <w:szCs w:val="22"/>
          <w:lang w:val="fr-CA"/>
        </w:rPr>
        <w:t>omme celle</w:t>
      </w:r>
      <w:r>
        <w:rPr>
          <w:sz w:val="22"/>
          <w:szCs w:val="22"/>
          <w:lang w:val="fr-CA"/>
        </w:rPr>
        <w:t>s</w:t>
      </w:r>
      <w:r w:rsidRPr="00217EFC">
        <w:rPr>
          <w:sz w:val="22"/>
          <w:szCs w:val="22"/>
          <w:lang w:val="fr-CA"/>
        </w:rPr>
        <w:t xml:space="preserve"> du 13 mai 1916, où 145</w:t>
      </w:r>
      <w:r w:rsidR="00714D09">
        <w:rPr>
          <w:sz w:val="22"/>
          <w:szCs w:val="22"/>
          <w:lang w:val="fr-CA"/>
        </w:rPr>
        <w:t> </w:t>
      </w:r>
      <w:r w:rsidRPr="00217EFC">
        <w:rPr>
          <w:sz w:val="22"/>
          <w:szCs w:val="22"/>
          <w:lang w:val="fr-CA"/>
        </w:rPr>
        <w:t>000 personnes auraient manifesté dans les rues de New</w:t>
      </w:r>
      <w:r w:rsidR="009618B0">
        <w:rPr>
          <w:sz w:val="22"/>
          <w:szCs w:val="22"/>
          <w:lang w:val="fr-CA"/>
        </w:rPr>
        <w:t xml:space="preserve"> </w:t>
      </w:r>
      <w:r w:rsidRPr="00217EFC">
        <w:rPr>
          <w:sz w:val="22"/>
          <w:szCs w:val="22"/>
          <w:lang w:val="fr-CA"/>
        </w:rPr>
        <w:t>York</w:t>
      </w:r>
      <w:r w:rsidRPr="00217EFC">
        <w:rPr>
          <w:rStyle w:val="FootnoteReference"/>
          <w:sz w:val="22"/>
          <w:szCs w:val="22"/>
          <w:lang w:val="fr-CA"/>
        </w:rPr>
        <w:footnoteReference w:id="194"/>
      </w:r>
      <w:r w:rsidRPr="00217EFC">
        <w:rPr>
          <w:sz w:val="22"/>
          <w:szCs w:val="22"/>
          <w:lang w:val="fr-CA"/>
        </w:rPr>
        <w:t xml:space="preserve"> et </w:t>
      </w:r>
      <w:r>
        <w:rPr>
          <w:sz w:val="22"/>
          <w:szCs w:val="22"/>
          <w:lang w:val="fr-CA"/>
        </w:rPr>
        <w:t xml:space="preserve">celle </w:t>
      </w:r>
      <w:r w:rsidRPr="00217EFC">
        <w:rPr>
          <w:sz w:val="22"/>
          <w:szCs w:val="22"/>
          <w:lang w:val="fr-CA"/>
        </w:rPr>
        <w:t>d</w:t>
      </w:r>
      <w:r>
        <w:rPr>
          <w:sz w:val="22"/>
          <w:szCs w:val="22"/>
          <w:lang w:val="fr-CA"/>
        </w:rPr>
        <w:t>u</w:t>
      </w:r>
      <w:r w:rsidRPr="00217EFC">
        <w:rPr>
          <w:sz w:val="22"/>
          <w:szCs w:val="22"/>
          <w:lang w:val="fr-CA"/>
        </w:rPr>
        <w:t xml:space="preserve"> 27 mai 1916</w:t>
      </w:r>
      <w:r>
        <w:rPr>
          <w:sz w:val="22"/>
          <w:szCs w:val="22"/>
          <w:lang w:val="fr-CA"/>
        </w:rPr>
        <w:t xml:space="preserve"> </w:t>
      </w:r>
      <w:r w:rsidRPr="00C321D6">
        <w:rPr>
          <w:sz w:val="22"/>
          <w:szCs w:val="22"/>
          <w:lang w:val="fr-CA"/>
        </w:rPr>
        <w:t>à</w:t>
      </w:r>
      <w:r>
        <w:rPr>
          <w:sz w:val="22"/>
          <w:szCs w:val="22"/>
          <w:lang w:val="fr-CA"/>
        </w:rPr>
        <w:t xml:space="preserve"> Boston</w:t>
      </w:r>
      <w:r w:rsidRPr="00217EFC">
        <w:rPr>
          <w:sz w:val="22"/>
          <w:szCs w:val="22"/>
          <w:lang w:val="fr-CA"/>
        </w:rPr>
        <w:t xml:space="preserve">, </w:t>
      </w:r>
      <w:r>
        <w:rPr>
          <w:sz w:val="22"/>
          <w:szCs w:val="22"/>
          <w:lang w:val="fr-CA"/>
        </w:rPr>
        <w:t xml:space="preserve">à laquelle </w:t>
      </w:r>
      <w:r w:rsidRPr="00217EFC">
        <w:rPr>
          <w:sz w:val="22"/>
          <w:szCs w:val="22"/>
          <w:lang w:val="fr-CA"/>
        </w:rPr>
        <w:t>les unités des Gardes Nationales</w:t>
      </w:r>
      <w:r>
        <w:rPr>
          <w:sz w:val="22"/>
          <w:szCs w:val="22"/>
          <w:lang w:val="fr-CA"/>
        </w:rPr>
        <w:t xml:space="preserve"> </w:t>
      </w:r>
      <w:r w:rsidRPr="00217EFC">
        <w:rPr>
          <w:sz w:val="22"/>
          <w:szCs w:val="22"/>
          <w:lang w:val="fr-CA"/>
        </w:rPr>
        <w:t>part</w:t>
      </w:r>
      <w:r>
        <w:rPr>
          <w:sz w:val="22"/>
          <w:szCs w:val="22"/>
          <w:lang w:val="fr-CA"/>
        </w:rPr>
        <w:t xml:space="preserve">icipent </w:t>
      </w:r>
      <w:r w:rsidRPr="00217EFC">
        <w:rPr>
          <w:sz w:val="22"/>
          <w:szCs w:val="22"/>
          <w:lang w:val="fr-CA"/>
        </w:rPr>
        <w:t>en défil</w:t>
      </w:r>
      <w:r>
        <w:rPr>
          <w:sz w:val="22"/>
          <w:szCs w:val="22"/>
          <w:lang w:val="fr-CA"/>
        </w:rPr>
        <w:t>a</w:t>
      </w:r>
      <w:r w:rsidRPr="00217EFC">
        <w:rPr>
          <w:sz w:val="22"/>
          <w:szCs w:val="22"/>
          <w:lang w:val="fr-CA"/>
        </w:rPr>
        <w:t>nt avec un groupe de 80</w:t>
      </w:r>
      <w:r w:rsidR="00714D09">
        <w:rPr>
          <w:sz w:val="22"/>
          <w:szCs w:val="22"/>
          <w:lang w:val="fr-CA"/>
        </w:rPr>
        <w:t> </w:t>
      </w:r>
      <w:r w:rsidRPr="00217EFC">
        <w:rPr>
          <w:sz w:val="22"/>
          <w:szCs w:val="22"/>
          <w:lang w:val="fr-CA"/>
        </w:rPr>
        <w:t>000 à 100</w:t>
      </w:r>
      <w:r w:rsidR="00714D09">
        <w:rPr>
          <w:sz w:val="22"/>
          <w:szCs w:val="22"/>
          <w:lang w:val="fr-CA"/>
        </w:rPr>
        <w:t> </w:t>
      </w:r>
      <w:r w:rsidRPr="00217EFC">
        <w:rPr>
          <w:sz w:val="22"/>
          <w:szCs w:val="22"/>
          <w:lang w:val="fr-CA"/>
        </w:rPr>
        <w:t>000 personnes</w:t>
      </w:r>
      <w:r w:rsidRPr="00217EFC">
        <w:rPr>
          <w:rStyle w:val="FootnoteReference"/>
          <w:sz w:val="22"/>
          <w:szCs w:val="22"/>
          <w:lang w:val="fr-CA"/>
        </w:rPr>
        <w:footnoteReference w:id="195"/>
      </w:r>
      <w:r w:rsidRPr="00217EFC">
        <w:rPr>
          <w:sz w:val="22"/>
          <w:szCs w:val="22"/>
          <w:lang w:val="fr-CA"/>
        </w:rPr>
        <w:t>.</w:t>
      </w:r>
    </w:p>
    <w:p w14:paraId="534F2752" w14:textId="77777777" w:rsidR="000264D6" w:rsidRPr="00217EFC" w:rsidRDefault="000264D6" w:rsidP="002B5319">
      <w:pPr>
        <w:spacing w:before="100" w:beforeAutospacing="1" w:after="100" w:afterAutospacing="1"/>
        <w:ind w:firstLine="720"/>
        <w:jc w:val="both"/>
        <w:rPr>
          <w:sz w:val="22"/>
          <w:szCs w:val="22"/>
          <w:lang w:val="fr-CA"/>
        </w:rPr>
      </w:pPr>
      <w:r>
        <w:rPr>
          <w:sz w:val="22"/>
          <w:szCs w:val="22"/>
          <w:lang w:val="fr-CA"/>
        </w:rPr>
        <w:t>Dès m</w:t>
      </w:r>
      <w:r w:rsidRPr="00217EFC">
        <w:rPr>
          <w:sz w:val="22"/>
          <w:szCs w:val="22"/>
          <w:lang w:val="fr-CA"/>
        </w:rPr>
        <w:t>ars 1917, les États de la Nouvelle-Angleterre se préparent pour une guerre éventuelle. Le Massachusetts a</w:t>
      </w:r>
      <w:r>
        <w:rPr>
          <w:sz w:val="22"/>
          <w:szCs w:val="22"/>
          <w:lang w:val="fr-CA"/>
        </w:rPr>
        <w:t xml:space="preserve">ccorde </w:t>
      </w:r>
      <w:r w:rsidRPr="00217EFC">
        <w:rPr>
          <w:sz w:val="22"/>
          <w:szCs w:val="22"/>
          <w:lang w:val="fr-CA"/>
        </w:rPr>
        <w:t xml:space="preserve">au comité de l’État de la Ligue </w:t>
      </w:r>
      <w:r>
        <w:rPr>
          <w:sz w:val="22"/>
          <w:szCs w:val="22"/>
          <w:lang w:val="fr-CA"/>
        </w:rPr>
        <w:t xml:space="preserve">de </w:t>
      </w:r>
      <w:r w:rsidRPr="00217EFC">
        <w:rPr>
          <w:sz w:val="22"/>
          <w:szCs w:val="22"/>
          <w:lang w:val="fr-CA"/>
        </w:rPr>
        <w:t xml:space="preserve">Défense </w:t>
      </w:r>
      <w:r>
        <w:rPr>
          <w:sz w:val="22"/>
          <w:szCs w:val="22"/>
          <w:lang w:val="fr-CA"/>
        </w:rPr>
        <w:t>n</w:t>
      </w:r>
      <w:r w:rsidRPr="00217EFC">
        <w:rPr>
          <w:sz w:val="22"/>
          <w:szCs w:val="22"/>
          <w:lang w:val="fr-CA"/>
        </w:rPr>
        <w:t>ational</w:t>
      </w:r>
      <w:r>
        <w:rPr>
          <w:sz w:val="22"/>
          <w:szCs w:val="22"/>
          <w:lang w:val="fr-CA"/>
        </w:rPr>
        <w:t>e</w:t>
      </w:r>
      <w:r w:rsidRPr="00217EFC">
        <w:rPr>
          <w:sz w:val="22"/>
          <w:szCs w:val="22"/>
          <w:lang w:val="fr-CA"/>
        </w:rPr>
        <w:t xml:space="preserve"> la somme de 1</w:t>
      </w:r>
      <w:r>
        <w:rPr>
          <w:sz w:val="22"/>
          <w:szCs w:val="22"/>
          <w:lang w:val="fr-CA"/>
        </w:rPr>
        <w:t> 000 000 </w:t>
      </w:r>
      <w:r w:rsidRPr="00217EFC">
        <w:rPr>
          <w:sz w:val="22"/>
          <w:szCs w:val="22"/>
          <w:lang w:val="fr-CA"/>
        </w:rPr>
        <w:t xml:space="preserve">$. </w:t>
      </w:r>
      <w:r>
        <w:rPr>
          <w:sz w:val="22"/>
          <w:szCs w:val="22"/>
          <w:lang w:val="fr-CA"/>
        </w:rPr>
        <w:t>L</w:t>
      </w:r>
      <w:r w:rsidRPr="00217EFC">
        <w:rPr>
          <w:sz w:val="22"/>
          <w:szCs w:val="22"/>
          <w:lang w:val="fr-CA"/>
        </w:rPr>
        <w:t xml:space="preserve">e New Hampshire autorise </w:t>
      </w:r>
      <w:r>
        <w:rPr>
          <w:sz w:val="22"/>
          <w:szCs w:val="22"/>
          <w:lang w:val="fr-CA"/>
        </w:rPr>
        <w:t xml:space="preserve">également </w:t>
      </w:r>
      <w:r w:rsidRPr="00217EFC">
        <w:rPr>
          <w:sz w:val="22"/>
          <w:szCs w:val="22"/>
          <w:lang w:val="fr-CA"/>
        </w:rPr>
        <w:t>un crédit de 500</w:t>
      </w:r>
      <w:r>
        <w:rPr>
          <w:sz w:val="22"/>
          <w:szCs w:val="22"/>
          <w:lang w:val="fr-CA"/>
        </w:rPr>
        <w:t> 000 $</w:t>
      </w:r>
      <w:r w:rsidRPr="00217EFC">
        <w:rPr>
          <w:sz w:val="22"/>
          <w:szCs w:val="22"/>
          <w:lang w:val="fr-CA"/>
        </w:rPr>
        <w:t xml:space="preserve"> </w:t>
      </w:r>
      <w:r>
        <w:rPr>
          <w:sz w:val="22"/>
          <w:szCs w:val="22"/>
          <w:lang w:val="fr-CA"/>
        </w:rPr>
        <w:t xml:space="preserve">à </w:t>
      </w:r>
      <w:r w:rsidRPr="00217EFC">
        <w:rPr>
          <w:sz w:val="22"/>
          <w:szCs w:val="22"/>
          <w:lang w:val="fr-CA"/>
        </w:rPr>
        <w:t>la Ligue</w:t>
      </w:r>
      <w:r>
        <w:rPr>
          <w:sz w:val="22"/>
          <w:szCs w:val="22"/>
          <w:lang w:val="fr-CA"/>
        </w:rPr>
        <w:t xml:space="preserve"> qui change </w:t>
      </w:r>
      <w:r w:rsidRPr="00217EFC">
        <w:rPr>
          <w:sz w:val="22"/>
          <w:szCs w:val="22"/>
          <w:lang w:val="fr-CA"/>
        </w:rPr>
        <w:t xml:space="preserve">son </w:t>
      </w:r>
      <w:r>
        <w:rPr>
          <w:sz w:val="22"/>
          <w:szCs w:val="22"/>
          <w:lang w:val="fr-CA"/>
        </w:rPr>
        <w:t xml:space="preserve">appellation </w:t>
      </w:r>
      <w:r w:rsidRPr="00217EFC">
        <w:rPr>
          <w:sz w:val="22"/>
          <w:szCs w:val="22"/>
          <w:lang w:val="fr-CA"/>
        </w:rPr>
        <w:t>pour l</w:t>
      </w:r>
      <w:r>
        <w:rPr>
          <w:sz w:val="22"/>
          <w:szCs w:val="22"/>
          <w:lang w:val="fr-CA"/>
        </w:rPr>
        <w:t>e</w:t>
      </w:r>
      <w:r w:rsidRPr="00217EFC">
        <w:rPr>
          <w:sz w:val="22"/>
          <w:szCs w:val="22"/>
          <w:lang w:val="fr-CA"/>
        </w:rPr>
        <w:t xml:space="preserve"> </w:t>
      </w:r>
      <w:r w:rsidRPr="00217EFC">
        <w:rPr>
          <w:i/>
          <w:iCs/>
          <w:sz w:val="22"/>
          <w:szCs w:val="22"/>
          <w:lang w:val="fr-CA"/>
        </w:rPr>
        <w:t>New Hampshire National Defen</w:t>
      </w:r>
      <w:r>
        <w:rPr>
          <w:i/>
          <w:iCs/>
          <w:sz w:val="22"/>
          <w:szCs w:val="22"/>
          <w:lang w:val="fr-CA"/>
        </w:rPr>
        <w:t>c</w:t>
      </w:r>
      <w:r w:rsidRPr="00217EFC">
        <w:rPr>
          <w:i/>
          <w:iCs/>
          <w:sz w:val="22"/>
          <w:szCs w:val="22"/>
          <w:lang w:val="fr-CA"/>
        </w:rPr>
        <w:t>e Ligue</w:t>
      </w:r>
      <w:r w:rsidRPr="00217EFC">
        <w:rPr>
          <w:rStyle w:val="FootnoteReference"/>
          <w:sz w:val="22"/>
          <w:szCs w:val="22"/>
          <w:lang w:val="fr-CA"/>
        </w:rPr>
        <w:footnoteReference w:id="196"/>
      </w:r>
      <w:r w:rsidRPr="00217EFC">
        <w:rPr>
          <w:sz w:val="22"/>
          <w:szCs w:val="22"/>
          <w:lang w:val="fr-CA"/>
        </w:rPr>
        <w:t xml:space="preserve">. </w:t>
      </w:r>
      <w:r>
        <w:rPr>
          <w:sz w:val="22"/>
          <w:szCs w:val="22"/>
          <w:lang w:val="fr-CA"/>
        </w:rPr>
        <w:t>De plus, o</w:t>
      </w:r>
      <w:r w:rsidRPr="00217EFC">
        <w:rPr>
          <w:sz w:val="22"/>
          <w:szCs w:val="22"/>
          <w:lang w:val="fr-CA"/>
        </w:rPr>
        <w:t>n</w:t>
      </w:r>
      <w:r>
        <w:rPr>
          <w:sz w:val="22"/>
          <w:szCs w:val="22"/>
          <w:lang w:val="fr-CA"/>
        </w:rPr>
        <w:t xml:space="preserve"> </w:t>
      </w:r>
      <w:r w:rsidRPr="00217EFC">
        <w:rPr>
          <w:sz w:val="22"/>
          <w:szCs w:val="22"/>
          <w:lang w:val="fr-CA"/>
        </w:rPr>
        <w:t xml:space="preserve">s’attend </w:t>
      </w:r>
      <w:r>
        <w:rPr>
          <w:sz w:val="22"/>
          <w:szCs w:val="22"/>
          <w:lang w:val="fr-CA"/>
        </w:rPr>
        <w:t>à ce</w:t>
      </w:r>
      <w:r w:rsidRPr="00217EFC">
        <w:rPr>
          <w:sz w:val="22"/>
          <w:szCs w:val="22"/>
          <w:lang w:val="fr-CA"/>
        </w:rPr>
        <w:t xml:space="preserve"> que la Garde National</w:t>
      </w:r>
      <w:r>
        <w:rPr>
          <w:sz w:val="22"/>
          <w:szCs w:val="22"/>
          <w:lang w:val="fr-CA"/>
        </w:rPr>
        <w:t>e</w:t>
      </w:r>
      <w:r w:rsidRPr="00217EFC">
        <w:rPr>
          <w:sz w:val="22"/>
          <w:szCs w:val="22"/>
          <w:lang w:val="fr-CA"/>
        </w:rPr>
        <w:t xml:space="preserve"> de l’État soit mobilisée bientôt et que le gouvernement déclare l’état de guerre</w:t>
      </w:r>
      <w:r w:rsidRPr="00217EFC">
        <w:rPr>
          <w:rStyle w:val="FootnoteReference"/>
          <w:sz w:val="22"/>
          <w:szCs w:val="22"/>
          <w:lang w:val="fr-CA"/>
        </w:rPr>
        <w:footnoteReference w:id="197"/>
      </w:r>
      <w:r w:rsidRPr="00217EFC">
        <w:rPr>
          <w:sz w:val="22"/>
          <w:szCs w:val="22"/>
          <w:lang w:val="fr-CA"/>
        </w:rPr>
        <w:t xml:space="preserve">. La </w:t>
      </w:r>
      <w:r>
        <w:rPr>
          <w:sz w:val="22"/>
          <w:szCs w:val="22"/>
          <w:lang w:val="fr-CA"/>
        </w:rPr>
        <w:t>L</w:t>
      </w:r>
      <w:r w:rsidRPr="00217EFC">
        <w:rPr>
          <w:sz w:val="22"/>
          <w:szCs w:val="22"/>
          <w:lang w:val="fr-CA"/>
        </w:rPr>
        <w:t>igue organise un rassemblement public, le 1</w:t>
      </w:r>
      <w:r w:rsidRPr="00217EFC">
        <w:rPr>
          <w:sz w:val="22"/>
          <w:szCs w:val="22"/>
          <w:vertAlign w:val="superscript"/>
          <w:lang w:val="fr-CA"/>
        </w:rPr>
        <w:t>er</w:t>
      </w:r>
      <w:r w:rsidRPr="00217EFC">
        <w:rPr>
          <w:sz w:val="22"/>
          <w:szCs w:val="22"/>
          <w:lang w:val="fr-CA"/>
        </w:rPr>
        <w:t xml:space="preserve"> avril 1917, à Manchester, où des milliers de citoyens affichent leur patriotisme</w:t>
      </w:r>
      <w:r w:rsidRPr="00217EFC">
        <w:rPr>
          <w:rStyle w:val="FootnoteReference"/>
          <w:sz w:val="22"/>
          <w:szCs w:val="22"/>
          <w:lang w:val="fr-CA"/>
        </w:rPr>
        <w:footnoteReference w:id="198"/>
      </w:r>
      <w:r w:rsidRPr="00217EFC">
        <w:rPr>
          <w:sz w:val="22"/>
          <w:szCs w:val="22"/>
          <w:lang w:val="fr-CA"/>
        </w:rPr>
        <w:t>.</w:t>
      </w:r>
    </w:p>
    <w:p w14:paraId="1EA45586" w14:textId="77777777"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Le lobby de la Ligue semble produire des </w:t>
      </w:r>
      <w:r>
        <w:rPr>
          <w:sz w:val="22"/>
          <w:szCs w:val="22"/>
          <w:lang w:val="fr-CA"/>
        </w:rPr>
        <w:t>résultats</w:t>
      </w:r>
      <w:r w:rsidR="009618B0">
        <w:rPr>
          <w:sz w:val="22"/>
          <w:szCs w:val="22"/>
          <w:lang w:val="fr-CA"/>
        </w:rPr>
        <w:t>,</w:t>
      </w:r>
      <w:r w:rsidRPr="00217EFC">
        <w:rPr>
          <w:sz w:val="22"/>
          <w:szCs w:val="22"/>
          <w:lang w:val="fr-CA"/>
        </w:rPr>
        <w:t xml:space="preserve"> car</w:t>
      </w:r>
      <w:r w:rsidRPr="002B235F">
        <w:rPr>
          <w:sz w:val="22"/>
          <w:lang w:val="fr-CA"/>
        </w:rPr>
        <w:t xml:space="preserve"> le 18 mars 1916, </w:t>
      </w:r>
      <w:r w:rsidRPr="002B235F">
        <w:rPr>
          <w:i/>
          <w:sz w:val="22"/>
          <w:lang w:val="fr-CA"/>
        </w:rPr>
        <w:t xml:space="preserve">L’Avenir National </w:t>
      </w:r>
      <w:r w:rsidRPr="002B235F">
        <w:rPr>
          <w:sz w:val="22"/>
          <w:lang w:val="fr-CA"/>
        </w:rPr>
        <w:t>annonce l’ouverture du bureau de recrutement pour l’État à Manchester. Le Congrès a autorisé le recrutement de 120</w:t>
      </w:r>
      <w:r w:rsidR="00714D09">
        <w:rPr>
          <w:sz w:val="22"/>
          <w:lang w:val="fr-CA"/>
        </w:rPr>
        <w:t> </w:t>
      </w:r>
      <w:r w:rsidRPr="002B235F">
        <w:rPr>
          <w:sz w:val="22"/>
          <w:lang w:val="fr-CA"/>
        </w:rPr>
        <w:t>000 militaires pour accroitre le personnel de l’armée régulière</w:t>
      </w:r>
      <w:r w:rsidRPr="002B235F">
        <w:rPr>
          <w:rStyle w:val="FootnoteReference"/>
          <w:sz w:val="22"/>
          <w:lang w:val="fr-CA"/>
        </w:rPr>
        <w:footnoteReference w:id="199"/>
      </w:r>
      <w:r w:rsidRPr="002B235F">
        <w:rPr>
          <w:sz w:val="22"/>
          <w:lang w:val="fr-CA"/>
        </w:rPr>
        <w:t xml:space="preserve">. </w:t>
      </w:r>
      <w:r>
        <w:rPr>
          <w:sz w:val="22"/>
          <w:lang w:val="fr-CA"/>
        </w:rPr>
        <w:t>O</w:t>
      </w:r>
      <w:r w:rsidRPr="002B235F">
        <w:rPr>
          <w:sz w:val="22"/>
          <w:lang w:val="fr-CA"/>
        </w:rPr>
        <w:t>n cherche à enrôler 25</w:t>
      </w:r>
      <w:r w:rsidR="00714D09">
        <w:rPr>
          <w:sz w:val="22"/>
          <w:lang w:val="fr-CA"/>
        </w:rPr>
        <w:t> </w:t>
      </w:r>
      <w:r w:rsidRPr="002B235F">
        <w:rPr>
          <w:sz w:val="22"/>
          <w:lang w:val="fr-CA"/>
        </w:rPr>
        <w:t>000 militaires dans le New Hampshire et certains d’entre eux serviront au Mexique</w:t>
      </w:r>
      <w:r>
        <w:rPr>
          <w:sz w:val="22"/>
          <w:szCs w:val="22"/>
          <w:lang w:val="fr-CA"/>
        </w:rPr>
        <w:t>. A</w:t>
      </w:r>
      <w:r w:rsidRPr="00217EFC">
        <w:rPr>
          <w:sz w:val="22"/>
          <w:szCs w:val="22"/>
          <w:lang w:val="fr-CA"/>
        </w:rPr>
        <w:t xml:space="preserve">près avoir complété leur entrainement à Slocum, </w:t>
      </w:r>
      <w:r>
        <w:rPr>
          <w:sz w:val="22"/>
          <w:szCs w:val="22"/>
          <w:lang w:val="fr-CA"/>
        </w:rPr>
        <w:t>i</w:t>
      </w:r>
      <w:r w:rsidRPr="00217EFC">
        <w:rPr>
          <w:sz w:val="22"/>
          <w:szCs w:val="22"/>
          <w:lang w:val="fr-CA"/>
        </w:rPr>
        <w:t>ls feront parti</w:t>
      </w:r>
      <w:r>
        <w:rPr>
          <w:sz w:val="22"/>
          <w:szCs w:val="22"/>
          <w:lang w:val="fr-CA"/>
        </w:rPr>
        <w:t>e</w:t>
      </w:r>
      <w:r w:rsidRPr="00217EFC">
        <w:rPr>
          <w:sz w:val="22"/>
          <w:szCs w:val="22"/>
          <w:lang w:val="fr-CA"/>
        </w:rPr>
        <w:t xml:space="preserve"> des forces régulières </w:t>
      </w:r>
      <w:r>
        <w:rPr>
          <w:sz w:val="22"/>
          <w:szCs w:val="22"/>
          <w:lang w:val="fr-CA"/>
        </w:rPr>
        <w:t xml:space="preserve">qui seront cantonnées dans l’État </w:t>
      </w:r>
      <w:r w:rsidRPr="00217EFC">
        <w:rPr>
          <w:sz w:val="22"/>
          <w:szCs w:val="22"/>
          <w:lang w:val="fr-CA"/>
        </w:rPr>
        <w:t>de New</w:t>
      </w:r>
      <w:r w:rsidR="009618B0">
        <w:rPr>
          <w:sz w:val="22"/>
          <w:szCs w:val="22"/>
          <w:lang w:val="fr-CA"/>
        </w:rPr>
        <w:t xml:space="preserve"> </w:t>
      </w:r>
      <w:r w:rsidRPr="00217EFC">
        <w:rPr>
          <w:sz w:val="22"/>
          <w:szCs w:val="22"/>
          <w:lang w:val="fr-CA"/>
        </w:rPr>
        <w:t>York</w:t>
      </w:r>
      <w:r w:rsidRPr="00217EFC">
        <w:rPr>
          <w:rStyle w:val="FootnoteReference"/>
          <w:sz w:val="22"/>
          <w:szCs w:val="22"/>
          <w:lang w:val="fr-CA"/>
        </w:rPr>
        <w:footnoteReference w:id="200"/>
      </w:r>
      <w:r w:rsidRPr="00217EFC">
        <w:rPr>
          <w:sz w:val="22"/>
          <w:szCs w:val="22"/>
          <w:lang w:val="fr-CA"/>
        </w:rPr>
        <w:t xml:space="preserve">. </w:t>
      </w:r>
      <w:r w:rsidRPr="002B235F">
        <w:rPr>
          <w:sz w:val="22"/>
          <w:lang w:val="fr-CA"/>
        </w:rPr>
        <w:t>Étrangement,</w:t>
      </w:r>
      <w:r w:rsidRPr="00217EFC">
        <w:rPr>
          <w:sz w:val="22"/>
          <w:szCs w:val="22"/>
          <w:lang w:val="fr-CA"/>
        </w:rPr>
        <w:t xml:space="preserve"> les débuts de la campagne de recrutement ne sont pas aussi bons que le personnel des centres de recrutement ne l’aurait cru. En un mois d’activité, seulement 44 volontaires ont accepté </w:t>
      </w:r>
      <w:r>
        <w:rPr>
          <w:sz w:val="22"/>
          <w:szCs w:val="22"/>
          <w:lang w:val="fr-CA"/>
        </w:rPr>
        <w:t>de</w:t>
      </w:r>
      <w:r w:rsidRPr="00217EFC">
        <w:rPr>
          <w:sz w:val="22"/>
          <w:szCs w:val="22"/>
          <w:lang w:val="fr-CA"/>
        </w:rPr>
        <w:t xml:space="preserve"> joindre les forces régulières et ces volontaires ne proviennent pas de Manchester</w:t>
      </w:r>
      <w:r w:rsidRPr="00217EFC">
        <w:rPr>
          <w:rStyle w:val="FootnoteReference"/>
          <w:sz w:val="22"/>
          <w:szCs w:val="22"/>
          <w:lang w:val="fr-CA"/>
        </w:rPr>
        <w:footnoteReference w:id="201"/>
      </w:r>
      <w:r w:rsidRPr="00217EFC">
        <w:rPr>
          <w:sz w:val="22"/>
          <w:szCs w:val="22"/>
          <w:lang w:val="fr-CA"/>
        </w:rPr>
        <w:t xml:space="preserve">. De plus, </w:t>
      </w:r>
      <w:r>
        <w:rPr>
          <w:sz w:val="22"/>
          <w:szCs w:val="22"/>
          <w:lang w:val="fr-CA"/>
        </w:rPr>
        <w:t xml:space="preserve">nous avons constaté que </w:t>
      </w:r>
      <w:r w:rsidRPr="00217EFC">
        <w:rPr>
          <w:sz w:val="22"/>
          <w:szCs w:val="22"/>
          <w:lang w:val="fr-CA"/>
        </w:rPr>
        <w:t xml:space="preserve">les enrôlements </w:t>
      </w:r>
      <w:r>
        <w:rPr>
          <w:sz w:val="22"/>
          <w:szCs w:val="22"/>
          <w:lang w:val="fr-CA"/>
        </w:rPr>
        <w:t xml:space="preserve">sont plutôt des cas isolés que des mouvements </w:t>
      </w:r>
      <w:r w:rsidRPr="00217EFC">
        <w:rPr>
          <w:sz w:val="22"/>
          <w:szCs w:val="22"/>
          <w:lang w:val="fr-CA"/>
        </w:rPr>
        <w:t>massifs</w:t>
      </w:r>
      <w:r>
        <w:rPr>
          <w:sz w:val="22"/>
          <w:szCs w:val="22"/>
          <w:lang w:val="fr-CA"/>
        </w:rPr>
        <w:t xml:space="preserve"> vers les centres de recrutement</w:t>
      </w:r>
      <w:r w:rsidRPr="00217EFC">
        <w:rPr>
          <w:sz w:val="22"/>
          <w:szCs w:val="22"/>
          <w:lang w:val="fr-CA"/>
        </w:rPr>
        <w:t xml:space="preserve">. Par exemple, </w:t>
      </w:r>
      <w:r>
        <w:rPr>
          <w:sz w:val="22"/>
          <w:szCs w:val="22"/>
          <w:lang w:val="fr-CA"/>
        </w:rPr>
        <w:t xml:space="preserve">le journal </w:t>
      </w:r>
      <w:r>
        <w:rPr>
          <w:sz w:val="22"/>
          <w:szCs w:val="22"/>
          <w:lang w:val="fr-CA"/>
        </w:rPr>
        <w:lastRenderedPageBreak/>
        <w:t xml:space="preserve">décrit </w:t>
      </w:r>
      <w:r w:rsidRPr="00217EFC">
        <w:rPr>
          <w:sz w:val="22"/>
          <w:szCs w:val="22"/>
          <w:lang w:val="fr-CA"/>
        </w:rPr>
        <w:t>que trois recrues se sont enrôlées au nouveau bureau de recrutement de Concord</w:t>
      </w:r>
      <w:r w:rsidRPr="00217EFC">
        <w:rPr>
          <w:rStyle w:val="FootnoteReference"/>
          <w:sz w:val="22"/>
          <w:szCs w:val="22"/>
          <w:lang w:val="fr-CA"/>
        </w:rPr>
        <w:footnoteReference w:id="202"/>
      </w:r>
      <w:r w:rsidRPr="00217EFC">
        <w:rPr>
          <w:sz w:val="22"/>
          <w:szCs w:val="22"/>
          <w:lang w:val="fr-CA"/>
        </w:rPr>
        <w:t xml:space="preserve">. On mentionne également </w:t>
      </w:r>
      <w:r>
        <w:rPr>
          <w:sz w:val="22"/>
          <w:szCs w:val="22"/>
          <w:lang w:val="fr-CA"/>
        </w:rPr>
        <w:t xml:space="preserve">que </w:t>
      </w:r>
      <w:r w:rsidRPr="00217EFC">
        <w:rPr>
          <w:sz w:val="22"/>
          <w:szCs w:val="22"/>
          <w:lang w:val="fr-CA"/>
        </w:rPr>
        <w:t>Walter Lackie et Arthur Lessard</w:t>
      </w:r>
      <w:r>
        <w:rPr>
          <w:sz w:val="22"/>
          <w:szCs w:val="22"/>
          <w:lang w:val="fr-CA"/>
        </w:rPr>
        <w:t xml:space="preserve"> </w:t>
      </w:r>
      <w:r w:rsidRPr="00217EFC">
        <w:rPr>
          <w:sz w:val="22"/>
          <w:szCs w:val="22"/>
          <w:lang w:val="fr-CA"/>
        </w:rPr>
        <w:t>iront au fort Slocum, car ils ont réussi les tests pour être acceptés dans l’armée, alors que Walter Moulton est refusé, car il «</w:t>
      </w:r>
      <w:r w:rsidR="00714D09">
        <w:rPr>
          <w:sz w:val="22"/>
          <w:szCs w:val="22"/>
          <w:lang w:val="fr-CA"/>
        </w:rPr>
        <w:t> </w:t>
      </w:r>
      <w:r w:rsidRPr="00217EFC">
        <w:rPr>
          <w:sz w:val="22"/>
          <w:szCs w:val="22"/>
          <w:lang w:val="fr-CA"/>
        </w:rPr>
        <w:t>pesait deux livres de moins que le poids requis</w:t>
      </w:r>
      <w:r w:rsidR="00714D09">
        <w:rPr>
          <w:sz w:val="22"/>
          <w:szCs w:val="22"/>
          <w:lang w:val="fr-CA"/>
        </w:rPr>
        <w:t> </w:t>
      </w:r>
      <w:r w:rsidRPr="00217EFC">
        <w:rPr>
          <w:sz w:val="22"/>
          <w:szCs w:val="22"/>
          <w:lang w:val="fr-CA"/>
        </w:rPr>
        <w:t>»</w:t>
      </w:r>
      <w:r w:rsidRPr="00217EFC">
        <w:rPr>
          <w:rStyle w:val="FootnoteReference"/>
          <w:sz w:val="22"/>
          <w:szCs w:val="22"/>
          <w:lang w:val="fr-CA"/>
        </w:rPr>
        <w:footnoteReference w:id="203"/>
      </w:r>
      <w:r w:rsidRPr="00217EFC">
        <w:rPr>
          <w:sz w:val="22"/>
          <w:szCs w:val="22"/>
          <w:lang w:val="fr-CA"/>
        </w:rPr>
        <w:t xml:space="preserve">. </w:t>
      </w:r>
    </w:p>
    <w:p w14:paraId="2171BC44" w14:textId="77777777" w:rsidR="000264D6" w:rsidRDefault="000264D6" w:rsidP="002B5319">
      <w:pPr>
        <w:spacing w:before="100" w:beforeAutospacing="1" w:after="100" w:afterAutospacing="1"/>
        <w:ind w:firstLine="720"/>
        <w:jc w:val="both"/>
        <w:rPr>
          <w:sz w:val="22"/>
          <w:szCs w:val="22"/>
          <w:lang w:val="fr-CA"/>
        </w:rPr>
      </w:pPr>
      <w:r>
        <w:rPr>
          <w:sz w:val="22"/>
          <w:szCs w:val="22"/>
          <w:lang w:val="fr-CA"/>
        </w:rPr>
        <w:t>A</w:t>
      </w:r>
      <w:r w:rsidRPr="00217EFC">
        <w:rPr>
          <w:sz w:val="22"/>
          <w:szCs w:val="22"/>
          <w:lang w:val="fr-CA"/>
        </w:rPr>
        <w:t xml:space="preserve">fin d’encourager davantage l’enthousiasme </w:t>
      </w:r>
      <w:r>
        <w:rPr>
          <w:sz w:val="22"/>
          <w:szCs w:val="22"/>
          <w:lang w:val="fr-CA"/>
        </w:rPr>
        <w:t xml:space="preserve">chez la population </w:t>
      </w:r>
      <w:r w:rsidRPr="00217EFC">
        <w:rPr>
          <w:sz w:val="22"/>
          <w:szCs w:val="22"/>
          <w:lang w:val="fr-CA"/>
        </w:rPr>
        <w:t>pour le recrutement et d’aider financièrement les familles des volontaires, la Compagnie Amoskeag</w:t>
      </w:r>
      <w:r>
        <w:rPr>
          <w:sz w:val="22"/>
          <w:szCs w:val="22"/>
          <w:lang w:val="fr-CA"/>
        </w:rPr>
        <w:t xml:space="preserve">, l’employeur de milliers de travailleurs de la ville, </w:t>
      </w:r>
      <w:r w:rsidRPr="00217EFC">
        <w:rPr>
          <w:sz w:val="22"/>
          <w:szCs w:val="22"/>
          <w:lang w:val="fr-CA"/>
        </w:rPr>
        <w:t xml:space="preserve">offre de payer la </w:t>
      </w:r>
      <w:r>
        <w:rPr>
          <w:sz w:val="22"/>
          <w:szCs w:val="22"/>
          <w:lang w:val="fr-CA"/>
        </w:rPr>
        <w:t xml:space="preserve">moitié </w:t>
      </w:r>
      <w:r w:rsidRPr="00217EFC">
        <w:rPr>
          <w:sz w:val="22"/>
          <w:szCs w:val="22"/>
          <w:lang w:val="fr-CA"/>
        </w:rPr>
        <w:t>des salaires de ses employés qui s’enrôleront dans l’armée</w:t>
      </w:r>
      <w:r w:rsidRPr="00217EFC">
        <w:rPr>
          <w:rStyle w:val="FootnoteReference"/>
          <w:sz w:val="22"/>
          <w:szCs w:val="22"/>
          <w:lang w:val="fr-CA"/>
        </w:rPr>
        <w:footnoteReference w:id="204"/>
      </w:r>
      <w:r w:rsidRPr="00217EFC">
        <w:rPr>
          <w:sz w:val="22"/>
          <w:szCs w:val="22"/>
          <w:lang w:val="fr-CA"/>
        </w:rPr>
        <w:t xml:space="preserve">. </w:t>
      </w:r>
      <w:r>
        <w:rPr>
          <w:sz w:val="22"/>
          <w:szCs w:val="22"/>
          <w:lang w:val="fr-CA"/>
        </w:rPr>
        <w:t>De même</w:t>
      </w:r>
      <w:r w:rsidRPr="00217EFC">
        <w:rPr>
          <w:sz w:val="22"/>
          <w:szCs w:val="22"/>
          <w:lang w:val="fr-CA"/>
        </w:rPr>
        <w:t xml:space="preserve">, l’exécutif de l’Association </w:t>
      </w:r>
      <w:r w:rsidR="00D34D2E">
        <w:rPr>
          <w:sz w:val="22"/>
          <w:szCs w:val="22"/>
          <w:lang w:val="fr-CA"/>
        </w:rPr>
        <w:t>c</w:t>
      </w:r>
      <w:r w:rsidRPr="00217EFC">
        <w:rPr>
          <w:sz w:val="22"/>
          <w:szCs w:val="22"/>
          <w:lang w:val="fr-CA"/>
        </w:rPr>
        <w:t>anado-</w:t>
      </w:r>
      <w:r w:rsidR="00D34D2E">
        <w:rPr>
          <w:sz w:val="22"/>
          <w:szCs w:val="22"/>
          <w:lang w:val="fr-CA"/>
        </w:rPr>
        <w:t>a</w:t>
      </w:r>
      <w:r w:rsidRPr="00217EFC">
        <w:rPr>
          <w:sz w:val="22"/>
          <w:szCs w:val="22"/>
          <w:lang w:val="fr-CA"/>
        </w:rPr>
        <w:t>méricaine décide «</w:t>
      </w:r>
      <w:r w:rsidR="00714D09">
        <w:rPr>
          <w:sz w:val="22"/>
          <w:szCs w:val="22"/>
          <w:lang w:val="fr-CA"/>
        </w:rPr>
        <w:t> </w:t>
      </w:r>
      <w:r w:rsidRPr="00217EFC">
        <w:rPr>
          <w:sz w:val="22"/>
          <w:szCs w:val="22"/>
          <w:lang w:val="fr-CA"/>
        </w:rPr>
        <w:t>que ceux de ses membres qui servent maintenant sous les drapeaux conserveront leur droit à la caisse d’assurance […] parce qu’ils avaient répondu à l’appel de la patrie</w:t>
      </w:r>
      <w:r w:rsidR="00714D09">
        <w:rPr>
          <w:sz w:val="22"/>
          <w:szCs w:val="22"/>
          <w:lang w:val="fr-CA"/>
        </w:rPr>
        <w:t> </w:t>
      </w:r>
      <w:r w:rsidRPr="00217EFC">
        <w:rPr>
          <w:sz w:val="22"/>
          <w:szCs w:val="22"/>
          <w:lang w:val="fr-CA"/>
        </w:rPr>
        <w:t>»</w:t>
      </w:r>
      <w:r w:rsidRPr="00217EFC">
        <w:rPr>
          <w:rStyle w:val="FootnoteReference"/>
          <w:sz w:val="22"/>
          <w:szCs w:val="22"/>
          <w:lang w:val="fr-CA"/>
        </w:rPr>
        <w:footnoteReference w:id="205"/>
      </w:r>
      <w:r w:rsidRPr="00217EFC">
        <w:rPr>
          <w:sz w:val="22"/>
          <w:szCs w:val="22"/>
          <w:lang w:val="fr-CA"/>
        </w:rPr>
        <w:t xml:space="preserve">. </w:t>
      </w:r>
    </w:p>
    <w:p w14:paraId="2350343A"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Ce n’est qu’au début juillet 1916, que le 1</w:t>
      </w:r>
      <w:r w:rsidRPr="00217EFC">
        <w:rPr>
          <w:sz w:val="22"/>
          <w:szCs w:val="22"/>
          <w:vertAlign w:val="superscript"/>
          <w:lang w:val="fr-CA"/>
        </w:rPr>
        <w:t>er</w:t>
      </w:r>
      <w:r w:rsidRPr="00217EFC">
        <w:rPr>
          <w:sz w:val="22"/>
          <w:szCs w:val="22"/>
          <w:lang w:val="fr-CA"/>
        </w:rPr>
        <w:t xml:space="preserve"> </w:t>
      </w:r>
      <w:r>
        <w:rPr>
          <w:sz w:val="22"/>
          <w:szCs w:val="22"/>
          <w:lang w:val="fr-CA"/>
        </w:rPr>
        <w:t>R</w:t>
      </w:r>
      <w:r w:rsidRPr="00217EFC">
        <w:rPr>
          <w:sz w:val="22"/>
          <w:szCs w:val="22"/>
          <w:lang w:val="fr-CA"/>
        </w:rPr>
        <w:t>égiment de la Garde National</w:t>
      </w:r>
      <w:r>
        <w:rPr>
          <w:sz w:val="22"/>
          <w:szCs w:val="22"/>
          <w:lang w:val="fr-CA"/>
        </w:rPr>
        <w:t>e</w:t>
      </w:r>
      <w:r w:rsidRPr="00217EFC">
        <w:rPr>
          <w:sz w:val="22"/>
          <w:szCs w:val="22"/>
          <w:lang w:val="fr-CA"/>
        </w:rPr>
        <w:t xml:space="preserve"> attein</w:t>
      </w:r>
      <w:r>
        <w:rPr>
          <w:sz w:val="22"/>
          <w:szCs w:val="22"/>
          <w:lang w:val="fr-CA"/>
        </w:rPr>
        <w:t>dra</w:t>
      </w:r>
      <w:r w:rsidRPr="00217EFC">
        <w:rPr>
          <w:sz w:val="22"/>
          <w:szCs w:val="22"/>
          <w:lang w:val="fr-CA"/>
        </w:rPr>
        <w:t xml:space="preserve"> son effectif minimum. En fait, les effectifs manquant</w:t>
      </w:r>
      <w:r>
        <w:rPr>
          <w:sz w:val="22"/>
          <w:szCs w:val="22"/>
          <w:lang w:val="fr-CA"/>
        </w:rPr>
        <w:t>s</w:t>
      </w:r>
      <w:r w:rsidRPr="00217EFC">
        <w:rPr>
          <w:sz w:val="22"/>
          <w:szCs w:val="22"/>
          <w:lang w:val="fr-CA"/>
        </w:rPr>
        <w:t xml:space="preserve"> pour le régiment </w:t>
      </w:r>
      <w:r>
        <w:rPr>
          <w:sz w:val="22"/>
          <w:szCs w:val="22"/>
          <w:lang w:val="fr-CA"/>
        </w:rPr>
        <w:t xml:space="preserve">avaient </w:t>
      </w:r>
      <w:r w:rsidRPr="00217EFC">
        <w:rPr>
          <w:sz w:val="22"/>
          <w:szCs w:val="22"/>
          <w:lang w:val="fr-CA"/>
        </w:rPr>
        <w:t>fluctu</w:t>
      </w:r>
      <w:r>
        <w:rPr>
          <w:sz w:val="22"/>
          <w:szCs w:val="22"/>
          <w:lang w:val="fr-CA"/>
        </w:rPr>
        <w:t xml:space="preserve">é </w:t>
      </w:r>
      <w:r w:rsidRPr="00217EFC">
        <w:rPr>
          <w:sz w:val="22"/>
          <w:szCs w:val="22"/>
          <w:lang w:val="fr-CA"/>
        </w:rPr>
        <w:t xml:space="preserve">entre 40 et 63 recrues afin </w:t>
      </w:r>
      <w:r>
        <w:rPr>
          <w:sz w:val="22"/>
          <w:szCs w:val="22"/>
          <w:lang w:val="fr-CA"/>
        </w:rPr>
        <w:t>d’</w:t>
      </w:r>
      <w:r w:rsidRPr="00217EFC">
        <w:rPr>
          <w:sz w:val="22"/>
          <w:szCs w:val="22"/>
          <w:lang w:val="fr-CA"/>
        </w:rPr>
        <w:t xml:space="preserve">atteindre l’effectif minimum </w:t>
      </w:r>
      <w:r>
        <w:rPr>
          <w:sz w:val="22"/>
          <w:szCs w:val="22"/>
          <w:lang w:val="fr-CA"/>
        </w:rPr>
        <w:t xml:space="preserve">pour être </w:t>
      </w:r>
      <w:r w:rsidRPr="00217EFC">
        <w:rPr>
          <w:sz w:val="22"/>
          <w:szCs w:val="22"/>
          <w:lang w:val="fr-CA"/>
        </w:rPr>
        <w:t xml:space="preserve">accepté pour le service </w:t>
      </w:r>
      <w:r w:rsidRPr="0045117B">
        <w:rPr>
          <w:sz w:val="22"/>
          <w:szCs w:val="22"/>
          <w:lang w:val="fr-CA"/>
        </w:rPr>
        <w:t>fédéral</w:t>
      </w:r>
      <w:r w:rsidRPr="0045117B">
        <w:rPr>
          <w:rStyle w:val="FootnoteReference"/>
          <w:sz w:val="22"/>
          <w:szCs w:val="22"/>
          <w:lang w:val="fr-CA"/>
        </w:rPr>
        <w:footnoteReference w:id="206"/>
      </w:r>
      <w:r w:rsidRPr="0045117B">
        <w:rPr>
          <w:sz w:val="22"/>
          <w:szCs w:val="22"/>
          <w:lang w:val="fr-CA"/>
        </w:rPr>
        <w:t>.</w:t>
      </w:r>
      <w:r w:rsidRPr="00217EFC">
        <w:rPr>
          <w:sz w:val="22"/>
          <w:szCs w:val="22"/>
          <w:lang w:val="fr-CA"/>
        </w:rPr>
        <w:t xml:space="preserve"> Cette </w:t>
      </w:r>
      <w:r>
        <w:rPr>
          <w:sz w:val="22"/>
          <w:szCs w:val="22"/>
          <w:lang w:val="fr-CA"/>
        </w:rPr>
        <w:t>form</w:t>
      </w:r>
      <w:r w:rsidRPr="00217EFC">
        <w:rPr>
          <w:sz w:val="22"/>
          <w:szCs w:val="22"/>
          <w:lang w:val="fr-CA"/>
        </w:rPr>
        <w:t>alité administrative retarde</w:t>
      </w:r>
      <w:r>
        <w:rPr>
          <w:sz w:val="22"/>
          <w:szCs w:val="22"/>
          <w:lang w:val="fr-CA"/>
        </w:rPr>
        <w:t xml:space="preserve"> de cinq jours le départ, </w:t>
      </w:r>
      <w:r w:rsidRPr="00217EFC">
        <w:rPr>
          <w:sz w:val="22"/>
          <w:szCs w:val="22"/>
          <w:lang w:val="fr-CA"/>
        </w:rPr>
        <w:t>par train</w:t>
      </w:r>
      <w:r>
        <w:rPr>
          <w:sz w:val="22"/>
          <w:szCs w:val="22"/>
          <w:lang w:val="fr-CA"/>
        </w:rPr>
        <w:t xml:space="preserve">, du </w:t>
      </w:r>
      <w:r w:rsidRPr="00217EFC">
        <w:rPr>
          <w:sz w:val="22"/>
          <w:szCs w:val="22"/>
          <w:lang w:val="fr-CA"/>
        </w:rPr>
        <w:t>régiment à Laredo au Texas</w:t>
      </w:r>
      <w:r>
        <w:rPr>
          <w:sz w:val="22"/>
          <w:szCs w:val="22"/>
          <w:lang w:val="fr-CA"/>
        </w:rPr>
        <w:t>. C</w:t>
      </w:r>
      <w:r w:rsidRPr="00840E75">
        <w:rPr>
          <w:sz w:val="22"/>
          <w:szCs w:val="22"/>
          <w:lang w:val="fr-CA"/>
        </w:rPr>
        <w:t>’e</w:t>
      </w:r>
      <w:r>
        <w:rPr>
          <w:sz w:val="22"/>
          <w:szCs w:val="22"/>
          <w:lang w:val="fr-CA"/>
        </w:rPr>
        <w:t xml:space="preserve">st seulement </w:t>
      </w:r>
      <w:r w:rsidRPr="00217EFC">
        <w:rPr>
          <w:sz w:val="22"/>
          <w:szCs w:val="22"/>
          <w:lang w:val="fr-CA"/>
        </w:rPr>
        <w:t>le 1</w:t>
      </w:r>
      <w:r>
        <w:rPr>
          <w:sz w:val="22"/>
          <w:szCs w:val="22"/>
          <w:lang w:val="fr-CA"/>
        </w:rPr>
        <w:t>5</w:t>
      </w:r>
      <w:r w:rsidRPr="00217EFC">
        <w:rPr>
          <w:sz w:val="22"/>
          <w:szCs w:val="22"/>
          <w:lang w:val="fr-CA"/>
        </w:rPr>
        <w:t xml:space="preserve"> juillet </w:t>
      </w:r>
      <w:r>
        <w:rPr>
          <w:sz w:val="22"/>
          <w:szCs w:val="22"/>
          <w:lang w:val="fr-CA"/>
        </w:rPr>
        <w:t xml:space="preserve">1916 qu’il </w:t>
      </w:r>
      <w:r w:rsidRPr="00217EFC">
        <w:rPr>
          <w:sz w:val="22"/>
          <w:szCs w:val="22"/>
          <w:lang w:val="fr-CA"/>
        </w:rPr>
        <w:t>quitte</w:t>
      </w:r>
      <w:r>
        <w:rPr>
          <w:sz w:val="22"/>
          <w:szCs w:val="22"/>
          <w:lang w:val="fr-CA"/>
        </w:rPr>
        <w:t>ra</w:t>
      </w:r>
      <w:r w:rsidRPr="00217EFC">
        <w:rPr>
          <w:sz w:val="22"/>
          <w:szCs w:val="22"/>
          <w:lang w:val="fr-CA"/>
        </w:rPr>
        <w:t xml:space="preserve"> le </w:t>
      </w:r>
      <w:r w:rsidR="00B06928">
        <w:rPr>
          <w:sz w:val="22"/>
          <w:szCs w:val="22"/>
          <w:lang w:val="fr-CA"/>
        </w:rPr>
        <w:t>C</w:t>
      </w:r>
      <w:r w:rsidRPr="00217EFC">
        <w:rPr>
          <w:sz w:val="22"/>
          <w:szCs w:val="22"/>
          <w:lang w:val="fr-CA"/>
        </w:rPr>
        <w:t>amp Spaulding (Concord)</w:t>
      </w:r>
      <w:r w:rsidRPr="00217EFC">
        <w:rPr>
          <w:rStyle w:val="FootnoteReference"/>
          <w:sz w:val="22"/>
          <w:szCs w:val="22"/>
          <w:lang w:val="fr-CA"/>
        </w:rPr>
        <w:footnoteReference w:id="207"/>
      </w:r>
      <w:r>
        <w:rPr>
          <w:sz w:val="22"/>
          <w:szCs w:val="22"/>
          <w:lang w:val="fr-CA"/>
        </w:rPr>
        <w:t xml:space="preserve"> </w:t>
      </w:r>
      <w:r w:rsidRPr="00217EFC">
        <w:rPr>
          <w:sz w:val="22"/>
          <w:szCs w:val="22"/>
          <w:lang w:val="fr-CA"/>
        </w:rPr>
        <w:t>pour</w:t>
      </w:r>
      <w:r>
        <w:rPr>
          <w:sz w:val="22"/>
          <w:szCs w:val="22"/>
          <w:lang w:val="fr-CA"/>
        </w:rPr>
        <w:t xml:space="preserve"> </w:t>
      </w:r>
      <w:r w:rsidRPr="00217EFC">
        <w:rPr>
          <w:sz w:val="22"/>
          <w:szCs w:val="22"/>
          <w:lang w:val="fr-CA"/>
        </w:rPr>
        <w:t>rejoin</w:t>
      </w:r>
      <w:r>
        <w:rPr>
          <w:sz w:val="22"/>
          <w:szCs w:val="22"/>
          <w:lang w:val="fr-CA"/>
        </w:rPr>
        <w:t xml:space="preserve">dre </w:t>
      </w:r>
      <w:r w:rsidRPr="00217EFC">
        <w:rPr>
          <w:sz w:val="22"/>
          <w:szCs w:val="22"/>
          <w:lang w:val="fr-CA"/>
        </w:rPr>
        <w:t>98</w:t>
      </w:r>
      <w:r w:rsidR="00714D09">
        <w:rPr>
          <w:sz w:val="22"/>
          <w:szCs w:val="22"/>
          <w:lang w:val="fr-CA"/>
        </w:rPr>
        <w:t> </w:t>
      </w:r>
      <w:r w:rsidRPr="00217EFC">
        <w:rPr>
          <w:sz w:val="22"/>
          <w:szCs w:val="22"/>
          <w:lang w:val="fr-CA"/>
        </w:rPr>
        <w:t>000 autres miliciens provenant de trente-huit États américains</w:t>
      </w:r>
      <w:r w:rsidRPr="00217EFC">
        <w:rPr>
          <w:rStyle w:val="FootnoteReference"/>
          <w:sz w:val="22"/>
          <w:szCs w:val="22"/>
          <w:lang w:val="fr-CA"/>
        </w:rPr>
        <w:footnoteReference w:id="208"/>
      </w:r>
      <w:r w:rsidRPr="00217EFC">
        <w:rPr>
          <w:sz w:val="22"/>
          <w:szCs w:val="22"/>
          <w:lang w:val="fr-CA"/>
        </w:rPr>
        <w:t>.</w:t>
      </w:r>
    </w:p>
    <w:p w14:paraId="56F05F66" w14:textId="77777777" w:rsidR="000264D6" w:rsidRPr="00217EFC" w:rsidRDefault="000264D6" w:rsidP="002B5319">
      <w:pPr>
        <w:spacing w:before="100" w:beforeAutospacing="1" w:after="100" w:afterAutospacing="1"/>
        <w:ind w:firstLine="720"/>
        <w:jc w:val="both"/>
        <w:rPr>
          <w:sz w:val="22"/>
          <w:szCs w:val="22"/>
          <w:highlight w:val="yellow"/>
          <w:lang w:val="fr-CA"/>
        </w:rPr>
      </w:pPr>
      <w:r w:rsidRPr="00217EFC">
        <w:rPr>
          <w:sz w:val="22"/>
          <w:szCs w:val="22"/>
          <w:lang w:val="fr-CA"/>
        </w:rPr>
        <w:t>Après ce</w:t>
      </w:r>
      <w:r>
        <w:rPr>
          <w:sz w:val="22"/>
          <w:szCs w:val="22"/>
          <w:lang w:val="fr-CA"/>
        </w:rPr>
        <w:t xml:space="preserve"> </w:t>
      </w:r>
      <w:r w:rsidRPr="00217EFC">
        <w:rPr>
          <w:sz w:val="22"/>
          <w:szCs w:val="22"/>
          <w:lang w:val="fr-CA"/>
        </w:rPr>
        <w:t>succès mitigé pour améliorer l’état de préparation de l’armée, le gouvernement américain réalise qu’il doit établir un service militaire obligatoire. Bien que le journal</w:t>
      </w:r>
      <w:r>
        <w:rPr>
          <w:sz w:val="22"/>
          <w:szCs w:val="22"/>
          <w:lang w:val="fr-CA"/>
        </w:rPr>
        <w:t xml:space="preserve"> </w:t>
      </w:r>
      <w:r w:rsidRPr="001D6F79">
        <w:rPr>
          <w:sz w:val="22"/>
          <w:szCs w:val="22"/>
          <w:lang w:val="fr-CA"/>
        </w:rPr>
        <w:t>accueille</w:t>
      </w:r>
      <w:r w:rsidRPr="00217EFC">
        <w:rPr>
          <w:sz w:val="22"/>
          <w:szCs w:val="22"/>
          <w:lang w:val="fr-CA"/>
        </w:rPr>
        <w:t xml:space="preserve"> </w:t>
      </w:r>
      <w:r>
        <w:rPr>
          <w:sz w:val="22"/>
          <w:szCs w:val="22"/>
          <w:lang w:val="fr-CA"/>
        </w:rPr>
        <w:t xml:space="preserve">favorablement </w:t>
      </w:r>
      <w:r w:rsidRPr="00217EFC">
        <w:rPr>
          <w:sz w:val="22"/>
          <w:szCs w:val="22"/>
          <w:lang w:val="fr-CA"/>
        </w:rPr>
        <w:t>le projet de conscription en décembre 1916, il dénonce son application. D’une part, le principe d’universalité est accepté</w:t>
      </w:r>
      <w:r>
        <w:rPr>
          <w:sz w:val="22"/>
          <w:szCs w:val="22"/>
          <w:lang w:val="fr-CA"/>
        </w:rPr>
        <w:t xml:space="preserve"> par son équipe éditoriale</w:t>
      </w:r>
      <w:r w:rsidRPr="00217EFC">
        <w:rPr>
          <w:sz w:val="22"/>
          <w:szCs w:val="22"/>
          <w:lang w:val="fr-CA"/>
        </w:rPr>
        <w:t xml:space="preserve">, car le projet de loi mentionne </w:t>
      </w:r>
      <w:r>
        <w:rPr>
          <w:sz w:val="22"/>
          <w:szCs w:val="22"/>
          <w:lang w:val="fr-CA"/>
        </w:rPr>
        <w:t xml:space="preserve">que </w:t>
      </w:r>
      <w:r w:rsidRPr="00217EFC">
        <w:rPr>
          <w:sz w:val="22"/>
          <w:szCs w:val="22"/>
          <w:lang w:val="fr-CA"/>
        </w:rPr>
        <w:t>«</w:t>
      </w:r>
      <w:r w:rsidR="00714D09">
        <w:rPr>
          <w:sz w:val="22"/>
          <w:szCs w:val="22"/>
          <w:lang w:val="fr-CA"/>
        </w:rPr>
        <w:t> </w:t>
      </w:r>
      <w:r w:rsidRPr="00217EFC">
        <w:rPr>
          <w:sz w:val="22"/>
          <w:szCs w:val="22"/>
          <w:lang w:val="fr-CA"/>
        </w:rPr>
        <w:t>tout garçon doit suivre un entrainement militaire pendant une période de six mois [et, par la suite,] il sera sujet à être appelé au service militaire actif dans le cas de nécessité</w:t>
      </w:r>
      <w:r w:rsidR="00714D09">
        <w:rPr>
          <w:sz w:val="22"/>
          <w:szCs w:val="22"/>
          <w:lang w:val="fr-CA"/>
        </w:rPr>
        <w:t> </w:t>
      </w:r>
      <w:r w:rsidRPr="00217EFC">
        <w:rPr>
          <w:sz w:val="22"/>
          <w:szCs w:val="22"/>
          <w:lang w:val="fr-CA"/>
        </w:rPr>
        <w:t>»</w:t>
      </w:r>
      <w:r w:rsidRPr="00217EFC">
        <w:rPr>
          <w:rStyle w:val="FootnoteReference"/>
          <w:sz w:val="22"/>
          <w:szCs w:val="22"/>
          <w:lang w:val="fr-CA"/>
        </w:rPr>
        <w:footnoteReference w:id="209"/>
      </w:r>
      <w:r w:rsidRPr="00217EFC">
        <w:rPr>
          <w:sz w:val="22"/>
          <w:szCs w:val="22"/>
          <w:lang w:val="fr-CA"/>
        </w:rPr>
        <w:t xml:space="preserve">. </w:t>
      </w:r>
      <w:r>
        <w:rPr>
          <w:sz w:val="22"/>
          <w:szCs w:val="22"/>
          <w:lang w:val="fr-CA"/>
        </w:rPr>
        <w:t>Ce règlement</w:t>
      </w:r>
      <w:r w:rsidRPr="00217EFC">
        <w:rPr>
          <w:sz w:val="22"/>
          <w:szCs w:val="22"/>
          <w:lang w:val="fr-CA"/>
        </w:rPr>
        <w:t xml:space="preserve"> permet à l’armée américaine d’être mieux préparée pour une guerre éventuelle</w:t>
      </w:r>
      <w:r>
        <w:rPr>
          <w:sz w:val="22"/>
          <w:szCs w:val="22"/>
          <w:lang w:val="fr-CA"/>
        </w:rPr>
        <w:t>, car il fournit l’accès au gouvernement à un bassin de réservistes entrainés qui peuvent être mobilisés rapidement en cas de conflit</w:t>
      </w:r>
      <w:r w:rsidRPr="00217EFC">
        <w:rPr>
          <w:sz w:val="22"/>
          <w:szCs w:val="22"/>
          <w:lang w:val="fr-CA"/>
        </w:rPr>
        <w:t xml:space="preserve">. </w:t>
      </w:r>
      <w:r>
        <w:rPr>
          <w:sz w:val="22"/>
          <w:szCs w:val="22"/>
          <w:lang w:val="fr-CA"/>
        </w:rPr>
        <w:t>En revanche</w:t>
      </w:r>
      <w:r w:rsidRPr="00217EFC">
        <w:rPr>
          <w:sz w:val="22"/>
          <w:szCs w:val="22"/>
          <w:lang w:val="fr-CA"/>
        </w:rPr>
        <w:t>, l</w:t>
      </w:r>
      <w:r>
        <w:rPr>
          <w:sz w:val="22"/>
          <w:szCs w:val="22"/>
          <w:lang w:val="fr-CA"/>
        </w:rPr>
        <w:t xml:space="preserve">’éditeur de </w:t>
      </w:r>
      <w:r>
        <w:rPr>
          <w:i/>
          <w:iCs/>
          <w:sz w:val="22"/>
          <w:szCs w:val="22"/>
          <w:lang w:val="fr-CA"/>
        </w:rPr>
        <w:t xml:space="preserve">L’Avenir National </w:t>
      </w:r>
      <w:r>
        <w:rPr>
          <w:sz w:val="22"/>
          <w:szCs w:val="22"/>
          <w:lang w:val="fr-CA"/>
        </w:rPr>
        <w:t xml:space="preserve">s’indigne, car il croit que </w:t>
      </w:r>
      <w:r w:rsidRPr="00217EFC">
        <w:rPr>
          <w:sz w:val="22"/>
          <w:szCs w:val="22"/>
          <w:lang w:val="fr-CA"/>
        </w:rPr>
        <w:t>le projet de loi est embarrassant dans la mesure où la clause d’exception</w:t>
      </w:r>
      <w:r>
        <w:rPr>
          <w:sz w:val="22"/>
          <w:szCs w:val="22"/>
          <w:lang w:val="fr-CA"/>
        </w:rPr>
        <w:t>,</w:t>
      </w:r>
      <w:r w:rsidRPr="00217EFC">
        <w:rPr>
          <w:sz w:val="22"/>
          <w:szCs w:val="22"/>
          <w:lang w:val="fr-CA"/>
        </w:rPr>
        <w:t xml:space="preserve"> due à l’appartenance «</w:t>
      </w:r>
      <w:r w:rsidR="00714D09">
        <w:rPr>
          <w:sz w:val="22"/>
          <w:szCs w:val="22"/>
          <w:lang w:val="fr-CA"/>
        </w:rPr>
        <w:t> </w:t>
      </w:r>
      <w:r w:rsidRPr="00217EFC">
        <w:rPr>
          <w:sz w:val="22"/>
          <w:szCs w:val="22"/>
          <w:lang w:val="fr-CA"/>
        </w:rPr>
        <w:t>à certaines sectes dont les principes généraux sont opposés à la guerre</w:t>
      </w:r>
      <w:r w:rsidR="00714D09">
        <w:rPr>
          <w:sz w:val="22"/>
          <w:szCs w:val="22"/>
          <w:lang w:val="fr-CA"/>
        </w:rPr>
        <w:t> </w:t>
      </w:r>
      <w:r w:rsidRPr="00217EFC">
        <w:rPr>
          <w:sz w:val="22"/>
          <w:szCs w:val="22"/>
          <w:lang w:val="fr-CA"/>
        </w:rPr>
        <w:t>»</w:t>
      </w:r>
      <w:r w:rsidRPr="00217EFC">
        <w:rPr>
          <w:rStyle w:val="FootnoteReference"/>
          <w:sz w:val="22"/>
          <w:szCs w:val="22"/>
          <w:lang w:val="fr-CA"/>
        </w:rPr>
        <w:footnoteReference w:id="210"/>
      </w:r>
      <w:r>
        <w:rPr>
          <w:sz w:val="22"/>
          <w:szCs w:val="22"/>
          <w:lang w:val="fr-CA"/>
        </w:rPr>
        <w:t>,</w:t>
      </w:r>
      <w:r w:rsidRPr="00217EFC">
        <w:rPr>
          <w:sz w:val="22"/>
          <w:szCs w:val="22"/>
          <w:lang w:val="fr-CA"/>
        </w:rPr>
        <w:t xml:space="preserve"> est fondée sur un manque de patriotisme de la part de certaines collectivités qui profiteront du «</w:t>
      </w:r>
      <w:r w:rsidR="00714D09">
        <w:rPr>
          <w:sz w:val="22"/>
          <w:szCs w:val="22"/>
          <w:lang w:val="fr-CA"/>
        </w:rPr>
        <w:t> </w:t>
      </w:r>
      <w:r w:rsidRPr="00217EFC">
        <w:rPr>
          <w:sz w:val="22"/>
          <w:szCs w:val="22"/>
          <w:lang w:val="fr-CA"/>
        </w:rPr>
        <w:t>droit de rester chez soi pendant que les autres se battront</w:t>
      </w:r>
      <w:r w:rsidR="00714D09">
        <w:rPr>
          <w:sz w:val="22"/>
          <w:szCs w:val="22"/>
          <w:lang w:val="fr-CA"/>
        </w:rPr>
        <w:t> </w:t>
      </w:r>
      <w:r w:rsidRPr="00217EFC">
        <w:rPr>
          <w:sz w:val="22"/>
          <w:szCs w:val="22"/>
          <w:lang w:val="fr-CA"/>
        </w:rPr>
        <w:t>»</w:t>
      </w:r>
      <w:r w:rsidRPr="00217EFC">
        <w:rPr>
          <w:rStyle w:val="FootnoteReference"/>
          <w:sz w:val="22"/>
          <w:szCs w:val="22"/>
          <w:lang w:val="fr-CA"/>
        </w:rPr>
        <w:footnoteReference w:id="211"/>
      </w:r>
      <w:r w:rsidRPr="00217EFC">
        <w:rPr>
          <w:sz w:val="22"/>
          <w:szCs w:val="22"/>
          <w:lang w:val="fr-CA"/>
        </w:rPr>
        <w:t xml:space="preserve">. À première vue, la position du journal est basée sur le constat des problèmes </w:t>
      </w:r>
      <w:r w:rsidRPr="00217EFC">
        <w:rPr>
          <w:sz w:val="22"/>
          <w:szCs w:val="22"/>
          <w:lang w:val="fr-CA"/>
        </w:rPr>
        <w:lastRenderedPageBreak/>
        <w:t xml:space="preserve">qui affectent le Canada. </w:t>
      </w:r>
      <w:r>
        <w:rPr>
          <w:sz w:val="22"/>
          <w:szCs w:val="22"/>
          <w:lang w:val="fr-CA"/>
        </w:rPr>
        <w:t xml:space="preserve">La </w:t>
      </w:r>
      <w:r w:rsidRPr="00217EFC">
        <w:rPr>
          <w:sz w:val="22"/>
          <w:szCs w:val="22"/>
          <w:lang w:val="fr-CA"/>
        </w:rPr>
        <w:t>population anglophone de l’Ontario ne cro</w:t>
      </w:r>
      <w:r w:rsidR="009618B0">
        <w:rPr>
          <w:sz w:val="22"/>
          <w:szCs w:val="22"/>
          <w:lang w:val="fr-CA"/>
        </w:rPr>
        <w:t>i</w:t>
      </w:r>
      <w:r w:rsidRPr="00217EFC">
        <w:rPr>
          <w:sz w:val="22"/>
          <w:szCs w:val="22"/>
          <w:lang w:val="fr-CA"/>
        </w:rPr>
        <w:t>t pas que les Canadiens</w:t>
      </w:r>
      <w:r>
        <w:rPr>
          <w:sz w:val="22"/>
          <w:szCs w:val="22"/>
          <w:lang w:val="fr-CA"/>
        </w:rPr>
        <w:t xml:space="preserve"> </w:t>
      </w:r>
      <w:r w:rsidRPr="00217EFC">
        <w:rPr>
          <w:sz w:val="22"/>
          <w:szCs w:val="22"/>
          <w:lang w:val="fr-CA"/>
        </w:rPr>
        <w:t xml:space="preserve">français contribuent équitablement à l’effort de guerre, </w:t>
      </w:r>
      <w:r>
        <w:rPr>
          <w:sz w:val="22"/>
          <w:szCs w:val="22"/>
          <w:lang w:val="fr-CA"/>
        </w:rPr>
        <w:t xml:space="preserve">vu le </w:t>
      </w:r>
      <w:r w:rsidRPr="00217EFC">
        <w:rPr>
          <w:sz w:val="22"/>
          <w:szCs w:val="22"/>
          <w:lang w:val="fr-CA"/>
        </w:rPr>
        <w:t xml:space="preserve">taux d’enrôlement dans le </w:t>
      </w:r>
      <w:r>
        <w:rPr>
          <w:sz w:val="22"/>
          <w:szCs w:val="22"/>
          <w:lang w:val="fr-CA"/>
        </w:rPr>
        <w:t>Corps expéditionnaire</w:t>
      </w:r>
      <w:r w:rsidRPr="00217EFC">
        <w:rPr>
          <w:sz w:val="22"/>
          <w:szCs w:val="22"/>
          <w:lang w:val="fr-CA"/>
        </w:rPr>
        <w:t xml:space="preserve"> </w:t>
      </w:r>
      <w:r w:rsidR="009618B0">
        <w:rPr>
          <w:sz w:val="22"/>
          <w:szCs w:val="22"/>
          <w:lang w:val="fr-CA"/>
        </w:rPr>
        <w:t>c</w:t>
      </w:r>
      <w:r w:rsidRPr="00217EFC">
        <w:rPr>
          <w:sz w:val="22"/>
          <w:szCs w:val="22"/>
          <w:lang w:val="fr-CA"/>
        </w:rPr>
        <w:t xml:space="preserve">anadien. </w:t>
      </w:r>
      <w:r w:rsidRPr="00217EFC">
        <w:rPr>
          <w:i/>
          <w:iCs/>
          <w:sz w:val="22"/>
          <w:szCs w:val="22"/>
          <w:lang w:val="fr-CA"/>
        </w:rPr>
        <w:t>L’Avenir National</w:t>
      </w:r>
      <w:r>
        <w:rPr>
          <w:i/>
          <w:iCs/>
          <w:sz w:val="22"/>
          <w:szCs w:val="22"/>
          <w:lang w:val="fr-CA"/>
        </w:rPr>
        <w:t xml:space="preserve"> </w:t>
      </w:r>
      <w:r w:rsidRPr="00A0192A">
        <w:rPr>
          <w:sz w:val="22"/>
          <w:szCs w:val="22"/>
          <w:lang w:val="fr-CA"/>
        </w:rPr>
        <w:t>semble s’être</w:t>
      </w:r>
      <w:r>
        <w:rPr>
          <w:sz w:val="22"/>
          <w:szCs w:val="22"/>
          <w:lang w:val="fr-CA"/>
        </w:rPr>
        <w:t xml:space="preserve"> donné comme mission de montrer, </w:t>
      </w:r>
      <w:r w:rsidRPr="00217EFC">
        <w:rPr>
          <w:sz w:val="22"/>
          <w:szCs w:val="22"/>
          <w:lang w:val="fr-CA"/>
        </w:rPr>
        <w:t>vers la fin</w:t>
      </w:r>
      <w:r w:rsidR="00714D09">
        <w:rPr>
          <w:sz w:val="22"/>
          <w:szCs w:val="22"/>
          <w:lang w:val="fr-CA"/>
        </w:rPr>
        <w:t> </w:t>
      </w:r>
      <w:r w:rsidRPr="00217EFC">
        <w:rPr>
          <w:sz w:val="22"/>
          <w:szCs w:val="22"/>
          <w:lang w:val="fr-CA"/>
        </w:rPr>
        <w:t>1916, preuves</w:t>
      </w:r>
      <w:r>
        <w:rPr>
          <w:sz w:val="22"/>
          <w:szCs w:val="22"/>
          <w:lang w:val="fr-CA"/>
        </w:rPr>
        <w:t xml:space="preserve"> à l’appui, que </w:t>
      </w:r>
      <w:r w:rsidRPr="00217EFC">
        <w:rPr>
          <w:sz w:val="22"/>
          <w:szCs w:val="22"/>
          <w:lang w:val="fr-CA"/>
        </w:rPr>
        <w:t>les Canadiens</w:t>
      </w:r>
      <w:r>
        <w:rPr>
          <w:sz w:val="22"/>
          <w:szCs w:val="22"/>
          <w:lang w:val="fr-CA"/>
        </w:rPr>
        <w:t xml:space="preserve"> </w:t>
      </w:r>
      <w:r w:rsidRPr="00217EFC">
        <w:rPr>
          <w:sz w:val="22"/>
          <w:szCs w:val="22"/>
          <w:lang w:val="fr-CA"/>
        </w:rPr>
        <w:t>français sont des citoyens loyaux</w:t>
      </w:r>
      <w:r w:rsidRPr="0014581C">
        <w:rPr>
          <w:sz w:val="22"/>
          <w:szCs w:val="22"/>
          <w:lang w:val="fr-CA"/>
        </w:rPr>
        <w:t xml:space="preserve"> </w:t>
      </w:r>
      <w:r>
        <w:rPr>
          <w:sz w:val="22"/>
          <w:szCs w:val="22"/>
          <w:lang w:val="fr-CA"/>
        </w:rPr>
        <w:t xml:space="preserve">qui </w:t>
      </w:r>
      <w:r w:rsidRPr="00217EFC">
        <w:rPr>
          <w:sz w:val="22"/>
          <w:szCs w:val="22"/>
          <w:lang w:val="fr-CA"/>
        </w:rPr>
        <w:t>contribuent à l’effort de guerre</w:t>
      </w:r>
      <w:r w:rsidRPr="00217EFC">
        <w:rPr>
          <w:rStyle w:val="FootnoteReference"/>
          <w:sz w:val="22"/>
          <w:szCs w:val="22"/>
          <w:lang w:val="fr-CA"/>
        </w:rPr>
        <w:footnoteReference w:id="212"/>
      </w:r>
      <w:r w:rsidRPr="00217EFC">
        <w:rPr>
          <w:sz w:val="22"/>
          <w:szCs w:val="22"/>
          <w:lang w:val="fr-CA"/>
        </w:rPr>
        <w:t xml:space="preserve">. </w:t>
      </w:r>
      <w:r>
        <w:rPr>
          <w:sz w:val="22"/>
          <w:szCs w:val="22"/>
          <w:lang w:val="fr-CA"/>
        </w:rPr>
        <w:t xml:space="preserve">Pour l’élite franco-américaine, il est important de </w:t>
      </w:r>
      <w:r w:rsidRPr="00217EFC">
        <w:rPr>
          <w:sz w:val="22"/>
          <w:szCs w:val="22"/>
          <w:lang w:val="fr-CA"/>
        </w:rPr>
        <w:t>montre</w:t>
      </w:r>
      <w:r>
        <w:rPr>
          <w:sz w:val="22"/>
          <w:szCs w:val="22"/>
          <w:lang w:val="fr-CA"/>
        </w:rPr>
        <w:t>r</w:t>
      </w:r>
      <w:r w:rsidRPr="00217EFC">
        <w:rPr>
          <w:sz w:val="22"/>
          <w:szCs w:val="22"/>
          <w:lang w:val="fr-CA"/>
        </w:rPr>
        <w:t xml:space="preserve"> </w:t>
      </w:r>
      <w:r>
        <w:rPr>
          <w:sz w:val="22"/>
          <w:szCs w:val="22"/>
          <w:lang w:val="fr-CA"/>
        </w:rPr>
        <w:t xml:space="preserve">que </w:t>
      </w:r>
      <w:r w:rsidRPr="00217EFC">
        <w:rPr>
          <w:sz w:val="22"/>
          <w:szCs w:val="22"/>
          <w:lang w:val="fr-CA"/>
        </w:rPr>
        <w:t>leur adh</w:t>
      </w:r>
      <w:r>
        <w:rPr>
          <w:sz w:val="22"/>
          <w:szCs w:val="22"/>
          <w:lang w:val="fr-CA"/>
        </w:rPr>
        <w:t xml:space="preserve">ésion </w:t>
      </w:r>
      <w:r w:rsidRPr="00217EFC">
        <w:rPr>
          <w:sz w:val="22"/>
          <w:szCs w:val="22"/>
          <w:lang w:val="fr-CA"/>
        </w:rPr>
        <w:t xml:space="preserve">à la cause </w:t>
      </w:r>
      <w:r>
        <w:rPr>
          <w:sz w:val="22"/>
          <w:szCs w:val="22"/>
          <w:lang w:val="fr-CA"/>
        </w:rPr>
        <w:t>est grande</w:t>
      </w:r>
      <w:r w:rsidRPr="002A1B8B">
        <w:rPr>
          <w:sz w:val="22"/>
          <w:lang w:val="fr-CA"/>
        </w:rPr>
        <w:t xml:space="preserve"> </w:t>
      </w:r>
      <w:r w:rsidRPr="00217EFC">
        <w:rPr>
          <w:sz w:val="22"/>
          <w:szCs w:val="22"/>
          <w:lang w:val="fr-CA"/>
        </w:rPr>
        <w:t xml:space="preserve">et </w:t>
      </w:r>
      <w:r>
        <w:rPr>
          <w:sz w:val="22"/>
          <w:szCs w:val="22"/>
          <w:lang w:val="fr-CA"/>
        </w:rPr>
        <w:t>q</w:t>
      </w:r>
      <w:r w:rsidRPr="00217EFC">
        <w:rPr>
          <w:sz w:val="22"/>
          <w:szCs w:val="22"/>
          <w:lang w:val="fr-CA"/>
        </w:rPr>
        <w:t>ue les pertes francophones sont proportionnelles au reste d</w:t>
      </w:r>
      <w:r>
        <w:rPr>
          <w:sz w:val="22"/>
          <w:szCs w:val="22"/>
          <w:lang w:val="fr-CA"/>
        </w:rPr>
        <w:t>e la population canadienne</w:t>
      </w:r>
      <w:r w:rsidRPr="00217EFC">
        <w:rPr>
          <w:sz w:val="22"/>
          <w:szCs w:val="22"/>
          <w:lang w:val="fr-CA"/>
        </w:rPr>
        <w:t>.</w:t>
      </w:r>
    </w:p>
    <w:p w14:paraId="5E88AD16" w14:textId="77777777" w:rsidR="000264D6" w:rsidRDefault="000264D6" w:rsidP="0014581C">
      <w:pPr>
        <w:spacing w:before="100" w:beforeAutospacing="1" w:after="100" w:afterAutospacing="1" w:line="480" w:lineRule="auto"/>
        <w:rPr>
          <w:b/>
          <w:bCs/>
          <w:sz w:val="22"/>
          <w:szCs w:val="22"/>
          <w:lang w:val="fr-CA"/>
        </w:rPr>
      </w:pPr>
      <w:r w:rsidRPr="0014581C">
        <w:rPr>
          <w:b/>
          <w:bCs/>
          <w:sz w:val="22"/>
          <w:szCs w:val="22"/>
          <w:lang w:val="fr-CA"/>
        </w:rPr>
        <w:t>Réaction face aux événements majeurs du conflit</w:t>
      </w:r>
    </w:p>
    <w:p w14:paraId="3C650773" w14:textId="77777777" w:rsidR="000264D6" w:rsidRPr="0014581C" w:rsidRDefault="000264D6" w:rsidP="00842ED6">
      <w:pPr>
        <w:spacing w:before="100" w:beforeAutospacing="1" w:after="100" w:afterAutospacing="1" w:line="480" w:lineRule="auto"/>
        <w:jc w:val="center"/>
        <w:rPr>
          <w:b/>
          <w:bCs/>
          <w:sz w:val="22"/>
          <w:szCs w:val="22"/>
          <w:lang w:val="fr-CA"/>
        </w:rPr>
      </w:pPr>
      <w:r>
        <w:rPr>
          <w:b/>
          <w:bCs/>
          <w:sz w:val="22"/>
          <w:szCs w:val="22"/>
          <w:lang w:val="fr-CA"/>
        </w:rPr>
        <w:t xml:space="preserve">Recrutement pour les </w:t>
      </w:r>
      <w:r w:rsidR="001563ED">
        <w:rPr>
          <w:b/>
          <w:bCs/>
          <w:sz w:val="22"/>
          <w:szCs w:val="22"/>
          <w:lang w:val="fr-CA"/>
        </w:rPr>
        <w:t>c</w:t>
      </w:r>
      <w:r>
        <w:rPr>
          <w:b/>
          <w:bCs/>
          <w:sz w:val="22"/>
          <w:szCs w:val="22"/>
          <w:lang w:val="fr-CA"/>
        </w:rPr>
        <w:t>ontingents expéditionnaires canadiens</w:t>
      </w:r>
    </w:p>
    <w:p w14:paraId="0ADB942F" w14:textId="77777777" w:rsidR="000264D6" w:rsidRDefault="000264D6" w:rsidP="002B5319">
      <w:pPr>
        <w:spacing w:before="100" w:beforeAutospacing="1" w:after="100" w:afterAutospacing="1"/>
        <w:ind w:firstLine="720"/>
        <w:jc w:val="both"/>
        <w:rPr>
          <w:sz w:val="22"/>
          <w:szCs w:val="22"/>
          <w:lang w:val="fr-CA"/>
        </w:rPr>
      </w:pPr>
      <w:r w:rsidRPr="00217EFC">
        <w:rPr>
          <w:i/>
          <w:iCs/>
          <w:sz w:val="22"/>
          <w:szCs w:val="22"/>
          <w:lang w:val="fr-CA"/>
        </w:rPr>
        <w:t xml:space="preserve">L’Avenir National </w:t>
      </w:r>
      <w:r w:rsidRPr="00217EFC">
        <w:rPr>
          <w:sz w:val="22"/>
          <w:szCs w:val="22"/>
          <w:lang w:val="fr-CA"/>
        </w:rPr>
        <w:t xml:space="preserve">suit de près les activités et rumeurs relatives au front intérieur </w:t>
      </w:r>
      <w:r>
        <w:rPr>
          <w:sz w:val="22"/>
          <w:szCs w:val="22"/>
          <w:lang w:val="fr-CA"/>
        </w:rPr>
        <w:t>canadien</w:t>
      </w:r>
      <w:r w:rsidRPr="00217EFC">
        <w:rPr>
          <w:sz w:val="22"/>
          <w:szCs w:val="22"/>
          <w:lang w:val="fr-CA"/>
        </w:rPr>
        <w:t xml:space="preserve">. </w:t>
      </w:r>
      <w:r>
        <w:rPr>
          <w:sz w:val="22"/>
          <w:szCs w:val="22"/>
          <w:lang w:val="fr-CA"/>
        </w:rPr>
        <w:t xml:space="preserve">Par exemple, il informe la population de Manchester de </w:t>
      </w:r>
      <w:r w:rsidRPr="00217EFC">
        <w:rPr>
          <w:sz w:val="22"/>
          <w:szCs w:val="22"/>
          <w:lang w:val="fr-CA"/>
        </w:rPr>
        <w:t>la levée du deuxième contingent canadien de 22</w:t>
      </w:r>
      <w:r w:rsidR="00714D09">
        <w:rPr>
          <w:sz w:val="22"/>
          <w:szCs w:val="22"/>
          <w:lang w:val="fr-CA"/>
        </w:rPr>
        <w:t> </w:t>
      </w:r>
      <w:r w:rsidRPr="00217EFC">
        <w:rPr>
          <w:sz w:val="22"/>
          <w:szCs w:val="22"/>
          <w:lang w:val="fr-CA"/>
        </w:rPr>
        <w:t xml:space="preserve">000 soldats qui </w:t>
      </w:r>
      <w:r>
        <w:rPr>
          <w:sz w:val="22"/>
          <w:szCs w:val="22"/>
          <w:lang w:val="fr-CA"/>
        </w:rPr>
        <w:t>jouira d</w:t>
      </w:r>
      <w:r w:rsidRPr="00243001">
        <w:rPr>
          <w:sz w:val="22"/>
          <w:szCs w:val="22"/>
          <w:lang w:val="fr-CA"/>
        </w:rPr>
        <w:t>’</w:t>
      </w:r>
      <w:r w:rsidRPr="00217EFC">
        <w:rPr>
          <w:sz w:val="22"/>
          <w:szCs w:val="22"/>
          <w:lang w:val="fr-CA"/>
        </w:rPr>
        <w:t>une forte représentation de Canadien</w:t>
      </w:r>
      <w:r>
        <w:rPr>
          <w:sz w:val="22"/>
          <w:szCs w:val="22"/>
          <w:lang w:val="fr-CA"/>
        </w:rPr>
        <w:t xml:space="preserve">s </w:t>
      </w:r>
      <w:r w:rsidRPr="00217EFC">
        <w:rPr>
          <w:sz w:val="22"/>
          <w:szCs w:val="22"/>
          <w:lang w:val="fr-CA"/>
        </w:rPr>
        <w:t xml:space="preserve">français. </w:t>
      </w:r>
      <w:r>
        <w:rPr>
          <w:sz w:val="22"/>
          <w:szCs w:val="22"/>
          <w:lang w:val="fr-CA"/>
        </w:rPr>
        <w:t>En effet, l</w:t>
      </w:r>
      <w:r w:rsidRPr="00217EFC">
        <w:rPr>
          <w:sz w:val="22"/>
          <w:szCs w:val="22"/>
          <w:lang w:val="fr-CA"/>
        </w:rPr>
        <w:t>a formation sera composée d’une brigade de cavalerie de l’Ouest et d’un régiment d’infanterie de Montréal, qui est formé grâce à la générosité du Dr Mignault</w:t>
      </w:r>
      <w:r w:rsidRPr="00217EFC">
        <w:rPr>
          <w:rStyle w:val="FootnoteReference"/>
          <w:sz w:val="22"/>
          <w:szCs w:val="22"/>
          <w:lang w:val="fr-CA"/>
        </w:rPr>
        <w:footnoteReference w:id="213"/>
      </w:r>
      <w:r w:rsidRPr="00217EFC">
        <w:rPr>
          <w:sz w:val="22"/>
          <w:szCs w:val="22"/>
          <w:lang w:val="fr-CA"/>
        </w:rPr>
        <w:t xml:space="preserve">. On </w:t>
      </w:r>
      <w:r>
        <w:rPr>
          <w:sz w:val="22"/>
          <w:szCs w:val="22"/>
          <w:lang w:val="fr-CA"/>
        </w:rPr>
        <w:t xml:space="preserve">indique également que le </w:t>
      </w:r>
      <w:r w:rsidRPr="00243001">
        <w:rPr>
          <w:sz w:val="22"/>
          <w:szCs w:val="22"/>
          <w:lang w:val="fr-CA"/>
        </w:rPr>
        <w:t>re</w:t>
      </w:r>
      <w:r>
        <w:rPr>
          <w:sz w:val="22"/>
          <w:szCs w:val="22"/>
          <w:lang w:val="fr-CA"/>
        </w:rPr>
        <w:t xml:space="preserve">crutement de ce nouveau contingent </w:t>
      </w:r>
      <w:r w:rsidRPr="00217EFC">
        <w:rPr>
          <w:sz w:val="22"/>
          <w:szCs w:val="22"/>
          <w:lang w:val="fr-CA"/>
        </w:rPr>
        <w:t>commencera lorsque le 57</w:t>
      </w:r>
      <w:r w:rsidRPr="00217EFC">
        <w:rPr>
          <w:sz w:val="22"/>
          <w:szCs w:val="22"/>
          <w:vertAlign w:val="superscript"/>
          <w:lang w:val="fr-CA"/>
        </w:rPr>
        <w:t>e</w:t>
      </w:r>
      <w:r w:rsidRPr="00217EFC">
        <w:rPr>
          <w:sz w:val="22"/>
          <w:szCs w:val="22"/>
          <w:lang w:val="fr-CA"/>
        </w:rPr>
        <w:t xml:space="preserve"> et le 60</w:t>
      </w:r>
      <w:r w:rsidRPr="00217EFC">
        <w:rPr>
          <w:sz w:val="22"/>
          <w:szCs w:val="22"/>
          <w:vertAlign w:val="superscript"/>
          <w:lang w:val="fr-CA"/>
        </w:rPr>
        <w:t>e</w:t>
      </w:r>
      <w:r w:rsidRPr="00217EFC">
        <w:rPr>
          <w:sz w:val="22"/>
          <w:szCs w:val="22"/>
          <w:lang w:val="fr-CA"/>
        </w:rPr>
        <w:t xml:space="preserve"> </w:t>
      </w:r>
      <w:r>
        <w:rPr>
          <w:sz w:val="22"/>
          <w:szCs w:val="22"/>
          <w:lang w:val="fr-CA"/>
        </w:rPr>
        <w:t>B</w:t>
      </w:r>
      <w:r w:rsidRPr="00217EFC">
        <w:rPr>
          <w:sz w:val="22"/>
          <w:szCs w:val="22"/>
          <w:lang w:val="fr-CA"/>
        </w:rPr>
        <w:t xml:space="preserve">ataillon </w:t>
      </w:r>
      <w:r>
        <w:rPr>
          <w:sz w:val="22"/>
          <w:szCs w:val="22"/>
          <w:lang w:val="fr-CA"/>
        </w:rPr>
        <w:t>compl</w:t>
      </w:r>
      <w:r w:rsidRPr="00243001">
        <w:rPr>
          <w:sz w:val="22"/>
          <w:szCs w:val="22"/>
          <w:lang w:val="fr-CA"/>
        </w:rPr>
        <w:t>è</w:t>
      </w:r>
      <w:r>
        <w:rPr>
          <w:sz w:val="22"/>
          <w:szCs w:val="22"/>
          <w:lang w:val="fr-CA"/>
        </w:rPr>
        <w:t xml:space="preserve">teront </w:t>
      </w:r>
      <w:r w:rsidRPr="00217EFC">
        <w:rPr>
          <w:sz w:val="22"/>
          <w:szCs w:val="22"/>
          <w:lang w:val="fr-CA"/>
        </w:rPr>
        <w:t xml:space="preserve">leurs effectifs. </w:t>
      </w:r>
      <w:r>
        <w:rPr>
          <w:sz w:val="22"/>
          <w:szCs w:val="22"/>
          <w:lang w:val="fr-CA"/>
        </w:rPr>
        <w:t xml:space="preserve">En outre, </w:t>
      </w:r>
      <w:r>
        <w:rPr>
          <w:i/>
          <w:iCs/>
          <w:sz w:val="22"/>
          <w:szCs w:val="22"/>
          <w:lang w:val="fr-CA"/>
        </w:rPr>
        <w:t xml:space="preserve">L’Avenir National </w:t>
      </w:r>
      <w:r>
        <w:rPr>
          <w:sz w:val="22"/>
          <w:szCs w:val="22"/>
          <w:lang w:val="fr-CA"/>
        </w:rPr>
        <w:t xml:space="preserve">transmet </w:t>
      </w:r>
      <w:r w:rsidRPr="00217EFC">
        <w:rPr>
          <w:sz w:val="22"/>
          <w:szCs w:val="22"/>
          <w:lang w:val="fr-CA"/>
        </w:rPr>
        <w:t xml:space="preserve">des informations générales quant aux </w:t>
      </w:r>
      <w:r>
        <w:rPr>
          <w:sz w:val="22"/>
          <w:szCs w:val="22"/>
          <w:lang w:val="fr-CA"/>
        </w:rPr>
        <w:t>difficultés et aux succès de certaines unités à atteindre leur objectif de recrutement.</w:t>
      </w:r>
      <w:r w:rsidRPr="00217EFC">
        <w:rPr>
          <w:sz w:val="22"/>
          <w:szCs w:val="22"/>
          <w:lang w:val="fr-CA"/>
        </w:rPr>
        <w:t xml:space="preserve"> En juillet 1915, </w:t>
      </w:r>
      <w:r>
        <w:rPr>
          <w:sz w:val="22"/>
          <w:szCs w:val="22"/>
          <w:lang w:val="fr-CA"/>
        </w:rPr>
        <w:t xml:space="preserve">les autorités de </w:t>
      </w:r>
      <w:r w:rsidRPr="00217EFC">
        <w:rPr>
          <w:sz w:val="22"/>
          <w:szCs w:val="22"/>
          <w:lang w:val="fr-CA"/>
        </w:rPr>
        <w:t>l’</w:t>
      </w:r>
      <w:r>
        <w:rPr>
          <w:sz w:val="22"/>
          <w:szCs w:val="22"/>
          <w:lang w:val="fr-CA"/>
        </w:rPr>
        <w:t>H</w:t>
      </w:r>
      <w:r w:rsidRPr="00217EFC">
        <w:rPr>
          <w:sz w:val="22"/>
          <w:szCs w:val="22"/>
          <w:lang w:val="fr-CA"/>
        </w:rPr>
        <w:t>ôpital stationnaire no</w:t>
      </w:r>
      <w:r w:rsidR="00714D09">
        <w:rPr>
          <w:sz w:val="22"/>
          <w:szCs w:val="22"/>
          <w:lang w:val="fr-CA"/>
        </w:rPr>
        <w:t> </w:t>
      </w:r>
      <w:r w:rsidRPr="00217EFC">
        <w:rPr>
          <w:sz w:val="22"/>
          <w:szCs w:val="22"/>
          <w:lang w:val="fr-CA"/>
        </w:rPr>
        <w:t xml:space="preserve">4, qui est en France, </w:t>
      </w:r>
      <w:r>
        <w:rPr>
          <w:sz w:val="22"/>
          <w:szCs w:val="22"/>
          <w:lang w:val="fr-CA"/>
        </w:rPr>
        <w:t xml:space="preserve">soulignent </w:t>
      </w:r>
      <w:r w:rsidRPr="00217EFC">
        <w:rPr>
          <w:sz w:val="22"/>
          <w:szCs w:val="22"/>
          <w:lang w:val="fr-CA"/>
        </w:rPr>
        <w:t>qu’elle</w:t>
      </w:r>
      <w:r>
        <w:rPr>
          <w:sz w:val="22"/>
          <w:szCs w:val="22"/>
          <w:lang w:val="fr-CA"/>
        </w:rPr>
        <w:t>s</w:t>
      </w:r>
      <w:r w:rsidRPr="00217EFC">
        <w:rPr>
          <w:sz w:val="22"/>
          <w:szCs w:val="22"/>
          <w:lang w:val="fr-CA"/>
        </w:rPr>
        <w:t xml:space="preserve"> </w:t>
      </w:r>
      <w:r>
        <w:rPr>
          <w:sz w:val="22"/>
          <w:szCs w:val="22"/>
          <w:lang w:val="fr-CA"/>
        </w:rPr>
        <w:t xml:space="preserve">ont </w:t>
      </w:r>
      <w:r w:rsidRPr="00217EFC">
        <w:rPr>
          <w:sz w:val="22"/>
          <w:szCs w:val="22"/>
          <w:lang w:val="fr-CA"/>
        </w:rPr>
        <w:t xml:space="preserve">besoin de quatre officiers et </w:t>
      </w:r>
      <w:r>
        <w:rPr>
          <w:sz w:val="22"/>
          <w:szCs w:val="22"/>
          <w:lang w:val="fr-CA"/>
        </w:rPr>
        <w:t xml:space="preserve">de </w:t>
      </w:r>
      <w:r w:rsidRPr="00217EFC">
        <w:rPr>
          <w:sz w:val="22"/>
          <w:szCs w:val="22"/>
          <w:lang w:val="fr-CA"/>
        </w:rPr>
        <w:t>38 soldats</w:t>
      </w:r>
      <w:r w:rsidRPr="00217EFC">
        <w:rPr>
          <w:rStyle w:val="FootnoteReference"/>
          <w:sz w:val="22"/>
          <w:szCs w:val="22"/>
          <w:lang w:val="fr-CA"/>
        </w:rPr>
        <w:footnoteReference w:id="214"/>
      </w:r>
      <w:r w:rsidRPr="00217EFC">
        <w:rPr>
          <w:sz w:val="22"/>
          <w:szCs w:val="22"/>
          <w:lang w:val="fr-CA"/>
        </w:rPr>
        <w:t xml:space="preserve">. </w:t>
      </w:r>
      <w:r>
        <w:rPr>
          <w:sz w:val="22"/>
          <w:szCs w:val="22"/>
          <w:lang w:val="fr-CA"/>
        </w:rPr>
        <w:t>De plus, l</w:t>
      </w:r>
      <w:r w:rsidRPr="00217EFC">
        <w:rPr>
          <w:sz w:val="22"/>
          <w:szCs w:val="22"/>
          <w:lang w:val="fr-CA"/>
        </w:rPr>
        <w:t>e journal rapporte les discussions quant à la possibilité de lever une unité d’artillerie de campagne à Lévis</w:t>
      </w:r>
      <w:r w:rsidRPr="00217EFC">
        <w:rPr>
          <w:rStyle w:val="FootnoteReference"/>
          <w:sz w:val="22"/>
          <w:szCs w:val="22"/>
          <w:lang w:val="fr-CA"/>
        </w:rPr>
        <w:footnoteReference w:id="215"/>
      </w:r>
      <w:r w:rsidRPr="00217EFC">
        <w:rPr>
          <w:sz w:val="22"/>
          <w:szCs w:val="22"/>
          <w:lang w:val="fr-CA"/>
        </w:rPr>
        <w:t xml:space="preserve">. D’ailleurs, </w:t>
      </w:r>
      <w:r>
        <w:rPr>
          <w:i/>
          <w:iCs/>
          <w:sz w:val="22"/>
          <w:szCs w:val="22"/>
          <w:lang w:val="fr-CA"/>
        </w:rPr>
        <w:t xml:space="preserve">L’Avenir National </w:t>
      </w:r>
      <w:r>
        <w:rPr>
          <w:sz w:val="22"/>
          <w:szCs w:val="22"/>
          <w:lang w:val="fr-CA"/>
        </w:rPr>
        <w:t xml:space="preserve">souligne </w:t>
      </w:r>
      <w:r w:rsidRPr="00217EFC">
        <w:rPr>
          <w:sz w:val="22"/>
          <w:szCs w:val="22"/>
          <w:lang w:val="fr-CA"/>
        </w:rPr>
        <w:t>l’annonce officielle de la levée du 167</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à Chicoutimi, sous le commandement du lieutenant-colonel O. Readman</w:t>
      </w:r>
      <w:r w:rsidRPr="00217EFC">
        <w:rPr>
          <w:rStyle w:val="FootnoteReference"/>
          <w:sz w:val="22"/>
          <w:szCs w:val="22"/>
          <w:lang w:val="fr-CA"/>
        </w:rPr>
        <w:footnoteReference w:id="216"/>
      </w:r>
      <w:r w:rsidRPr="00217EFC">
        <w:rPr>
          <w:sz w:val="22"/>
          <w:szCs w:val="22"/>
          <w:lang w:val="fr-CA"/>
        </w:rPr>
        <w:t xml:space="preserve"> et </w:t>
      </w:r>
      <w:r>
        <w:rPr>
          <w:sz w:val="22"/>
          <w:szCs w:val="22"/>
          <w:lang w:val="fr-CA"/>
        </w:rPr>
        <w:t xml:space="preserve">assure </w:t>
      </w:r>
      <w:r w:rsidRPr="00217EFC">
        <w:rPr>
          <w:sz w:val="22"/>
          <w:szCs w:val="22"/>
          <w:lang w:val="fr-CA"/>
        </w:rPr>
        <w:t xml:space="preserve">que les volontaires de la ville sont suffisants pour combler les rangs d’une ou même </w:t>
      </w:r>
      <w:r>
        <w:rPr>
          <w:sz w:val="22"/>
          <w:szCs w:val="22"/>
          <w:lang w:val="fr-CA"/>
        </w:rPr>
        <w:t xml:space="preserve">de </w:t>
      </w:r>
      <w:r w:rsidRPr="00217EFC">
        <w:rPr>
          <w:sz w:val="22"/>
          <w:szCs w:val="22"/>
          <w:lang w:val="fr-CA"/>
        </w:rPr>
        <w:t>deux compagnies</w:t>
      </w:r>
      <w:r w:rsidRPr="00217EFC">
        <w:rPr>
          <w:rStyle w:val="FootnoteReference"/>
          <w:sz w:val="22"/>
          <w:szCs w:val="22"/>
          <w:lang w:val="fr-CA"/>
        </w:rPr>
        <w:footnoteReference w:id="217"/>
      </w:r>
      <w:r w:rsidRPr="00217EFC">
        <w:rPr>
          <w:sz w:val="22"/>
          <w:szCs w:val="22"/>
          <w:lang w:val="fr-CA"/>
        </w:rPr>
        <w:t>.</w:t>
      </w:r>
      <w:r>
        <w:rPr>
          <w:sz w:val="22"/>
          <w:szCs w:val="22"/>
          <w:lang w:val="fr-CA"/>
        </w:rPr>
        <w:t xml:space="preserve"> </w:t>
      </w:r>
    </w:p>
    <w:p w14:paraId="24D0748A" w14:textId="77777777" w:rsidR="000264D6" w:rsidRPr="007F2175" w:rsidRDefault="000264D6" w:rsidP="002B5319">
      <w:pPr>
        <w:spacing w:before="100" w:beforeAutospacing="1" w:after="100" w:afterAutospacing="1"/>
        <w:ind w:firstLine="720"/>
        <w:jc w:val="both"/>
        <w:rPr>
          <w:i/>
          <w:iCs/>
          <w:sz w:val="22"/>
          <w:szCs w:val="22"/>
          <w:lang w:val="fr-CA"/>
        </w:rPr>
      </w:pPr>
      <w:r w:rsidRPr="00217EFC">
        <w:rPr>
          <w:sz w:val="22"/>
          <w:szCs w:val="22"/>
          <w:lang w:val="fr-CA"/>
        </w:rPr>
        <w:t xml:space="preserve">Or, l’équipe du journal s’efforce </w:t>
      </w:r>
      <w:r>
        <w:rPr>
          <w:sz w:val="22"/>
          <w:szCs w:val="22"/>
          <w:lang w:val="fr-CA"/>
        </w:rPr>
        <w:t>de</w:t>
      </w:r>
      <w:r w:rsidRPr="00217EFC">
        <w:rPr>
          <w:sz w:val="22"/>
          <w:szCs w:val="22"/>
          <w:lang w:val="fr-CA"/>
        </w:rPr>
        <w:t xml:space="preserve"> démontrer que les Canadiens</w:t>
      </w:r>
      <w:r>
        <w:rPr>
          <w:sz w:val="22"/>
          <w:szCs w:val="22"/>
          <w:lang w:val="fr-CA"/>
        </w:rPr>
        <w:t xml:space="preserve"> </w:t>
      </w:r>
      <w:r w:rsidRPr="00217EFC">
        <w:rPr>
          <w:sz w:val="22"/>
          <w:szCs w:val="22"/>
          <w:lang w:val="fr-CA"/>
        </w:rPr>
        <w:t xml:space="preserve">français font leur part. </w:t>
      </w:r>
      <w:r>
        <w:rPr>
          <w:sz w:val="22"/>
          <w:szCs w:val="22"/>
          <w:lang w:val="fr-CA"/>
        </w:rPr>
        <w:t>Lorsque</w:t>
      </w:r>
      <w:r w:rsidRPr="002A1B8B">
        <w:rPr>
          <w:sz w:val="22"/>
          <w:lang w:val="fr-CA"/>
        </w:rPr>
        <w:t xml:space="preserve"> </w:t>
      </w:r>
      <w:r>
        <w:rPr>
          <w:sz w:val="22"/>
          <w:szCs w:val="22"/>
          <w:lang w:val="fr-CA"/>
        </w:rPr>
        <w:t xml:space="preserve">le </w:t>
      </w:r>
      <w:r w:rsidRPr="00217EFC">
        <w:rPr>
          <w:i/>
          <w:iCs/>
          <w:sz w:val="22"/>
          <w:szCs w:val="22"/>
          <w:lang w:val="fr-CA"/>
        </w:rPr>
        <w:t xml:space="preserve">Mejagama </w:t>
      </w:r>
      <w:r w:rsidRPr="00217EFC">
        <w:rPr>
          <w:sz w:val="22"/>
          <w:szCs w:val="22"/>
          <w:lang w:val="fr-CA"/>
        </w:rPr>
        <w:t>accoste à Montréal avec 600 blessés à son bord</w:t>
      </w:r>
      <w:r>
        <w:rPr>
          <w:sz w:val="22"/>
          <w:szCs w:val="22"/>
          <w:lang w:val="fr-CA"/>
        </w:rPr>
        <w:t xml:space="preserve">, </w:t>
      </w:r>
      <w:r w:rsidRPr="00217EFC">
        <w:rPr>
          <w:sz w:val="22"/>
          <w:szCs w:val="22"/>
          <w:lang w:val="fr-CA"/>
        </w:rPr>
        <w:t>la liste des militaires blessés de retour au pays est publié</w:t>
      </w:r>
      <w:r>
        <w:rPr>
          <w:sz w:val="22"/>
          <w:szCs w:val="22"/>
          <w:lang w:val="fr-CA"/>
        </w:rPr>
        <w:t>e</w:t>
      </w:r>
      <w:r w:rsidRPr="00217EFC">
        <w:rPr>
          <w:sz w:val="22"/>
          <w:szCs w:val="22"/>
          <w:lang w:val="fr-CA"/>
        </w:rPr>
        <w:t xml:space="preserve"> dans l</w:t>
      </w:r>
      <w:r w:rsidR="009618B0">
        <w:rPr>
          <w:sz w:val="22"/>
          <w:szCs w:val="22"/>
          <w:lang w:val="fr-CA"/>
        </w:rPr>
        <w:t>a</w:t>
      </w:r>
      <w:r w:rsidRPr="00217EFC">
        <w:rPr>
          <w:sz w:val="22"/>
          <w:szCs w:val="22"/>
          <w:lang w:val="fr-CA"/>
        </w:rPr>
        <w:t xml:space="preserve"> </w:t>
      </w:r>
      <w:r w:rsidRPr="00217EFC">
        <w:rPr>
          <w:i/>
          <w:iCs/>
          <w:sz w:val="22"/>
          <w:szCs w:val="22"/>
          <w:lang w:val="fr-CA"/>
        </w:rPr>
        <w:t>Star</w:t>
      </w:r>
      <w:r>
        <w:rPr>
          <w:sz w:val="22"/>
          <w:szCs w:val="22"/>
          <w:lang w:val="fr-CA"/>
        </w:rPr>
        <w:t xml:space="preserve"> de Montréal. Les journaux francophones signalent </w:t>
      </w:r>
      <w:r w:rsidRPr="00345DBC">
        <w:rPr>
          <w:sz w:val="22"/>
          <w:szCs w:val="22"/>
          <w:lang w:val="fr-CA"/>
        </w:rPr>
        <w:t>les noms des militaires canadiens-français blessés qui sont débarqués du navire, en rapportant les noms de connotation francophones</w:t>
      </w:r>
      <w:r w:rsidRPr="00217EFC">
        <w:rPr>
          <w:sz w:val="22"/>
          <w:szCs w:val="22"/>
          <w:lang w:val="fr-CA"/>
        </w:rPr>
        <w:t xml:space="preserve"> qui sont inscrits sur le manifeste. Ultimement, ces listes servent </w:t>
      </w:r>
      <w:r>
        <w:rPr>
          <w:sz w:val="22"/>
          <w:szCs w:val="22"/>
          <w:lang w:val="fr-CA"/>
        </w:rPr>
        <w:t xml:space="preserve">comme </w:t>
      </w:r>
      <w:r w:rsidRPr="00217EFC">
        <w:rPr>
          <w:sz w:val="22"/>
          <w:szCs w:val="22"/>
          <w:lang w:val="fr-CA"/>
        </w:rPr>
        <w:t xml:space="preserve">preuve irréfutable </w:t>
      </w:r>
      <w:r>
        <w:rPr>
          <w:sz w:val="22"/>
          <w:szCs w:val="22"/>
          <w:lang w:val="fr-CA"/>
        </w:rPr>
        <w:t xml:space="preserve">de l’implication active des </w:t>
      </w:r>
      <w:r w:rsidRPr="00243001">
        <w:rPr>
          <w:sz w:val="22"/>
          <w:szCs w:val="22"/>
          <w:lang w:val="fr-CA"/>
        </w:rPr>
        <w:t>Ca</w:t>
      </w:r>
      <w:r>
        <w:rPr>
          <w:sz w:val="22"/>
          <w:szCs w:val="22"/>
          <w:lang w:val="fr-CA"/>
        </w:rPr>
        <w:t>nadiens fran</w:t>
      </w:r>
      <w:r w:rsidRPr="00243001">
        <w:rPr>
          <w:sz w:val="22"/>
          <w:szCs w:val="22"/>
          <w:lang w:val="fr-CA"/>
        </w:rPr>
        <w:t>ç</w:t>
      </w:r>
      <w:r>
        <w:rPr>
          <w:sz w:val="22"/>
          <w:szCs w:val="22"/>
          <w:lang w:val="fr-CA"/>
        </w:rPr>
        <w:t xml:space="preserve">ais dans le conflit et elles répondent aussi aux critiques des </w:t>
      </w:r>
      <w:r w:rsidRPr="00217EFC">
        <w:rPr>
          <w:sz w:val="22"/>
          <w:szCs w:val="22"/>
          <w:lang w:val="fr-CA"/>
        </w:rPr>
        <w:t xml:space="preserve">concitoyens anglophones </w:t>
      </w:r>
      <w:r>
        <w:rPr>
          <w:sz w:val="22"/>
          <w:szCs w:val="22"/>
          <w:lang w:val="fr-CA"/>
        </w:rPr>
        <w:t xml:space="preserve">quant à l’engagement des francophones pour </w:t>
      </w:r>
      <w:r w:rsidRPr="00217EFC">
        <w:rPr>
          <w:sz w:val="22"/>
          <w:szCs w:val="22"/>
          <w:lang w:val="fr-CA"/>
        </w:rPr>
        <w:t>la cause</w:t>
      </w:r>
      <w:r w:rsidRPr="00217EFC">
        <w:rPr>
          <w:rStyle w:val="FootnoteReference"/>
          <w:sz w:val="22"/>
          <w:szCs w:val="22"/>
          <w:lang w:val="fr-CA"/>
        </w:rPr>
        <w:footnoteReference w:id="218"/>
      </w:r>
      <w:r w:rsidRPr="00217EFC">
        <w:rPr>
          <w:sz w:val="22"/>
          <w:szCs w:val="22"/>
          <w:lang w:val="fr-CA"/>
        </w:rPr>
        <w:t xml:space="preserve">. </w:t>
      </w:r>
      <w:r>
        <w:rPr>
          <w:sz w:val="22"/>
          <w:szCs w:val="22"/>
          <w:lang w:val="fr-CA"/>
        </w:rPr>
        <w:t xml:space="preserve">Ensuite, </w:t>
      </w:r>
      <w:r w:rsidRPr="00217EFC">
        <w:rPr>
          <w:i/>
          <w:iCs/>
          <w:sz w:val="22"/>
          <w:szCs w:val="22"/>
          <w:lang w:val="fr-CA"/>
        </w:rPr>
        <w:t>L’Avenir National</w:t>
      </w:r>
      <w:r w:rsidRPr="00217EFC">
        <w:rPr>
          <w:sz w:val="22"/>
          <w:szCs w:val="22"/>
          <w:lang w:val="fr-CA"/>
        </w:rPr>
        <w:t xml:space="preserve"> profite de toutes les </w:t>
      </w:r>
      <w:r>
        <w:rPr>
          <w:sz w:val="22"/>
          <w:szCs w:val="22"/>
          <w:lang w:val="fr-CA"/>
        </w:rPr>
        <w:t>occasions</w:t>
      </w:r>
      <w:r w:rsidRPr="00217EFC">
        <w:rPr>
          <w:sz w:val="22"/>
          <w:szCs w:val="22"/>
          <w:lang w:val="fr-CA"/>
        </w:rPr>
        <w:t xml:space="preserve"> pour</w:t>
      </w:r>
      <w:r>
        <w:rPr>
          <w:sz w:val="22"/>
          <w:szCs w:val="22"/>
          <w:lang w:val="fr-CA"/>
        </w:rPr>
        <w:t xml:space="preserve"> </w:t>
      </w:r>
      <w:r w:rsidRPr="00217EFC">
        <w:rPr>
          <w:sz w:val="22"/>
          <w:szCs w:val="22"/>
          <w:lang w:val="fr-CA"/>
        </w:rPr>
        <w:t>montrer que les Canadiens</w:t>
      </w:r>
      <w:r>
        <w:rPr>
          <w:sz w:val="22"/>
          <w:szCs w:val="22"/>
          <w:lang w:val="fr-CA"/>
        </w:rPr>
        <w:t xml:space="preserve"> </w:t>
      </w:r>
      <w:r w:rsidRPr="00217EFC">
        <w:rPr>
          <w:sz w:val="22"/>
          <w:szCs w:val="22"/>
          <w:lang w:val="fr-CA"/>
        </w:rPr>
        <w:t>français ne sont pas des embusqués. Un éditorial</w:t>
      </w:r>
      <w:r>
        <w:rPr>
          <w:sz w:val="22"/>
          <w:szCs w:val="22"/>
          <w:lang w:val="fr-CA"/>
        </w:rPr>
        <w:t xml:space="preserve"> qui met en évidence</w:t>
      </w:r>
      <w:r w:rsidRPr="00217EFC">
        <w:rPr>
          <w:sz w:val="22"/>
          <w:szCs w:val="22"/>
          <w:lang w:val="fr-CA"/>
        </w:rPr>
        <w:t xml:space="preserve"> la loyauté des Canadien</w:t>
      </w:r>
      <w:r w:rsidR="00714D09">
        <w:rPr>
          <w:sz w:val="22"/>
          <w:szCs w:val="22"/>
          <w:lang w:val="fr-CA"/>
        </w:rPr>
        <w:t>s</w:t>
      </w:r>
      <w:r>
        <w:rPr>
          <w:sz w:val="22"/>
          <w:szCs w:val="22"/>
          <w:lang w:val="fr-CA"/>
        </w:rPr>
        <w:t xml:space="preserve"> </w:t>
      </w:r>
      <w:r w:rsidRPr="00217EFC">
        <w:rPr>
          <w:sz w:val="22"/>
          <w:szCs w:val="22"/>
          <w:lang w:val="fr-CA"/>
        </w:rPr>
        <w:t>français et</w:t>
      </w:r>
      <w:r>
        <w:rPr>
          <w:sz w:val="22"/>
          <w:szCs w:val="22"/>
          <w:lang w:val="fr-CA"/>
        </w:rPr>
        <w:t xml:space="preserve"> </w:t>
      </w:r>
      <w:r w:rsidRPr="00217EFC">
        <w:rPr>
          <w:sz w:val="22"/>
          <w:szCs w:val="22"/>
          <w:lang w:val="fr-CA"/>
        </w:rPr>
        <w:t xml:space="preserve">leur participation au conflit dans les différents régiments anglophones est tiré </w:t>
      </w:r>
      <w:r w:rsidRPr="00217EFC">
        <w:rPr>
          <w:sz w:val="22"/>
          <w:szCs w:val="22"/>
          <w:lang w:val="fr-CA"/>
        </w:rPr>
        <w:lastRenderedPageBreak/>
        <w:t>d’une entrevue donnée par le ministre des postes</w:t>
      </w:r>
      <w:r>
        <w:rPr>
          <w:sz w:val="22"/>
          <w:szCs w:val="22"/>
          <w:lang w:val="fr-CA"/>
        </w:rPr>
        <w:t>,</w:t>
      </w:r>
      <w:r w:rsidRPr="00217EFC">
        <w:rPr>
          <w:sz w:val="22"/>
          <w:szCs w:val="22"/>
          <w:lang w:val="fr-CA"/>
        </w:rPr>
        <w:t xml:space="preserve"> M.</w:t>
      </w:r>
      <w:r w:rsidR="00714D09">
        <w:rPr>
          <w:sz w:val="22"/>
          <w:szCs w:val="22"/>
          <w:lang w:val="fr-CA"/>
        </w:rPr>
        <w:t> </w:t>
      </w:r>
      <w:r w:rsidRPr="00217EFC">
        <w:rPr>
          <w:sz w:val="22"/>
          <w:szCs w:val="22"/>
          <w:lang w:val="fr-CA"/>
        </w:rPr>
        <w:t>Tom Chase-Casgrain</w:t>
      </w:r>
      <w:r w:rsidRPr="00217EFC">
        <w:rPr>
          <w:rStyle w:val="FootnoteReference"/>
          <w:sz w:val="22"/>
          <w:szCs w:val="22"/>
          <w:lang w:val="fr-CA"/>
        </w:rPr>
        <w:footnoteReference w:id="219"/>
      </w:r>
      <w:r w:rsidRPr="00217EFC">
        <w:rPr>
          <w:sz w:val="22"/>
          <w:szCs w:val="22"/>
          <w:lang w:val="fr-CA"/>
        </w:rPr>
        <w:t xml:space="preserve">. </w:t>
      </w:r>
      <w:r>
        <w:rPr>
          <w:sz w:val="22"/>
          <w:szCs w:val="22"/>
          <w:lang w:val="fr-CA"/>
        </w:rPr>
        <w:t xml:space="preserve">De plus, </w:t>
      </w:r>
      <w:r w:rsidRPr="00217EFC">
        <w:rPr>
          <w:i/>
          <w:iCs/>
          <w:sz w:val="22"/>
          <w:szCs w:val="22"/>
          <w:lang w:val="fr-CA"/>
        </w:rPr>
        <w:t>L’Avenir National</w:t>
      </w:r>
      <w:r w:rsidRPr="00217EFC">
        <w:rPr>
          <w:sz w:val="22"/>
          <w:szCs w:val="22"/>
          <w:lang w:val="fr-CA"/>
        </w:rPr>
        <w:t xml:space="preserve"> rapporte à mainte</w:t>
      </w:r>
      <w:r>
        <w:rPr>
          <w:sz w:val="22"/>
          <w:szCs w:val="22"/>
          <w:lang w:val="fr-CA"/>
        </w:rPr>
        <w:t>s</w:t>
      </w:r>
      <w:r w:rsidRPr="00217EFC">
        <w:rPr>
          <w:sz w:val="22"/>
          <w:szCs w:val="22"/>
          <w:lang w:val="fr-CA"/>
        </w:rPr>
        <w:t xml:space="preserve"> reprise</w:t>
      </w:r>
      <w:r>
        <w:rPr>
          <w:sz w:val="22"/>
          <w:szCs w:val="22"/>
          <w:lang w:val="fr-CA"/>
        </w:rPr>
        <w:t>s</w:t>
      </w:r>
      <w:r w:rsidRPr="00217EFC">
        <w:rPr>
          <w:sz w:val="22"/>
          <w:szCs w:val="22"/>
          <w:lang w:val="fr-CA"/>
        </w:rPr>
        <w:t xml:space="preserve"> les exploits du 22</w:t>
      </w:r>
      <w:r w:rsidRPr="00217EFC">
        <w:rPr>
          <w:sz w:val="22"/>
          <w:szCs w:val="22"/>
          <w:vertAlign w:val="superscript"/>
          <w:lang w:val="fr-CA"/>
        </w:rPr>
        <w:t>e</w:t>
      </w:r>
      <w:r w:rsidRPr="00217EFC">
        <w:rPr>
          <w:sz w:val="22"/>
          <w:szCs w:val="22"/>
          <w:lang w:val="fr-CA"/>
        </w:rPr>
        <w:t xml:space="preserve"> </w:t>
      </w:r>
      <w:r>
        <w:rPr>
          <w:sz w:val="22"/>
          <w:szCs w:val="22"/>
          <w:lang w:val="fr-CA"/>
        </w:rPr>
        <w:t>Bataillon canadien-français. À cet effet, l</w:t>
      </w:r>
      <w:r w:rsidRPr="00217EFC">
        <w:rPr>
          <w:sz w:val="22"/>
          <w:szCs w:val="22"/>
          <w:lang w:val="fr-CA"/>
        </w:rPr>
        <w:t xml:space="preserve">a bataille de Courcelette est considérée comme un événement marquant </w:t>
      </w:r>
      <w:r>
        <w:rPr>
          <w:sz w:val="22"/>
          <w:szCs w:val="22"/>
          <w:lang w:val="fr-CA"/>
        </w:rPr>
        <w:t xml:space="preserve">et elle est grandement décrite </w:t>
      </w:r>
      <w:r w:rsidRPr="00217EFC">
        <w:rPr>
          <w:sz w:val="22"/>
          <w:szCs w:val="22"/>
          <w:lang w:val="fr-CA"/>
        </w:rPr>
        <w:t xml:space="preserve">dans la presse. </w:t>
      </w:r>
      <w:r>
        <w:rPr>
          <w:i/>
          <w:iCs/>
          <w:sz w:val="22"/>
          <w:szCs w:val="22"/>
          <w:lang w:val="fr-CA"/>
        </w:rPr>
        <w:t xml:space="preserve">L’Avenir National </w:t>
      </w:r>
      <w:r>
        <w:rPr>
          <w:sz w:val="22"/>
          <w:szCs w:val="22"/>
          <w:lang w:val="fr-CA"/>
        </w:rPr>
        <w:t xml:space="preserve">décrit </w:t>
      </w:r>
      <w:r w:rsidRPr="00217EFC">
        <w:rPr>
          <w:sz w:val="22"/>
          <w:szCs w:val="22"/>
          <w:lang w:val="fr-CA"/>
        </w:rPr>
        <w:t xml:space="preserve">également tous les gestes héroïques </w:t>
      </w:r>
      <w:r>
        <w:rPr>
          <w:sz w:val="22"/>
          <w:szCs w:val="22"/>
          <w:lang w:val="fr-CA"/>
        </w:rPr>
        <w:t>commis par l</w:t>
      </w:r>
      <w:r w:rsidRPr="00217EFC">
        <w:rPr>
          <w:sz w:val="22"/>
          <w:szCs w:val="22"/>
          <w:lang w:val="fr-CA"/>
        </w:rPr>
        <w:t xml:space="preserve">es membres </w:t>
      </w:r>
      <w:r>
        <w:rPr>
          <w:sz w:val="22"/>
          <w:szCs w:val="22"/>
          <w:lang w:val="fr-CA"/>
        </w:rPr>
        <w:t xml:space="preserve">de ce </w:t>
      </w:r>
      <w:r w:rsidRPr="00217EFC">
        <w:rPr>
          <w:sz w:val="22"/>
          <w:szCs w:val="22"/>
          <w:lang w:val="fr-CA"/>
        </w:rPr>
        <w:t xml:space="preserve">bataillon et </w:t>
      </w:r>
      <w:r>
        <w:rPr>
          <w:sz w:val="22"/>
          <w:szCs w:val="22"/>
          <w:lang w:val="fr-CA"/>
        </w:rPr>
        <w:t xml:space="preserve">les noms </w:t>
      </w:r>
      <w:r w:rsidRPr="00217EFC">
        <w:rPr>
          <w:sz w:val="22"/>
          <w:szCs w:val="22"/>
          <w:lang w:val="fr-CA"/>
        </w:rPr>
        <w:t xml:space="preserve">de ceux qui ont </w:t>
      </w:r>
      <w:r>
        <w:rPr>
          <w:sz w:val="22"/>
          <w:szCs w:val="22"/>
          <w:lang w:val="fr-CA"/>
        </w:rPr>
        <w:t xml:space="preserve">perdu la </w:t>
      </w:r>
      <w:r w:rsidRPr="00217EFC">
        <w:rPr>
          <w:sz w:val="22"/>
          <w:szCs w:val="22"/>
          <w:lang w:val="fr-CA"/>
        </w:rPr>
        <w:t>vie ou qui sont blessés pendant cette bataille</w:t>
      </w:r>
      <w:r w:rsidRPr="00217EFC">
        <w:rPr>
          <w:rStyle w:val="FootnoteReference"/>
          <w:sz w:val="22"/>
          <w:szCs w:val="22"/>
          <w:lang w:val="fr-CA"/>
        </w:rPr>
        <w:footnoteReference w:id="220"/>
      </w:r>
      <w:r w:rsidRPr="00217EFC">
        <w:rPr>
          <w:sz w:val="22"/>
          <w:szCs w:val="22"/>
          <w:lang w:val="fr-CA"/>
        </w:rPr>
        <w:t>.</w:t>
      </w:r>
    </w:p>
    <w:p w14:paraId="6C13A513" w14:textId="77777777" w:rsidR="000264D6" w:rsidRDefault="000264D6" w:rsidP="00122C7A">
      <w:pPr>
        <w:spacing w:before="100" w:beforeAutospacing="1" w:after="100" w:afterAutospacing="1" w:line="480" w:lineRule="auto"/>
        <w:rPr>
          <w:b/>
          <w:bCs/>
          <w:sz w:val="22"/>
          <w:szCs w:val="22"/>
          <w:lang w:val="fr-CA"/>
        </w:rPr>
      </w:pPr>
      <w:r w:rsidRPr="00F23896">
        <w:rPr>
          <w:b/>
          <w:bCs/>
          <w:sz w:val="22"/>
          <w:szCs w:val="22"/>
          <w:lang w:val="fr-CA"/>
        </w:rPr>
        <w:t>Participation et engagement individuels dans le conflit</w:t>
      </w:r>
    </w:p>
    <w:p w14:paraId="48B0CD07" w14:textId="77777777" w:rsidR="000264D6" w:rsidRPr="00122C7A" w:rsidRDefault="000264D6" w:rsidP="002B5319">
      <w:pPr>
        <w:spacing w:before="100" w:beforeAutospacing="1" w:after="100" w:afterAutospacing="1"/>
        <w:ind w:firstLine="720"/>
        <w:rPr>
          <w:b/>
          <w:bCs/>
          <w:sz w:val="22"/>
          <w:szCs w:val="22"/>
          <w:lang w:val="fr-CA"/>
        </w:rPr>
      </w:pPr>
      <w:r w:rsidRPr="00217EFC">
        <w:rPr>
          <w:sz w:val="22"/>
          <w:szCs w:val="22"/>
          <w:lang w:val="fr-CA"/>
        </w:rPr>
        <w:t xml:space="preserve">Au cours de la période précédant l’entrée en guerre des États-Unis, </w:t>
      </w:r>
      <w:r w:rsidRPr="00217EFC">
        <w:rPr>
          <w:i/>
          <w:iCs/>
          <w:sz w:val="22"/>
          <w:szCs w:val="22"/>
          <w:lang w:val="fr-CA"/>
        </w:rPr>
        <w:t>L’Avenir National</w:t>
      </w:r>
      <w:r w:rsidRPr="00217EFC">
        <w:rPr>
          <w:sz w:val="22"/>
          <w:szCs w:val="22"/>
          <w:lang w:val="fr-CA"/>
        </w:rPr>
        <w:t xml:space="preserve"> publie les correspondances de quatorze volontaires qui servent </w:t>
      </w:r>
      <w:r>
        <w:rPr>
          <w:sz w:val="22"/>
          <w:szCs w:val="22"/>
          <w:lang w:val="fr-CA"/>
        </w:rPr>
        <w:t xml:space="preserve">dans </w:t>
      </w:r>
      <w:r w:rsidRPr="00217EFC">
        <w:rPr>
          <w:sz w:val="22"/>
          <w:szCs w:val="22"/>
          <w:lang w:val="fr-CA"/>
        </w:rPr>
        <w:t xml:space="preserve">le </w:t>
      </w:r>
      <w:r>
        <w:rPr>
          <w:sz w:val="22"/>
          <w:szCs w:val="22"/>
          <w:lang w:val="fr-CA"/>
        </w:rPr>
        <w:t>Corps expéditionnaire</w:t>
      </w:r>
      <w:r w:rsidRPr="00217EFC">
        <w:rPr>
          <w:sz w:val="22"/>
          <w:szCs w:val="22"/>
          <w:lang w:val="fr-CA"/>
        </w:rPr>
        <w:t xml:space="preserve"> </w:t>
      </w:r>
      <w:r w:rsidR="009618B0">
        <w:rPr>
          <w:sz w:val="22"/>
          <w:szCs w:val="22"/>
          <w:lang w:val="fr-CA"/>
        </w:rPr>
        <w:t>canadien</w:t>
      </w:r>
      <w:r w:rsidRPr="00217EFC">
        <w:rPr>
          <w:sz w:val="22"/>
          <w:szCs w:val="22"/>
          <w:lang w:val="fr-CA"/>
        </w:rPr>
        <w:t xml:space="preserve">. Ils sont tous </w:t>
      </w:r>
      <w:r>
        <w:rPr>
          <w:sz w:val="22"/>
          <w:szCs w:val="22"/>
          <w:lang w:val="fr-CA"/>
        </w:rPr>
        <w:t xml:space="preserve">liés </w:t>
      </w:r>
      <w:r w:rsidRPr="00217EFC">
        <w:rPr>
          <w:sz w:val="22"/>
          <w:szCs w:val="22"/>
          <w:lang w:val="fr-CA"/>
        </w:rPr>
        <w:t xml:space="preserve">à Manchester </w:t>
      </w:r>
      <w:r>
        <w:rPr>
          <w:sz w:val="22"/>
          <w:szCs w:val="22"/>
          <w:lang w:val="fr-CA"/>
        </w:rPr>
        <w:t xml:space="preserve">soit </w:t>
      </w:r>
      <w:r w:rsidRPr="00217EFC">
        <w:rPr>
          <w:sz w:val="22"/>
          <w:szCs w:val="22"/>
          <w:lang w:val="fr-CA"/>
        </w:rPr>
        <w:t xml:space="preserve">parce </w:t>
      </w:r>
      <w:r w:rsidRPr="002A1B8B">
        <w:rPr>
          <w:sz w:val="22"/>
          <w:lang w:val="fr-CA"/>
        </w:rPr>
        <w:t xml:space="preserve">qu’ils sont des résidents </w:t>
      </w:r>
      <w:r w:rsidRPr="00217EFC">
        <w:rPr>
          <w:sz w:val="22"/>
          <w:szCs w:val="22"/>
          <w:lang w:val="fr-CA"/>
        </w:rPr>
        <w:t>ou</w:t>
      </w:r>
      <w:r w:rsidRPr="002A1B8B">
        <w:rPr>
          <w:sz w:val="22"/>
          <w:lang w:val="fr-CA"/>
        </w:rPr>
        <w:t xml:space="preserve"> d</w:t>
      </w:r>
      <w:r w:rsidR="00714D09">
        <w:rPr>
          <w:sz w:val="22"/>
          <w:lang w:val="fr-CA"/>
        </w:rPr>
        <w:t>’</w:t>
      </w:r>
      <w:r w:rsidRPr="002A1B8B">
        <w:rPr>
          <w:sz w:val="22"/>
          <w:lang w:val="fr-CA"/>
        </w:rPr>
        <w:t>anciens résidents</w:t>
      </w:r>
      <w:r w:rsidRPr="00217EFC">
        <w:rPr>
          <w:sz w:val="22"/>
          <w:szCs w:val="22"/>
          <w:lang w:val="fr-CA"/>
        </w:rPr>
        <w:t>,</w:t>
      </w:r>
      <w:r w:rsidRPr="002A1B8B">
        <w:rPr>
          <w:sz w:val="22"/>
          <w:lang w:val="fr-CA"/>
        </w:rPr>
        <w:t xml:space="preserve"> soit</w:t>
      </w:r>
      <w:r w:rsidRPr="00217EFC">
        <w:rPr>
          <w:sz w:val="22"/>
          <w:szCs w:val="22"/>
          <w:lang w:val="fr-CA"/>
        </w:rPr>
        <w:t xml:space="preserve"> qu’ils ont des amis</w:t>
      </w:r>
      <w:r>
        <w:rPr>
          <w:sz w:val="22"/>
          <w:szCs w:val="22"/>
          <w:lang w:val="fr-CA"/>
        </w:rPr>
        <w:t xml:space="preserve"> ou de la parenté </w:t>
      </w:r>
      <w:r w:rsidRPr="00217EFC">
        <w:rPr>
          <w:sz w:val="22"/>
          <w:szCs w:val="22"/>
          <w:lang w:val="fr-CA"/>
        </w:rPr>
        <w:t>qui demeure</w:t>
      </w:r>
      <w:r>
        <w:rPr>
          <w:sz w:val="22"/>
          <w:szCs w:val="22"/>
          <w:lang w:val="fr-CA"/>
        </w:rPr>
        <w:t>nt</w:t>
      </w:r>
      <w:r w:rsidRPr="00217EFC">
        <w:rPr>
          <w:sz w:val="22"/>
          <w:szCs w:val="22"/>
          <w:lang w:val="fr-CA"/>
        </w:rPr>
        <w:t xml:space="preserve"> dans cette ville. </w:t>
      </w:r>
      <w:r>
        <w:rPr>
          <w:sz w:val="22"/>
          <w:szCs w:val="22"/>
          <w:lang w:val="fr-CA"/>
        </w:rPr>
        <w:t xml:space="preserve">En général, </w:t>
      </w:r>
      <w:r w:rsidRPr="00BF6CF8">
        <w:rPr>
          <w:sz w:val="22"/>
          <w:szCs w:val="22"/>
          <w:lang w:val="fr-CA"/>
        </w:rPr>
        <w:t>M.</w:t>
      </w:r>
      <w:r w:rsidR="00714D09">
        <w:rPr>
          <w:sz w:val="22"/>
          <w:szCs w:val="22"/>
          <w:lang w:val="fr-CA"/>
        </w:rPr>
        <w:t> </w:t>
      </w:r>
      <w:r w:rsidRPr="00BF6CF8">
        <w:rPr>
          <w:sz w:val="22"/>
          <w:szCs w:val="22"/>
          <w:lang w:val="fr-CA"/>
        </w:rPr>
        <w:t>Quirin</w:t>
      </w:r>
      <w:r>
        <w:rPr>
          <w:sz w:val="22"/>
          <w:szCs w:val="22"/>
          <w:lang w:val="fr-CA"/>
        </w:rPr>
        <w:t xml:space="preserve">, qui est l’un des </w:t>
      </w:r>
      <w:r w:rsidRPr="00BF6CF8">
        <w:rPr>
          <w:sz w:val="22"/>
          <w:szCs w:val="22"/>
          <w:lang w:val="fr-CA"/>
        </w:rPr>
        <w:t>marchand</w:t>
      </w:r>
      <w:r>
        <w:rPr>
          <w:sz w:val="22"/>
          <w:szCs w:val="22"/>
          <w:lang w:val="fr-CA"/>
        </w:rPr>
        <w:t>s</w:t>
      </w:r>
      <w:r w:rsidRPr="00BF6CF8">
        <w:rPr>
          <w:sz w:val="22"/>
          <w:szCs w:val="22"/>
          <w:lang w:val="fr-CA"/>
        </w:rPr>
        <w:t xml:space="preserve"> de vins importés </w:t>
      </w:r>
      <w:r>
        <w:rPr>
          <w:sz w:val="22"/>
          <w:szCs w:val="22"/>
          <w:lang w:val="fr-CA"/>
        </w:rPr>
        <w:t xml:space="preserve">de </w:t>
      </w:r>
      <w:r w:rsidRPr="00BF6CF8">
        <w:rPr>
          <w:sz w:val="22"/>
          <w:szCs w:val="22"/>
          <w:lang w:val="fr-CA"/>
        </w:rPr>
        <w:t>Manchester</w:t>
      </w:r>
      <w:r w:rsidRPr="00122C7A">
        <w:rPr>
          <w:sz w:val="22"/>
          <w:szCs w:val="22"/>
          <w:lang w:val="fr-CA"/>
        </w:rPr>
        <w:t xml:space="preserve"> </w:t>
      </w:r>
      <w:r>
        <w:rPr>
          <w:sz w:val="22"/>
          <w:szCs w:val="22"/>
          <w:lang w:val="fr-CA"/>
        </w:rPr>
        <w:t xml:space="preserve">et qui est </w:t>
      </w:r>
      <w:r w:rsidRPr="00BF6CF8">
        <w:rPr>
          <w:sz w:val="22"/>
          <w:szCs w:val="22"/>
          <w:lang w:val="fr-CA"/>
        </w:rPr>
        <w:t>originaire d’Alsace,</w:t>
      </w:r>
      <w:r>
        <w:rPr>
          <w:sz w:val="22"/>
          <w:szCs w:val="22"/>
          <w:lang w:val="fr-CA"/>
        </w:rPr>
        <w:t xml:space="preserve"> correspond avec plusieurs Franco-Américains </w:t>
      </w:r>
      <w:r w:rsidRPr="00217EFC">
        <w:rPr>
          <w:sz w:val="22"/>
          <w:szCs w:val="22"/>
          <w:lang w:val="fr-CA"/>
        </w:rPr>
        <w:t xml:space="preserve">qui servent </w:t>
      </w:r>
      <w:r>
        <w:rPr>
          <w:sz w:val="22"/>
          <w:szCs w:val="22"/>
          <w:lang w:val="fr-CA"/>
        </w:rPr>
        <w:t xml:space="preserve">dans </w:t>
      </w:r>
      <w:r w:rsidRPr="00217EFC">
        <w:rPr>
          <w:sz w:val="22"/>
          <w:szCs w:val="22"/>
          <w:lang w:val="fr-CA"/>
        </w:rPr>
        <w:t xml:space="preserve">le </w:t>
      </w:r>
      <w:r>
        <w:rPr>
          <w:sz w:val="22"/>
          <w:szCs w:val="22"/>
          <w:lang w:val="fr-CA"/>
        </w:rPr>
        <w:t>Corps expéditionnaire</w:t>
      </w:r>
      <w:r w:rsidRPr="00217EFC">
        <w:rPr>
          <w:sz w:val="22"/>
          <w:szCs w:val="22"/>
          <w:lang w:val="fr-CA"/>
        </w:rPr>
        <w:t xml:space="preserve"> </w:t>
      </w:r>
      <w:r>
        <w:rPr>
          <w:sz w:val="22"/>
          <w:szCs w:val="22"/>
          <w:lang w:val="fr-CA"/>
        </w:rPr>
        <w:t>c</w:t>
      </w:r>
      <w:r w:rsidRPr="00217EFC">
        <w:rPr>
          <w:sz w:val="22"/>
          <w:szCs w:val="22"/>
          <w:lang w:val="fr-CA"/>
        </w:rPr>
        <w:t>anadien ou les forces françaises</w:t>
      </w:r>
      <w:r w:rsidRPr="00D90A98">
        <w:rPr>
          <w:sz w:val="22"/>
          <w:szCs w:val="22"/>
          <w:lang w:val="fr-CA"/>
        </w:rPr>
        <w:t xml:space="preserve">. Nous avons recensé </w:t>
      </w:r>
      <w:r w:rsidR="00933185" w:rsidRPr="00D90A98">
        <w:rPr>
          <w:sz w:val="22"/>
          <w:szCs w:val="22"/>
          <w:lang w:val="fr-CA"/>
        </w:rPr>
        <w:t xml:space="preserve">plus de </w:t>
      </w:r>
      <w:r w:rsidRPr="00D90A98">
        <w:rPr>
          <w:sz w:val="22"/>
          <w:szCs w:val="22"/>
          <w:lang w:val="fr-CA"/>
        </w:rPr>
        <w:t>2</w:t>
      </w:r>
      <w:r w:rsidR="00933185" w:rsidRPr="00D90A98">
        <w:rPr>
          <w:sz w:val="22"/>
          <w:szCs w:val="22"/>
          <w:lang w:val="fr-CA"/>
        </w:rPr>
        <w:t>6</w:t>
      </w:r>
      <w:r w:rsidRPr="00D90A98">
        <w:rPr>
          <w:sz w:val="22"/>
          <w:szCs w:val="22"/>
          <w:lang w:val="fr-CA"/>
        </w:rPr>
        <w:t xml:space="preserve"> Franco-Américains qui servent avec le Corps expéditionnaire canadien et trois dans les forces militaires françaises. Parmi eux, onze finissent par servir dans le 22</w:t>
      </w:r>
      <w:r w:rsidRPr="00D90A98">
        <w:rPr>
          <w:sz w:val="22"/>
          <w:szCs w:val="22"/>
          <w:vertAlign w:val="superscript"/>
          <w:lang w:val="fr-CA"/>
        </w:rPr>
        <w:t>e</w:t>
      </w:r>
      <w:r w:rsidRPr="00D90A98">
        <w:rPr>
          <w:sz w:val="22"/>
          <w:szCs w:val="22"/>
          <w:lang w:val="fr-CA"/>
        </w:rPr>
        <w:t xml:space="preserve"> Bataillon, car dès leur arrivée en Angleterre les unités étaient dissoutes pour renflouer en personnel les unités qui étaient déjà au front en France.</w:t>
      </w:r>
    </w:p>
    <w:p w14:paraId="41B65A96" w14:textId="01D8D4B0"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La première mention d’une lettre reçue </w:t>
      </w:r>
      <w:r>
        <w:rPr>
          <w:sz w:val="22"/>
          <w:szCs w:val="22"/>
          <w:lang w:val="fr-CA"/>
        </w:rPr>
        <w:t>par</w:t>
      </w:r>
      <w:r w:rsidRPr="002A1B8B">
        <w:rPr>
          <w:sz w:val="22"/>
          <w:lang w:val="fr-CA"/>
        </w:rPr>
        <w:t xml:space="preserve"> </w:t>
      </w:r>
      <w:r w:rsidRPr="002A1B8B">
        <w:rPr>
          <w:i/>
          <w:sz w:val="22"/>
          <w:lang w:val="fr-CA"/>
        </w:rPr>
        <w:t>L’Avenir National</w:t>
      </w:r>
      <w:r w:rsidRPr="00217EFC">
        <w:rPr>
          <w:i/>
          <w:iCs/>
          <w:sz w:val="22"/>
          <w:szCs w:val="22"/>
          <w:lang w:val="fr-CA"/>
        </w:rPr>
        <w:t xml:space="preserve"> </w:t>
      </w:r>
      <w:r>
        <w:rPr>
          <w:sz w:val="22"/>
          <w:szCs w:val="22"/>
          <w:lang w:val="fr-CA"/>
        </w:rPr>
        <w:t>provenant</w:t>
      </w:r>
      <w:r w:rsidRPr="00217EFC">
        <w:rPr>
          <w:sz w:val="22"/>
          <w:szCs w:val="22"/>
          <w:lang w:val="fr-CA"/>
        </w:rPr>
        <w:t xml:space="preserve"> </w:t>
      </w:r>
      <w:r>
        <w:rPr>
          <w:sz w:val="22"/>
          <w:szCs w:val="22"/>
          <w:lang w:val="fr-CA"/>
        </w:rPr>
        <w:t>d’</w:t>
      </w:r>
      <w:r w:rsidRPr="00217EFC">
        <w:rPr>
          <w:sz w:val="22"/>
          <w:szCs w:val="22"/>
          <w:lang w:val="fr-CA"/>
        </w:rPr>
        <w:t xml:space="preserve">un </w:t>
      </w:r>
      <w:r>
        <w:rPr>
          <w:sz w:val="22"/>
          <w:szCs w:val="22"/>
          <w:lang w:val="fr-CA"/>
        </w:rPr>
        <w:t>individu relié</w:t>
      </w:r>
      <w:r w:rsidRPr="00217EFC">
        <w:rPr>
          <w:sz w:val="22"/>
          <w:szCs w:val="22"/>
          <w:lang w:val="fr-CA"/>
        </w:rPr>
        <w:t xml:space="preserve"> </w:t>
      </w:r>
      <w:r>
        <w:rPr>
          <w:sz w:val="22"/>
          <w:szCs w:val="22"/>
          <w:lang w:val="fr-CA"/>
        </w:rPr>
        <w:t xml:space="preserve">à </w:t>
      </w:r>
      <w:r w:rsidRPr="00217EFC">
        <w:rPr>
          <w:sz w:val="22"/>
          <w:szCs w:val="22"/>
          <w:lang w:val="fr-CA"/>
        </w:rPr>
        <w:t>Manchester est celle de Conrad Leo Lemire</w:t>
      </w:r>
      <w:r>
        <w:rPr>
          <w:sz w:val="22"/>
          <w:szCs w:val="22"/>
          <w:lang w:val="fr-CA"/>
        </w:rPr>
        <w:t>,</w:t>
      </w:r>
      <w:r w:rsidRPr="00217EFC">
        <w:rPr>
          <w:sz w:val="22"/>
          <w:szCs w:val="22"/>
          <w:lang w:val="fr-CA"/>
        </w:rPr>
        <w:t xml:space="preserve"> qui correspond</w:t>
      </w:r>
      <w:r>
        <w:rPr>
          <w:sz w:val="22"/>
          <w:szCs w:val="22"/>
          <w:lang w:val="fr-CA"/>
        </w:rPr>
        <w:t xml:space="preserve"> avec </w:t>
      </w:r>
      <w:r w:rsidRPr="00217EFC">
        <w:rPr>
          <w:sz w:val="22"/>
          <w:szCs w:val="22"/>
          <w:lang w:val="fr-CA"/>
        </w:rPr>
        <w:t xml:space="preserve">son frère ainé, </w:t>
      </w:r>
      <w:r>
        <w:rPr>
          <w:sz w:val="22"/>
          <w:szCs w:val="22"/>
          <w:lang w:val="fr-CA"/>
        </w:rPr>
        <w:t>alors qu</w:t>
      </w:r>
      <w:r w:rsidRPr="00B639F6">
        <w:rPr>
          <w:sz w:val="22"/>
          <w:szCs w:val="22"/>
          <w:lang w:val="fr-CA"/>
        </w:rPr>
        <w:t>’i</w:t>
      </w:r>
      <w:r>
        <w:rPr>
          <w:sz w:val="22"/>
          <w:szCs w:val="22"/>
          <w:lang w:val="fr-CA"/>
        </w:rPr>
        <w:t xml:space="preserve">l sert dans </w:t>
      </w:r>
      <w:r w:rsidRPr="00217EFC">
        <w:rPr>
          <w:sz w:val="22"/>
          <w:szCs w:val="22"/>
          <w:lang w:val="fr-CA"/>
        </w:rPr>
        <w:t>le</w:t>
      </w:r>
      <w:r>
        <w:rPr>
          <w:sz w:val="22"/>
          <w:szCs w:val="22"/>
          <w:lang w:val="fr-CA"/>
        </w:rPr>
        <w:t xml:space="preserve">s forces expéditionnaires </w:t>
      </w:r>
      <w:r w:rsidRPr="00217EFC">
        <w:rPr>
          <w:sz w:val="22"/>
          <w:szCs w:val="22"/>
          <w:lang w:val="fr-CA"/>
        </w:rPr>
        <w:t>canadien</w:t>
      </w:r>
      <w:r>
        <w:rPr>
          <w:sz w:val="22"/>
          <w:szCs w:val="22"/>
          <w:lang w:val="fr-CA"/>
        </w:rPr>
        <w:t>nes depuis un an</w:t>
      </w:r>
      <w:r w:rsidRPr="00217EFC">
        <w:rPr>
          <w:sz w:val="22"/>
          <w:szCs w:val="22"/>
          <w:lang w:val="fr-CA"/>
        </w:rPr>
        <w:t>.</w:t>
      </w:r>
      <w:r>
        <w:rPr>
          <w:sz w:val="22"/>
          <w:szCs w:val="22"/>
          <w:lang w:val="fr-CA"/>
        </w:rPr>
        <w:t xml:space="preserve"> Lors de la déclaration de guerre canadienne, Lemire </w:t>
      </w:r>
      <w:r w:rsidRPr="00217EFC">
        <w:rPr>
          <w:sz w:val="22"/>
          <w:szCs w:val="22"/>
          <w:lang w:val="fr-CA"/>
        </w:rPr>
        <w:t>travaill</w:t>
      </w:r>
      <w:r>
        <w:rPr>
          <w:sz w:val="22"/>
          <w:szCs w:val="22"/>
          <w:lang w:val="fr-CA"/>
        </w:rPr>
        <w:t xml:space="preserve">e </w:t>
      </w:r>
      <w:r w:rsidRPr="00217EFC">
        <w:rPr>
          <w:sz w:val="22"/>
          <w:szCs w:val="22"/>
          <w:lang w:val="fr-CA"/>
        </w:rPr>
        <w:t>en Colombie-Britannique</w:t>
      </w:r>
      <w:r>
        <w:rPr>
          <w:sz w:val="22"/>
          <w:szCs w:val="22"/>
          <w:lang w:val="fr-CA"/>
        </w:rPr>
        <w:t xml:space="preserve"> et il décide de se rendre </w:t>
      </w:r>
      <w:r w:rsidRPr="00217EFC">
        <w:rPr>
          <w:sz w:val="22"/>
          <w:szCs w:val="22"/>
          <w:lang w:val="fr-CA"/>
        </w:rPr>
        <w:t>à Winnipeg</w:t>
      </w:r>
      <w:r w:rsidRPr="00B639F6">
        <w:rPr>
          <w:sz w:val="22"/>
          <w:szCs w:val="22"/>
          <w:lang w:val="fr-CA"/>
        </w:rPr>
        <w:t xml:space="preserve"> </w:t>
      </w:r>
      <w:r>
        <w:rPr>
          <w:sz w:val="22"/>
          <w:szCs w:val="22"/>
          <w:lang w:val="fr-CA"/>
        </w:rPr>
        <w:t xml:space="preserve">pour </w:t>
      </w:r>
      <w:r w:rsidRPr="00217EFC">
        <w:rPr>
          <w:sz w:val="22"/>
          <w:szCs w:val="22"/>
          <w:lang w:val="fr-CA"/>
        </w:rPr>
        <w:t>s’enrôle</w:t>
      </w:r>
      <w:r>
        <w:rPr>
          <w:sz w:val="22"/>
          <w:szCs w:val="22"/>
          <w:lang w:val="fr-CA"/>
        </w:rPr>
        <w:t>r dans le premier Contingent expéditionnaire canadien</w:t>
      </w:r>
      <w:r w:rsidRPr="00217EFC">
        <w:rPr>
          <w:sz w:val="22"/>
          <w:szCs w:val="22"/>
          <w:lang w:val="fr-CA"/>
        </w:rPr>
        <w:t xml:space="preserve">. En Europe, il </w:t>
      </w:r>
      <w:r>
        <w:rPr>
          <w:sz w:val="22"/>
          <w:szCs w:val="22"/>
          <w:lang w:val="fr-CA"/>
        </w:rPr>
        <w:t xml:space="preserve">combat principalement </w:t>
      </w:r>
      <w:r w:rsidRPr="00217EFC">
        <w:rPr>
          <w:sz w:val="22"/>
          <w:szCs w:val="22"/>
          <w:lang w:val="fr-CA"/>
        </w:rPr>
        <w:t>comme artilleur</w:t>
      </w:r>
      <w:r>
        <w:rPr>
          <w:sz w:val="22"/>
          <w:szCs w:val="22"/>
          <w:lang w:val="fr-CA"/>
        </w:rPr>
        <w:t xml:space="preserve">. Toutefois, il fut momentanément assigné comme </w:t>
      </w:r>
      <w:r w:rsidRPr="00217EFC">
        <w:rPr>
          <w:sz w:val="22"/>
          <w:szCs w:val="22"/>
          <w:lang w:val="fr-CA"/>
        </w:rPr>
        <w:t>estafette</w:t>
      </w:r>
      <w:r>
        <w:rPr>
          <w:sz w:val="22"/>
          <w:szCs w:val="22"/>
          <w:lang w:val="fr-CA"/>
        </w:rPr>
        <w:t xml:space="preserve"> et, p</w:t>
      </w:r>
      <w:r w:rsidRPr="00217EFC">
        <w:rPr>
          <w:sz w:val="22"/>
          <w:szCs w:val="22"/>
          <w:lang w:val="fr-CA"/>
        </w:rPr>
        <w:t xml:space="preserve">endant sa première année de service, il </w:t>
      </w:r>
      <w:r>
        <w:rPr>
          <w:sz w:val="22"/>
          <w:szCs w:val="22"/>
          <w:lang w:val="fr-CA"/>
        </w:rPr>
        <w:t xml:space="preserve">indique </w:t>
      </w:r>
      <w:r w:rsidRPr="00217EFC">
        <w:rPr>
          <w:sz w:val="22"/>
          <w:szCs w:val="22"/>
          <w:lang w:val="fr-CA"/>
        </w:rPr>
        <w:t xml:space="preserve">avoir perdu trois chevaux et </w:t>
      </w:r>
      <w:r>
        <w:rPr>
          <w:sz w:val="22"/>
          <w:szCs w:val="22"/>
          <w:lang w:val="fr-CA"/>
        </w:rPr>
        <w:t xml:space="preserve">avoir été </w:t>
      </w:r>
      <w:r w:rsidRPr="00217EFC">
        <w:rPr>
          <w:sz w:val="22"/>
          <w:szCs w:val="22"/>
          <w:lang w:val="fr-CA"/>
        </w:rPr>
        <w:t>blessé par balle à l’épaule</w:t>
      </w:r>
      <w:r w:rsidRPr="00217EFC">
        <w:rPr>
          <w:rStyle w:val="FootnoteReference"/>
          <w:sz w:val="22"/>
          <w:szCs w:val="22"/>
          <w:lang w:val="fr-CA"/>
        </w:rPr>
        <w:footnoteReference w:id="221"/>
      </w:r>
      <w:r w:rsidRPr="00217EFC">
        <w:rPr>
          <w:sz w:val="22"/>
          <w:szCs w:val="22"/>
          <w:lang w:val="fr-CA"/>
        </w:rPr>
        <w:t xml:space="preserve">. Par la suite, </w:t>
      </w:r>
      <w:r>
        <w:rPr>
          <w:sz w:val="22"/>
          <w:szCs w:val="22"/>
          <w:lang w:val="fr-CA"/>
        </w:rPr>
        <w:t>le frère de Conrad ne r</w:t>
      </w:r>
      <w:r w:rsidRPr="00217EFC">
        <w:rPr>
          <w:sz w:val="22"/>
          <w:szCs w:val="22"/>
          <w:lang w:val="fr-CA"/>
        </w:rPr>
        <w:t>eçoit de</w:t>
      </w:r>
      <w:r>
        <w:rPr>
          <w:sz w:val="22"/>
          <w:szCs w:val="22"/>
          <w:lang w:val="fr-CA"/>
        </w:rPr>
        <w:t>s</w:t>
      </w:r>
      <w:r w:rsidRPr="00217EFC">
        <w:rPr>
          <w:sz w:val="22"/>
          <w:szCs w:val="22"/>
          <w:lang w:val="fr-CA"/>
        </w:rPr>
        <w:t xml:space="preserve"> nouvelles </w:t>
      </w:r>
      <w:r>
        <w:rPr>
          <w:sz w:val="22"/>
          <w:szCs w:val="22"/>
          <w:lang w:val="fr-CA"/>
        </w:rPr>
        <w:t>de son fr</w:t>
      </w:r>
      <w:r w:rsidRPr="00B639F6">
        <w:rPr>
          <w:sz w:val="22"/>
          <w:szCs w:val="22"/>
          <w:lang w:val="fr-CA"/>
        </w:rPr>
        <w:t>è</w:t>
      </w:r>
      <w:r>
        <w:rPr>
          <w:sz w:val="22"/>
          <w:szCs w:val="22"/>
          <w:lang w:val="fr-CA"/>
        </w:rPr>
        <w:t xml:space="preserve">re </w:t>
      </w:r>
      <w:r w:rsidRPr="00217EFC">
        <w:rPr>
          <w:sz w:val="22"/>
          <w:szCs w:val="22"/>
          <w:lang w:val="fr-CA"/>
        </w:rPr>
        <w:t xml:space="preserve">qu’un an plus tard. Lemire informe </w:t>
      </w:r>
      <w:r>
        <w:rPr>
          <w:sz w:val="22"/>
          <w:szCs w:val="22"/>
          <w:lang w:val="fr-CA"/>
        </w:rPr>
        <w:t xml:space="preserve">alors </w:t>
      </w:r>
      <w:r w:rsidRPr="00217EFC">
        <w:rPr>
          <w:sz w:val="22"/>
          <w:szCs w:val="22"/>
          <w:lang w:val="fr-CA"/>
        </w:rPr>
        <w:t>sa famille qu’il sera transféré à la 1</w:t>
      </w:r>
      <w:r w:rsidRPr="00217EFC">
        <w:rPr>
          <w:sz w:val="22"/>
          <w:szCs w:val="22"/>
          <w:vertAlign w:val="superscript"/>
          <w:lang w:val="fr-CA"/>
        </w:rPr>
        <w:t>re</w:t>
      </w:r>
      <w:r w:rsidRPr="00217EFC">
        <w:rPr>
          <w:sz w:val="22"/>
          <w:szCs w:val="22"/>
          <w:lang w:val="fr-CA"/>
        </w:rPr>
        <w:t xml:space="preserve"> </w:t>
      </w:r>
      <w:r>
        <w:rPr>
          <w:sz w:val="22"/>
          <w:szCs w:val="22"/>
          <w:lang w:val="fr-CA"/>
        </w:rPr>
        <w:t>B</w:t>
      </w:r>
      <w:r w:rsidRPr="00217EFC">
        <w:rPr>
          <w:sz w:val="22"/>
          <w:szCs w:val="22"/>
          <w:lang w:val="fr-CA"/>
        </w:rPr>
        <w:t>atterie de la 3</w:t>
      </w:r>
      <w:r w:rsidRPr="00217EFC">
        <w:rPr>
          <w:sz w:val="22"/>
          <w:szCs w:val="22"/>
          <w:vertAlign w:val="superscript"/>
          <w:lang w:val="fr-CA"/>
        </w:rPr>
        <w:t>e</w:t>
      </w:r>
      <w:r w:rsidRPr="00217EFC">
        <w:rPr>
          <w:sz w:val="22"/>
          <w:szCs w:val="22"/>
          <w:lang w:val="fr-CA"/>
        </w:rPr>
        <w:t xml:space="preserve"> </w:t>
      </w:r>
      <w:r>
        <w:rPr>
          <w:sz w:val="22"/>
          <w:szCs w:val="22"/>
          <w:lang w:val="fr-CA"/>
        </w:rPr>
        <w:t>B</w:t>
      </w:r>
      <w:r w:rsidRPr="00217EFC">
        <w:rPr>
          <w:sz w:val="22"/>
          <w:szCs w:val="22"/>
          <w:lang w:val="fr-CA"/>
        </w:rPr>
        <w:t xml:space="preserve">rigade du contingent </w:t>
      </w:r>
      <w:r w:rsidRPr="00926D23">
        <w:rPr>
          <w:sz w:val="22"/>
          <w:szCs w:val="22"/>
          <w:lang w:val="fr-CA"/>
        </w:rPr>
        <w:t>canadien</w:t>
      </w:r>
      <w:r>
        <w:rPr>
          <w:sz w:val="22"/>
          <w:szCs w:val="22"/>
          <w:lang w:val="fr-CA"/>
        </w:rPr>
        <w:t>,</w:t>
      </w:r>
      <w:r w:rsidRPr="00926D23">
        <w:rPr>
          <w:sz w:val="22"/>
          <w:szCs w:val="22"/>
          <w:lang w:val="fr-CA"/>
        </w:rPr>
        <w:t xml:space="preserve"> où il retournera au front après une période de convalescence de presque trois mois </w:t>
      </w:r>
      <w:r w:rsidR="00E54D4F">
        <w:rPr>
          <w:sz w:val="22"/>
          <w:szCs w:val="22"/>
          <w:lang w:val="fr-CA"/>
        </w:rPr>
        <w:t>à la suite d’une</w:t>
      </w:r>
      <w:r>
        <w:rPr>
          <w:sz w:val="22"/>
          <w:szCs w:val="22"/>
          <w:lang w:val="fr-CA"/>
        </w:rPr>
        <w:t xml:space="preserve"> blessure</w:t>
      </w:r>
      <w:r w:rsidRPr="00926D23">
        <w:rPr>
          <w:sz w:val="22"/>
          <w:szCs w:val="22"/>
          <w:lang w:val="fr-CA"/>
        </w:rPr>
        <w:t xml:space="preserve"> à la main gauche par balle et </w:t>
      </w:r>
      <w:r>
        <w:rPr>
          <w:sz w:val="22"/>
          <w:szCs w:val="22"/>
          <w:lang w:val="fr-CA"/>
        </w:rPr>
        <w:t>à un</w:t>
      </w:r>
      <w:r w:rsidRPr="00926D23">
        <w:rPr>
          <w:sz w:val="22"/>
          <w:szCs w:val="22"/>
          <w:lang w:val="fr-CA"/>
        </w:rPr>
        <w:t xml:space="preserve"> choc </w:t>
      </w:r>
      <w:r>
        <w:rPr>
          <w:sz w:val="22"/>
          <w:szCs w:val="22"/>
          <w:lang w:val="fr-CA"/>
        </w:rPr>
        <w:t>post-</w:t>
      </w:r>
      <w:r w:rsidRPr="00926D23">
        <w:rPr>
          <w:sz w:val="22"/>
          <w:szCs w:val="22"/>
          <w:lang w:val="fr-CA"/>
        </w:rPr>
        <w:t>traumatique</w:t>
      </w:r>
      <w:r w:rsidRPr="00926D23">
        <w:rPr>
          <w:rStyle w:val="FootnoteReference"/>
          <w:sz w:val="22"/>
          <w:szCs w:val="22"/>
          <w:lang w:val="fr-CA"/>
        </w:rPr>
        <w:footnoteReference w:id="222"/>
      </w:r>
      <w:r w:rsidRPr="00926D23">
        <w:rPr>
          <w:sz w:val="22"/>
          <w:szCs w:val="22"/>
          <w:lang w:val="fr-CA"/>
        </w:rPr>
        <w:t xml:space="preserve">. </w:t>
      </w:r>
    </w:p>
    <w:p w14:paraId="0BBE0C8E" w14:textId="77777777" w:rsidR="000264D6" w:rsidRDefault="000264D6" w:rsidP="002B5319">
      <w:pPr>
        <w:spacing w:before="100" w:beforeAutospacing="1" w:after="100" w:afterAutospacing="1"/>
        <w:ind w:firstLine="720"/>
        <w:jc w:val="both"/>
        <w:rPr>
          <w:sz w:val="22"/>
          <w:szCs w:val="22"/>
          <w:lang w:val="fr-CA"/>
        </w:rPr>
      </w:pPr>
      <w:r w:rsidRPr="00BF6CF8">
        <w:rPr>
          <w:sz w:val="22"/>
          <w:szCs w:val="22"/>
          <w:lang w:val="fr-CA"/>
        </w:rPr>
        <w:t>M.</w:t>
      </w:r>
      <w:r w:rsidR="00714D09">
        <w:rPr>
          <w:sz w:val="22"/>
          <w:szCs w:val="22"/>
          <w:lang w:val="fr-CA"/>
        </w:rPr>
        <w:t> </w:t>
      </w:r>
      <w:r w:rsidRPr="00BF6CF8">
        <w:rPr>
          <w:sz w:val="22"/>
          <w:szCs w:val="22"/>
          <w:lang w:val="fr-CA"/>
        </w:rPr>
        <w:t>Quirin</w:t>
      </w:r>
      <w:r>
        <w:rPr>
          <w:sz w:val="22"/>
          <w:szCs w:val="22"/>
          <w:lang w:val="fr-CA"/>
        </w:rPr>
        <w:t xml:space="preserve"> correspond aussi avec </w:t>
      </w:r>
      <w:r w:rsidRPr="00217EFC">
        <w:rPr>
          <w:sz w:val="22"/>
          <w:szCs w:val="22"/>
          <w:lang w:val="fr-CA"/>
        </w:rPr>
        <w:t>l’artilleur Lemire</w:t>
      </w:r>
      <w:r>
        <w:rPr>
          <w:sz w:val="22"/>
          <w:szCs w:val="22"/>
          <w:lang w:val="fr-CA"/>
        </w:rPr>
        <w:t xml:space="preserve"> et p</w:t>
      </w:r>
      <w:r w:rsidRPr="00BF6CF8">
        <w:rPr>
          <w:sz w:val="22"/>
          <w:szCs w:val="22"/>
          <w:lang w:val="fr-CA"/>
        </w:rPr>
        <w:t>endant l’été</w:t>
      </w:r>
      <w:r w:rsidR="00714D09">
        <w:rPr>
          <w:sz w:val="22"/>
          <w:szCs w:val="22"/>
          <w:lang w:val="fr-CA"/>
        </w:rPr>
        <w:t> </w:t>
      </w:r>
      <w:r w:rsidRPr="00BF6CF8">
        <w:rPr>
          <w:sz w:val="22"/>
          <w:szCs w:val="22"/>
          <w:lang w:val="fr-CA"/>
        </w:rPr>
        <w:t>1917</w:t>
      </w:r>
      <w:r w:rsidRPr="00217EFC">
        <w:rPr>
          <w:sz w:val="22"/>
          <w:szCs w:val="22"/>
          <w:lang w:val="fr-CA"/>
        </w:rPr>
        <w:t xml:space="preserve">, </w:t>
      </w:r>
      <w:r>
        <w:rPr>
          <w:sz w:val="22"/>
          <w:szCs w:val="22"/>
          <w:lang w:val="fr-CA"/>
        </w:rPr>
        <w:t xml:space="preserve">ce dernier lui </w:t>
      </w:r>
      <w:r w:rsidRPr="00217EFC">
        <w:rPr>
          <w:sz w:val="22"/>
          <w:szCs w:val="22"/>
          <w:lang w:val="fr-CA"/>
        </w:rPr>
        <w:t>décrit sa convalescence en Angleterre</w:t>
      </w:r>
      <w:r>
        <w:rPr>
          <w:sz w:val="22"/>
          <w:szCs w:val="22"/>
          <w:lang w:val="fr-CA"/>
        </w:rPr>
        <w:t>. D</w:t>
      </w:r>
      <w:r w:rsidRPr="00217EFC">
        <w:rPr>
          <w:sz w:val="22"/>
          <w:szCs w:val="22"/>
          <w:lang w:val="fr-CA"/>
        </w:rPr>
        <w:t>ès son retour au front, il est blessé par un éclat d’obus à l’abdomen</w:t>
      </w:r>
      <w:r w:rsidRPr="00485D03">
        <w:rPr>
          <w:sz w:val="22"/>
          <w:szCs w:val="22"/>
          <w:lang w:val="fr-CA"/>
        </w:rPr>
        <w:t xml:space="preserve"> </w:t>
      </w:r>
      <w:r>
        <w:rPr>
          <w:sz w:val="22"/>
          <w:szCs w:val="22"/>
          <w:lang w:val="fr-CA"/>
        </w:rPr>
        <w:t xml:space="preserve">et </w:t>
      </w:r>
      <w:r w:rsidRPr="00217EFC">
        <w:rPr>
          <w:sz w:val="22"/>
          <w:szCs w:val="22"/>
          <w:lang w:val="fr-CA"/>
        </w:rPr>
        <w:t xml:space="preserve">est évacué </w:t>
      </w:r>
      <w:r>
        <w:rPr>
          <w:sz w:val="22"/>
          <w:szCs w:val="22"/>
          <w:lang w:val="fr-CA"/>
        </w:rPr>
        <w:t xml:space="preserve">de </w:t>
      </w:r>
      <w:r w:rsidRPr="00217EFC">
        <w:rPr>
          <w:sz w:val="22"/>
          <w:szCs w:val="22"/>
          <w:lang w:val="fr-CA"/>
        </w:rPr>
        <w:t>nouveau</w:t>
      </w:r>
      <w:r w:rsidRPr="00217EFC">
        <w:rPr>
          <w:rStyle w:val="FootnoteReference"/>
          <w:sz w:val="22"/>
          <w:szCs w:val="22"/>
          <w:lang w:val="fr-CA"/>
        </w:rPr>
        <w:footnoteReference w:id="223"/>
      </w:r>
      <w:r w:rsidRPr="00217EFC">
        <w:rPr>
          <w:sz w:val="22"/>
          <w:szCs w:val="22"/>
          <w:lang w:val="fr-CA"/>
        </w:rPr>
        <w:t xml:space="preserve">. </w:t>
      </w:r>
      <w:r>
        <w:rPr>
          <w:sz w:val="22"/>
          <w:szCs w:val="22"/>
          <w:lang w:val="fr-CA"/>
        </w:rPr>
        <w:t>Finalement, i</w:t>
      </w:r>
      <w:r w:rsidRPr="00926D23">
        <w:rPr>
          <w:sz w:val="22"/>
          <w:szCs w:val="22"/>
          <w:lang w:val="fr-CA"/>
        </w:rPr>
        <w:t xml:space="preserve">l sera </w:t>
      </w:r>
      <w:r>
        <w:rPr>
          <w:sz w:val="22"/>
          <w:szCs w:val="22"/>
          <w:lang w:val="fr-CA"/>
        </w:rPr>
        <w:t xml:space="preserve">à nouveau </w:t>
      </w:r>
      <w:r w:rsidRPr="00926D23">
        <w:rPr>
          <w:sz w:val="22"/>
          <w:szCs w:val="22"/>
          <w:lang w:val="fr-CA"/>
        </w:rPr>
        <w:t>blessé</w:t>
      </w:r>
      <w:r>
        <w:rPr>
          <w:sz w:val="22"/>
          <w:szCs w:val="22"/>
          <w:lang w:val="fr-CA"/>
        </w:rPr>
        <w:t>,</w:t>
      </w:r>
      <w:r w:rsidRPr="00926D23">
        <w:rPr>
          <w:sz w:val="22"/>
          <w:szCs w:val="22"/>
          <w:lang w:val="fr-CA"/>
        </w:rPr>
        <w:t xml:space="preserve"> le 2 septembre 1918</w:t>
      </w:r>
      <w:r>
        <w:rPr>
          <w:sz w:val="22"/>
          <w:szCs w:val="22"/>
          <w:lang w:val="fr-CA"/>
        </w:rPr>
        <w:t>,</w:t>
      </w:r>
      <w:r w:rsidRPr="00926D23">
        <w:rPr>
          <w:sz w:val="22"/>
          <w:szCs w:val="22"/>
          <w:lang w:val="fr-CA"/>
        </w:rPr>
        <w:t xml:space="preserve"> </w:t>
      </w:r>
      <w:r w:rsidRPr="00926D23">
        <w:rPr>
          <w:sz w:val="22"/>
          <w:szCs w:val="22"/>
          <w:lang w:val="fr-CA"/>
        </w:rPr>
        <w:lastRenderedPageBreak/>
        <w:t xml:space="preserve">par un obus d’artillerie et sa jambe droite </w:t>
      </w:r>
      <w:r>
        <w:rPr>
          <w:sz w:val="22"/>
          <w:szCs w:val="22"/>
          <w:lang w:val="fr-CA"/>
        </w:rPr>
        <w:t>devra être</w:t>
      </w:r>
      <w:r w:rsidRPr="00926D23">
        <w:rPr>
          <w:sz w:val="22"/>
          <w:szCs w:val="22"/>
          <w:lang w:val="fr-CA"/>
        </w:rPr>
        <w:t xml:space="preserve"> amputée</w:t>
      </w:r>
      <w:r w:rsidRPr="00926D23">
        <w:rPr>
          <w:rStyle w:val="FootnoteReference"/>
          <w:sz w:val="22"/>
          <w:szCs w:val="22"/>
          <w:lang w:val="fr-CA"/>
        </w:rPr>
        <w:footnoteReference w:id="224"/>
      </w:r>
      <w:r w:rsidRPr="00926D23">
        <w:rPr>
          <w:sz w:val="22"/>
          <w:szCs w:val="22"/>
          <w:lang w:val="fr-CA"/>
        </w:rPr>
        <w:t>.</w:t>
      </w:r>
      <w:r w:rsidRPr="00217EFC">
        <w:rPr>
          <w:sz w:val="22"/>
          <w:szCs w:val="22"/>
          <w:lang w:val="fr-CA"/>
        </w:rPr>
        <w:t xml:space="preserve"> Lemire sera évacué au Canada</w:t>
      </w:r>
      <w:r>
        <w:rPr>
          <w:sz w:val="22"/>
          <w:szCs w:val="22"/>
          <w:lang w:val="fr-CA"/>
        </w:rPr>
        <w:t xml:space="preserve"> en septembre</w:t>
      </w:r>
      <w:r w:rsidRPr="00217EFC">
        <w:rPr>
          <w:rStyle w:val="FootnoteReference"/>
          <w:sz w:val="22"/>
          <w:szCs w:val="22"/>
          <w:lang w:val="fr-CA"/>
        </w:rPr>
        <w:footnoteReference w:id="225"/>
      </w:r>
      <w:r w:rsidRPr="00217EFC">
        <w:rPr>
          <w:sz w:val="22"/>
          <w:szCs w:val="22"/>
          <w:lang w:val="fr-CA"/>
        </w:rPr>
        <w:t xml:space="preserve">. </w:t>
      </w:r>
    </w:p>
    <w:p w14:paraId="14F451D2" w14:textId="77777777" w:rsidR="000264D6" w:rsidRDefault="000264D6" w:rsidP="002B5319">
      <w:pPr>
        <w:spacing w:before="100" w:beforeAutospacing="1" w:after="100" w:afterAutospacing="1"/>
        <w:ind w:firstLine="720"/>
        <w:jc w:val="both"/>
        <w:rPr>
          <w:sz w:val="22"/>
          <w:szCs w:val="22"/>
          <w:lang w:val="fr-CA"/>
        </w:rPr>
      </w:pPr>
      <w:r w:rsidRPr="00576F29">
        <w:rPr>
          <w:sz w:val="22"/>
          <w:szCs w:val="22"/>
          <w:lang w:val="fr-CA"/>
        </w:rPr>
        <w:t xml:space="preserve">Albert </w:t>
      </w:r>
      <w:r>
        <w:rPr>
          <w:sz w:val="22"/>
          <w:szCs w:val="22"/>
          <w:lang w:val="fr-CA"/>
        </w:rPr>
        <w:t>Dubrûle, lui, sera le principal correspondant avec la communauté de Manchester avant l’entrée en guerre des États-Unis contre l’Allemagne. I</w:t>
      </w:r>
      <w:r w:rsidRPr="00576F29">
        <w:rPr>
          <w:sz w:val="22"/>
          <w:szCs w:val="22"/>
          <w:lang w:val="fr-CA"/>
        </w:rPr>
        <w:t xml:space="preserve">l correspond régulièrement avec ses parents </w:t>
      </w:r>
      <w:r>
        <w:rPr>
          <w:sz w:val="22"/>
          <w:szCs w:val="22"/>
          <w:lang w:val="fr-CA"/>
        </w:rPr>
        <w:t>et M.</w:t>
      </w:r>
      <w:r w:rsidR="00714D09">
        <w:rPr>
          <w:sz w:val="22"/>
          <w:szCs w:val="22"/>
          <w:lang w:val="fr-CA"/>
        </w:rPr>
        <w:t> </w:t>
      </w:r>
      <w:r>
        <w:rPr>
          <w:sz w:val="22"/>
          <w:szCs w:val="22"/>
          <w:lang w:val="fr-CA"/>
        </w:rPr>
        <w:t xml:space="preserve">Quirin </w:t>
      </w:r>
      <w:r w:rsidRPr="00576F29">
        <w:rPr>
          <w:sz w:val="22"/>
          <w:szCs w:val="22"/>
          <w:lang w:val="fr-CA"/>
        </w:rPr>
        <w:t>pendant le conflit</w:t>
      </w:r>
      <w:r>
        <w:rPr>
          <w:sz w:val="22"/>
          <w:szCs w:val="22"/>
          <w:lang w:val="fr-CA"/>
        </w:rPr>
        <w:t xml:space="preserve"> et ses lettres seront publiées par </w:t>
      </w:r>
      <w:r>
        <w:rPr>
          <w:i/>
          <w:iCs/>
          <w:sz w:val="22"/>
          <w:szCs w:val="22"/>
          <w:lang w:val="fr-CA"/>
        </w:rPr>
        <w:t>L’Avenir National</w:t>
      </w:r>
      <w:r>
        <w:rPr>
          <w:sz w:val="22"/>
          <w:szCs w:val="22"/>
          <w:lang w:val="fr-CA"/>
        </w:rPr>
        <w:t>.</w:t>
      </w:r>
      <w:r w:rsidRPr="00576F29">
        <w:rPr>
          <w:sz w:val="22"/>
          <w:szCs w:val="22"/>
          <w:lang w:val="fr-CA"/>
        </w:rPr>
        <w:t xml:space="preserve"> </w:t>
      </w:r>
      <w:r>
        <w:rPr>
          <w:sz w:val="22"/>
          <w:szCs w:val="22"/>
          <w:lang w:val="fr-CA"/>
        </w:rPr>
        <w:t xml:space="preserve">Or, Dubrûle est </w:t>
      </w:r>
      <w:r w:rsidRPr="00576F29">
        <w:rPr>
          <w:sz w:val="22"/>
          <w:szCs w:val="22"/>
          <w:lang w:val="fr-CA"/>
        </w:rPr>
        <w:t>un Franco-Américain de 35 ans</w:t>
      </w:r>
      <w:r>
        <w:rPr>
          <w:sz w:val="22"/>
          <w:szCs w:val="22"/>
          <w:lang w:val="fr-CA"/>
        </w:rPr>
        <w:t>,</w:t>
      </w:r>
      <w:r w:rsidRPr="00576F29">
        <w:rPr>
          <w:sz w:val="22"/>
          <w:szCs w:val="22"/>
          <w:lang w:val="fr-CA"/>
        </w:rPr>
        <w:t xml:space="preserve"> originaire de Burlington, Vermont</w:t>
      </w:r>
      <w:r>
        <w:rPr>
          <w:sz w:val="22"/>
          <w:szCs w:val="22"/>
          <w:lang w:val="fr-CA"/>
        </w:rPr>
        <w:t xml:space="preserve"> et avait servi </w:t>
      </w:r>
      <w:r w:rsidRPr="00576F29">
        <w:rPr>
          <w:sz w:val="22"/>
          <w:szCs w:val="22"/>
          <w:lang w:val="fr-CA"/>
        </w:rPr>
        <w:t>treize ans</w:t>
      </w:r>
      <w:r>
        <w:rPr>
          <w:sz w:val="22"/>
          <w:szCs w:val="22"/>
          <w:lang w:val="fr-CA"/>
        </w:rPr>
        <w:t xml:space="preserve"> comme clairon au sein de </w:t>
      </w:r>
      <w:r w:rsidRPr="00576F29">
        <w:rPr>
          <w:sz w:val="22"/>
          <w:szCs w:val="22"/>
          <w:lang w:val="fr-CA"/>
        </w:rPr>
        <w:t>différentes gardes franco-américaines</w:t>
      </w:r>
      <w:r>
        <w:rPr>
          <w:sz w:val="22"/>
          <w:szCs w:val="22"/>
          <w:lang w:val="fr-CA"/>
        </w:rPr>
        <w:t>. Il s’</w:t>
      </w:r>
      <w:r w:rsidRPr="00576F29">
        <w:rPr>
          <w:sz w:val="22"/>
          <w:szCs w:val="22"/>
          <w:lang w:val="fr-CA"/>
        </w:rPr>
        <w:t>enrôle</w:t>
      </w:r>
      <w:r>
        <w:rPr>
          <w:sz w:val="22"/>
          <w:szCs w:val="22"/>
          <w:lang w:val="fr-CA"/>
        </w:rPr>
        <w:t xml:space="preserve"> </w:t>
      </w:r>
      <w:r w:rsidRPr="00576F29">
        <w:rPr>
          <w:sz w:val="22"/>
          <w:szCs w:val="22"/>
          <w:lang w:val="fr-CA"/>
        </w:rPr>
        <w:t>à Montréal, le 26 octobre 1914</w:t>
      </w:r>
      <w:r>
        <w:rPr>
          <w:sz w:val="22"/>
          <w:szCs w:val="22"/>
          <w:lang w:val="fr-CA"/>
        </w:rPr>
        <w:t xml:space="preserve">, où il joint </w:t>
      </w:r>
      <w:r w:rsidRPr="00576F29">
        <w:rPr>
          <w:sz w:val="22"/>
          <w:szCs w:val="22"/>
          <w:lang w:val="fr-CA"/>
        </w:rPr>
        <w:t>le</w:t>
      </w:r>
      <w:r>
        <w:rPr>
          <w:sz w:val="22"/>
          <w:szCs w:val="22"/>
          <w:lang w:val="fr-CA"/>
        </w:rPr>
        <w:t xml:space="preserve">s rangs du </w:t>
      </w:r>
      <w:r w:rsidRPr="00576F29">
        <w:rPr>
          <w:sz w:val="22"/>
          <w:szCs w:val="22"/>
          <w:lang w:val="fr-CA"/>
        </w:rPr>
        <w:t>22</w:t>
      </w:r>
      <w:r w:rsidRPr="00576F29">
        <w:rPr>
          <w:sz w:val="22"/>
          <w:szCs w:val="22"/>
          <w:vertAlign w:val="superscript"/>
          <w:lang w:val="fr-CA"/>
        </w:rPr>
        <w:t>e</w:t>
      </w:r>
      <w:r w:rsidRPr="00576F29">
        <w:rPr>
          <w:sz w:val="22"/>
          <w:szCs w:val="22"/>
          <w:lang w:val="fr-CA"/>
        </w:rPr>
        <w:t xml:space="preserve"> Bataillon</w:t>
      </w:r>
      <w:r>
        <w:rPr>
          <w:sz w:val="22"/>
          <w:szCs w:val="22"/>
          <w:lang w:val="fr-CA"/>
        </w:rPr>
        <w:t xml:space="preserve"> jusqu’à la fin du conflit</w:t>
      </w:r>
      <w:r w:rsidRPr="00576F29">
        <w:rPr>
          <w:sz w:val="22"/>
          <w:szCs w:val="22"/>
          <w:lang w:val="fr-CA"/>
        </w:rPr>
        <w:t xml:space="preserve">. </w:t>
      </w:r>
      <w:r>
        <w:rPr>
          <w:sz w:val="22"/>
          <w:szCs w:val="22"/>
          <w:lang w:val="fr-CA"/>
        </w:rPr>
        <w:t>Dans sa première lettre, i</w:t>
      </w:r>
      <w:r w:rsidRPr="00576F29">
        <w:rPr>
          <w:sz w:val="22"/>
          <w:szCs w:val="22"/>
          <w:lang w:val="fr-CA"/>
        </w:rPr>
        <w:t>l raconte que</w:t>
      </w:r>
      <w:r>
        <w:rPr>
          <w:sz w:val="22"/>
          <w:szCs w:val="22"/>
          <w:lang w:val="fr-CA"/>
        </w:rPr>
        <w:t>,</w:t>
      </w:r>
      <w:r w:rsidRPr="00576F29">
        <w:rPr>
          <w:sz w:val="22"/>
          <w:szCs w:val="22"/>
          <w:lang w:val="fr-CA"/>
        </w:rPr>
        <w:t xml:space="preserve"> le 7 septembre 1916, quelques jours </w:t>
      </w:r>
      <w:r>
        <w:rPr>
          <w:sz w:val="22"/>
          <w:szCs w:val="22"/>
          <w:lang w:val="fr-CA"/>
        </w:rPr>
        <w:t xml:space="preserve">seulement </w:t>
      </w:r>
      <w:r w:rsidRPr="00576F29">
        <w:rPr>
          <w:sz w:val="22"/>
          <w:szCs w:val="22"/>
          <w:lang w:val="fr-CA"/>
        </w:rPr>
        <w:t xml:space="preserve">avant la bataille de Courcelette, il </w:t>
      </w:r>
      <w:r>
        <w:rPr>
          <w:sz w:val="22"/>
          <w:szCs w:val="22"/>
          <w:lang w:val="fr-CA"/>
        </w:rPr>
        <w:t xml:space="preserve">est </w:t>
      </w:r>
      <w:r w:rsidRPr="00576F29">
        <w:rPr>
          <w:sz w:val="22"/>
          <w:szCs w:val="22"/>
          <w:lang w:val="fr-CA"/>
        </w:rPr>
        <w:t>évacué à</w:t>
      </w:r>
      <w:r>
        <w:rPr>
          <w:sz w:val="22"/>
          <w:szCs w:val="22"/>
          <w:lang w:val="fr-CA"/>
        </w:rPr>
        <w:t xml:space="preserve"> l’hôpital militaire de </w:t>
      </w:r>
      <w:r w:rsidRPr="00576F29">
        <w:rPr>
          <w:sz w:val="22"/>
          <w:szCs w:val="22"/>
          <w:lang w:val="fr-CA"/>
        </w:rPr>
        <w:t xml:space="preserve">Boulogne, car il </w:t>
      </w:r>
      <w:r>
        <w:rPr>
          <w:sz w:val="22"/>
          <w:szCs w:val="22"/>
          <w:lang w:val="fr-CA"/>
        </w:rPr>
        <w:t xml:space="preserve">a contracté </w:t>
      </w:r>
      <w:r w:rsidRPr="00576F29">
        <w:rPr>
          <w:sz w:val="22"/>
          <w:szCs w:val="22"/>
          <w:lang w:val="fr-CA"/>
        </w:rPr>
        <w:t>l’influenza</w:t>
      </w:r>
      <w:r w:rsidRPr="00576F29">
        <w:rPr>
          <w:rStyle w:val="FootnoteReference"/>
          <w:sz w:val="22"/>
          <w:szCs w:val="22"/>
          <w:lang w:val="fr-CA"/>
        </w:rPr>
        <w:footnoteReference w:id="226"/>
      </w:r>
      <w:r>
        <w:rPr>
          <w:sz w:val="22"/>
          <w:szCs w:val="22"/>
          <w:lang w:val="fr-CA"/>
        </w:rPr>
        <w:t xml:space="preserve">. Il </w:t>
      </w:r>
      <w:r w:rsidRPr="00576F29">
        <w:rPr>
          <w:sz w:val="22"/>
          <w:szCs w:val="22"/>
          <w:lang w:val="fr-CA"/>
        </w:rPr>
        <w:t>évit</w:t>
      </w:r>
      <w:r>
        <w:rPr>
          <w:sz w:val="22"/>
          <w:szCs w:val="22"/>
          <w:lang w:val="fr-CA"/>
        </w:rPr>
        <w:t xml:space="preserve">e ainsi cette </w:t>
      </w:r>
      <w:r w:rsidRPr="00576F29">
        <w:rPr>
          <w:sz w:val="22"/>
          <w:szCs w:val="22"/>
          <w:lang w:val="fr-CA"/>
        </w:rPr>
        <w:t>bataille, qui selon lui était «</w:t>
      </w:r>
      <w:r w:rsidR="00714D09">
        <w:rPr>
          <w:sz w:val="22"/>
          <w:szCs w:val="22"/>
          <w:lang w:val="fr-CA"/>
        </w:rPr>
        <w:t> </w:t>
      </w:r>
      <w:r w:rsidRPr="00576F29">
        <w:rPr>
          <w:sz w:val="22"/>
          <w:szCs w:val="22"/>
          <w:lang w:val="fr-CA"/>
        </w:rPr>
        <w:t>une véritable boucherie</w:t>
      </w:r>
      <w:r w:rsidR="00714D09">
        <w:rPr>
          <w:sz w:val="22"/>
          <w:szCs w:val="22"/>
          <w:lang w:val="fr-CA"/>
        </w:rPr>
        <w:t> </w:t>
      </w:r>
      <w:r w:rsidRPr="00576F29">
        <w:rPr>
          <w:sz w:val="22"/>
          <w:szCs w:val="22"/>
          <w:lang w:val="fr-CA"/>
        </w:rPr>
        <w:t>»</w:t>
      </w:r>
      <w:r w:rsidRPr="00576F29">
        <w:rPr>
          <w:rStyle w:val="FootnoteReference"/>
          <w:sz w:val="22"/>
          <w:szCs w:val="22"/>
          <w:lang w:val="fr-CA"/>
        </w:rPr>
        <w:footnoteReference w:id="227"/>
      </w:r>
      <w:r w:rsidRPr="00576F29">
        <w:rPr>
          <w:sz w:val="22"/>
          <w:szCs w:val="22"/>
          <w:lang w:val="fr-CA"/>
        </w:rPr>
        <w:t>. D’ailleurs, il rapporte fièrement que «</w:t>
      </w:r>
      <w:r w:rsidR="00714D09">
        <w:rPr>
          <w:sz w:val="22"/>
          <w:szCs w:val="22"/>
          <w:lang w:val="fr-CA"/>
        </w:rPr>
        <w:t> </w:t>
      </w:r>
      <w:r w:rsidRPr="00576F29">
        <w:rPr>
          <w:sz w:val="22"/>
          <w:szCs w:val="22"/>
          <w:lang w:val="fr-CA"/>
        </w:rPr>
        <w:t xml:space="preserve">le régiment </w:t>
      </w:r>
      <w:r>
        <w:rPr>
          <w:sz w:val="22"/>
          <w:szCs w:val="22"/>
          <w:lang w:val="fr-CA"/>
        </w:rPr>
        <w:t>a</w:t>
      </w:r>
      <w:r w:rsidRPr="00576F29">
        <w:rPr>
          <w:sz w:val="22"/>
          <w:szCs w:val="22"/>
          <w:lang w:val="fr-CA"/>
        </w:rPr>
        <w:t xml:space="preserve"> fait admirablement son devoir [et que] l’effectif du 22</w:t>
      </w:r>
      <w:r w:rsidRPr="00576F29">
        <w:rPr>
          <w:sz w:val="22"/>
          <w:szCs w:val="22"/>
          <w:vertAlign w:val="superscript"/>
          <w:lang w:val="fr-CA"/>
        </w:rPr>
        <w:t>e</w:t>
      </w:r>
      <w:r w:rsidRPr="00576F29">
        <w:rPr>
          <w:sz w:val="22"/>
          <w:szCs w:val="22"/>
          <w:lang w:val="fr-CA"/>
        </w:rPr>
        <w:t xml:space="preserve"> est réduit à une poignée d’hommes</w:t>
      </w:r>
      <w:r w:rsidR="00714D09">
        <w:rPr>
          <w:sz w:val="22"/>
          <w:szCs w:val="22"/>
          <w:lang w:val="fr-CA"/>
        </w:rPr>
        <w:t> </w:t>
      </w:r>
      <w:r w:rsidRPr="00576F29">
        <w:rPr>
          <w:sz w:val="22"/>
          <w:szCs w:val="22"/>
          <w:lang w:val="fr-CA"/>
        </w:rPr>
        <w:t>»</w:t>
      </w:r>
      <w:r w:rsidRPr="00576F29">
        <w:rPr>
          <w:rStyle w:val="FootnoteReference"/>
          <w:sz w:val="22"/>
          <w:szCs w:val="22"/>
          <w:lang w:val="fr-CA"/>
        </w:rPr>
        <w:footnoteReference w:id="228"/>
      </w:r>
      <w:r w:rsidRPr="00576F29">
        <w:rPr>
          <w:sz w:val="22"/>
          <w:szCs w:val="22"/>
          <w:lang w:val="fr-CA"/>
        </w:rPr>
        <w:t>.</w:t>
      </w:r>
      <w:r>
        <w:rPr>
          <w:sz w:val="22"/>
          <w:szCs w:val="22"/>
          <w:lang w:val="fr-CA"/>
        </w:rPr>
        <w:t xml:space="preserve"> </w:t>
      </w:r>
    </w:p>
    <w:p w14:paraId="7BF39B89" w14:textId="77777777" w:rsidR="000264D6" w:rsidRPr="00576F29" w:rsidRDefault="000264D6" w:rsidP="002B5319">
      <w:pPr>
        <w:spacing w:before="100" w:beforeAutospacing="1" w:after="100" w:afterAutospacing="1"/>
        <w:ind w:firstLine="720"/>
        <w:jc w:val="both"/>
        <w:rPr>
          <w:sz w:val="22"/>
          <w:szCs w:val="22"/>
          <w:lang w:val="fr-CA"/>
        </w:rPr>
      </w:pPr>
      <w:r w:rsidRPr="00576F29">
        <w:rPr>
          <w:sz w:val="22"/>
          <w:szCs w:val="22"/>
          <w:lang w:val="fr-CA"/>
        </w:rPr>
        <w:t xml:space="preserve">Dans </w:t>
      </w:r>
      <w:r>
        <w:rPr>
          <w:sz w:val="22"/>
          <w:szCs w:val="22"/>
          <w:lang w:val="fr-CA"/>
        </w:rPr>
        <w:t xml:space="preserve">une autre </w:t>
      </w:r>
      <w:r w:rsidRPr="00576F29">
        <w:rPr>
          <w:sz w:val="22"/>
          <w:szCs w:val="22"/>
          <w:lang w:val="fr-CA"/>
        </w:rPr>
        <w:t>lettre</w:t>
      </w:r>
      <w:r>
        <w:rPr>
          <w:sz w:val="22"/>
          <w:szCs w:val="22"/>
          <w:lang w:val="fr-CA"/>
        </w:rPr>
        <w:t>,</w:t>
      </w:r>
      <w:r w:rsidRPr="00576F29">
        <w:rPr>
          <w:sz w:val="22"/>
          <w:szCs w:val="22"/>
          <w:lang w:val="fr-CA"/>
        </w:rPr>
        <w:t xml:space="preserve"> Dubr</w:t>
      </w:r>
      <w:r w:rsidRPr="00992A77">
        <w:rPr>
          <w:sz w:val="22"/>
          <w:szCs w:val="22"/>
          <w:lang w:val="fr-CA"/>
        </w:rPr>
        <w:t>û</w:t>
      </w:r>
      <w:r w:rsidRPr="00576F29">
        <w:rPr>
          <w:sz w:val="22"/>
          <w:szCs w:val="22"/>
          <w:lang w:val="fr-CA"/>
        </w:rPr>
        <w:t>le indique clairement</w:t>
      </w:r>
      <w:r>
        <w:rPr>
          <w:sz w:val="22"/>
          <w:szCs w:val="22"/>
          <w:lang w:val="fr-CA"/>
        </w:rPr>
        <w:t xml:space="preserve"> </w:t>
      </w:r>
      <w:r w:rsidRPr="00576F29">
        <w:rPr>
          <w:sz w:val="22"/>
          <w:szCs w:val="22"/>
          <w:lang w:val="fr-CA"/>
        </w:rPr>
        <w:t>à sa sœur</w:t>
      </w:r>
      <w:r>
        <w:rPr>
          <w:sz w:val="22"/>
          <w:szCs w:val="22"/>
          <w:lang w:val="fr-CA"/>
        </w:rPr>
        <w:t>,</w:t>
      </w:r>
      <w:r w:rsidRPr="00576F29">
        <w:rPr>
          <w:sz w:val="22"/>
          <w:szCs w:val="22"/>
          <w:lang w:val="fr-CA"/>
        </w:rPr>
        <w:t xml:space="preserve"> qui demeure à Manchester,</w:t>
      </w:r>
      <w:r>
        <w:rPr>
          <w:sz w:val="22"/>
          <w:szCs w:val="22"/>
          <w:lang w:val="fr-CA"/>
        </w:rPr>
        <w:t xml:space="preserve"> l</w:t>
      </w:r>
      <w:r w:rsidRPr="00576F29">
        <w:rPr>
          <w:sz w:val="22"/>
          <w:szCs w:val="22"/>
          <w:lang w:val="fr-CA"/>
        </w:rPr>
        <w:t xml:space="preserve">es émotions </w:t>
      </w:r>
      <w:r>
        <w:rPr>
          <w:sz w:val="22"/>
          <w:szCs w:val="22"/>
          <w:lang w:val="fr-CA"/>
        </w:rPr>
        <w:t xml:space="preserve">vives qu’il éprouve </w:t>
      </w:r>
      <w:r w:rsidRPr="00576F29">
        <w:rPr>
          <w:sz w:val="22"/>
          <w:szCs w:val="22"/>
          <w:lang w:val="fr-CA"/>
        </w:rPr>
        <w:t xml:space="preserve">lorsqu’il engage au fusil </w:t>
      </w:r>
      <w:r>
        <w:rPr>
          <w:sz w:val="22"/>
          <w:szCs w:val="22"/>
          <w:lang w:val="fr-CA"/>
        </w:rPr>
        <w:t>l</w:t>
      </w:r>
      <w:r w:rsidRPr="00576F29">
        <w:rPr>
          <w:sz w:val="22"/>
          <w:szCs w:val="22"/>
          <w:lang w:val="fr-CA"/>
        </w:rPr>
        <w:t>es soldats allemands qu</w:t>
      </w:r>
      <w:r>
        <w:rPr>
          <w:sz w:val="22"/>
          <w:szCs w:val="22"/>
          <w:lang w:val="fr-CA"/>
        </w:rPr>
        <w:t xml:space="preserve">i lui </w:t>
      </w:r>
      <w:r w:rsidRPr="00576F29">
        <w:rPr>
          <w:sz w:val="22"/>
          <w:szCs w:val="22"/>
          <w:lang w:val="fr-CA"/>
        </w:rPr>
        <w:t>f</w:t>
      </w:r>
      <w:r>
        <w:rPr>
          <w:sz w:val="22"/>
          <w:szCs w:val="22"/>
          <w:lang w:val="fr-CA"/>
        </w:rPr>
        <w:t xml:space="preserve">ont </w:t>
      </w:r>
      <w:r w:rsidRPr="00576F29">
        <w:rPr>
          <w:sz w:val="22"/>
          <w:szCs w:val="22"/>
          <w:lang w:val="fr-CA"/>
        </w:rPr>
        <w:t>face</w:t>
      </w:r>
      <w:r>
        <w:rPr>
          <w:sz w:val="22"/>
          <w:szCs w:val="22"/>
          <w:lang w:val="fr-CA"/>
        </w:rPr>
        <w:t>, s</w:t>
      </w:r>
      <w:r w:rsidRPr="00576F29">
        <w:rPr>
          <w:sz w:val="22"/>
          <w:szCs w:val="22"/>
          <w:lang w:val="fr-CA"/>
        </w:rPr>
        <w:t>urtout lorsqu’il était employé au front comme sentinelle</w:t>
      </w:r>
      <w:r w:rsidRPr="00576F29">
        <w:rPr>
          <w:rStyle w:val="FootnoteReference"/>
          <w:sz w:val="22"/>
          <w:szCs w:val="22"/>
          <w:lang w:val="fr-CA"/>
        </w:rPr>
        <w:footnoteReference w:id="229"/>
      </w:r>
      <w:r w:rsidRPr="00576F29">
        <w:rPr>
          <w:sz w:val="22"/>
          <w:szCs w:val="22"/>
          <w:lang w:val="fr-CA"/>
        </w:rPr>
        <w:t>.</w:t>
      </w:r>
      <w:r>
        <w:rPr>
          <w:sz w:val="22"/>
          <w:szCs w:val="22"/>
          <w:lang w:val="fr-CA"/>
        </w:rPr>
        <w:t xml:space="preserve"> M.</w:t>
      </w:r>
      <w:r w:rsidR="00714D09">
        <w:rPr>
          <w:sz w:val="22"/>
          <w:szCs w:val="22"/>
          <w:lang w:val="fr-CA"/>
        </w:rPr>
        <w:t> </w:t>
      </w:r>
      <w:r>
        <w:rPr>
          <w:sz w:val="22"/>
          <w:szCs w:val="22"/>
          <w:lang w:val="fr-CA"/>
        </w:rPr>
        <w:t>Quirin reçoit par la suite une lettre de Dubrûle alors qu’</w:t>
      </w:r>
      <w:r w:rsidRPr="00576F29">
        <w:rPr>
          <w:sz w:val="22"/>
          <w:szCs w:val="22"/>
          <w:lang w:val="fr-CA"/>
        </w:rPr>
        <w:t>il est employé</w:t>
      </w:r>
      <w:r>
        <w:rPr>
          <w:sz w:val="22"/>
          <w:szCs w:val="22"/>
          <w:lang w:val="fr-CA"/>
        </w:rPr>
        <w:t>,</w:t>
      </w:r>
      <w:r w:rsidRPr="00576F29">
        <w:rPr>
          <w:sz w:val="22"/>
          <w:szCs w:val="22"/>
          <w:lang w:val="fr-CA"/>
        </w:rPr>
        <w:t xml:space="preserve"> jusqu’au 2 juin 1917</w:t>
      </w:r>
      <w:r>
        <w:rPr>
          <w:sz w:val="22"/>
          <w:szCs w:val="22"/>
          <w:lang w:val="fr-CA"/>
        </w:rPr>
        <w:t xml:space="preserve">, </w:t>
      </w:r>
      <w:r w:rsidRPr="00576F29">
        <w:rPr>
          <w:sz w:val="22"/>
          <w:szCs w:val="22"/>
          <w:lang w:val="fr-CA"/>
        </w:rPr>
        <w:t>comme postier et standardiste dans la section d’administration</w:t>
      </w:r>
      <w:r>
        <w:rPr>
          <w:sz w:val="22"/>
          <w:szCs w:val="22"/>
          <w:lang w:val="fr-CA"/>
        </w:rPr>
        <w:t xml:space="preserve"> </w:t>
      </w:r>
      <w:r w:rsidRPr="00576F29">
        <w:rPr>
          <w:sz w:val="22"/>
          <w:szCs w:val="22"/>
          <w:lang w:val="fr-CA"/>
        </w:rPr>
        <w:t>au quartier général d’appui du 3</w:t>
      </w:r>
      <w:r w:rsidRPr="00576F29">
        <w:rPr>
          <w:sz w:val="22"/>
          <w:szCs w:val="22"/>
          <w:vertAlign w:val="superscript"/>
          <w:lang w:val="fr-CA"/>
        </w:rPr>
        <w:t>e</w:t>
      </w:r>
      <w:r w:rsidRPr="00576F29">
        <w:rPr>
          <w:sz w:val="22"/>
          <w:szCs w:val="22"/>
          <w:lang w:val="fr-CA"/>
        </w:rPr>
        <w:t xml:space="preserve"> Échelon</w:t>
      </w:r>
      <w:r>
        <w:rPr>
          <w:sz w:val="22"/>
          <w:szCs w:val="22"/>
          <w:lang w:val="fr-CA"/>
        </w:rPr>
        <w:t xml:space="preserve">. Il est transféré temporairement à ce quartier général qui se trouve dans le secteur de </w:t>
      </w:r>
      <w:r w:rsidRPr="00576F29">
        <w:rPr>
          <w:sz w:val="22"/>
          <w:szCs w:val="22"/>
          <w:lang w:val="fr-CA"/>
        </w:rPr>
        <w:t>la ville de Rouen afin de se remett</w:t>
      </w:r>
      <w:r>
        <w:rPr>
          <w:sz w:val="22"/>
          <w:szCs w:val="22"/>
          <w:lang w:val="fr-CA"/>
        </w:rPr>
        <w:t>r</w:t>
      </w:r>
      <w:r w:rsidRPr="00576F29">
        <w:rPr>
          <w:sz w:val="22"/>
          <w:szCs w:val="22"/>
          <w:lang w:val="fr-CA"/>
        </w:rPr>
        <w:t>e d’un épuisement nerveux</w:t>
      </w:r>
      <w:r w:rsidRPr="00576F29">
        <w:rPr>
          <w:rStyle w:val="FootnoteReference"/>
          <w:sz w:val="22"/>
          <w:szCs w:val="22"/>
          <w:lang w:val="fr-CA"/>
        </w:rPr>
        <w:footnoteReference w:id="230"/>
      </w:r>
      <w:r w:rsidRPr="00576F29">
        <w:rPr>
          <w:sz w:val="22"/>
          <w:szCs w:val="22"/>
          <w:lang w:val="fr-CA"/>
        </w:rPr>
        <w:t xml:space="preserve">. Lors de son retour au front, </w:t>
      </w:r>
      <w:r>
        <w:rPr>
          <w:sz w:val="22"/>
          <w:szCs w:val="22"/>
          <w:lang w:val="fr-CA"/>
        </w:rPr>
        <w:t>Dubrûle</w:t>
      </w:r>
      <w:r w:rsidRPr="00576F29">
        <w:rPr>
          <w:sz w:val="22"/>
          <w:szCs w:val="22"/>
          <w:lang w:val="fr-CA"/>
        </w:rPr>
        <w:t xml:space="preserve"> mentionne que l’état-major du 22</w:t>
      </w:r>
      <w:r w:rsidRPr="00576F29">
        <w:rPr>
          <w:sz w:val="22"/>
          <w:szCs w:val="22"/>
          <w:vertAlign w:val="superscript"/>
          <w:lang w:val="fr-CA"/>
        </w:rPr>
        <w:t>e</w:t>
      </w:r>
      <w:r w:rsidRPr="00576F29">
        <w:rPr>
          <w:sz w:val="22"/>
          <w:szCs w:val="22"/>
          <w:lang w:val="fr-CA"/>
        </w:rPr>
        <w:t xml:space="preserve"> Bataillon est </w:t>
      </w:r>
      <w:r>
        <w:rPr>
          <w:sz w:val="22"/>
          <w:szCs w:val="22"/>
          <w:lang w:val="fr-CA"/>
        </w:rPr>
        <w:t>compl</w:t>
      </w:r>
      <w:r w:rsidR="009618B0">
        <w:rPr>
          <w:sz w:val="22"/>
          <w:szCs w:val="22"/>
          <w:lang w:val="fr-CA"/>
        </w:rPr>
        <w:t>è</w:t>
      </w:r>
      <w:r>
        <w:rPr>
          <w:sz w:val="22"/>
          <w:szCs w:val="22"/>
          <w:lang w:val="fr-CA"/>
        </w:rPr>
        <w:t xml:space="preserve">tement </w:t>
      </w:r>
      <w:r w:rsidRPr="00576F29">
        <w:rPr>
          <w:sz w:val="22"/>
          <w:szCs w:val="22"/>
          <w:lang w:val="fr-CA"/>
        </w:rPr>
        <w:t>constitué d’officiers du 178</w:t>
      </w:r>
      <w:r w:rsidRPr="00576F29">
        <w:rPr>
          <w:sz w:val="22"/>
          <w:szCs w:val="22"/>
          <w:vertAlign w:val="superscript"/>
          <w:lang w:val="fr-CA"/>
        </w:rPr>
        <w:t>e</w:t>
      </w:r>
      <w:r w:rsidRPr="00576F29">
        <w:rPr>
          <w:sz w:val="22"/>
          <w:szCs w:val="22"/>
          <w:lang w:val="fr-CA"/>
        </w:rPr>
        <w:t xml:space="preserve"> Bataillon</w:t>
      </w:r>
      <w:r w:rsidRPr="00576F29">
        <w:rPr>
          <w:rStyle w:val="FootnoteReference"/>
          <w:sz w:val="22"/>
          <w:szCs w:val="22"/>
          <w:lang w:val="fr-CA"/>
        </w:rPr>
        <w:footnoteReference w:id="231"/>
      </w:r>
      <w:r w:rsidRPr="00576F29">
        <w:rPr>
          <w:sz w:val="22"/>
          <w:szCs w:val="22"/>
          <w:lang w:val="fr-CA"/>
        </w:rPr>
        <w:t>.</w:t>
      </w:r>
      <w:r>
        <w:rPr>
          <w:sz w:val="22"/>
          <w:szCs w:val="22"/>
          <w:lang w:val="fr-CA"/>
        </w:rPr>
        <w:t xml:space="preserve"> D’</w:t>
      </w:r>
      <w:r w:rsidRPr="00576F29">
        <w:rPr>
          <w:sz w:val="22"/>
          <w:szCs w:val="22"/>
          <w:lang w:val="fr-CA"/>
        </w:rPr>
        <w:t>ailleurs</w:t>
      </w:r>
      <w:r>
        <w:rPr>
          <w:sz w:val="22"/>
          <w:szCs w:val="22"/>
          <w:lang w:val="fr-CA"/>
        </w:rPr>
        <w:t>,</w:t>
      </w:r>
      <w:r w:rsidRPr="00576F29">
        <w:rPr>
          <w:sz w:val="22"/>
          <w:szCs w:val="22"/>
          <w:lang w:val="fr-CA"/>
        </w:rPr>
        <w:t xml:space="preserve"> rien ne change pendant </w:t>
      </w:r>
      <w:r>
        <w:rPr>
          <w:sz w:val="22"/>
          <w:szCs w:val="22"/>
          <w:lang w:val="fr-CA"/>
        </w:rPr>
        <w:t xml:space="preserve">le cours de </w:t>
      </w:r>
      <w:r w:rsidRPr="00576F29">
        <w:rPr>
          <w:sz w:val="22"/>
          <w:szCs w:val="22"/>
          <w:lang w:val="fr-CA"/>
        </w:rPr>
        <w:t>la guerre</w:t>
      </w:r>
      <w:r>
        <w:rPr>
          <w:sz w:val="22"/>
          <w:szCs w:val="22"/>
          <w:lang w:val="fr-CA"/>
        </w:rPr>
        <w:t xml:space="preserve"> quant au langage de ce dernier.</w:t>
      </w:r>
      <w:r w:rsidRPr="00576F29">
        <w:rPr>
          <w:sz w:val="22"/>
          <w:szCs w:val="22"/>
          <w:lang w:val="fr-CA"/>
        </w:rPr>
        <w:t xml:space="preserve"> </w:t>
      </w:r>
      <w:r>
        <w:rPr>
          <w:sz w:val="22"/>
          <w:szCs w:val="22"/>
          <w:lang w:val="fr-CA"/>
        </w:rPr>
        <w:t>E</w:t>
      </w:r>
      <w:r w:rsidRPr="00576F29">
        <w:rPr>
          <w:sz w:val="22"/>
          <w:szCs w:val="22"/>
          <w:lang w:val="fr-CA"/>
        </w:rPr>
        <w:t xml:space="preserve">n septembre 1918, ses propos sont toujours </w:t>
      </w:r>
      <w:r>
        <w:rPr>
          <w:sz w:val="22"/>
          <w:szCs w:val="22"/>
          <w:lang w:val="fr-CA"/>
        </w:rPr>
        <w:t xml:space="preserve">aussi </w:t>
      </w:r>
      <w:r w:rsidRPr="00576F29">
        <w:rPr>
          <w:sz w:val="22"/>
          <w:szCs w:val="22"/>
          <w:lang w:val="fr-CA"/>
        </w:rPr>
        <w:t xml:space="preserve">directs et </w:t>
      </w:r>
      <w:r w:rsidRPr="00D8242F">
        <w:rPr>
          <w:sz w:val="22"/>
          <w:szCs w:val="22"/>
          <w:lang w:val="fr-CA"/>
        </w:rPr>
        <w:t>sans ménagement</w:t>
      </w:r>
      <w:r>
        <w:rPr>
          <w:sz w:val="22"/>
          <w:szCs w:val="22"/>
          <w:lang w:val="fr-CA"/>
        </w:rPr>
        <w:t xml:space="preserve"> </w:t>
      </w:r>
      <w:r w:rsidRPr="00576F29">
        <w:rPr>
          <w:sz w:val="22"/>
          <w:szCs w:val="22"/>
          <w:lang w:val="fr-CA"/>
        </w:rPr>
        <w:t>par rapport à ses responsabilités au front. La description de la façon avec laquelle il tue des soldats allemands lors de la bataille d’Amiens et de s</w:t>
      </w:r>
      <w:r>
        <w:rPr>
          <w:sz w:val="22"/>
          <w:szCs w:val="22"/>
          <w:lang w:val="fr-CA"/>
        </w:rPr>
        <w:t xml:space="preserve">es séjours </w:t>
      </w:r>
      <w:r w:rsidRPr="00576F29">
        <w:rPr>
          <w:sz w:val="22"/>
          <w:szCs w:val="22"/>
          <w:lang w:val="fr-CA"/>
        </w:rPr>
        <w:t xml:space="preserve">dans les tranchées </w:t>
      </w:r>
      <w:r w:rsidR="009618B0">
        <w:rPr>
          <w:sz w:val="22"/>
          <w:szCs w:val="22"/>
          <w:lang w:val="fr-CA"/>
        </w:rPr>
        <w:t>es</w:t>
      </w:r>
      <w:r w:rsidRPr="00576F29">
        <w:rPr>
          <w:sz w:val="22"/>
          <w:szCs w:val="22"/>
          <w:lang w:val="fr-CA"/>
        </w:rPr>
        <w:t xml:space="preserve">t rédigée </w:t>
      </w:r>
      <w:r>
        <w:rPr>
          <w:sz w:val="22"/>
          <w:szCs w:val="22"/>
          <w:lang w:val="fr-CA"/>
        </w:rPr>
        <w:t xml:space="preserve">sans euphémisme et </w:t>
      </w:r>
      <w:r w:rsidRPr="00576F29">
        <w:rPr>
          <w:sz w:val="22"/>
          <w:szCs w:val="22"/>
          <w:lang w:val="fr-CA"/>
        </w:rPr>
        <w:t xml:space="preserve">comme </w:t>
      </w:r>
      <w:r>
        <w:rPr>
          <w:sz w:val="22"/>
          <w:szCs w:val="22"/>
          <w:lang w:val="fr-CA"/>
        </w:rPr>
        <w:t xml:space="preserve">si </w:t>
      </w:r>
      <w:r w:rsidRPr="00576F29">
        <w:rPr>
          <w:sz w:val="22"/>
          <w:szCs w:val="22"/>
          <w:lang w:val="fr-CA"/>
        </w:rPr>
        <w:t>tout ce qu’il vi</w:t>
      </w:r>
      <w:r>
        <w:rPr>
          <w:sz w:val="22"/>
          <w:szCs w:val="22"/>
          <w:lang w:val="fr-CA"/>
        </w:rPr>
        <w:t xml:space="preserve">t est </w:t>
      </w:r>
      <w:r w:rsidRPr="00576F29">
        <w:rPr>
          <w:sz w:val="22"/>
          <w:szCs w:val="22"/>
          <w:lang w:val="fr-CA"/>
        </w:rPr>
        <w:t>complètement normal</w:t>
      </w:r>
      <w:r w:rsidRPr="00576F29">
        <w:rPr>
          <w:rStyle w:val="FootnoteReference"/>
          <w:sz w:val="22"/>
          <w:szCs w:val="22"/>
          <w:lang w:val="fr-CA"/>
        </w:rPr>
        <w:footnoteReference w:id="232"/>
      </w:r>
      <w:r w:rsidRPr="00576F29">
        <w:rPr>
          <w:sz w:val="22"/>
          <w:szCs w:val="22"/>
          <w:lang w:val="fr-CA"/>
        </w:rPr>
        <w:t>.</w:t>
      </w:r>
      <w:r>
        <w:rPr>
          <w:sz w:val="22"/>
          <w:szCs w:val="22"/>
          <w:lang w:val="fr-CA"/>
        </w:rPr>
        <w:t xml:space="preserve"> </w:t>
      </w:r>
      <w:r>
        <w:rPr>
          <w:i/>
          <w:iCs/>
          <w:sz w:val="22"/>
          <w:szCs w:val="22"/>
          <w:lang w:val="fr-CA"/>
        </w:rPr>
        <w:t xml:space="preserve">L’Avenir National </w:t>
      </w:r>
      <w:r>
        <w:rPr>
          <w:sz w:val="22"/>
          <w:szCs w:val="22"/>
          <w:lang w:val="fr-CA"/>
        </w:rPr>
        <w:t>décrit plusieurs de ses aventures, comme celle de mai 1918 où, s</w:t>
      </w:r>
      <w:r w:rsidRPr="00576F29">
        <w:rPr>
          <w:sz w:val="22"/>
          <w:szCs w:val="22"/>
          <w:lang w:val="fr-CA"/>
        </w:rPr>
        <w:t xml:space="preserve">ans être gravement blessé, il </w:t>
      </w:r>
      <w:r>
        <w:rPr>
          <w:sz w:val="22"/>
          <w:szCs w:val="22"/>
          <w:lang w:val="fr-CA"/>
        </w:rPr>
        <w:t xml:space="preserve">est </w:t>
      </w:r>
      <w:r w:rsidRPr="00576F29">
        <w:rPr>
          <w:sz w:val="22"/>
          <w:szCs w:val="22"/>
          <w:lang w:val="fr-CA"/>
        </w:rPr>
        <w:t xml:space="preserve">enterré lorsqu’une marmite tombe près de lui </w:t>
      </w:r>
      <w:r>
        <w:rPr>
          <w:sz w:val="22"/>
          <w:szCs w:val="22"/>
          <w:lang w:val="fr-CA"/>
        </w:rPr>
        <w:t xml:space="preserve">et </w:t>
      </w:r>
      <w:r w:rsidRPr="00576F29">
        <w:rPr>
          <w:sz w:val="22"/>
          <w:szCs w:val="22"/>
          <w:lang w:val="fr-CA"/>
        </w:rPr>
        <w:t>explos</w:t>
      </w:r>
      <w:r>
        <w:rPr>
          <w:sz w:val="22"/>
          <w:szCs w:val="22"/>
          <w:lang w:val="fr-CA"/>
        </w:rPr>
        <w:t>e</w:t>
      </w:r>
      <w:r w:rsidRPr="00576F29">
        <w:rPr>
          <w:rStyle w:val="FootnoteReference"/>
          <w:sz w:val="22"/>
          <w:szCs w:val="22"/>
          <w:lang w:val="fr-CA"/>
        </w:rPr>
        <w:footnoteReference w:id="233"/>
      </w:r>
      <w:r w:rsidRPr="00576F29">
        <w:rPr>
          <w:sz w:val="22"/>
          <w:szCs w:val="22"/>
          <w:lang w:val="fr-CA"/>
        </w:rPr>
        <w:t xml:space="preserve">. </w:t>
      </w:r>
      <w:r>
        <w:rPr>
          <w:sz w:val="22"/>
          <w:szCs w:val="22"/>
          <w:lang w:val="fr-CA"/>
        </w:rPr>
        <w:t xml:space="preserve">Le journal dépeint </w:t>
      </w:r>
      <w:r w:rsidRPr="009B43BA">
        <w:rPr>
          <w:sz w:val="22"/>
          <w:szCs w:val="22"/>
          <w:lang w:val="fr-CA"/>
        </w:rPr>
        <w:t>é</w:t>
      </w:r>
      <w:r>
        <w:rPr>
          <w:sz w:val="22"/>
          <w:szCs w:val="22"/>
          <w:lang w:val="fr-CA"/>
        </w:rPr>
        <w:t xml:space="preserve">galement le raid auquel Dublûle </w:t>
      </w:r>
      <w:r w:rsidRPr="00576F29">
        <w:rPr>
          <w:sz w:val="22"/>
          <w:szCs w:val="22"/>
          <w:lang w:val="fr-CA"/>
        </w:rPr>
        <w:t>pr</w:t>
      </w:r>
      <w:r>
        <w:rPr>
          <w:sz w:val="22"/>
          <w:szCs w:val="22"/>
          <w:lang w:val="fr-CA"/>
        </w:rPr>
        <w:t xml:space="preserve">end </w:t>
      </w:r>
      <w:r w:rsidRPr="00576F29">
        <w:rPr>
          <w:sz w:val="22"/>
          <w:szCs w:val="22"/>
          <w:lang w:val="fr-CA"/>
        </w:rPr>
        <w:t>part</w:t>
      </w:r>
      <w:r>
        <w:rPr>
          <w:sz w:val="22"/>
          <w:szCs w:val="22"/>
          <w:lang w:val="fr-CA"/>
        </w:rPr>
        <w:t xml:space="preserve">, en juin, </w:t>
      </w:r>
      <w:r w:rsidRPr="00576F29">
        <w:rPr>
          <w:sz w:val="22"/>
          <w:szCs w:val="22"/>
          <w:lang w:val="fr-CA"/>
        </w:rPr>
        <w:t>dans les tranchées allemandes</w:t>
      </w:r>
      <w:r>
        <w:rPr>
          <w:sz w:val="22"/>
          <w:szCs w:val="22"/>
          <w:lang w:val="fr-CA"/>
        </w:rPr>
        <w:t xml:space="preserve">, alors que </w:t>
      </w:r>
      <w:r w:rsidRPr="00576F29">
        <w:rPr>
          <w:sz w:val="22"/>
          <w:szCs w:val="22"/>
          <w:lang w:val="fr-CA"/>
        </w:rPr>
        <w:t>le 22</w:t>
      </w:r>
      <w:r w:rsidRPr="00576F29">
        <w:rPr>
          <w:sz w:val="22"/>
          <w:szCs w:val="22"/>
          <w:vertAlign w:val="superscript"/>
          <w:lang w:val="fr-CA"/>
        </w:rPr>
        <w:t>e</w:t>
      </w:r>
      <w:r w:rsidRPr="00576F29">
        <w:rPr>
          <w:sz w:val="22"/>
          <w:szCs w:val="22"/>
          <w:lang w:val="fr-CA"/>
        </w:rPr>
        <w:t xml:space="preserve"> Bataillon </w:t>
      </w:r>
      <w:r>
        <w:rPr>
          <w:sz w:val="22"/>
          <w:szCs w:val="22"/>
          <w:lang w:val="fr-CA"/>
        </w:rPr>
        <w:t xml:space="preserve">a ensuite dû </w:t>
      </w:r>
      <w:r w:rsidRPr="00576F29">
        <w:rPr>
          <w:sz w:val="22"/>
          <w:szCs w:val="22"/>
          <w:lang w:val="fr-CA"/>
        </w:rPr>
        <w:t>repouss</w:t>
      </w:r>
      <w:r>
        <w:rPr>
          <w:sz w:val="22"/>
          <w:szCs w:val="22"/>
          <w:lang w:val="fr-CA"/>
        </w:rPr>
        <w:t>er</w:t>
      </w:r>
      <w:r w:rsidRPr="00576F29">
        <w:rPr>
          <w:sz w:val="22"/>
          <w:szCs w:val="22"/>
          <w:lang w:val="fr-CA"/>
        </w:rPr>
        <w:t xml:space="preserve"> une </w:t>
      </w:r>
      <w:r>
        <w:rPr>
          <w:sz w:val="22"/>
          <w:szCs w:val="22"/>
          <w:lang w:val="fr-CA"/>
        </w:rPr>
        <w:t>contre-</w:t>
      </w:r>
      <w:r w:rsidRPr="00576F29">
        <w:rPr>
          <w:sz w:val="22"/>
          <w:szCs w:val="22"/>
          <w:lang w:val="fr-CA"/>
        </w:rPr>
        <w:t>attaque allemande</w:t>
      </w:r>
      <w:r w:rsidRPr="00576F29">
        <w:rPr>
          <w:rStyle w:val="FootnoteReference"/>
          <w:sz w:val="22"/>
          <w:szCs w:val="22"/>
          <w:lang w:val="fr-CA"/>
        </w:rPr>
        <w:footnoteReference w:id="234"/>
      </w:r>
      <w:r w:rsidRPr="00576F29">
        <w:rPr>
          <w:sz w:val="22"/>
          <w:szCs w:val="22"/>
          <w:lang w:val="fr-CA"/>
        </w:rPr>
        <w:t xml:space="preserve">. </w:t>
      </w:r>
      <w:r>
        <w:rPr>
          <w:sz w:val="22"/>
          <w:szCs w:val="22"/>
          <w:lang w:val="fr-CA"/>
        </w:rPr>
        <w:t>Finalement, d</w:t>
      </w:r>
      <w:r w:rsidRPr="00576F29">
        <w:rPr>
          <w:sz w:val="22"/>
          <w:szCs w:val="22"/>
          <w:lang w:val="fr-CA"/>
        </w:rPr>
        <w:t xml:space="preserve">ans une lettre datée du 8 octobre 1918, </w:t>
      </w:r>
      <w:r>
        <w:rPr>
          <w:sz w:val="22"/>
          <w:szCs w:val="22"/>
          <w:lang w:val="fr-CA"/>
        </w:rPr>
        <w:t xml:space="preserve">Dubrûle </w:t>
      </w:r>
      <w:r w:rsidRPr="00576F29">
        <w:rPr>
          <w:sz w:val="22"/>
          <w:szCs w:val="22"/>
          <w:lang w:val="fr-CA"/>
        </w:rPr>
        <w:t>raconte qu’il fait partie des anciens du bataillon</w:t>
      </w:r>
      <w:r>
        <w:rPr>
          <w:sz w:val="22"/>
          <w:szCs w:val="22"/>
          <w:lang w:val="fr-CA"/>
        </w:rPr>
        <w:t xml:space="preserve"> qui ont </w:t>
      </w:r>
      <w:r>
        <w:rPr>
          <w:sz w:val="22"/>
          <w:szCs w:val="22"/>
          <w:lang w:val="fr-CA"/>
        </w:rPr>
        <w:lastRenderedPageBreak/>
        <w:t>vécu la guerre depuis le début de la fondation de l’unité</w:t>
      </w:r>
      <w:r w:rsidRPr="00576F29">
        <w:rPr>
          <w:sz w:val="22"/>
          <w:szCs w:val="22"/>
          <w:lang w:val="fr-CA"/>
        </w:rPr>
        <w:t xml:space="preserve">. En fait, il a </w:t>
      </w:r>
      <w:r w:rsidRPr="00166070">
        <w:rPr>
          <w:sz w:val="22"/>
          <w:lang w:val="fr-CA"/>
        </w:rPr>
        <w:t>survécu</w:t>
      </w:r>
      <w:r w:rsidRPr="00576F29">
        <w:rPr>
          <w:sz w:val="22"/>
          <w:szCs w:val="22"/>
          <w:lang w:val="fr-CA"/>
        </w:rPr>
        <w:t xml:space="preserve"> à la bataille de Cherisy et du Canal du Nord</w:t>
      </w:r>
      <w:r>
        <w:rPr>
          <w:sz w:val="22"/>
          <w:szCs w:val="22"/>
          <w:lang w:val="fr-CA"/>
        </w:rPr>
        <w:t>,</w:t>
      </w:r>
      <w:r w:rsidRPr="00576F29">
        <w:rPr>
          <w:sz w:val="22"/>
          <w:szCs w:val="22"/>
          <w:lang w:val="fr-CA"/>
        </w:rPr>
        <w:t xml:space="preserve"> </w:t>
      </w:r>
      <w:r>
        <w:rPr>
          <w:sz w:val="22"/>
          <w:szCs w:val="22"/>
          <w:lang w:val="fr-CA"/>
        </w:rPr>
        <w:t>où le 22</w:t>
      </w:r>
      <w:r w:rsidRPr="00171574">
        <w:rPr>
          <w:sz w:val="22"/>
          <w:szCs w:val="22"/>
          <w:vertAlign w:val="superscript"/>
          <w:lang w:val="fr-CA"/>
        </w:rPr>
        <w:t>e</w:t>
      </w:r>
      <w:r>
        <w:rPr>
          <w:sz w:val="22"/>
          <w:szCs w:val="22"/>
          <w:lang w:val="fr-CA"/>
        </w:rPr>
        <w:t xml:space="preserve"> Bataillon est </w:t>
      </w:r>
      <w:r w:rsidRPr="00576F29">
        <w:rPr>
          <w:sz w:val="22"/>
          <w:szCs w:val="22"/>
          <w:lang w:val="fr-CA"/>
        </w:rPr>
        <w:t xml:space="preserve">décimé </w:t>
      </w:r>
      <w:r>
        <w:rPr>
          <w:sz w:val="22"/>
          <w:szCs w:val="22"/>
          <w:lang w:val="fr-CA"/>
        </w:rPr>
        <w:t xml:space="preserve">pour la </w:t>
      </w:r>
      <w:r w:rsidRPr="00576F29">
        <w:rPr>
          <w:sz w:val="22"/>
          <w:szCs w:val="22"/>
          <w:lang w:val="fr-CA"/>
        </w:rPr>
        <w:t xml:space="preserve">deuxième fois </w:t>
      </w:r>
      <w:r>
        <w:rPr>
          <w:sz w:val="22"/>
          <w:szCs w:val="22"/>
          <w:lang w:val="fr-CA"/>
        </w:rPr>
        <w:t>pendant son histoire</w:t>
      </w:r>
      <w:r w:rsidRPr="00576F29">
        <w:rPr>
          <w:rStyle w:val="FootnoteReference"/>
          <w:sz w:val="22"/>
          <w:szCs w:val="22"/>
          <w:lang w:val="fr-CA"/>
        </w:rPr>
        <w:footnoteReference w:id="235"/>
      </w:r>
      <w:r w:rsidRPr="00576F29">
        <w:rPr>
          <w:sz w:val="22"/>
          <w:szCs w:val="22"/>
          <w:lang w:val="fr-CA"/>
        </w:rPr>
        <w:t>.</w:t>
      </w:r>
    </w:p>
    <w:p w14:paraId="4BA2C417" w14:textId="77777777"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t xml:space="preserve">Le </w:t>
      </w:r>
      <w:bookmarkStart w:id="9" w:name="_Hlk20422072"/>
      <w:r w:rsidRPr="00217EFC">
        <w:rPr>
          <w:sz w:val="22"/>
          <w:szCs w:val="22"/>
          <w:lang w:val="fr-CA"/>
        </w:rPr>
        <w:t>caporal Uldéric Halde</w:t>
      </w:r>
      <w:bookmarkEnd w:id="9"/>
      <w:r>
        <w:rPr>
          <w:sz w:val="22"/>
          <w:szCs w:val="22"/>
          <w:lang w:val="fr-CA"/>
        </w:rPr>
        <w:t xml:space="preserve"> est un </w:t>
      </w:r>
      <w:r w:rsidRPr="00217EFC">
        <w:rPr>
          <w:sz w:val="22"/>
          <w:szCs w:val="22"/>
          <w:lang w:val="fr-CA"/>
        </w:rPr>
        <w:t>ancien</w:t>
      </w:r>
      <w:r>
        <w:rPr>
          <w:sz w:val="22"/>
          <w:szCs w:val="22"/>
          <w:lang w:val="fr-CA"/>
        </w:rPr>
        <w:t xml:space="preserve"> résident </w:t>
      </w:r>
      <w:r w:rsidRPr="00217EFC">
        <w:rPr>
          <w:sz w:val="22"/>
          <w:szCs w:val="22"/>
          <w:lang w:val="fr-CA"/>
        </w:rPr>
        <w:t>de Manchester</w:t>
      </w:r>
      <w:r>
        <w:rPr>
          <w:sz w:val="22"/>
          <w:szCs w:val="22"/>
          <w:lang w:val="fr-CA"/>
        </w:rPr>
        <w:t xml:space="preserve"> qui </w:t>
      </w:r>
      <w:r w:rsidRPr="00217EFC">
        <w:rPr>
          <w:sz w:val="22"/>
          <w:szCs w:val="22"/>
          <w:lang w:val="fr-CA"/>
        </w:rPr>
        <w:t xml:space="preserve">écrit à des amis et </w:t>
      </w:r>
      <w:r>
        <w:rPr>
          <w:sz w:val="22"/>
          <w:szCs w:val="22"/>
          <w:lang w:val="fr-CA"/>
        </w:rPr>
        <w:t xml:space="preserve">à </w:t>
      </w:r>
      <w:r w:rsidRPr="00217EFC">
        <w:rPr>
          <w:sz w:val="22"/>
          <w:szCs w:val="22"/>
          <w:lang w:val="fr-CA"/>
        </w:rPr>
        <w:t xml:space="preserve">sa parenté </w:t>
      </w:r>
      <w:r>
        <w:rPr>
          <w:sz w:val="22"/>
          <w:szCs w:val="22"/>
          <w:lang w:val="fr-CA"/>
        </w:rPr>
        <w:t xml:space="preserve">vivant </w:t>
      </w:r>
      <w:r w:rsidRPr="00217EFC">
        <w:rPr>
          <w:sz w:val="22"/>
          <w:szCs w:val="22"/>
          <w:lang w:val="fr-CA"/>
        </w:rPr>
        <w:t>à Manchester</w:t>
      </w:r>
      <w:r w:rsidRPr="00217EFC">
        <w:rPr>
          <w:rStyle w:val="FootnoteReference"/>
          <w:sz w:val="22"/>
          <w:szCs w:val="22"/>
          <w:lang w:val="fr-CA"/>
        </w:rPr>
        <w:footnoteReference w:id="236"/>
      </w:r>
      <w:r w:rsidRPr="00217EFC">
        <w:rPr>
          <w:sz w:val="22"/>
          <w:szCs w:val="22"/>
          <w:lang w:val="fr-CA"/>
        </w:rPr>
        <w:t xml:space="preserve">. </w:t>
      </w:r>
      <w:r>
        <w:rPr>
          <w:sz w:val="22"/>
          <w:szCs w:val="22"/>
          <w:lang w:val="fr-CA"/>
        </w:rPr>
        <w:t>En janvier 1915, le journal apprend qu</w:t>
      </w:r>
      <w:r w:rsidRPr="00B93041">
        <w:rPr>
          <w:sz w:val="22"/>
          <w:szCs w:val="22"/>
          <w:lang w:val="fr-CA"/>
        </w:rPr>
        <w:t>’</w:t>
      </w:r>
      <w:r w:rsidRPr="00217EFC">
        <w:rPr>
          <w:sz w:val="22"/>
          <w:szCs w:val="22"/>
          <w:lang w:val="fr-CA"/>
        </w:rPr>
        <w:t>il sert au front depuis quelques mois avec le 22</w:t>
      </w:r>
      <w:r w:rsidRPr="00217EFC">
        <w:rPr>
          <w:sz w:val="22"/>
          <w:szCs w:val="22"/>
          <w:vertAlign w:val="superscript"/>
          <w:lang w:val="fr-CA"/>
        </w:rPr>
        <w:t>e</w:t>
      </w:r>
      <w:r w:rsidRPr="00217EFC">
        <w:rPr>
          <w:sz w:val="22"/>
          <w:szCs w:val="22"/>
          <w:lang w:val="fr-CA"/>
        </w:rPr>
        <w:t xml:space="preserve"> </w:t>
      </w:r>
      <w:r>
        <w:rPr>
          <w:sz w:val="22"/>
          <w:szCs w:val="22"/>
          <w:lang w:val="fr-CA"/>
        </w:rPr>
        <w:t>Bataillon et qu’i</w:t>
      </w:r>
      <w:r w:rsidRPr="00217EFC">
        <w:rPr>
          <w:sz w:val="22"/>
          <w:szCs w:val="22"/>
          <w:lang w:val="fr-CA"/>
        </w:rPr>
        <w:t xml:space="preserve">l a survécu </w:t>
      </w:r>
      <w:r>
        <w:rPr>
          <w:sz w:val="22"/>
          <w:szCs w:val="22"/>
          <w:lang w:val="fr-CA"/>
        </w:rPr>
        <w:t xml:space="preserve">aux </w:t>
      </w:r>
      <w:r w:rsidRPr="00217EFC">
        <w:rPr>
          <w:sz w:val="22"/>
          <w:szCs w:val="22"/>
          <w:lang w:val="fr-CA"/>
        </w:rPr>
        <w:t xml:space="preserve">attaques aux gaz allemandes. Toutefois, le lendemain de l’annonce de la réception de la correspondance du caporal Halde par </w:t>
      </w:r>
      <w:r w:rsidRPr="00217EFC">
        <w:rPr>
          <w:i/>
          <w:iCs/>
          <w:sz w:val="22"/>
          <w:szCs w:val="22"/>
          <w:lang w:val="fr-CA"/>
        </w:rPr>
        <w:t>L’Avenir National</w:t>
      </w:r>
      <w:r w:rsidRPr="00217EFC">
        <w:rPr>
          <w:sz w:val="22"/>
          <w:szCs w:val="22"/>
          <w:lang w:val="fr-CA"/>
        </w:rPr>
        <w:t>, les journaux de Montréal annoncent qu’il a été</w:t>
      </w:r>
      <w:r>
        <w:rPr>
          <w:sz w:val="22"/>
          <w:szCs w:val="22"/>
          <w:lang w:val="fr-CA"/>
        </w:rPr>
        <w:t xml:space="preserve"> </w:t>
      </w:r>
      <w:r w:rsidRPr="00217EFC">
        <w:rPr>
          <w:sz w:val="22"/>
          <w:szCs w:val="22"/>
          <w:lang w:val="fr-CA"/>
        </w:rPr>
        <w:t xml:space="preserve">blessé. Le journal </w:t>
      </w:r>
      <w:r>
        <w:rPr>
          <w:sz w:val="22"/>
          <w:szCs w:val="22"/>
          <w:lang w:val="fr-CA"/>
        </w:rPr>
        <w:t xml:space="preserve">de Manchester révèlera </w:t>
      </w:r>
      <w:r w:rsidRPr="00217EFC">
        <w:rPr>
          <w:sz w:val="22"/>
          <w:szCs w:val="22"/>
          <w:lang w:val="fr-CA"/>
        </w:rPr>
        <w:t xml:space="preserve">quelques mois plus tard qu’avant sa blessure, </w:t>
      </w:r>
      <w:r>
        <w:rPr>
          <w:sz w:val="22"/>
          <w:szCs w:val="22"/>
          <w:lang w:val="fr-CA"/>
        </w:rPr>
        <w:t>Halde</w:t>
      </w:r>
      <w:r w:rsidRPr="00217EFC">
        <w:rPr>
          <w:sz w:val="22"/>
          <w:szCs w:val="22"/>
          <w:lang w:val="fr-CA"/>
        </w:rPr>
        <w:t xml:space="preserve"> avait fait deux prisonniers </w:t>
      </w:r>
      <w:r>
        <w:rPr>
          <w:sz w:val="22"/>
          <w:szCs w:val="22"/>
          <w:lang w:val="fr-CA"/>
        </w:rPr>
        <w:t>a</w:t>
      </w:r>
      <w:r w:rsidRPr="00217EFC">
        <w:rPr>
          <w:sz w:val="22"/>
          <w:szCs w:val="22"/>
          <w:lang w:val="fr-CA"/>
        </w:rPr>
        <w:t xml:space="preserve">llemands, mais </w:t>
      </w:r>
      <w:r>
        <w:rPr>
          <w:sz w:val="22"/>
          <w:szCs w:val="22"/>
          <w:lang w:val="fr-CA"/>
        </w:rPr>
        <w:t xml:space="preserve">que </w:t>
      </w:r>
      <w:r w:rsidRPr="00217EFC">
        <w:rPr>
          <w:sz w:val="22"/>
          <w:szCs w:val="22"/>
          <w:lang w:val="fr-CA"/>
        </w:rPr>
        <w:t>lors d’une contre-attaque allemande, il a dû «</w:t>
      </w:r>
      <w:r w:rsidR="00714D09">
        <w:rPr>
          <w:sz w:val="22"/>
          <w:szCs w:val="22"/>
          <w:lang w:val="fr-CA"/>
        </w:rPr>
        <w:t> </w:t>
      </w:r>
      <w:r w:rsidRPr="00217EFC">
        <w:rPr>
          <w:sz w:val="22"/>
          <w:szCs w:val="22"/>
          <w:lang w:val="fr-CA"/>
        </w:rPr>
        <w:t>en tuer un et assommer l’autre à coups de crosse. Son exploit, porté à l’attention de ses supérieurs</w:t>
      </w:r>
      <w:r>
        <w:rPr>
          <w:sz w:val="22"/>
          <w:szCs w:val="22"/>
          <w:lang w:val="fr-CA"/>
        </w:rPr>
        <w:t>,</w:t>
      </w:r>
      <w:r w:rsidRPr="00217EFC">
        <w:rPr>
          <w:sz w:val="22"/>
          <w:szCs w:val="22"/>
          <w:lang w:val="fr-CA"/>
        </w:rPr>
        <w:t xml:space="preserve"> lui à valut d’être promu, ou </w:t>
      </w:r>
      <w:r>
        <w:rPr>
          <w:sz w:val="22"/>
          <w:szCs w:val="22"/>
          <w:lang w:val="fr-CA"/>
        </w:rPr>
        <w:t xml:space="preserve">à </w:t>
      </w:r>
      <w:r w:rsidRPr="00217EFC">
        <w:rPr>
          <w:sz w:val="22"/>
          <w:szCs w:val="22"/>
          <w:lang w:val="fr-CA"/>
        </w:rPr>
        <w:t>tout au moins</w:t>
      </w:r>
      <w:r>
        <w:rPr>
          <w:sz w:val="22"/>
          <w:szCs w:val="22"/>
          <w:lang w:val="fr-CA"/>
        </w:rPr>
        <w:t>,</w:t>
      </w:r>
      <w:r w:rsidRPr="00217EFC">
        <w:rPr>
          <w:sz w:val="22"/>
          <w:szCs w:val="22"/>
          <w:lang w:val="fr-CA"/>
        </w:rPr>
        <w:t xml:space="preserve"> </w:t>
      </w:r>
      <w:r>
        <w:rPr>
          <w:sz w:val="22"/>
          <w:szCs w:val="22"/>
          <w:lang w:val="fr-CA"/>
        </w:rPr>
        <w:t xml:space="preserve">à </w:t>
      </w:r>
      <w:r w:rsidRPr="00217EFC">
        <w:rPr>
          <w:sz w:val="22"/>
          <w:szCs w:val="22"/>
          <w:lang w:val="fr-CA"/>
        </w:rPr>
        <w:t>être cité à l’ordre</w:t>
      </w:r>
      <w:r>
        <w:rPr>
          <w:sz w:val="22"/>
          <w:szCs w:val="22"/>
          <w:lang w:val="fr-CA"/>
        </w:rPr>
        <w:t xml:space="preserve"> </w:t>
      </w:r>
      <w:r w:rsidRPr="00217EFC">
        <w:rPr>
          <w:sz w:val="22"/>
          <w:szCs w:val="22"/>
          <w:lang w:val="fr-CA"/>
        </w:rPr>
        <w:t>du jour</w:t>
      </w:r>
      <w:r w:rsidR="00714D09">
        <w:rPr>
          <w:sz w:val="22"/>
          <w:szCs w:val="22"/>
          <w:lang w:val="fr-CA"/>
        </w:rPr>
        <w:t> </w:t>
      </w:r>
      <w:r w:rsidRPr="00217EFC">
        <w:rPr>
          <w:sz w:val="22"/>
          <w:szCs w:val="22"/>
          <w:lang w:val="fr-CA"/>
        </w:rPr>
        <w:t>»</w:t>
      </w:r>
      <w:r w:rsidRPr="00217EFC">
        <w:rPr>
          <w:rStyle w:val="FootnoteReference"/>
          <w:sz w:val="22"/>
          <w:szCs w:val="22"/>
          <w:lang w:val="fr-CA"/>
        </w:rPr>
        <w:footnoteReference w:id="237"/>
      </w:r>
      <w:r>
        <w:rPr>
          <w:sz w:val="22"/>
          <w:szCs w:val="22"/>
          <w:lang w:val="fr-CA"/>
        </w:rPr>
        <w:t>.</w:t>
      </w:r>
      <w:r w:rsidRPr="00217EFC">
        <w:rPr>
          <w:sz w:val="22"/>
          <w:szCs w:val="22"/>
          <w:lang w:val="fr-CA"/>
        </w:rPr>
        <w:t xml:space="preserve"> De plus, Raoul</w:t>
      </w:r>
      <w:r>
        <w:rPr>
          <w:sz w:val="22"/>
          <w:szCs w:val="22"/>
          <w:lang w:val="fr-CA"/>
        </w:rPr>
        <w:t>,</w:t>
      </w:r>
      <w:r w:rsidRPr="00217EFC">
        <w:rPr>
          <w:sz w:val="22"/>
          <w:szCs w:val="22"/>
          <w:lang w:val="fr-CA"/>
        </w:rPr>
        <w:t xml:space="preserve"> son frère</w:t>
      </w:r>
      <w:r>
        <w:rPr>
          <w:sz w:val="22"/>
          <w:szCs w:val="22"/>
          <w:lang w:val="fr-CA"/>
        </w:rPr>
        <w:t>,</w:t>
      </w:r>
      <w:r>
        <w:rPr>
          <w:lang w:val="fr-CA"/>
        </w:rPr>
        <w:t xml:space="preserve"> </w:t>
      </w:r>
      <w:r w:rsidRPr="00217EFC">
        <w:rPr>
          <w:sz w:val="22"/>
          <w:szCs w:val="22"/>
          <w:lang w:val="fr-CA"/>
        </w:rPr>
        <w:t>sert avec le Corps des fusilier</w:t>
      </w:r>
      <w:r>
        <w:rPr>
          <w:sz w:val="22"/>
          <w:szCs w:val="22"/>
          <w:lang w:val="fr-CA"/>
        </w:rPr>
        <w:t>s</w:t>
      </w:r>
      <w:r w:rsidRPr="00217EFC">
        <w:rPr>
          <w:sz w:val="22"/>
          <w:szCs w:val="22"/>
          <w:lang w:val="fr-CA"/>
        </w:rPr>
        <w:t>-marin</w:t>
      </w:r>
      <w:r>
        <w:rPr>
          <w:sz w:val="22"/>
          <w:szCs w:val="22"/>
          <w:lang w:val="fr-CA"/>
        </w:rPr>
        <w:t>s</w:t>
      </w:r>
      <w:r w:rsidRPr="00217EFC">
        <w:rPr>
          <w:sz w:val="22"/>
          <w:szCs w:val="22"/>
          <w:lang w:val="fr-CA"/>
        </w:rPr>
        <w:t xml:space="preserve"> américains</w:t>
      </w:r>
      <w:r w:rsidRPr="00217EFC">
        <w:rPr>
          <w:rStyle w:val="FootnoteReference"/>
          <w:sz w:val="22"/>
          <w:szCs w:val="22"/>
          <w:lang w:val="fr-CA"/>
        </w:rPr>
        <w:footnoteReference w:id="238"/>
      </w:r>
      <w:r w:rsidRPr="00217EFC">
        <w:rPr>
          <w:sz w:val="22"/>
          <w:szCs w:val="22"/>
          <w:lang w:val="fr-CA"/>
        </w:rPr>
        <w:t>, mais no</w:t>
      </w:r>
      <w:r>
        <w:rPr>
          <w:sz w:val="22"/>
          <w:szCs w:val="22"/>
          <w:lang w:val="fr-CA"/>
        </w:rPr>
        <w:t xml:space="preserve">us n’avons </w:t>
      </w:r>
      <w:r w:rsidRPr="00217EFC">
        <w:rPr>
          <w:sz w:val="22"/>
          <w:szCs w:val="22"/>
          <w:lang w:val="fr-CA"/>
        </w:rPr>
        <w:t xml:space="preserve">pas </w:t>
      </w:r>
      <w:r>
        <w:rPr>
          <w:sz w:val="22"/>
          <w:szCs w:val="22"/>
          <w:lang w:val="fr-CA"/>
        </w:rPr>
        <w:t xml:space="preserve">pu </w:t>
      </w:r>
      <w:r w:rsidRPr="00217EFC">
        <w:rPr>
          <w:sz w:val="22"/>
          <w:szCs w:val="22"/>
          <w:lang w:val="fr-CA"/>
        </w:rPr>
        <w:t>trouv</w:t>
      </w:r>
      <w:r>
        <w:rPr>
          <w:sz w:val="22"/>
          <w:szCs w:val="22"/>
          <w:lang w:val="fr-CA"/>
        </w:rPr>
        <w:t xml:space="preserve">er d’autres </w:t>
      </w:r>
      <w:r w:rsidRPr="00217EFC">
        <w:rPr>
          <w:sz w:val="22"/>
          <w:szCs w:val="22"/>
          <w:lang w:val="fr-CA"/>
        </w:rPr>
        <w:t>information</w:t>
      </w:r>
      <w:r>
        <w:rPr>
          <w:sz w:val="22"/>
          <w:szCs w:val="22"/>
          <w:lang w:val="fr-CA"/>
        </w:rPr>
        <w:t>s</w:t>
      </w:r>
      <w:r w:rsidRPr="00217EFC">
        <w:rPr>
          <w:sz w:val="22"/>
          <w:szCs w:val="22"/>
          <w:lang w:val="fr-CA"/>
        </w:rPr>
        <w:t xml:space="preserve"> sur </w:t>
      </w:r>
      <w:r>
        <w:rPr>
          <w:sz w:val="22"/>
          <w:szCs w:val="22"/>
          <w:lang w:val="fr-CA"/>
        </w:rPr>
        <w:t>lui</w:t>
      </w:r>
      <w:r w:rsidRPr="00217EFC">
        <w:rPr>
          <w:sz w:val="22"/>
          <w:szCs w:val="22"/>
          <w:lang w:val="fr-CA"/>
        </w:rPr>
        <w:t>.</w:t>
      </w:r>
      <w:r>
        <w:rPr>
          <w:sz w:val="22"/>
          <w:szCs w:val="22"/>
          <w:lang w:val="fr-CA"/>
        </w:rPr>
        <w:t xml:space="preserve"> En juillet 1917, son père,</w:t>
      </w:r>
      <w:r w:rsidRPr="00217EFC">
        <w:rPr>
          <w:sz w:val="22"/>
          <w:szCs w:val="22"/>
          <w:lang w:val="fr-CA"/>
        </w:rPr>
        <w:t xml:space="preserve"> qui est à Montréal</w:t>
      </w:r>
      <w:r>
        <w:rPr>
          <w:sz w:val="22"/>
          <w:szCs w:val="22"/>
          <w:lang w:val="fr-CA"/>
        </w:rPr>
        <w:t>,</w:t>
      </w:r>
      <w:r w:rsidRPr="00217EFC">
        <w:rPr>
          <w:sz w:val="22"/>
          <w:szCs w:val="22"/>
          <w:lang w:val="fr-CA"/>
        </w:rPr>
        <w:t xml:space="preserve"> </w:t>
      </w:r>
      <w:r>
        <w:rPr>
          <w:sz w:val="22"/>
          <w:szCs w:val="22"/>
          <w:lang w:val="fr-CA"/>
        </w:rPr>
        <w:t xml:space="preserve">nie les rumeurs à son sujet et affirme à </w:t>
      </w:r>
      <w:r>
        <w:rPr>
          <w:i/>
          <w:iCs/>
          <w:sz w:val="22"/>
          <w:szCs w:val="22"/>
          <w:lang w:val="fr-CA"/>
        </w:rPr>
        <w:t xml:space="preserve">L’Avenir National </w:t>
      </w:r>
      <w:r>
        <w:rPr>
          <w:sz w:val="22"/>
          <w:szCs w:val="22"/>
          <w:lang w:val="fr-CA"/>
        </w:rPr>
        <w:t xml:space="preserve">qu’il </w:t>
      </w:r>
      <w:r w:rsidRPr="00217EFC">
        <w:rPr>
          <w:sz w:val="22"/>
          <w:szCs w:val="22"/>
          <w:lang w:val="fr-CA"/>
        </w:rPr>
        <w:t>n’a jamais disparu ou fait prisonnier</w:t>
      </w:r>
      <w:r w:rsidRPr="00217EFC">
        <w:rPr>
          <w:rStyle w:val="FootnoteReference"/>
          <w:sz w:val="22"/>
          <w:szCs w:val="22"/>
          <w:lang w:val="fr-CA"/>
        </w:rPr>
        <w:footnoteReference w:id="239"/>
      </w:r>
      <w:r w:rsidRPr="00217EFC">
        <w:rPr>
          <w:sz w:val="22"/>
          <w:szCs w:val="22"/>
          <w:lang w:val="fr-CA"/>
        </w:rPr>
        <w:t xml:space="preserve">. </w:t>
      </w:r>
      <w:r>
        <w:rPr>
          <w:sz w:val="22"/>
          <w:szCs w:val="22"/>
          <w:lang w:val="fr-CA"/>
        </w:rPr>
        <w:t>Toutefois, s</w:t>
      </w:r>
      <w:r w:rsidRPr="00217EFC">
        <w:rPr>
          <w:sz w:val="22"/>
          <w:szCs w:val="22"/>
          <w:lang w:val="fr-CA"/>
        </w:rPr>
        <w:t>on dossier militaire indique qu’il a été évacué du front</w:t>
      </w:r>
      <w:r>
        <w:rPr>
          <w:sz w:val="22"/>
          <w:szCs w:val="22"/>
          <w:lang w:val="fr-CA"/>
        </w:rPr>
        <w:t xml:space="preserve"> </w:t>
      </w:r>
      <w:r w:rsidRPr="00217EFC">
        <w:rPr>
          <w:sz w:val="22"/>
          <w:szCs w:val="22"/>
          <w:lang w:val="fr-CA"/>
        </w:rPr>
        <w:t>le 15 janvier 1916 pour blessure par balle au bras gauche alors qu’il était au Mont Sorel. Il est retourné à son unité, le 22 mai 1916, après qu’il a</w:t>
      </w:r>
      <w:r w:rsidRPr="00514688">
        <w:rPr>
          <w:sz w:val="22"/>
          <w:lang w:val="fr-CA"/>
        </w:rPr>
        <w:t xml:space="preserve"> été</w:t>
      </w:r>
      <w:r>
        <w:rPr>
          <w:sz w:val="22"/>
          <w:szCs w:val="22"/>
          <w:lang w:val="fr-CA"/>
        </w:rPr>
        <w:t xml:space="preserve"> </w:t>
      </w:r>
      <w:r w:rsidRPr="00217EFC">
        <w:rPr>
          <w:sz w:val="22"/>
          <w:szCs w:val="22"/>
          <w:lang w:val="fr-CA"/>
        </w:rPr>
        <w:t xml:space="preserve">soigné </w:t>
      </w:r>
      <w:r>
        <w:rPr>
          <w:sz w:val="22"/>
          <w:szCs w:val="22"/>
          <w:lang w:val="fr-CA"/>
        </w:rPr>
        <w:t xml:space="preserve">pour </w:t>
      </w:r>
      <w:r w:rsidRPr="00217EFC">
        <w:rPr>
          <w:sz w:val="22"/>
          <w:szCs w:val="22"/>
          <w:lang w:val="fr-CA"/>
        </w:rPr>
        <w:t xml:space="preserve">une amygdalite. </w:t>
      </w:r>
      <w:r>
        <w:rPr>
          <w:sz w:val="22"/>
          <w:szCs w:val="22"/>
          <w:lang w:val="fr-CA"/>
        </w:rPr>
        <w:t>L</w:t>
      </w:r>
      <w:r w:rsidRPr="00217EFC">
        <w:rPr>
          <w:sz w:val="22"/>
          <w:szCs w:val="22"/>
          <w:lang w:val="fr-CA"/>
        </w:rPr>
        <w:t xml:space="preserve">e 16 décembre 1916, il est évacué </w:t>
      </w:r>
      <w:r>
        <w:rPr>
          <w:sz w:val="22"/>
          <w:szCs w:val="22"/>
          <w:lang w:val="fr-CA"/>
        </w:rPr>
        <w:t xml:space="preserve">pour </w:t>
      </w:r>
      <w:r w:rsidRPr="00217EFC">
        <w:rPr>
          <w:sz w:val="22"/>
          <w:szCs w:val="22"/>
          <w:lang w:val="fr-CA"/>
        </w:rPr>
        <w:t>avoir contract</w:t>
      </w:r>
      <w:r>
        <w:rPr>
          <w:sz w:val="22"/>
          <w:szCs w:val="22"/>
          <w:lang w:val="fr-CA"/>
        </w:rPr>
        <w:t>é</w:t>
      </w:r>
      <w:r w:rsidRPr="00217EFC">
        <w:rPr>
          <w:sz w:val="22"/>
          <w:szCs w:val="22"/>
          <w:lang w:val="fr-CA"/>
        </w:rPr>
        <w:t xml:space="preserve"> l’influenza et il retourne à </w:t>
      </w:r>
      <w:r>
        <w:rPr>
          <w:sz w:val="22"/>
          <w:szCs w:val="22"/>
          <w:lang w:val="fr-CA"/>
        </w:rPr>
        <w:t xml:space="preserve">son </w:t>
      </w:r>
      <w:r w:rsidRPr="00217EFC">
        <w:rPr>
          <w:sz w:val="22"/>
          <w:szCs w:val="22"/>
          <w:lang w:val="fr-CA"/>
        </w:rPr>
        <w:t xml:space="preserve">unité, le 11 janvier 1917. </w:t>
      </w:r>
      <w:r>
        <w:rPr>
          <w:sz w:val="22"/>
          <w:szCs w:val="22"/>
          <w:lang w:val="fr-CA"/>
        </w:rPr>
        <w:t>I</w:t>
      </w:r>
      <w:r w:rsidRPr="00217EFC">
        <w:rPr>
          <w:sz w:val="22"/>
          <w:szCs w:val="22"/>
          <w:lang w:val="fr-CA"/>
        </w:rPr>
        <w:t>l recevra un chevron pour bonne conduite en novembre 1916 et il sera promu sergent le 2 février 1919</w:t>
      </w:r>
      <w:r w:rsidRPr="00217EFC">
        <w:rPr>
          <w:rStyle w:val="FootnoteReference"/>
          <w:sz w:val="22"/>
          <w:szCs w:val="22"/>
          <w:lang w:val="fr-CA"/>
        </w:rPr>
        <w:footnoteReference w:id="240"/>
      </w:r>
      <w:r w:rsidRPr="00217EFC">
        <w:rPr>
          <w:sz w:val="22"/>
          <w:szCs w:val="22"/>
          <w:lang w:val="fr-CA"/>
        </w:rPr>
        <w:t>.</w:t>
      </w:r>
    </w:p>
    <w:p w14:paraId="6FD4707C" w14:textId="77777777" w:rsidR="00D40D7C" w:rsidRDefault="000264D6" w:rsidP="00D40D7C">
      <w:pPr>
        <w:spacing w:before="100" w:beforeAutospacing="1" w:after="100" w:afterAutospacing="1"/>
        <w:ind w:firstLine="720"/>
        <w:jc w:val="both"/>
        <w:rPr>
          <w:b/>
          <w:bCs/>
          <w:sz w:val="22"/>
          <w:szCs w:val="22"/>
          <w:lang w:val="fr-CA"/>
        </w:rPr>
      </w:pPr>
      <w:r>
        <w:rPr>
          <w:sz w:val="22"/>
          <w:szCs w:val="22"/>
          <w:lang w:val="fr-CA"/>
        </w:rPr>
        <w:t xml:space="preserve">Sans toutefois suivre leurs correspondances, </w:t>
      </w:r>
      <w:r>
        <w:rPr>
          <w:i/>
          <w:iCs/>
          <w:sz w:val="22"/>
          <w:szCs w:val="22"/>
          <w:lang w:val="fr-CA"/>
        </w:rPr>
        <w:t xml:space="preserve">L’Avenir National </w:t>
      </w:r>
      <w:r>
        <w:rPr>
          <w:sz w:val="22"/>
          <w:szCs w:val="22"/>
          <w:lang w:val="fr-CA"/>
        </w:rPr>
        <w:t>fournit des informations sur certain</w:t>
      </w:r>
      <w:r w:rsidR="00714D09">
        <w:rPr>
          <w:sz w:val="22"/>
          <w:szCs w:val="22"/>
          <w:lang w:val="fr-CA"/>
        </w:rPr>
        <w:t>s</w:t>
      </w:r>
      <w:r>
        <w:rPr>
          <w:sz w:val="22"/>
          <w:szCs w:val="22"/>
          <w:lang w:val="fr-CA"/>
        </w:rPr>
        <w:t xml:space="preserve"> de leurs résidants lorsqu’ils sont affectés par la guerre. </w:t>
      </w:r>
      <w:r w:rsidR="00E230E8">
        <w:rPr>
          <w:sz w:val="22"/>
          <w:szCs w:val="22"/>
          <w:lang w:val="fr-CA"/>
        </w:rPr>
        <w:t>Comme l</w:t>
      </w:r>
      <w:r w:rsidRPr="00217EFC">
        <w:rPr>
          <w:sz w:val="22"/>
          <w:szCs w:val="22"/>
          <w:lang w:val="fr-CA"/>
        </w:rPr>
        <w:t xml:space="preserve">e </w:t>
      </w:r>
      <w:r>
        <w:rPr>
          <w:sz w:val="22"/>
          <w:szCs w:val="22"/>
          <w:lang w:val="fr-CA"/>
        </w:rPr>
        <w:t>l</w:t>
      </w:r>
      <w:r w:rsidRPr="00217EFC">
        <w:rPr>
          <w:sz w:val="22"/>
          <w:szCs w:val="22"/>
          <w:lang w:val="fr-CA"/>
        </w:rPr>
        <w:t xml:space="preserve">ance </w:t>
      </w:r>
      <w:r>
        <w:rPr>
          <w:sz w:val="22"/>
          <w:szCs w:val="22"/>
          <w:lang w:val="fr-CA"/>
        </w:rPr>
        <w:t>c</w:t>
      </w:r>
      <w:r w:rsidRPr="00217EFC">
        <w:rPr>
          <w:sz w:val="22"/>
          <w:szCs w:val="22"/>
          <w:lang w:val="fr-CA"/>
        </w:rPr>
        <w:t>aporal Antonio Bourassa</w:t>
      </w:r>
      <w:r w:rsidR="00E230E8">
        <w:rPr>
          <w:sz w:val="22"/>
          <w:szCs w:val="22"/>
          <w:lang w:val="fr-CA"/>
        </w:rPr>
        <w:t>,</w:t>
      </w:r>
      <w:r w:rsidRPr="00217EFC">
        <w:rPr>
          <w:sz w:val="22"/>
          <w:szCs w:val="22"/>
          <w:lang w:val="fr-CA"/>
        </w:rPr>
        <w:t xml:space="preserve"> </w:t>
      </w:r>
      <w:r w:rsidR="00E230E8">
        <w:rPr>
          <w:sz w:val="22"/>
          <w:szCs w:val="22"/>
          <w:lang w:val="fr-CA"/>
        </w:rPr>
        <w:t xml:space="preserve">qui </w:t>
      </w:r>
      <w:r w:rsidRPr="00217EFC">
        <w:rPr>
          <w:sz w:val="22"/>
          <w:szCs w:val="22"/>
          <w:lang w:val="fr-CA"/>
        </w:rPr>
        <w:t>travaillait comme livreur pour la boulangerie Normand</w:t>
      </w:r>
      <w:r w:rsidR="00E230E8">
        <w:rPr>
          <w:sz w:val="22"/>
          <w:szCs w:val="22"/>
          <w:lang w:val="fr-CA"/>
        </w:rPr>
        <w:t xml:space="preserve"> et sert depuis </w:t>
      </w:r>
      <w:r w:rsidRPr="00217EFC">
        <w:rPr>
          <w:sz w:val="22"/>
          <w:szCs w:val="22"/>
          <w:lang w:val="fr-CA"/>
        </w:rPr>
        <w:t>le 3 juin 1915</w:t>
      </w:r>
      <w:r w:rsidR="00E230E8">
        <w:rPr>
          <w:sz w:val="22"/>
          <w:szCs w:val="22"/>
          <w:lang w:val="fr-CA"/>
        </w:rPr>
        <w:t xml:space="preserve"> au sein du </w:t>
      </w:r>
      <w:r w:rsidRPr="00217EFC">
        <w:rPr>
          <w:sz w:val="22"/>
          <w:szCs w:val="22"/>
          <w:lang w:val="fr-CA"/>
        </w:rPr>
        <w:t>41</w:t>
      </w:r>
      <w:r w:rsidRPr="00217EFC">
        <w:rPr>
          <w:sz w:val="22"/>
          <w:szCs w:val="22"/>
          <w:vertAlign w:val="superscript"/>
          <w:lang w:val="fr-CA"/>
        </w:rPr>
        <w:t>e</w:t>
      </w:r>
      <w:r w:rsidRPr="00217EFC">
        <w:rPr>
          <w:sz w:val="22"/>
          <w:szCs w:val="22"/>
          <w:lang w:val="fr-CA"/>
        </w:rPr>
        <w:t xml:space="preserve"> </w:t>
      </w:r>
      <w:r>
        <w:rPr>
          <w:sz w:val="22"/>
          <w:szCs w:val="22"/>
          <w:lang w:val="fr-CA"/>
        </w:rPr>
        <w:t>Bataillon</w:t>
      </w:r>
      <w:r w:rsidR="00E230E8">
        <w:rPr>
          <w:sz w:val="22"/>
          <w:szCs w:val="22"/>
          <w:lang w:val="fr-CA"/>
        </w:rPr>
        <w:t xml:space="preserve">. Il sera </w:t>
      </w:r>
      <w:r w:rsidR="00E230E8" w:rsidRPr="00E230E8">
        <w:rPr>
          <w:sz w:val="22"/>
          <w:szCs w:val="22"/>
          <w:lang w:val="fr-CA"/>
        </w:rPr>
        <w:t>en</w:t>
      </w:r>
      <w:r w:rsidR="00E230E8">
        <w:rPr>
          <w:sz w:val="22"/>
          <w:szCs w:val="22"/>
          <w:lang w:val="fr-CA"/>
        </w:rPr>
        <w:t xml:space="preserve">suite </w:t>
      </w:r>
      <w:r w:rsidRPr="00217EFC">
        <w:rPr>
          <w:sz w:val="22"/>
          <w:szCs w:val="22"/>
          <w:lang w:val="fr-CA"/>
        </w:rPr>
        <w:t>transfér</w:t>
      </w:r>
      <w:r>
        <w:rPr>
          <w:sz w:val="22"/>
          <w:szCs w:val="22"/>
          <w:lang w:val="fr-CA"/>
        </w:rPr>
        <w:t>é</w:t>
      </w:r>
      <w:r w:rsidRPr="00217EFC">
        <w:rPr>
          <w:sz w:val="22"/>
          <w:szCs w:val="22"/>
          <w:lang w:val="fr-CA"/>
        </w:rPr>
        <w:t xml:space="preserve"> au 22</w:t>
      </w:r>
      <w:r w:rsidRPr="00217EFC">
        <w:rPr>
          <w:sz w:val="22"/>
          <w:szCs w:val="22"/>
          <w:vertAlign w:val="superscript"/>
          <w:lang w:val="fr-CA"/>
        </w:rPr>
        <w:t>e</w:t>
      </w:r>
      <w:r w:rsidRPr="00217EFC">
        <w:rPr>
          <w:sz w:val="22"/>
          <w:szCs w:val="22"/>
          <w:lang w:val="fr-CA"/>
        </w:rPr>
        <w:t xml:space="preserve"> </w:t>
      </w:r>
      <w:r>
        <w:rPr>
          <w:sz w:val="22"/>
          <w:szCs w:val="22"/>
          <w:lang w:val="fr-CA"/>
        </w:rPr>
        <w:t>Bataillon</w:t>
      </w:r>
      <w:r w:rsidRPr="00217EFC">
        <w:rPr>
          <w:sz w:val="22"/>
          <w:szCs w:val="22"/>
          <w:lang w:val="fr-CA"/>
        </w:rPr>
        <w:t xml:space="preserve"> le 3 avril 1916</w:t>
      </w:r>
      <w:r w:rsidRPr="00217EFC">
        <w:rPr>
          <w:rStyle w:val="FootnoteReference"/>
          <w:sz w:val="22"/>
          <w:szCs w:val="22"/>
          <w:lang w:val="fr-CA"/>
        </w:rPr>
        <w:footnoteReference w:id="241"/>
      </w:r>
      <w:r w:rsidRPr="00217EFC">
        <w:rPr>
          <w:sz w:val="22"/>
          <w:szCs w:val="22"/>
          <w:lang w:val="fr-CA"/>
        </w:rPr>
        <w:t xml:space="preserve">. Bourassa </w:t>
      </w:r>
      <w:r w:rsidR="00E230E8">
        <w:rPr>
          <w:sz w:val="22"/>
          <w:szCs w:val="22"/>
          <w:lang w:val="fr-CA"/>
        </w:rPr>
        <w:t xml:space="preserve">est </w:t>
      </w:r>
      <w:r w:rsidRPr="00217EFC">
        <w:rPr>
          <w:sz w:val="22"/>
          <w:szCs w:val="22"/>
          <w:lang w:val="fr-CA"/>
        </w:rPr>
        <w:t>blessé au pied gauche par un fragment d’obus le 28 septembre 1916, lors d’une contre-attaque allemande dans le secteur de la tranché</w:t>
      </w:r>
      <w:r w:rsidR="00714D09">
        <w:rPr>
          <w:sz w:val="22"/>
          <w:szCs w:val="22"/>
          <w:lang w:val="fr-CA"/>
        </w:rPr>
        <w:t>e</w:t>
      </w:r>
      <w:r w:rsidRPr="00217EFC">
        <w:rPr>
          <w:sz w:val="22"/>
          <w:szCs w:val="22"/>
          <w:lang w:val="fr-CA"/>
        </w:rPr>
        <w:t xml:space="preserve"> Régina (bataille de Courcelette)</w:t>
      </w:r>
      <w:r w:rsidRPr="00217EFC">
        <w:rPr>
          <w:rStyle w:val="FootnoteReference"/>
          <w:sz w:val="22"/>
          <w:szCs w:val="22"/>
          <w:lang w:val="fr-CA"/>
        </w:rPr>
        <w:footnoteReference w:id="242"/>
      </w:r>
      <w:r w:rsidR="00E230E8">
        <w:rPr>
          <w:sz w:val="22"/>
          <w:szCs w:val="22"/>
          <w:lang w:val="fr-CA"/>
        </w:rPr>
        <w:t xml:space="preserve"> et i</w:t>
      </w:r>
      <w:r w:rsidRPr="00217EFC">
        <w:rPr>
          <w:sz w:val="22"/>
          <w:szCs w:val="22"/>
          <w:lang w:val="fr-CA"/>
        </w:rPr>
        <w:t>l sera libéré du service militaire actif en février 1919.</w:t>
      </w:r>
      <w:r w:rsidR="00353ABE">
        <w:rPr>
          <w:sz w:val="22"/>
          <w:szCs w:val="22"/>
          <w:lang w:val="fr-CA"/>
        </w:rPr>
        <w:t xml:space="preserve"> Par ailleurs, W</w:t>
      </w:r>
      <w:r w:rsidRPr="00217EFC">
        <w:rPr>
          <w:sz w:val="22"/>
          <w:szCs w:val="22"/>
          <w:lang w:val="fr-CA"/>
        </w:rPr>
        <w:t xml:space="preserve">illiam Cyr est un autre volontaire de Manchester qui joint les rangs du </w:t>
      </w:r>
      <w:r>
        <w:rPr>
          <w:sz w:val="22"/>
          <w:szCs w:val="22"/>
          <w:lang w:val="fr-CA"/>
        </w:rPr>
        <w:t>Corps expéditionnaire</w:t>
      </w:r>
      <w:r w:rsidRPr="00217EFC">
        <w:rPr>
          <w:sz w:val="22"/>
          <w:szCs w:val="22"/>
          <w:lang w:val="fr-CA"/>
        </w:rPr>
        <w:t xml:space="preserve"> </w:t>
      </w:r>
      <w:r>
        <w:rPr>
          <w:sz w:val="22"/>
          <w:szCs w:val="22"/>
          <w:lang w:val="fr-CA"/>
        </w:rPr>
        <w:t>c</w:t>
      </w:r>
      <w:r w:rsidRPr="00217EFC">
        <w:rPr>
          <w:sz w:val="22"/>
          <w:szCs w:val="22"/>
          <w:lang w:val="fr-CA"/>
        </w:rPr>
        <w:t xml:space="preserve">anadien. Il a travaillé pour la </w:t>
      </w:r>
      <w:r w:rsidRPr="00217EFC">
        <w:rPr>
          <w:i/>
          <w:iCs/>
          <w:sz w:val="22"/>
          <w:szCs w:val="22"/>
          <w:lang w:val="fr-CA"/>
        </w:rPr>
        <w:t>Coal &amp; Ice Co</w:t>
      </w:r>
      <w:r w:rsidRPr="00217EFC">
        <w:rPr>
          <w:sz w:val="22"/>
          <w:szCs w:val="22"/>
          <w:lang w:val="fr-CA"/>
        </w:rPr>
        <w:t xml:space="preserve"> et il a été caporal </w:t>
      </w:r>
      <w:r>
        <w:rPr>
          <w:sz w:val="22"/>
          <w:szCs w:val="22"/>
          <w:lang w:val="fr-CA"/>
        </w:rPr>
        <w:t xml:space="preserve">dans </w:t>
      </w:r>
      <w:r w:rsidRPr="00217EFC">
        <w:rPr>
          <w:sz w:val="22"/>
          <w:szCs w:val="22"/>
          <w:lang w:val="fr-CA"/>
        </w:rPr>
        <w:t xml:space="preserve">la </w:t>
      </w:r>
      <w:r w:rsidR="00353ABE">
        <w:rPr>
          <w:sz w:val="22"/>
          <w:szCs w:val="22"/>
          <w:lang w:val="fr-CA"/>
        </w:rPr>
        <w:t>G</w:t>
      </w:r>
      <w:r w:rsidRPr="00217EFC">
        <w:rPr>
          <w:sz w:val="22"/>
          <w:szCs w:val="22"/>
          <w:lang w:val="fr-CA"/>
        </w:rPr>
        <w:t xml:space="preserve">arde Lafayette. Le 31 mars 1915, il </w:t>
      </w:r>
      <w:r w:rsidR="00E230E8">
        <w:rPr>
          <w:sz w:val="22"/>
          <w:szCs w:val="22"/>
          <w:lang w:val="fr-CA"/>
        </w:rPr>
        <w:t xml:space="preserve">joint </w:t>
      </w:r>
      <w:r w:rsidRPr="00217EFC">
        <w:rPr>
          <w:sz w:val="22"/>
          <w:szCs w:val="22"/>
          <w:lang w:val="fr-CA"/>
        </w:rPr>
        <w:t>les rangs du 5</w:t>
      </w:r>
      <w:r w:rsidRPr="00217EFC">
        <w:rPr>
          <w:sz w:val="22"/>
          <w:szCs w:val="22"/>
          <w:vertAlign w:val="superscript"/>
          <w:lang w:val="fr-CA"/>
        </w:rPr>
        <w:t>th </w:t>
      </w:r>
      <w:r w:rsidRPr="00217EFC">
        <w:rPr>
          <w:sz w:val="22"/>
          <w:szCs w:val="22"/>
          <w:lang w:val="fr-CA"/>
        </w:rPr>
        <w:t>CMR</w:t>
      </w:r>
      <w:r w:rsidRPr="00217EFC">
        <w:rPr>
          <w:rStyle w:val="FootnoteReference"/>
          <w:sz w:val="22"/>
          <w:szCs w:val="22"/>
          <w:lang w:val="fr-CA"/>
        </w:rPr>
        <w:footnoteReference w:id="243"/>
      </w:r>
      <w:r w:rsidR="00E230E8">
        <w:rPr>
          <w:sz w:val="22"/>
          <w:szCs w:val="22"/>
          <w:lang w:val="fr-CA"/>
        </w:rPr>
        <w:t xml:space="preserve">. </w:t>
      </w:r>
      <w:r w:rsidRPr="00217EFC">
        <w:rPr>
          <w:sz w:val="22"/>
          <w:szCs w:val="22"/>
          <w:lang w:val="fr-CA"/>
        </w:rPr>
        <w:t xml:space="preserve">Alors qu’il devait être promu au grade de caporal </w:t>
      </w:r>
      <w:r>
        <w:rPr>
          <w:sz w:val="22"/>
          <w:szCs w:val="22"/>
          <w:lang w:val="fr-CA"/>
        </w:rPr>
        <w:t xml:space="preserve">à </w:t>
      </w:r>
      <w:r w:rsidRPr="00217EFC">
        <w:rPr>
          <w:sz w:val="22"/>
          <w:szCs w:val="22"/>
          <w:lang w:val="fr-CA"/>
        </w:rPr>
        <w:t xml:space="preserve">la fin du mois de septembre 1916, il est </w:t>
      </w:r>
      <w:r>
        <w:rPr>
          <w:sz w:val="22"/>
          <w:szCs w:val="22"/>
          <w:lang w:val="fr-CA"/>
        </w:rPr>
        <w:t xml:space="preserve">tué </w:t>
      </w:r>
      <w:r w:rsidRPr="00217EFC">
        <w:rPr>
          <w:sz w:val="22"/>
          <w:szCs w:val="22"/>
          <w:lang w:val="fr-CA"/>
        </w:rPr>
        <w:t xml:space="preserve">au front, entre le 14 et 16 septembre 1916, </w:t>
      </w:r>
      <w:r>
        <w:rPr>
          <w:sz w:val="22"/>
          <w:szCs w:val="22"/>
          <w:lang w:val="fr-CA"/>
        </w:rPr>
        <w:t xml:space="preserve">au tout </w:t>
      </w:r>
      <w:r w:rsidRPr="00217EFC">
        <w:rPr>
          <w:sz w:val="22"/>
          <w:szCs w:val="22"/>
          <w:lang w:val="fr-CA"/>
        </w:rPr>
        <w:t>début de la bataille de Courcelette</w:t>
      </w:r>
      <w:r w:rsidRPr="00217EFC">
        <w:rPr>
          <w:rStyle w:val="FootnoteReference"/>
          <w:sz w:val="22"/>
          <w:szCs w:val="22"/>
          <w:lang w:val="fr-CA"/>
        </w:rPr>
        <w:footnoteReference w:id="244"/>
      </w:r>
      <w:r w:rsidR="00353ABE">
        <w:rPr>
          <w:sz w:val="22"/>
          <w:szCs w:val="22"/>
          <w:lang w:val="fr-CA"/>
        </w:rPr>
        <w:t>.</w:t>
      </w:r>
      <w:bookmarkStart w:id="11" w:name="_Hlk20422080"/>
      <w:r w:rsidR="00D36614">
        <w:rPr>
          <w:sz w:val="22"/>
          <w:szCs w:val="22"/>
          <w:lang w:val="fr-CA"/>
        </w:rPr>
        <w:t xml:space="preserve"> Finalement, </w:t>
      </w:r>
      <w:r w:rsidRPr="00217EFC">
        <w:rPr>
          <w:sz w:val="22"/>
          <w:szCs w:val="22"/>
          <w:lang w:val="fr-CA"/>
        </w:rPr>
        <w:lastRenderedPageBreak/>
        <w:t>Frank Morin</w:t>
      </w:r>
      <w:bookmarkEnd w:id="11"/>
      <w:r w:rsidRPr="00217EFC">
        <w:rPr>
          <w:sz w:val="22"/>
          <w:szCs w:val="22"/>
          <w:lang w:val="fr-CA"/>
        </w:rPr>
        <w:t>, de Laconia</w:t>
      </w:r>
      <w:r>
        <w:rPr>
          <w:sz w:val="22"/>
          <w:szCs w:val="22"/>
          <w:lang w:val="fr-CA"/>
        </w:rPr>
        <w:t xml:space="preserve">, écrit à ses amis de Manchester pour les informer qu’il se porte bien, il </w:t>
      </w:r>
      <w:r w:rsidRPr="00217EFC">
        <w:rPr>
          <w:sz w:val="22"/>
          <w:szCs w:val="22"/>
          <w:lang w:val="fr-CA"/>
        </w:rPr>
        <w:t xml:space="preserve">joint une carte décrivant </w:t>
      </w:r>
      <w:r>
        <w:rPr>
          <w:sz w:val="22"/>
          <w:szCs w:val="22"/>
          <w:lang w:val="fr-CA"/>
        </w:rPr>
        <w:t xml:space="preserve">les endroits </w:t>
      </w:r>
      <w:r w:rsidRPr="00217EFC">
        <w:rPr>
          <w:sz w:val="22"/>
          <w:szCs w:val="22"/>
          <w:lang w:val="fr-CA"/>
        </w:rPr>
        <w:t>où il sert sur le front en France</w:t>
      </w:r>
      <w:r w:rsidRPr="00217EFC">
        <w:rPr>
          <w:rStyle w:val="FootnoteReference"/>
          <w:sz w:val="22"/>
          <w:szCs w:val="22"/>
          <w:lang w:val="fr-CA"/>
        </w:rPr>
        <w:footnoteReference w:id="245"/>
      </w:r>
      <w:r>
        <w:rPr>
          <w:sz w:val="22"/>
          <w:szCs w:val="22"/>
          <w:lang w:val="fr-CA"/>
        </w:rPr>
        <w:t>. D’ailleurs, i</w:t>
      </w:r>
      <w:r w:rsidRPr="00217EFC">
        <w:rPr>
          <w:sz w:val="22"/>
          <w:szCs w:val="22"/>
          <w:lang w:val="fr-CA"/>
        </w:rPr>
        <w:t>l particip</w:t>
      </w:r>
      <w:r>
        <w:rPr>
          <w:sz w:val="22"/>
          <w:szCs w:val="22"/>
          <w:lang w:val="fr-CA"/>
        </w:rPr>
        <w:t>e</w:t>
      </w:r>
      <w:r w:rsidRPr="00217EFC">
        <w:rPr>
          <w:sz w:val="22"/>
          <w:szCs w:val="22"/>
          <w:lang w:val="fr-CA"/>
        </w:rPr>
        <w:t xml:space="preserve"> à tous les combats dans les Flandres sans </w:t>
      </w:r>
      <w:r>
        <w:rPr>
          <w:sz w:val="22"/>
          <w:szCs w:val="22"/>
          <w:lang w:val="fr-CA"/>
        </w:rPr>
        <w:t xml:space="preserve">subir de </w:t>
      </w:r>
      <w:r w:rsidRPr="00217EFC">
        <w:rPr>
          <w:sz w:val="22"/>
          <w:szCs w:val="22"/>
          <w:lang w:val="fr-CA"/>
        </w:rPr>
        <w:t>bless</w:t>
      </w:r>
      <w:r>
        <w:rPr>
          <w:sz w:val="22"/>
          <w:szCs w:val="22"/>
          <w:lang w:val="fr-CA"/>
        </w:rPr>
        <w:t>ure</w:t>
      </w:r>
      <w:r w:rsidRPr="00217EFC">
        <w:rPr>
          <w:rStyle w:val="FootnoteReference"/>
          <w:sz w:val="22"/>
          <w:szCs w:val="22"/>
          <w:lang w:val="fr-CA"/>
        </w:rPr>
        <w:footnoteReference w:id="246"/>
      </w:r>
      <w:r w:rsidRPr="00217EFC">
        <w:rPr>
          <w:sz w:val="22"/>
          <w:szCs w:val="22"/>
          <w:lang w:val="fr-CA"/>
        </w:rPr>
        <w:t>. Il sera victime d’une attaque au gaz, le 21 septembre 1917</w:t>
      </w:r>
      <w:r>
        <w:rPr>
          <w:sz w:val="22"/>
          <w:szCs w:val="22"/>
          <w:lang w:val="fr-CA"/>
        </w:rPr>
        <w:t xml:space="preserve"> et </w:t>
      </w:r>
      <w:r w:rsidRPr="00217EFC">
        <w:rPr>
          <w:sz w:val="22"/>
          <w:szCs w:val="22"/>
          <w:lang w:val="fr-CA"/>
        </w:rPr>
        <w:t>il sera ensuite jugé inapte à servir au front, car il est atteint d’érésipèle. Son dossier militaire indique qu’après la guerre, il est retourné en Nouvelle-Angleterre</w:t>
      </w:r>
      <w:r w:rsidRPr="00217EFC">
        <w:rPr>
          <w:rStyle w:val="FootnoteReference"/>
          <w:sz w:val="22"/>
          <w:szCs w:val="22"/>
          <w:lang w:val="fr-CA"/>
        </w:rPr>
        <w:footnoteReference w:id="247"/>
      </w:r>
      <w:r w:rsidRPr="00217EFC">
        <w:rPr>
          <w:sz w:val="22"/>
          <w:szCs w:val="22"/>
          <w:lang w:val="fr-CA"/>
        </w:rPr>
        <w:t>.</w:t>
      </w:r>
      <w:r w:rsidR="00D40D7C">
        <w:rPr>
          <w:sz w:val="22"/>
          <w:szCs w:val="22"/>
          <w:lang w:val="fr-CA"/>
        </w:rPr>
        <w:t xml:space="preserve"> </w:t>
      </w:r>
    </w:p>
    <w:p w14:paraId="24DECECE" w14:textId="06B52EE3" w:rsidR="000264D6" w:rsidRPr="00B81EDE" w:rsidRDefault="000264D6" w:rsidP="00D40D7C">
      <w:pPr>
        <w:spacing w:before="100" w:beforeAutospacing="1" w:after="100" w:afterAutospacing="1"/>
        <w:jc w:val="both"/>
        <w:rPr>
          <w:b/>
          <w:bCs/>
          <w:sz w:val="22"/>
          <w:szCs w:val="22"/>
          <w:lang w:val="fr-CA"/>
        </w:rPr>
      </w:pPr>
      <w:r>
        <w:rPr>
          <w:b/>
          <w:bCs/>
          <w:sz w:val="22"/>
          <w:szCs w:val="22"/>
          <w:lang w:val="fr-CA"/>
        </w:rPr>
        <w:t xml:space="preserve">La guerre canadienne et le déploiement de la Garde Nationale à la frontière </w:t>
      </w:r>
      <w:r w:rsidR="00776EE1">
        <w:rPr>
          <w:b/>
          <w:bCs/>
          <w:sz w:val="22"/>
          <w:szCs w:val="22"/>
          <w:lang w:val="fr-CA"/>
        </w:rPr>
        <w:t>m</w:t>
      </w:r>
      <w:r>
        <w:rPr>
          <w:b/>
          <w:bCs/>
          <w:sz w:val="22"/>
          <w:szCs w:val="22"/>
          <w:lang w:val="fr-CA"/>
        </w:rPr>
        <w:t>exicaine</w:t>
      </w:r>
    </w:p>
    <w:p w14:paraId="12B06D43" w14:textId="77777777" w:rsidR="000264D6" w:rsidRDefault="000264D6" w:rsidP="002B5319">
      <w:pPr>
        <w:spacing w:before="100" w:beforeAutospacing="1" w:after="100" w:afterAutospacing="1"/>
        <w:ind w:firstLine="720"/>
        <w:jc w:val="both"/>
        <w:rPr>
          <w:sz w:val="22"/>
          <w:szCs w:val="22"/>
          <w:lang w:val="fr-CA"/>
        </w:rPr>
      </w:pPr>
      <w:r>
        <w:rPr>
          <w:sz w:val="22"/>
          <w:szCs w:val="22"/>
          <w:lang w:val="fr-CA"/>
        </w:rPr>
        <w:t>Curieusement</w:t>
      </w:r>
      <w:r w:rsidRPr="00217EFC">
        <w:rPr>
          <w:sz w:val="22"/>
          <w:szCs w:val="22"/>
          <w:lang w:val="fr-CA"/>
        </w:rPr>
        <w:t xml:space="preserve">, </w:t>
      </w:r>
      <w:r w:rsidRPr="00B971F4">
        <w:rPr>
          <w:i/>
          <w:sz w:val="22"/>
          <w:szCs w:val="22"/>
          <w:lang w:val="fr-CA"/>
        </w:rPr>
        <w:t>L’Avenir National</w:t>
      </w:r>
      <w:r w:rsidRPr="00217EFC">
        <w:rPr>
          <w:sz w:val="22"/>
          <w:szCs w:val="22"/>
          <w:lang w:val="fr-CA"/>
        </w:rPr>
        <w:t xml:space="preserve"> ne mentionne rien </w:t>
      </w:r>
      <w:r>
        <w:rPr>
          <w:sz w:val="22"/>
          <w:szCs w:val="22"/>
          <w:lang w:val="fr-CA"/>
        </w:rPr>
        <w:t xml:space="preserve">de spécial à propos </w:t>
      </w:r>
      <w:r w:rsidRPr="00217EFC">
        <w:rPr>
          <w:sz w:val="22"/>
          <w:szCs w:val="22"/>
          <w:lang w:val="fr-CA"/>
        </w:rPr>
        <w:t>de la bataille de la Crête de Vimy</w:t>
      </w:r>
      <w:r>
        <w:rPr>
          <w:sz w:val="22"/>
          <w:szCs w:val="22"/>
          <w:lang w:val="fr-CA"/>
        </w:rPr>
        <w:t>, o</w:t>
      </w:r>
      <w:r w:rsidRPr="00217EFC">
        <w:rPr>
          <w:sz w:val="22"/>
          <w:szCs w:val="22"/>
          <w:lang w:val="fr-CA"/>
        </w:rPr>
        <w:t xml:space="preserve">utre </w:t>
      </w:r>
      <w:r>
        <w:rPr>
          <w:sz w:val="22"/>
          <w:szCs w:val="22"/>
          <w:lang w:val="fr-CA"/>
        </w:rPr>
        <w:t>le fait</w:t>
      </w:r>
      <w:r w:rsidRPr="00217EFC">
        <w:rPr>
          <w:sz w:val="22"/>
          <w:szCs w:val="22"/>
          <w:lang w:val="fr-CA"/>
        </w:rPr>
        <w:t xml:space="preserve"> que le War Office indique que «</w:t>
      </w:r>
      <w:r w:rsidR="00DB5D0B">
        <w:rPr>
          <w:sz w:val="22"/>
          <w:szCs w:val="22"/>
          <w:lang w:val="fr-CA"/>
        </w:rPr>
        <w:t> </w:t>
      </w:r>
      <w:r w:rsidRPr="00217EFC">
        <w:rPr>
          <w:sz w:val="22"/>
          <w:szCs w:val="22"/>
          <w:lang w:val="fr-CA"/>
        </w:rPr>
        <w:t>les Anglais ont lancé hier un coup violent contre les Allemands depuis le sud-ouest de Cambrai jusqu’au sud de Lens en attaquant la fameuse crête de Vimy</w:t>
      </w:r>
      <w:r w:rsidR="00DB5D0B">
        <w:rPr>
          <w:sz w:val="22"/>
          <w:szCs w:val="22"/>
          <w:lang w:val="fr-CA"/>
        </w:rPr>
        <w:t> </w:t>
      </w:r>
      <w:r w:rsidRPr="00217EFC">
        <w:rPr>
          <w:sz w:val="22"/>
          <w:szCs w:val="22"/>
          <w:lang w:val="fr-CA"/>
        </w:rPr>
        <w:t>»</w:t>
      </w:r>
      <w:r w:rsidRPr="00217EFC">
        <w:rPr>
          <w:rStyle w:val="FootnoteReference"/>
          <w:sz w:val="22"/>
          <w:szCs w:val="22"/>
          <w:lang w:val="fr-CA"/>
        </w:rPr>
        <w:footnoteReference w:id="248"/>
      </w:r>
      <w:r w:rsidRPr="00217EFC">
        <w:rPr>
          <w:sz w:val="22"/>
          <w:szCs w:val="22"/>
          <w:lang w:val="fr-CA"/>
        </w:rPr>
        <w:t xml:space="preserve">. Par la suite, aucune </w:t>
      </w:r>
      <w:r w:rsidRPr="00AC6CCA">
        <w:rPr>
          <w:sz w:val="22"/>
          <w:szCs w:val="22"/>
          <w:lang w:val="fr-CA"/>
        </w:rPr>
        <w:t xml:space="preserve">autre mention </w:t>
      </w:r>
      <w:r>
        <w:rPr>
          <w:sz w:val="22"/>
          <w:szCs w:val="22"/>
          <w:lang w:val="fr-CA"/>
        </w:rPr>
        <w:t>n’</w:t>
      </w:r>
      <w:r w:rsidRPr="00AC6CCA">
        <w:rPr>
          <w:sz w:val="22"/>
          <w:szCs w:val="22"/>
          <w:lang w:val="fr-CA"/>
        </w:rPr>
        <w:t>est faite dans</w:t>
      </w:r>
      <w:r w:rsidRPr="00217EFC">
        <w:rPr>
          <w:sz w:val="22"/>
          <w:szCs w:val="22"/>
          <w:lang w:val="fr-CA"/>
        </w:rPr>
        <w:t xml:space="preserve"> </w:t>
      </w:r>
      <w:r w:rsidRPr="00217EFC">
        <w:rPr>
          <w:i/>
          <w:iCs/>
          <w:sz w:val="22"/>
          <w:szCs w:val="22"/>
          <w:lang w:val="fr-CA"/>
        </w:rPr>
        <w:t xml:space="preserve">L’Avenir </w:t>
      </w:r>
      <w:r w:rsidRPr="004416E4">
        <w:rPr>
          <w:i/>
          <w:iCs/>
          <w:sz w:val="22"/>
          <w:szCs w:val="22"/>
          <w:lang w:val="fr-CA"/>
        </w:rPr>
        <w:t>National</w:t>
      </w:r>
      <w:r>
        <w:rPr>
          <w:sz w:val="22"/>
          <w:szCs w:val="22"/>
          <w:lang w:val="fr-CA"/>
        </w:rPr>
        <w:t xml:space="preserve"> sur cette </w:t>
      </w:r>
      <w:r w:rsidRPr="00217EFC">
        <w:rPr>
          <w:sz w:val="22"/>
          <w:szCs w:val="22"/>
          <w:lang w:val="fr-CA"/>
        </w:rPr>
        <w:t xml:space="preserve">bataille. Toutefois, on rapporte davantage les débats </w:t>
      </w:r>
      <w:r>
        <w:rPr>
          <w:sz w:val="22"/>
          <w:szCs w:val="22"/>
          <w:lang w:val="fr-CA"/>
        </w:rPr>
        <w:t>qui anime</w:t>
      </w:r>
      <w:r w:rsidR="00DB5D0B">
        <w:rPr>
          <w:sz w:val="22"/>
          <w:szCs w:val="22"/>
          <w:lang w:val="fr-CA"/>
        </w:rPr>
        <w:t>nt</w:t>
      </w:r>
      <w:r>
        <w:rPr>
          <w:sz w:val="22"/>
          <w:szCs w:val="22"/>
          <w:lang w:val="fr-CA"/>
        </w:rPr>
        <w:t xml:space="preserve"> le Canada </w:t>
      </w:r>
      <w:r w:rsidRPr="00217EFC">
        <w:rPr>
          <w:sz w:val="22"/>
          <w:szCs w:val="22"/>
          <w:lang w:val="fr-CA"/>
        </w:rPr>
        <w:t>sur la conscription, les manifestations en juillet 1917</w:t>
      </w:r>
      <w:r>
        <w:rPr>
          <w:sz w:val="22"/>
          <w:szCs w:val="22"/>
          <w:lang w:val="fr-CA"/>
        </w:rPr>
        <w:t xml:space="preserve"> </w:t>
      </w:r>
      <w:r w:rsidRPr="00217EFC">
        <w:rPr>
          <w:sz w:val="22"/>
          <w:szCs w:val="22"/>
          <w:lang w:val="fr-CA"/>
        </w:rPr>
        <w:t>dans les rues de Montréal</w:t>
      </w:r>
      <w:r>
        <w:rPr>
          <w:sz w:val="22"/>
          <w:szCs w:val="22"/>
          <w:lang w:val="fr-CA"/>
        </w:rPr>
        <w:t xml:space="preserve"> </w:t>
      </w:r>
      <w:r w:rsidRPr="00217EFC">
        <w:rPr>
          <w:sz w:val="22"/>
          <w:szCs w:val="22"/>
          <w:lang w:val="fr-CA"/>
        </w:rPr>
        <w:t>et les dénonciations des chefs de syndicats, comme celui du Congrès des Métiers et du Travail du Canada</w:t>
      </w:r>
      <w:r w:rsidRPr="00217EFC">
        <w:rPr>
          <w:rStyle w:val="FootnoteReference"/>
          <w:sz w:val="22"/>
          <w:szCs w:val="22"/>
          <w:lang w:val="fr-CA"/>
        </w:rPr>
        <w:footnoteReference w:id="249"/>
      </w:r>
      <w:r w:rsidRPr="00217EFC">
        <w:rPr>
          <w:sz w:val="22"/>
          <w:szCs w:val="22"/>
          <w:lang w:val="fr-CA"/>
        </w:rPr>
        <w:t xml:space="preserve">. </w:t>
      </w:r>
    </w:p>
    <w:p w14:paraId="155C4E34"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De plus, en août 1917,</w:t>
      </w:r>
      <w:r>
        <w:rPr>
          <w:sz w:val="22"/>
          <w:szCs w:val="22"/>
          <w:lang w:val="fr-CA"/>
        </w:rPr>
        <w:t xml:space="preserve"> </w:t>
      </w:r>
      <w:r>
        <w:rPr>
          <w:i/>
          <w:iCs/>
          <w:sz w:val="22"/>
          <w:szCs w:val="22"/>
          <w:lang w:val="fr-CA"/>
        </w:rPr>
        <w:t xml:space="preserve">L’Avenir National </w:t>
      </w:r>
      <w:r>
        <w:rPr>
          <w:sz w:val="22"/>
          <w:szCs w:val="22"/>
          <w:lang w:val="fr-CA"/>
        </w:rPr>
        <w:t>publie un article</w:t>
      </w:r>
      <w:r w:rsidRPr="00217EFC">
        <w:rPr>
          <w:sz w:val="22"/>
          <w:szCs w:val="22"/>
          <w:lang w:val="fr-CA"/>
        </w:rPr>
        <w:t xml:space="preserve"> </w:t>
      </w:r>
      <w:r>
        <w:rPr>
          <w:sz w:val="22"/>
          <w:szCs w:val="22"/>
          <w:lang w:val="fr-CA"/>
        </w:rPr>
        <w:t xml:space="preserve">incitant tous les </w:t>
      </w:r>
      <w:r w:rsidRPr="00217EFC">
        <w:rPr>
          <w:sz w:val="22"/>
          <w:szCs w:val="22"/>
          <w:lang w:val="fr-CA"/>
        </w:rPr>
        <w:t xml:space="preserve">sujets britanniques, qui sont </w:t>
      </w:r>
      <w:r>
        <w:rPr>
          <w:sz w:val="22"/>
          <w:szCs w:val="22"/>
          <w:lang w:val="fr-CA"/>
        </w:rPr>
        <w:t xml:space="preserve">toujours </w:t>
      </w:r>
      <w:r w:rsidRPr="00217EFC">
        <w:rPr>
          <w:sz w:val="22"/>
          <w:szCs w:val="22"/>
          <w:lang w:val="fr-CA"/>
        </w:rPr>
        <w:t>aux États-Unis et qui ne sont pas déjà enrôlés</w:t>
      </w:r>
      <w:r>
        <w:rPr>
          <w:sz w:val="22"/>
          <w:szCs w:val="22"/>
          <w:lang w:val="fr-CA"/>
        </w:rPr>
        <w:t>,</w:t>
      </w:r>
      <w:r w:rsidRPr="00217EFC">
        <w:rPr>
          <w:sz w:val="22"/>
          <w:szCs w:val="22"/>
          <w:lang w:val="fr-CA"/>
        </w:rPr>
        <w:t xml:space="preserve"> </w:t>
      </w:r>
      <w:r w:rsidRPr="0046353C">
        <w:rPr>
          <w:sz w:val="22"/>
          <w:lang w:val="fr-CA"/>
        </w:rPr>
        <w:t xml:space="preserve">de </w:t>
      </w:r>
      <w:r w:rsidRPr="00217EFC">
        <w:rPr>
          <w:sz w:val="22"/>
          <w:szCs w:val="22"/>
          <w:lang w:val="fr-CA"/>
        </w:rPr>
        <w:t>s’enrôler</w:t>
      </w:r>
      <w:r w:rsidRPr="0046353C">
        <w:rPr>
          <w:sz w:val="22"/>
          <w:lang w:val="fr-CA"/>
        </w:rPr>
        <w:t xml:space="preserve"> le</w:t>
      </w:r>
      <w:r>
        <w:rPr>
          <w:sz w:val="22"/>
          <w:szCs w:val="22"/>
          <w:lang w:val="fr-CA"/>
        </w:rPr>
        <w:t xml:space="preserve"> </w:t>
      </w:r>
      <w:r w:rsidRPr="00217EFC">
        <w:rPr>
          <w:sz w:val="22"/>
          <w:szCs w:val="22"/>
          <w:lang w:val="fr-CA"/>
        </w:rPr>
        <w:t>plus tôt possible</w:t>
      </w:r>
      <w:r>
        <w:rPr>
          <w:sz w:val="22"/>
          <w:szCs w:val="22"/>
          <w:lang w:val="fr-CA"/>
        </w:rPr>
        <w:t xml:space="preserve"> dans les forces impériales</w:t>
      </w:r>
      <w:r w:rsidRPr="00217EFC">
        <w:rPr>
          <w:rStyle w:val="FootnoteReference"/>
          <w:sz w:val="22"/>
          <w:szCs w:val="22"/>
          <w:lang w:val="fr-CA"/>
        </w:rPr>
        <w:footnoteReference w:id="250"/>
      </w:r>
      <w:r w:rsidRPr="00217EFC">
        <w:rPr>
          <w:sz w:val="22"/>
          <w:szCs w:val="22"/>
          <w:lang w:val="fr-CA"/>
        </w:rPr>
        <w:t xml:space="preserve">. </w:t>
      </w:r>
      <w:r>
        <w:rPr>
          <w:sz w:val="22"/>
          <w:szCs w:val="22"/>
          <w:lang w:val="fr-CA"/>
        </w:rPr>
        <w:t>V</w:t>
      </w:r>
      <w:r w:rsidRPr="00217EFC">
        <w:rPr>
          <w:sz w:val="22"/>
          <w:szCs w:val="22"/>
          <w:lang w:val="fr-CA"/>
        </w:rPr>
        <w:t xml:space="preserve">ers la fin d’octobre 1917, une équipe </w:t>
      </w:r>
      <w:r>
        <w:rPr>
          <w:sz w:val="22"/>
          <w:szCs w:val="22"/>
          <w:lang w:val="fr-CA"/>
        </w:rPr>
        <w:t xml:space="preserve">canadienne </w:t>
      </w:r>
      <w:r w:rsidRPr="00217EFC">
        <w:rPr>
          <w:sz w:val="22"/>
          <w:szCs w:val="22"/>
          <w:lang w:val="fr-CA"/>
        </w:rPr>
        <w:t>de recruteur</w:t>
      </w:r>
      <w:r>
        <w:rPr>
          <w:sz w:val="22"/>
          <w:szCs w:val="22"/>
          <w:lang w:val="fr-CA"/>
        </w:rPr>
        <w:t>s</w:t>
      </w:r>
      <w:r w:rsidRPr="00217EFC">
        <w:rPr>
          <w:sz w:val="22"/>
          <w:szCs w:val="22"/>
          <w:lang w:val="fr-CA"/>
        </w:rPr>
        <w:t xml:space="preserve"> est </w:t>
      </w:r>
      <w:r>
        <w:rPr>
          <w:sz w:val="22"/>
          <w:szCs w:val="22"/>
          <w:lang w:val="fr-CA"/>
        </w:rPr>
        <w:t xml:space="preserve">créée et </w:t>
      </w:r>
      <w:r w:rsidRPr="00217EFC">
        <w:rPr>
          <w:sz w:val="22"/>
          <w:szCs w:val="22"/>
          <w:lang w:val="fr-CA"/>
        </w:rPr>
        <w:t>commandée par le lieutenant Chevalier</w:t>
      </w:r>
      <w:r>
        <w:rPr>
          <w:sz w:val="22"/>
          <w:szCs w:val="22"/>
          <w:lang w:val="fr-CA"/>
        </w:rPr>
        <w:t xml:space="preserve"> qui a </w:t>
      </w:r>
      <w:r w:rsidRPr="00217EFC">
        <w:rPr>
          <w:sz w:val="22"/>
          <w:szCs w:val="22"/>
          <w:lang w:val="fr-CA"/>
        </w:rPr>
        <w:t>servi pendant un an et demi dans les tranché</w:t>
      </w:r>
      <w:r w:rsidR="00DB5D0B">
        <w:rPr>
          <w:sz w:val="22"/>
          <w:szCs w:val="22"/>
          <w:lang w:val="fr-CA"/>
        </w:rPr>
        <w:t>e</w:t>
      </w:r>
      <w:r w:rsidRPr="00217EFC">
        <w:rPr>
          <w:sz w:val="22"/>
          <w:szCs w:val="22"/>
          <w:lang w:val="fr-CA"/>
        </w:rPr>
        <w:t>s avec la compagnie francophone du 14</w:t>
      </w:r>
      <w:r w:rsidRPr="00217EFC">
        <w:rPr>
          <w:sz w:val="22"/>
          <w:szCs w:val="22"/>
          <w:vertAlign w:val="superscript"/>
          <w:lang w:val="fr-CA"/>
        </w:rPr>
        <w:t>e</w:t>
      </w:r>
      <w:r w:rsidRPr="00217EFC">
        <w:rPr>
          <w:sz w:val="22"/>
          <w:szCs w:val="22"/>
          <w:lang w:val="fr-CA"/>
        </w:rPr>
        <w:t xml:space="preserve"> </w:t>
      </w:r>
      <w:r>
        <w:rPr>
          <w:sz w:val="22"/>
          <w:szCs w:val="22"/>
          <w:lang w:val="fr-CA"/>
        </w:rPr>
        <w:t>Bataillon</w:t>
      </w:r>
      <w:r w:rsidRPr="00217EFC">
        <w:rPr>
          <w:sz w:val="22"/>
          <w:szCs w:val="22"/>
          <w:lang w:val="fr-CA"/>
        </w:rPr>
        <w:t>, pour ensuite être transféré avec le 22</w:t>
      </w:r>
      <w:r w:rsidRPr="00217EFC">
        <w:rPr>
          <w:sz w:val="22"/>
          <w:szCs w:val="22"/>
          <w:vertAlign w:val="superscript"/>
          <w:lang w:val="fr-CA"/>
        </w:rPr>
        <w:t>e</w:t>
      </w:r>
      <w:r w:rsidRPr="00217EFC">
        <w:rPr>
          <w:sz w:val="22"/>
          <w:szCs w:val="22"/>
          <w:lang w:val="fr-CA"/>
        </w:rPr>
        <w:t xml:space="preserve"> </w:t>
      </w:r>
      <w:r>
        <w:rPr>
          <w:sz w:val="22"/>
          <w:szCs w:val="22"/>
          <w:lang w:val="fr-CA"/>
        </w:rPr>
        <w:t>Bataillon</w:t>
      </w:r>
      <w:r w:rsidRPr="00217EFC">
        <w:rPr>
          <w:rStyle w:val="FootnoteReference"/>
          <w:sz w:val="22"/>
          <w:szCs w:val="22"/>
          <w:lang w:val="fr-CA"/>
        </w:rPr>
        <w:footnoteReference w:id="251"/>
      </w:r>
      <w:r w:rsidRPr="00217EFC">
        <w:rPr>
          <w:sz w:val="22"/>
          <w:szCs w:val="22"/>
          <w:lang w:val="fr-CA"/>
        </w:rPr>
        <w:t xml:space="preserve">. </w:t>
      </w:r>
      <w:r>
        <w:rPr>
          <w:sz w:val="22"/>
          <w:szCs w:val="22"/>
          <w:lang w:val="fr-CA"/>
        </w:rPr>
        <w:t xml:space="preserve">Son </w:t>
      </w:r>
      <w:r w:rsidRPr="00DD1148">
        <w:rPr>
          <w:sz w:val="22"/>
          <w:szCs w:val="22"/>
          <w:lang w:val="fr-CA"/>
        </w:rPr>
        <w:t>r</w:t>
      </w:r>
      <w:r>
        <w:rPr>
          <w:sz w:val="22"/>
          <w:szCs w:val="22"/>
          <w:lang w:val="fr-CA"/>
        </w:rPr>
        <w:t xml:space="preserve">ôle est de stimuler l’enrôlement des Franco-Américains et des Canadiens français dans le Corps expéditionnaire canadien. </w:t>
      </w:r>
      <w:r w:rsidRPr="00217EFC">
        <w:rPr>
          <w:sz w:val="22"/>
          <w:szCs w:val="22"/>
          <w:lang w:val="fr-CA"/>
        </w:rPr>
        <w:t xml:space="preserve">De plus, la propagande du Conseil de la Milice </w:t>
      </w:r>
      <w:r>
        <w:rPr>
          <w:sz w:val="22"/>
          <w:szCs w:val="22"/>
          <w:lang w:val="fr-CA"/>
        </w:rPr>
        <w:t xml:space="preserve">canadienne </w:t>
      </w:r>
      <w:r w:rsidRPr="00217EFC">
        <w:rPr>
          <w:sz w:val="22"/>
          <w:szCs w:val="22"/>
          <w:lang w:val="fr-CA"/>
        </w:rPr>
        <w:t xml:space="preserve">exhorte les conscrits </w:t>
      </w:r>
      <w:r>
        <w:rPr>
          <w:sz w:val="22"/>
          <w:szCs w:val="22"/>
          <w:lang w:val="fr-CA"/>
        </w:rPr>
        <w:t xml:space="preserve">canadiens </w:t>
      </w:r>
      <w:r w:rsidRPr="00217EFC">
        <w:rPr>
          <w:sz w:val="22"/>
          <w:szCs w:val="22"/>
          <w:lang w:val="fr-CA"/>
        </w:rPr>
        <w:t>à se rapporter avant le 11 novembre 1917, date où «</w:t>
      </w:r>
      <w:r w:rsidR="00DB5D0B">
        <w:rPr>
          <w:sz w:val="22"/>
          <w:szCs w:val="22"/>
          <w:lang w:val="fr-CA"/>
        </w:rPr>
        <w:t> </w:t>
      </w:r>
      <w:r w:rsidRPr="00217EFC">
        <w:rPr>
          <w:sz w:val="22"/>
          <w:szCs w:val="22"/>
          <w:lang w:val="fr-CA"/>
        </w:rPr>
        <w:t>l’épithète de déserteur</w:t>
      </w:r>
      <w:r w:rsidR="00DB5D0B">
        <w:rPr>
          <w:sz w:val="22"/>
          <w:szCs w:val="22"/>
          <w:lang w:val="fr-CA"/>
        </w:rPr>
        <w:t> </w:t>
      </w:r>
      <w:r w:rsidRPr="00217EFC">
        <w:rPr>
          <w:sz w:val="22"/>
          <w:szCs w:val="22"/>
          <w:lang w:val="fr-CA"/>
        </w:rPr>
        <w:t>»</w:t>
      </w:r>
      <w:r w:rsidRPr="00217EFC">
        <w:rPr>
          <w:rStyle w:val="FootnoteReference"/>
          <w:sz w:val="22"/>
          <w:szCs w:val="22"/>
          <w:lang w:val="fr-CA"/>
        </w:rPr>
        <w:footnoteReference w:id="252"/>
      </w:r>
      <w:r w:rsidRPr="00217EFC">
        <w:rPr>
          <w:sz w:val="22"/>
          <w:szCs w:val="22"/>
          <w:lang w:val="fr-CA"/>
        </w:rPr>
        <w:t xml:space="preserve"> sera </w:t>
      </w:r>
      <w:r>
        <w:rPr>
          <w:sz w:val="22"/>
          <w:szCs w:val="22"/>
          <w:lang w:val="fr-CA"/>
        </w:rPr>
        <w:t xml:space="preserve">accolée </w:t>
      </w:r>
      <w:r w:rsidRPr="00217EFC">
        <w:rPr>
          <w:sz w:val="22"/>
          <w:szCs w:val="22"/>
          <w:lang w:val="fr-CA"/>
        </w:rPr>
        <w:t>au nom des gens qui ne se seront pas conformés à la loi du service militaire</w:t>
      </w:r>
      <w:r w:rsidRPr="00217EFC">
        <w:rPr>
          <w:rStyle w:val="FootnoteReference"/>
          <w:sz w:val="22"/>
          <w:szCs w:val="22"/>
          <w:lang w:val="fr-CA"/>
        </w:rPr>
        <w:footnoteReference w:id="253"/>
      </w:r>
      <w:r w:rsidRPr="00217EFC">
        <w:rPr>
          <w:sz w:val="22"/>
          <w:szCs w:val="22"/>
          <w:lang w:val="fr-CA"/>
        </w:rPr>
        <w:t xml:space="preserve">. </w:t>
      </w:r>
      <w:r>
        <w:rPr>
          <w:sz w:val="22"/>
          <w:szCs w:val="22"/>
          <w:lang w:val="fr-CA"/>
        </w:rPr>
        <w:t>U</w:t>
      </w:r>
      <w:r w:rsidRPr="00217EFC">
        <w:rPr>
          <w:sz w:val="22"/>
          <w:szCs w:val="22"/>
          <w:lang w:val="fr-CA"/>
        </w:rPr>
        <w:t>n bureau de recrutement pour les sujets britannique</w:t>
      </w:r>
      <w:r>
        <w:rPr>
          <w:sz w:val="22"/>
          <w:szCs w:val="22"/>
          <w:lang w:val="fr-CA"/>
        </w:rPr>
        <w:t>s</w:t>
      </w:r>
      <w:r w:rsidRPr="00217EFC">
        <w:rPr>
          <w:sz w:val="22"/>
          <w:szCs w:val="22"/>
          <w:lang w:val="fr-CA"/>
        </w:rPr>
        <w:t xml:space="preserve"> est établi en décembre 1917, à Manchester, par le colonel Jamieson et le major Guy Boyer. Ce dernier a servi deux ans en Europe, avec le 22</w:t>
      </w:r>
      <w:r w:rsidRPr="00217EFC">
        <w:rPr>
          <w:sz w:val="22"/>
          <w:szCs w:val="22"/>
          <w:vertAlign w:val="superscript"/>
          <w:lang w:val="fr-CA"/>
        </w:rPr>
        <w:t>e</w:t>
      </w:r>
      <w:r w:rsidRPr="00217EFC">
        <w:rPr>
          <w:sz w:val="22"/>
          <w:szCs w:val="22"/>
          <w:lang w:val="fr-CA"/>
        </w:rPr>
        <w:t xml:space="preserve"> </w:t>
      </w:r>
      <w:r>
        <w:rPr>
          <w:sz w:val="22"/>
          <w:szCs w:val="22"/>
          <w:lang w:val="fr-CA"/>
        </w:rPr>
        <w:t>Bataillon</w:t>
      </w:r>
      <w:r w:rsidRPr="00217EFC">
        <w:rPr>
          <w:sz w:val="22"/>
          <w:szCs w:val="22"/>
          <w:lang w:val="fr-CA"/>
        </w:rPr>
        <w:t xml:space="preserve">, où il a été blessé au visage et à l’œil, le 23 mars 1916. Il sera le chef </w:t>
      </w:r>
      <w:r>
        <w:rPr>
          <w:sz w:val="22"/>
          <w:szCs w:val="22"/>
          <w:lang w:val="fr-CA"/>
        </w:rPr>
        <w:t xml:space="preserve">du </w:t>
      </w:r>
      <w:r w:rsidRPr="00217EFC">
        <w:rPr>
          <w:sz w:val="22"/>
          <w:szCs w:val="22"/>
          <w:lang w:val="fr-CA"/>
        </w:rPr>
        <w:t>recrutement pour le Vermont et le New Hampshire</w:t>
      </w:r>
      <w:r w:rsidRPr="00217EFC">
        <w:rPr>
          <w:rStyle w:val="FootnoteReference"/>
          <w:sz w:val="22"/>
          <w:szCs w:val="22"/>
          <w:lang w:val="fr-CA"/>
        </w:rPr>
        <w:footnoteReference w:id="254"/>
      </w:r>
      <w:r w:rsidRPr="00217EFC">
        <w:rPr>
          <w:sz w:val="22"/>
          <w:szCs w:val="22"/>
          <w:lang w:val="fr-CA"/>
        </w:rPr>
        <w:t>. En décembre 1917 le sergent Choquette, du 22</w:t>
      </w:r>
      <w:r w:rsidRPr="00217EFC">
        <w:rPr>
          <w:sz w:val="22"/>
          <w:szCs w:val="22"/>
          <w:vertAlign w:val="superscript"/>
          <w:lang w:val="fr-CA"/>
        </w:rPr>
        <w:t>e</w:t>
      </w:r>
      <w:r w:rsidRPr="00217EFC">
        <w:rPr>
          <w:sz w:val="22"/>
          <w:szCs w:val="22"/>
          <w:lang w:val="fr-CA"/>
        </w:rPr>
        <w:t xml:space="preserve"> </w:t>
      </w:r>
      <w:r>
        <w:rPr>
          <w:sz w:val="22"/>
          <w:szCs w:val="22"/>
          <w:lang w:val="fr-CA"/>
        </w:rPr>
        <w:t>Bataillon,</w:t>
      </w:r>
      <w:r w:rsidRPr="00217EFC">
        <w:rPr>
          <w:sz w:val="22"/>
          <w:szCs w:val="22"/>
          <w:lang w:val="fr-CA"/>
        </w:rPr>
        <w:t xml:space="preserve"> se joint à eux. Pendant la campagne de la Somme, </w:t>
      </w:r>
      <w:r>
        <w:rPr>
          <w:sz w:val="22"/>
          <w:szCs w:val="22"/>
          <w:lang w:val="fr-CA"/>
        </w:rPr>
        <w:t xml:space="preserve">ce dernier est </w:t>
      </w:r>
      <w:r w:rsidRPr="00217EFC">
        <w:rPr>
          <w:sz w:val="22"/>
          <w:szCs w:val="22"/>
          <w:lang w:val="fr-CA"/>
        </w:rPr>
        <w:t xml:space="preserve">blessé à la hanche, </w:t>
      </w:r>
      <w:r w:rsidRPr="00217EFC">
        <w:rPr>
          <w:sz w:val="22"/>
          <w:szCs w:val="22"/>
          <w:lang w:val="fr-CA"/>
        </w:rPr>
        <w:lastRenderedPageBreak/>
        <w:t>le 1</w:t>
      </w:r>
      <w:r w:rsidRPr="00217EFC">
        <w:rPr>
          <w:sz w:val="22"/>
          <w:szCs w:val="22"/>
          <w:vertAlign w:val="superscript"/>
          <w:lang w:val="fr-CA"/>
        </w:rPr>
        <w:t>er</w:t>
      </w:r>
      <w:r w:rsidRPr="00217EFC">
        <w:rPr>
          <w:sz w:val="22"/>
          <w:szCs w:val="22"/>
          <w:lang w:val="fr-CA"/>
        </w:rPr>
        <w:t xml:space="preserve"> octobre 1916</w:t>
      </w:r>
      <w:r w:rsidRPr="00217EFC">
        <w:rPr>
          <w:rStyle w:val="FootnoteReference"/>
          <w:sz w:val="22"/>
          <w:szCs w:val="22"/>
          <w:lang w:val="fr-CA"/>
        </w:rPr>
        <w:footnoteReference w:id="255"/>
      </w:r>
      <w:r w:rsidRPr="00217EFC">
        <w:rPr>
          <w:sz w:val="22"/>
          <w:szCs w:val="22"/>
          <w:lang w:val="fr-CA"/>
        </w:rPr>
        <w:t xml:space="preserve">. De plus, le bureau </w:t>
      </w:r>
      <w:r>
        <w:rPr>
          <w:sz w:val="22"/>
          <w:szCs w:val="22"/>
          <w:lang w:val="fr-CA"/>
        </w:rPr>
        <w:t>de recrutement défraie les coûts</w:t>
      </w:r>
      <w:r w:rsidRPr="00217EFC">
        <w:rPr>
          <w:sz w:val="22"/>
          <w:szCs w:val="22"/>
          <w:lang w:val="fr-CA"/>
        </w:rPr>
        <w:t xml:space="preserve"> pour de la publicité </w:t>
      </w:r>
      <w:r>
        <w:rPr>
          <w:sz w:val="22"/>
          <w:szCs w:val="22"/>
          <w:lang w:val="fr-CA"/>
        </w:rPr>
        <w:t>afin d’</w:t>
      </w:r>
      <w:r w:rsidRPr="00217EFC">
        <w:rPr>
          <w:sz w:val="22"/>
          <w:szCs w:val="22"/>
          <w:lang w:val="fr-CA"/>
        </w:rPr>
        <w:t xml:space="preserve">inciter les Canadiens de la région à s’engager dans le </w:t>
      </w:r>
      <w:r>
        <w:rPr>
          <w:sz w:val="22"/>
          <w:szCs w:val="22"/>
          <w:lang w:val="fr-CA"/>
        </w:rPr>
        <w:t>Corps expéditionnaire</w:t>
      </w:r>
      <w:r w:rsidRPr="00217EFC">
        <w:rPr>
          <w:sz w:val="22"/>
          <w:szCs w:val="22"/>
          <w:lang w:val="fr-CA"/>
        </w:rPr>
        <w:t xml:space="preserve"> </w:t>
      </w:r>
      <w:r>
        <w:rPr>
          <w:sz w:val="22"/>
          <w:szCs w:val="22"/>
          <w:lang w:val="fr-CA"/>
        </w:rPr>
        <w:t>c</w:t>
      </w:r>
      <w:r w:rsidRPr="00217EFC">
        <w:rPr>
          <w:sz w:val="22"/>
          <w:szCs w:val="22"/>
          <w:lang w:val="fr-CA"/>
        </w:rPr>
        <w:t>anadien</w:t>
      </w:r>
      <w:r w:rsidRPr="00217EFC">
        <w:rPr>
          <w:rStyle w:val="FootnoteReference"/>
          <w:sz w:val="22"/>
          <w:szCs w:val="22"/>
          <w:lang w:val="fr-CA"/>
        </w:rPr>
        <w:footnoteReference w:id="256"/>
      </w:r>
      <w:r w:rsidRPr="00217EFC">
        <w:rPr>
          <w:sz w:val="22"/>
          <w:szCs w:val="22"/>
          <w:lang w:val="fr-CA"/>
        </w:rPr>
        <w:t xml:space="preserve">. </w:t>
      </w:r>
    </w:p>
    <w:p w14:paraId="1130D079" w14:textId="77777777" w:rsidR="000264D6" w:rsidRPr="00217EFC" w:rsidRDefault="000264D6" w:rsidP="002B5319">
      <w:pPr>
        <w:spacing w:before="100" w:beforeAutospacing="1" w:after="100" w:afterAutospacing="1"/>
        <w:ind w:firstLine="720"/>
        <w:jc w:val="both"/>
        <w:rPr>
          <w:sz w:val="22"/>
          <w:szCs w:val="22"/>
          <w:lang w:val="fr-CA"/>
        </w:rPr>
      </w:pPr>
      <w:r w:rsidRPr="00425A7A">
        <w:rPr>
          <w:i/>
          <w:sz w:val="22"/>
          <w:szCs w:val="22"/>
          <w:lang w:val="fr-CA"/>
        </w:rPr>
        <w:t>L’Avenir national</w:t>
      </w:r>
      <w:r>
        <w:rPr>
          <w:sz w:val="22"/>
          <w:szCs w:val="22"/>
          <w:lang w:val="fr-CA"/>
        </w:rPr>
        <w:t xml:space="preserve"> rapporte les informations divulguées par le</w:t>
      </w:r>
      <w:r w:rsidRPr="00217EFC">
        <w:rPr>
          <w:sz w:val="22"/>
          <w:szCs w:val="22"/>
          <w:lang w:val="fr-CA"/>
        </w:rPr>
        <w:t xml:space="preserve"> ministère de la Milice et de la Défense </w:t>
      </w:r>
      <w:r>
        <w:rPr>
          <w:sz w:val="22"/>
          <w:szCs w:val="22"/>
          <w:lang w:val="fr-CA"/>
        </w:rPr>
        <w:t>qui précisent</w:t>
      </w:r>
      <w:r w:rsidRPr="00217EFC">
        <w:rPr>
          <w:sz w:val="22"/>
          <w:szCs w:val="22"/>
          <w:lang w:val="fr-CA"/>
        </w:rPr>
        <w:t xml:space="preserve"> les premières pertes de volontaires franco-américains qui servent </w:t>
      </w:r>
      <w:r>
        <w:rPr>
          <w:sz w:val="22"/>
          <w:szCs w:val="22"/>
          <w:lang w:val="fr-CA"/>
        </w:rPr>
        <w:t xml:space="preserve">dans </w:t>
      </w:r>
      <w:r w:rsidRPr="00217EFC">
        <w:rPr>
          <w:sz w:val="22"/>
          <w:szCs w:val="22"/>
          <w:lang w:val="fr-CA"/>
        </w:rPr>
        <w:t xml:space="preserve">le premier contingent canadien. Sept soldats venant des États-Unis sont tués ou blessés lors d’une attaque allemande aux gaz asphyxiants. Parmi eux, on rapporte que le </w:t>
      </w:r>
      <w:r>
        <w:rPr>
          <w:sz w:val="22"/>
          <w:szCs w:val="22"/>
          <w:lang w:val="fr-CA"/>
        </w:rPr>
        <w:t>s</w:t>
      </w:r>
      <w:r w:rsidRPr="00217EFC">
        <w:rPr>
          <w:sz w:val="22"/>
          <w:szCs w:val="22"/>
          <w:lang w:val="fr-CA"/>
        </w:rPr>
        <w:t xml:space="preserve">oldat D. E. Côté, de Littleton du New Hampshire, est décédé et que deux autres personnes </w:t>
      </w:r>
      <w:r>
        <w:rPr>
          <w:sz w:val="22"/>
          <w:szCs w:val="22"/>
          <w:lang w:val="fr-CA"/>
        </w:rPr>
        <w:t xml:space="preserve">de </w:t>
      </w:r>
      <w:r w:rsidRPr="00217EFC">
        <w:rPr>
          <w:sz w:val="22"/>
          <w:szCs w:val="22"/>
          <w:lang w:val="fr-CA"/>
        </w:rPr>
        <w:t>la Nouvelle-Angleterre sont rapportées disparues</w:t>
      </w:r>
      <w:r w:rsidRPr="00217EFC">
        <w:rPr>
          <w:rStyle w:val="FootnoteReference"/>
          <w:sz w:val="22"/>
          <w:szCs w:val="22"/>
          <w:lang w:val="fr-CA"/>
        </w:rPr>
        <w:footnoteReference w:id="257"/>
      </w:r>
      <w:r w:rsidRPr="00217EFC">
        <w:rPr>
          <w:sz w:val="22"/>
          <w:szCs w:val="22"/>
          <w:lang w:val="fr-CA"/>
        </w:rPr>
        <w:t xml:space="preserve">. Plus tard, </w:t>
      </w:r>
      <w:r w:rsidRPr="00217EFC">
        <w:rPr>
          <w:i/>
          <w:iCs/>
          <w:sz w:val="22"/>
          <w:szCs w:val="22"/>
          <w:lang w:val="fr-CA"/>
        </w:rPr>
        <w:t>L’Avenir National</w:t>
      </w:r>
      <w:r w:rsidRPr="00217EFC">
        <w:rPr>
          <w:sz w:val="22"/>
          <w:szCs w:val="22"/>
          <w:lang w:val="fr-CA"/>
        </w:rPr>
        <w:t xml:space="preserve"> </w:t>
      </w:r>
      <w:r>
        <w:rPr>
          <w:sz w:val="22"/>
          <w:szCs w:val="22"/>
          <w:lang w:val="fr-CA"/>
        </w:rPr>
        <w:t>indique</w:t>
      </w:r>
      <w:r w:rsidRPr="00217EFC">
        <w:rPr>
          <w:sz w:val="22"/>
          <w:szCs w:val="22"/>
          <w:lang w:val="fr-CA"/>
        </w:rPr>
        <w:t xml:space="preserve"> que Harry George, vingt ans, de Meredith au New Hampshire, est en convalescence à Québec. Il fait parti</w:t>
      </w:r>
      <w:r>
        <w:rPr>
          <w:sz w:val="22"/>
          <w:szCs w:val="22"/>
          <w:lang w:val="fr-CA"/>
        </w:rPr>
        <w:t>e</w:t>
      </w:r>
      <w:r w:rsidRPr="00217EFC">
        <w:rPr>
          <w:sz w:val="22"/>
          <w:szCs w:val="22"/>
          <w:lang w:val="fr-CA"/>
        </w:rPr>
        <w:t xml:space="preserve"> des premières victimes des gaz asphyxiants. D’ailleurs, il comptait parmi les 400 survivants de la bataille d’Ypres (22 avril 1915) et, en juillet 1915, il est à nouveau victime d’une attaque aux gaz </w:t>
      </w:r>
      <w:r>
        <w:rPr>
          <w:sz w:val="22"/>
          <w:szCs w:val="22"/>
          <w:lang w:val="fr-CA"/>
        </w:rPr>
        <w:t xml:space="preserve">à la suite de laquelle il </w:t>
      </w:r>
      <w:r w:rsidRPr="00217EFC">
        <w:rPr>
          <w:sz w:val="22"/>
          <w:szCs w:val="22"/>
          <w:lang w:val="fr-CA"/>
        </w:rPr>
        <w:t>a dû être évacué du front de façon permanente</w:t>
      </w:r>
      <w:r w:rsidRPr="00217EFC">
        <w:rPr>
          <w:rStyle w:val="FootnoteReference"/>
          <w:sz w:val="22"/>
          <w:szCs w:val="22"/>
          <w:lang w:val="fr-CA"/>
        </w:rPr>
        <w:footnoteReference w:id="258"/>
      </w:r>
      <w:r w:rsidRPr="00217EFC">
        <w:rPr>
          <w:sz w:val="22"/>
          <w:szCs w:val="22"/>
          <w:lang w:val="fr-CA"/>
        </w:rPr>
        <w:t>.</w:t>
      </w:r>
    </w:p>
    <w:p w14:paraId="18BA728C" w14:textId="77777777" w:rsidR="000264D6" w:rsidRDefault="000264D6" w:rsidP="002B5319">
      <w:pPr>
        <w:spacing w:before="100" w:beforeAutospacing="1" w:after="100" w:afterAutospacing="1"/>
        <w:ind w:firstLine="720"/>
        <w:jc w:val="both"/>
        <w:rPr>
          <w:sz w:val="22"/>
          <w:szCs w:val="22"/>
          <w:lang w:val="fr-CA"/>
        </w:rPr>
      </w:pPr>
      <w:r>
        <w:rPr>
          <w:sz w:val="22"/>
          <w:szCs w:val="22"/>
          <w:lang w:val="fr-CA"/>
        </w:rPr>
        <w:t>L</w:t>
      </w:r>
      <w:r w:rsidRPr="00217EFC">
        <w:rPr>
          <w:sz w:val="22"/>
          <w:szCs w:val="22"/>
          <w:lang w:val="fr-CA"/>
        </w:rPr>
        <w:t xml:space="preserve">a liste des blessés francophones qui servent </w:t>
      </w:r>
      <w:r>
        <w:rPr>
          <w:sz w:val="22"/>
          <w:szCs w:val="22"/>
          <w:lang w:val="fr-CA"/>
        </w:rPr>
        <w:t xml:space="preserve">dans </w:t>
      </w:r>
      <w:r w:rsidRPr="00217EFC">
        <w:rPr>
          <w:sz w:val="22"/>
          <w:szCs w:val="22"/>
          <w:lang w:val="fr-CA"/>
        </w:rPr>
        <w:t xml:space="preserve">le </w:t>
      </w:r>
      <w:r>
        <w:rPr>
          <w:sz w:val="22"/>
          <w:szCs w:val="22"/>
          <w:lang w:val="fr-CA"/>
        </w:rPr>
        <w:t>Corps expéditionnaire</w:t>
      </w:r>
      <w:r w:rsidRPr="00217EFC">
        <w:rPr>
          <w:sz w:val="22"/>
          <w:szCs w:val="22"/>
          <w:lang w:val="fr-CA"/>
        </w:rPr>
        <w:t xml:space="preserve"> canadien est publié</w:t>
      </w:r>
      <w:r>
        <w:rPr>
          <w:sz w:val="22"/>
          <w:szCs w:val="22"/>
          <w:lang w:val="fr-CA"/>
        </w:rPr>
        <w:t>e</w:t>
      </w:r>
      <w:r w:rsidRPr="00217EFC">
        <w:rPr>
          <w:sz w:val="22"/>
          <w:szCs w:val="22"/>
          <w:lang w:val="fr-CA"/>
        </w:rPr>
        <w:t xml:space="preserve"> </w:t>
      </w:r>
      <w:r>
        <w:rPr>
          <w:sz w:val="22"/>
          <w:szCs w:val="22"/>
          <w:lang w:val="fr-CA"/>
        </w:rPr>
        <w:t>régulièrement</w:t>
      </w:r>
      <w:r w:rsidRPr="00217EFC">
        <w:rPr>
          <w:sz w:val="22"/>
          <w:szCs w:val="22"/>
          <w:lang w:val="fr-CA"/>
        </w:rPr>
        <w:t xml:space="preserve"> dans </w:t>
      </w:r>
      <w:r w:rsidRPr="0064176A">
        <w:rPr>
          <w:i/>
          <w:iCs/>
          <w:sz w:val="22"/>
          <w:szCs w:val="22"/>
          <w:lang w:val="fr-CA"/>
        </w:rPr>
        <w:t xml:space="preserve">L’Avenir </w:t>
      </w:r>
      <w:r>
        <w:rPr>
          <w:i/>
          <w:iCs/>
          <w:sz w:val="22"/>
          <w:szCs w:val="22"/>
          <w:lang w:val="fr-CA"/>
        </w:rPr>
        <w:t>N</w:t>
      </w:r>
      <w:r w:rsidRPr="0064176A">
        <w:rPr>
          <w:i/>
          <w:iCs/>
          <w:sz w:val="22"/>
          <w:szCs w:val="22"/>
          <w:lang w:val="fr-CA"/>
        </w:rPr>
        <w:t>ational</w:t>
      </w:r>
      <w:r w:rsidRPr="00217EFC">
        <w:rPr>
          <w:rStyle w:val="FootnoteReference"/>
          <w:sz w:val="22"/>
          <w:szCs w:val="22"/>
          <w:lang w:val="fr-CA"/>
        </w:rPr>
        <w:footnoteReference w:id="259"/>
      </w:r>
      <w:r w:rsidRPr="00217EFC">
        <w:rPr>
          <w:sz w:val="22"/>
          <w:szCs w:val="22"/>
          <w:lang w:val="fr-CA"/>
        </w:rPr>
        <w:t xml:space="preserve">. On annonce le retour du Lt Hector Routier, fils de bijoutier de Manchester, qui est rapatrié à Halifax, le 8 novembre 1916. Ce dernier est blessé dès le début de la </w:t>
      </w:r>
      <w:r>
        <w:rPr>
          <w:sz w:val="22"/>
          <w:szCs w:val="22"/>
          <w:lang w:val="fr-CA"/>
        </w:rPr>
        <w:t xml:space="preserve">bataille </w:t>
      </w:r>
      <w:r w:rsidRPr="00217EFC">
        <w:rPr>
          <w:sz w:val="22"/>
          <w:szCs w:val="22"/>
          <w:lang w:val="fr-CA"/>
        </w:rPr>
        <w:t xml:space="preserve">de Courcelette, le 15 septembre 1916. Il </w:t>
      </w:r>
      <w:r>
        <w:rPr>
          <w:sz w:val="22"/>
          <w:szCs w:val="22"/>
          <w:lang w:val="fr-CA"/>
        </w:rPr>
        <w:t xml:space="preserve">s’est </w:t>
      </w:r>
      <w:r w:rsidRPr="00217EFC">
        <w:rPr>
          <w:sz w:val="22"/>
          <w:szCs w:val="22"/>
          <w:lang w:val="fr-CA"/>
        </w:rPr>
        <w:t xml:space="preserve">fracturé </w:t>
      </w:r>
      <w:r>
        <w:rPr>
          <w:sz w:val="22"/>
          <w:szCs w:val="22"/>
          <w:lang w:val="fr-CA"/>
        </w:rPr>
        <w:t xml:space="preserve">une </w:t>
      </w:r>
      <w:r w:rsidRPr="00217EFC">
        <w:rPr>
          <w:sz w:val="22"/>
          <w:szCs w:val="22"/>
          <w:lang w:val="fr-CA"/>
        </w:rPr>
        <w:t xml:space="preserve">cheville et </w:t>
      </w:r>
      <w:r>
        <w:rPr>
          <w:sz w:val="22"/>
          <w:szCs w:val="22"/>
          <w:lang w:val="fr-CA"/>
        </w:rPr>
        <w:t xml:space="preserve">s’est </w:t>
      </w:r>
      <w:r w:rsidRPr="00217EFC">
        <w:rPr>
          <w:sz w:val="22"/>
          <w:szCs w:val="22"/>
          <w:lang w:val="fr-CA"/>
        </w:rPr>
        <w:t xml:space="preserve">blessé </w:t>
      </w:r>
      <w:r>
        <w:rPr>
          <w:sz w:val="22"/>
          <w:szCs w:val="22"/>
          <w:lang w:val="fr-CA"/>
        </w:rPr>
        <w:t xml:space="preserve">le </w:t>
      </w:r>
      <w:r w:rsidRPr="00217EFC">
        <w:rPr>
          <w:sz w:val="22"/>
          <w:szCs w:val="22"/>
          <w:lang w:val="fr-CA"/>
        </w:rPr>
        <w:t xml:space="preserve">dos. De plus, son dossier médical indique </w:t>
      </w:r>
      <w:r>
        <w:rPr>
          <w:sz w:val="22"/>
          <w:szCs w:val="22"/>
          <w:lang w:val="fr-CA"/>
        </w:rPr>
        <w:t xml:space="preserve">aussi </w:t>
      </w:r>
      <w:r w:rsidRPr="00217EFC">
        <w:rPr>
          <w:sz w:val="22"/>
          <w:szCs w:val="22"/>
          <w:lang w:val="fr-CA"/>
        </w:rPr>
        <w:t xml:space="preserve">qu’il souffre de ce que l’on appelait à l’époque </w:t>
      </w:r>
      <w:r>
        <w:rPr>
          <w:sz w:val="22"/>
          <w:szCs w:val="22"/>
          <w:lang w:val="fr-CA"/>
        </w:rPr>
        <w:t>le</w:t>
      </w:r>
      <w:r w:rsidRPr="00217EFC">
        <w:rPr>
          <w:sz w:val="22"/>
          <w:szCs w:val="22"/>
          <w:lang w:val="fr-CA"/>
        </w:rPr>
        <w:t xml:space="preserve"> </w:t>
      </w:r>
      <w:r w:rsidRPr="00217EFC">
        <w:rPr>
          <w:i/>
          <w:iCs/>
          <w:sz w:val="22"/>
          <w:szCs w:val="22"/>
          <w:lang w:val="fr-CA"/>
        </w:rPr>
        <w:t>Shell Shock</w:t>
      </w:r>
      <w:r w:rsidRPr="00217EFC">
        <w:rPr>
          <w:sz w:val="22"/>
          <w:szCs w:val="22"/>
          <w:lang w:val="fr-CA"/>
        </w:rPr>
        <w:t xml:space="preserve"> (</w:t>
      </w:r>
      <w:r>
        <w:rPr>
          <w:sz w:val="22"/>
          <w:szCs w:val="22"/>
          <w:lang w:val="fr-CA"/>
        </w:rPr>
        <w:t xml:space="preserve">le </w:t>
      </w:r>
      <w:r w:rsidRPr="00217EFC">
        <w:rPr>
          <w:sz w:val="22"/>
          <w:szCs w:val="22"/>
          <w:lang w:val="fr-CA"/>
        </w:rPr>
        <w:t>cho</w:t>
      </w:r>
      <w:r>
        <w:rPr>
          <w:sz w:val="22"/>
          <w:szCs w:val="22"/>
          <w:lang w:val="fr-CA"/>
        </w:rPr>
        <w:t>c</w:t>
      </w:r>
      <w:r w:rsidRPr="00217EFC">
        <w:rPr>
          <w:sz w:val="22"/>
          <w:szCs w:val="22"/>
          <w:lang w:val="fr-CA"/>
        </w:rPr>
        <w:t xml:space="preserve"> post-traumatique). Il s’est enrôlé le 16 juin 1915</w:t>
      </w:r>
      <w:r w:rsidR="00DB5D0B">
        <w:rPr>
          <w:sz w:val="22"/>
          <w:szCs w:val="22"/>
          <w:lang w:val="fr-CA"/>
        </w:rPr>
        <w:t>,</w:t>
      </w:r>
      <w:r>
        <w:rPr>
          <w:sz w:val="22"/>
          <w:szCs w:val="22"/>
          <w:lang w:val="fr-CA"/>
        </w:rPr>
        <w:t xml:space="preserve"> et il sert dans le </w:t>
      </w:r>
      <w:r w:rsidRPr="00217EFC">
        <w:rPr>
          <w:sz w:val="22"/>
          <w:szCs w:val="22"/>
          <w:lang w:val="fr-CA"/>
        </w:rPr>
        <w:t>41</w:t>
      </w:r>
      <w:r w:rsidRPr="00217EFC">
        <w:rPr>
          <w:sz w:val="22"/>
          <w:szCs w:val="22"/>
          <w:vertAlign w:val="superscript"/>
          <w:lang w:val="fr-CA"/>
        </w:rPr>
        <w:t>e</w:t>
      </w:r>
      <w:r w:rsidRPr="00217EFC">
        <w:rPr>
          <w:sz w:val="22"/>
          <w:szCs w:val="22"/>
          <w:lang w:val="fr-CA"/>
        </w:rPr>
        <w:t xml:space="preserve"> </w:t>
      </w:r>
      <w:r>
        <w:rPr>
          <w:sz w:val="22"/>
          <w:szCs w:val="22"/>
          <w:lang w:val="fr-CA"/>
        </w:rPr>
        <w:t>Bataillon</w:t>
      </w:r>
      <w:r w:rsidRPr="00217EFC">
        <w:rPr>
          <w:sz w:val="22"/>
          <w:szCs w:val="22"/>
          <w:lang w:val="fr-CA"/>
        </w:rPr>
        <w:t xml:space="preserve"> lors de son arrivé</w:t>
      </w:r>
      <w:r>
        <w:rPr>
          <w:sz w:val="22"/>
          <w:szCs w:val="22"/>
          <w:lang w:val="fr-CA"/>
        </w:rPr>
        <w:t>e</w:t>
      </w:r>
      <w:r w:rsidRPr="00217EFC">
        <w:rPr>
          <w:sz w:val="22"/>
          <w:szCs w:val="22"/>
          <w:lang w:val="fr-CA"/>
        </w:rPr>
        <w:t xml:space="preserve"> en France. </w:t>
      </w:r>
      <w:r>
        <w:rPr>
          <w:sz w:val="22"/>
          <w:szCs w:val="22"/>
          <w:lang w:val="fr-CA"/>
        </w:rPr>
        <w:t>Ensuite, c</w:t>
      </w:r>
      <w:r w:rsidRPr="00217EFC">
        <w:rPr>
          <w:sz w:val="22"/>
          <w:szCs w:val="22"/>
          <w:lang w:val="fr-CA"/>
        </w:rPr>
        <w:t>’est en</w:t>
      </w:r>
      <w:r w:rsidRPr="0046353C">
        <w:rPr>
          <w:sz w:val="22"/>
          <w:lang w:val="fr-CA"/>
        </w:rPr>
        <w:t xml:space="preserve"> juillet</w:t>
      </w:r>
      <w:r w:rsidRPr="00217EFC">
        <w:rPr>
          <w:sz w:val="22"/>
          <w:szCs w:val="22"/>
          <w:lang w:val="fr-CA"/>
        </w:rPr>
        <w:t xml:space="preserve"> 1916 que le lieutenant Routier est transféré au 22</w:t>
      </w:r>
      <w:r w:rsidRPr="00217EFC">
        <w:rPr>
          <w:sz w:val="22"/>
          <w:szCs w:val="22"/>
          <w:vertAlign w:val="superscript"/>
          <w:lang w:val="fr-CA"/>
        </w:rPr>
        <w:t>e</w:t>
      </w:r>
      <w:r w:rsidRPr="00217EFC">
        <w:rPr>
          <w:sz w:val="22"/>
          <w:szCs w:val="22"/>
          <w:lang w:val="fr-CA"/>
        </w:rPr>
        <w:t xml:space="preserve"> </w:t>
      </w:r>
      <w:r>
        <w:rPr>
          <w:sz w:val="22"/>
          <w:szCs w:val="22"/>
          <w:lang w:val="fr-CA"/>
        </w:rPr>
        <w:t>Bataillon</w:t>
      </w:r>
      <w:r w:rsidRPr="00217EFC">
        <w:rPr>
          <w:sz w:val="22"/>
          <w:szCs w:val="22"/>
          <w:lang w:val="fr-CA"/>
        </w:rPr>
        <w:t xml:space="preserve"> dans le secteur d’Ypres quelques mois avant la bataille de la Somme</w:t>
      </w:r>
      <w:r w:rsidRPr="00217EFC">
        <w:rPr>
          <w:rStyle w:val="FootnoteReference"/>
          <w:sz w:val="22"/>
          <w:szCs w:val="22"/>
          <w:lang w:val="fr-CA"/>
        </w:rPr>
        <w:footnoteReference w:id="260"/>
      </w:r>
      <w:r w:rsidRPr="00217EFC">
        <w:rPr>
          <w:sz w:val="22"/>
          <w:szCs w:val="22"/>
          <w:lang w:val="fr-CA"/>
        </w:rPr>
        <w:t>.</w:t>
      </w:r>
    </w:p>
    <w:p w14:paraId="43C92E5D" w14:textId="77777777" w:rsidR="000264D6" w:rsidRPr="00217EFC" w:rsidRDefault="000264D6" w:rsidP="002B5319">
      <w:pPr>
        <w:spacing w:before="100" w:beforeAutospacing="1" w:after="100" w:afterAutospacing="1"/>
        <w:ind w:firstLine="720"/>
        <w:jc w:val="both"/>
        <w:rPr>
          <w:sz w:val="22"/>
          <w:szCs w:val="22"/>
          <w:lang w:val="fr-CA"/>
        </w:rPr>
      </w:pPr>
      <w:r>
        <w:rPr>
          <w:sz w:val="22"/>
          <w:szCs w:val="22"/>
          <w:lang w:val="fr-CA"/>
        </w:rPr>
        <w:t>De même</w:t>
      </w:r>
      <w:r w:rsidRPr="00217EFC">
        <w:rPr>
          <w:sz w:val="22"/>
          <w:szCs w:val="22"/>
          <w:lang w:val="fr-CA"/>
        </w:rPr>
        <w:t xml:space="preserve">, </w:t>
      </w:r>
      <w:r w:rsidRPr="00B73861">
        <w:rPr>
          <w:i/>
          <w:iCs/>
          <w:sz w:val="22"/>
          <w:szCs w:val="22"/>
          <w:lang w:val="fr-CA"/>
        </w:rPr>
        <w:t>L’Avenir National</w:t>
      </w:r>
      <w:r>
        <w:rPr>
          <w:sz w:val="22"/>
          <w:szCs w:val="22"/>
          <w:lang w:val="fr-CA"/>
        </w:rPr>
        <w:t xml:space="preserve"> </w:t>
      </w:r>
      <w:r w:rsidRPr="00217EFC">
        <w:rPr>
          <w:sz w:val="22"/>
          <w:szCs w:val="22"/>
          <w:lang w:val="fr-CA"/>
        </w:rPr>
        <w:t>annonce le 11 novembre 1916</w:t>
      </w:r>
      <w:r>
        <w:rPr>
          <w:sz w:val="22"/>
          <w:szCs w:val="22"/>
          <w:lang w:val="fr-CA"/>
        </w:rPr>
        <w:t xml:space="preserve"> </w:t>
      </w:r>
      <w:r w:rsidRPr="00217EFC">
        <w:rPr>
          <w:sz w:val="22"/>
          <w:szCs w:val="22"/>
          <w:lang w:val="fr-CA"/>
        </w:rPr>
        <w:t>le décès du lieutenant Hudon</w:t>
      </w:r>
      <w:r>
        <w:rPr>
          <w:sz w:val="22"/>
          <w:szCs w:val="22"/>
          <w:lang w:val="fr-CA"/>
        </w:rPr>
        <w:t xml:space="preserve"> </w:t>
      </w:r>
      <w:r w:rsidRPr="00217EFC">
        <w:rPr>
          <w:sz w:val="22"/>
          <w:szCs w:val="22"/>
          <w:lang w:val="fr-CA"/>
        </w:rPr>
        <w:t>qui était employé de tramway</w:t>
      </w:r>
      <w:r>
        <w:rPr>
          <w:sz w:val="22"/>
          <w:szCs w:val="22"/>
          <w:lang w:val="fr-CA"/>
        </w:rPr>
        <w:t xml:space="preserve"> à Manchester</w:t>
      </w:r>
      <w:r w:rsidRPr="00217EFC">
        <w:rPr>
          <w:sz w:val="22"/>
          <w:szCs w:val="22"/>
          <w:lang w:val="fr-CA"/>
        </w:rPr>
        <w:t xml:space="preserve">. </w:t>
      </w:r>
      <w:r>
        <w:rPr>
          <w:sz w:val="22"/>
          <w:szCs w:val="22"/>
          <w:lang w:val="fr-CA"/>
        </w:rPr>
        <w:t>Cinq jours après son arrivée au 22</w:t>
      </w:r>
      <w:r w:rsidRPr="00993481">
        <w:rPr>
          <w:sz w:val="22"/>
          <w:szCs w:val="22"/>
          <w:vertAlign w:val="superscript"/>
          <w:lang w:val="fr-CA"/>
        </w:rPr>
        <w:t>e</w:t>
      </w:r>
      <w:r>
        <w:rPr>
          <w:sz w:val="22"/>
          <w:szCs w:val="22"/>
          <w:lang w:val="fr-CA"/>
        </w:rPr>
        <w:t xml:space="preserve"> Bataillon, il est </w:t>
      </w:r>
      <w:r w:rsidRPr="00217EFC">
        <w:rPr>
          <w:sz w:val="22"/>
          <w:szCs w:val="22"/>
          <w:lang w:val="fr-CA"/>
        </w:rPr>
        <w:t>gravement blessé le 13 juillet 1916</w:t>
      </w:r>
      <w:r>
        <w:rPr>
          <w:sz w:val="22"/>
          <w:szCs w:val="22"/>
          <w:lang w:val="fr-CA"/>
        </w:rPr>
        <w:t xml:space="preserve"> </w:t>
      </w:r>
      <w:r w:rsidRPr="00217EFC">
        <w:rPr>
          <w:sz w:val="22"/>
          <w:szCs w:val="22"/>
          <w:lang w:val="fr-CA"/>
        </w:rPr>
        <w:t>à Ypres (St-Éloi)</w:t>
      </w:r>
      <w:r>
        <w:rPr>
          <w:sz w:val="22"/>
          <w:szCs w:val="22"/>
          <w:lang w:val="fr-CA"/>
        </w:rPr>
        <w:t>,</w:t>
      </w:r>
      <w:r w:rsidRPr="00217EFC">
        <w:rPr>
          <w:sz w:val="22"/>
          <w:szCs w:val="22"/>
          <w:lang w:val="fr-CA"/>
        </w:rPr>
        <w:t xml:space="preserve"> par un fragment d’obus de mortier. </w:t>
      </w:r>
      <w:r>
        <w:rPr>
          <w:sz w:val="22"/>
          <w:szCs w:val="22"/>
          <w:lang w:val="fr-CA"/>
        </w:rPr>
        <w:t xml:space="preserve">Après une période de convalescence de trois mois, Hudon </w:t>
      </w:r>
      <w:r w:rsidRPr="00217EFC">
        <w:rPr>
          <w:sz w:val="22"/>
          <w:szCs w:val="22"/>
          <w:lang w:val="fr-CA"/>
        </w:rPr>
        <w:t>retourne au front, le 27 octobre 1916</w:t>
      </w:r>
      <w:r>
        <w:rPr>
          <w:sz w:val="22"/>
          <w:szCs w:val="22"/>
          <w:lang w:val="fr-CA"/>
        </w:rPr>
        <w:t>,</w:t>
      </w:r>
      <w:r w:rsidRPr="00217EFC">
        <w:rPr>
          <w:sz w:val="22"/>
          <w:szCs w:val="22"/>
          <w:lang w:val="fr-CA"/>
        </w:rPr>
        <w:t xml:space="preserve"> et il est tué </w:t>
      </w:r>
      <w:r>
        <w:rPr>
          <w:sz w:val="22"/>
          <w:szCs w:val="22"/>
          <w:lang w:val="fr-CA"/>
        </w:rPr>
        <w:t xml:space="preserve">d’une </w:t>
      </w:r>
      <w:r w:rsidRPr="00217EFC">
        <w:rPr>
          <w:sz w:val="22"/>
          <w:szCs w:val="22"/>
          <w:lang w:val="fr-CA"/>
        </w:rPr>
        <w:t xml:space="preserve">balle à la tête, le 3 novembre 1916, soit une semaine après son retour </w:t>
      </w:r>
      <w:r>
        <w:rPr>
          <w:sz w:val="22"/>
          <w:szCs w:val="22"/>
          <w:lang w:val="fr-CA"/>
        </w:rPr>
        <w:t>au bataillon</w:t>
      </w:r>
      <w:r w:rsidRPr="00217EFC">
        <w:rPr>
          <w:rStyle w:val="FootnoteReference"/>
          <w:sz w:val="22"/>
          <w:szCs w:val="22"/>
          <w:lang w:val="fr-CA"/>
        </w:rPr>
        <w:footnoteReference w:id="261"/>
      </w:r>
      <w:r w:rsidRPr="00217EFC">
        <w:rPr>
          <w:sz w:val="22"/>
          <w:szCs w:val="22"/>
          <w:lang w:val="fr-CA"/>
        </w:rPr>
        <w:t xml:space="preserve">. D’ailleurs, l’aumônier du </w:t>
      </w:r>
      <w:r>
        <w:rPr>
          <w:sz w:val="22"/>
          <w:szCs w:val="22"/>
          <w:lang w:val="fr-CA"/>
        </w:rPr>
        <w:t>22</w:t>
      </w:r>
      <w:r w:rsidRPr="00993481">
        <w:rPr>
          <w:sz w:val="22"/>
          <w:szCs w:val="22"/>
          <w:vertAlign w:val="superscript"/>
          <w:lang w:val="fr-CA"/>
        </w:rPr>
        <w:t>e</w:t>
      </w:r>
      <w:r>
        <w:rPr>
          <w:sz w:val="22"/>
          <w:szCs w:val="22"/>
          <w:lang w:val="fr-CA"/>
        </w:rPr>
        <w:t xml:space="preserve"> </w:t>
      </w:r>
      <w:r w:rsidRPr="00217EFC">
        <w:rPr>
          <w:sz w:val="22"/>
          <w:szCs w:val="22"/>
          <w:lang w:val="fr-CA"/>
        </w:rPr>
        <w:t xml:space="preserve">bataillon écrit à </w:t>
      </w:r>
      <w:r>
        <w:rPr>
          <w:sz w:val="22"/>
          <w:szCs w:val="22"/>
          <w:lang w:val="fr-CA"/>
        </w:rPr>
        <w:t>s</w:t>
      </w:r>
      <w:r w:rsidRPr="00217EFC">
        <w:rPr>
          <w:sz w:val="22"/>
          <w:szCs w:val="22"/>
          <w:lang w:val="fr-CA"/>
        </w:rPr>
        <w:t xml:space="preserve">a mère (veuve) </w:t>
      </w:r>
      <w:r>
        <w:rPr>
          <w:sz w:val="22"/>
          <w:szCs w:val="22"/>
          <w:lang w:val="fr-CA"/>
        </w:rPr>
        <w:t xml:space="preserve">pour </w:t>
      </w:r>
      <w:r w:rsidRPr="00217EFC">
        <w:rPr>
          <w:sz w:val="22"/>
          <w:szCs w:val="22"/>
          <w:lang w:val="fr-CA"/>
        </w:rPr>
        <w:t>lui explique</w:t>
      </w:r>
      <w:r>
        <w:rPr>
          <w:sz w:val="22"/>
          <w:szCs w:val="22"/>
          <w:lang w:val="fr-CA"/>
        </w:rPr>
        <w:t>r</w:t>
      </w:r>
      <w:r w:rsidRPr="00217EFC">
        <w:rPr>
          <w:sz w:val="22"/>
          <w:szCs w:val="22"/>
          <w:lang w:val="fr-CA"/>
        </w:rPr>
        <w:t xml:space="preserve"> qu’il a béni la tombe de son fils </w:t>
      </w:r>
      <w:r>
        <w:rPr>
          <w:sz w:val="22"/>
          <w:szCs w:val="22"/>
          <w:lang w:val="fr-CA"/>
        </w:rPr>
        <w:t>pour témoigner du courage de ce dernier</w:t>
      </w:r>
      <w:r w:rsidRPr="00217EFC">
        <w:rPr>
          <w:rStyle w:val="FootnoteReference"/>
          <w:sz w:val="22"/>
          <w:szCs w:val="22"/>
          <w:lang w:val="fr-CA"/>
        </w:rPr>
        <w:footnoteReference w:id="262"/>
      </w:r>
      <w:r w:rsidRPr="00217EFC">
        <w:rPr>
          <w:sz w:val="22"/>
          <w:szCs w:val="22"/>
          <w:lang w:val="fr-CA"/>
        </w:rPr>
        <w:t>.</w:t>
      </w:r>
    </w:p>
    <w:p w14:paraId="180486E5" w14:textId="77777777"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lastRenderedPageBreak/>
        <w:t xml:space="preserve">Quant aux gens portés disparus, le premier rapport </w:t>
      </w:r>
      <w:r>
        <w:rPr>
          <w:sz w:val="22"/>
          <w:szCs w:val="22"/>
          <w:lang w:val="fr-CA"/>
        </w:rPr>
        <w:t xml:space="preserve">publié dans </w:t>
      </w:r>
      <w:r w:rsidRPr="00217EFC">
        <w:rPr>
          <w:i/>
          <w:iCs/>
          <w:sz w:val="22"/>
          <w:szCs w:val="22"/>
          <w:lang w:val="fr-CA"/>
        </w:rPr>
        <w:t xml:space="preserve">L’Avenir National </w:t>
      </w:r>
      <w:r>
        <w:rPr>
          <w:sz w:val="22"/>
          <w:szCs w:val="22"/>
          <w:lang w:val="fr-CA"/>
        </w:rPr>
        <w:t xml:space="preserve">fait référence à </w:t>
      </w:r>
      <w:r w:rsidRPr="00217EFC">
        <w:rPr>
          <w:sz w:val="22"/>
          <w:szCs w:val="22"/>
          <w:lang w:val="fr-CA"/>
        </w:rPr>
        <w:t>Alfred Bertand. Il s’enrôle, le 4 septembre 1915, alors qu’il n’a que 17 ans et demi</w:t>
      </w:r>
      <w:r w:rsidRPr="00217EFC">
        <w:rPr>
          <w:rStyle w:val="FootnoteReference"/>
          <w:sz w:val="22"/>
          <w:szCs w:val="22"/>
          <w:lang w:val="fr-CA"/>
        </w:rPr>
        <w:footnoteReference w:id="263"/>
      </w:r>
      <w:r>
        <w:rPr>
          <w:sz w:val="22"/>
          <w:szCs w:val="22"/>
          <w:lang w:val="fr-CA"/>
        </w:rPr>
        <w:t>. I</w:t>
      </w:r>
      <w:r w:rsidRPr="00217EFC">
        <w:rPr>
          <w:sz w:val="22"/>
          <w:szCs w:val="22"/>
          <w:lang w:val="fr-CA"/>
        </w:rPr>
        <w:t>l aurait débarqué</w:t>
      </w:r>
      <w:r>
        <w:rPr>
          <w:sz w:val="22"/>
          <w:szCs w:val="22"/>
          <w:lang w:val="fr-CA"/>
        </w:rPr>
        <w:t xml:space="preserve"> </w:t>
      </w:r>
      <w:r w:rsidRPr="00217EFC">
        <w:rPr>
          <w:sz w:val="22"/>
          <w:szCs w:val="22"/>
          <w:lang w:val="fr-CA"/>
        </w:rPr>
        <w:t>en France, au Havre, le 9 juin 1916</w:t>
      </w:r>
      <w:r>
        <w:rPr>
          <w:sz w:val="22"/>
          <w:szCs w:val="22"/>
          <w:lang w:val="fr-CA"/>
        </w:rPr>
        <w:t xml:space="preserve"> et, par la suite, i</w:t>
      </w:r>
      <w:r w:rsidRPr="00217EFC">
        <w:rPr>
          <w:sz w:val="22"/>
          <w:szCs w:val="22"/>
          <w:lang w:val="fr-CA"/>
        </w:rPr>
        <w:t>l aurait écrit à sa famille sa dernière lettre indiquant qu’il avait été blessé et qu’il retournerait au front. Son dossier militaire indique qu’il est transféré au</w:t>
      </w:r>
      <w:r>
        <w:rPr>
          <w:sz w:val="22"/>
          <w:szCs w:val="22"/>
          <w:lang w:val="fr-CA"/>
        </w:rPr>
        <w:t xml:space="preserve"> </w:t>
      </w:r>
      <w:r w:rsidRPr="00217EFC">
        <w:rPr>
          <w:sz w:val="22"/>
          <w:szCs w:val="22"/>
          <w:lang w:val="fr-CA"/>
        </w:rPr>
        <w:t>14</w:t>
      </w:r>
      <w:r w:rsidRPr="00217EFC">
        <w:rPr>
          <w:sz w:val="22"/>
          <w:szCs w:val="22"/>
          <w:vertAlign w:val="superscript"/>
          <w:lang w:val="fr-CA"/>
        </w:rPr>
        <w:t>e</w:t>
      </w:r>
      <w:r w:rsidRPr="00217EFC">
        <w:rPr>
          <w:sz w:val="22"/>
          <w:szCs w:val="22"/>
          <w:lang w:val="fr-CA"/>
        </w:rPr>
        <w:t xml:space="preserve"> </w:t>
      </w:r>
      <w:r>
        <w:rPr>
          <w:sz w:val="22"/>
          <w:szCs w:val="22"/>
          <w:lang w:val="fr-CA"/>
        </w:rPr>
        <w:t>Bataillon</w:t>
      </w:r>
      <w:r w:rsidRPr="0046353C">
        <w:rPr>
          <w:sz w:val="22"/>
          <w:lang w:val="fr-CA"/>
        </w:rPr>
        <w:t xml:space="preserve">, </w:t>
      </w:r>
      <w:r w:rsidRPr="00217EFC">
        <w:rPr>
          <w:sz w:val="22"/>
          <w:szCs w:val="22"/>
          <w:lang w:val="fr-CA"/>
        </w:rPr>
        <w:t>lorsqu’il est</w:t>
      </w:r>
      <w:r>
        <w:rPr>
          <w:sz w:val="22"/>
          <w:szCs w:val="22"/>
          <w:lang w:val="fr-CA"/>
        </w:rPr>
        <w:t xml:space="preserve"> </w:t>
      </w:r>
      <w:r w:rsidRPr="00217EFC">
        <w:rPr>
          <w:sz w:val="22"/>
          <w:szCs w:val="22"/>
          <w:lang w:val="fr-CA"/>
        </w:rPr>
        <w:t>initialement rapporté comme blessé et absent, le 26 septembre 1916, lors de la bataille de la Crête de Thiepval. Ensuite, en mars 1917, son statut</w:t>
      </w:r>
      <w:r>
        <w:rPr>
          <w:sz w:val="22"/>
          <w:szCs w:val="22"/>
          <w:lang w:val="fr-CA"/>
        </w:rPr>
        <w:t xml:space="preserve"> change</w:t>
      </w:r>
      <w:r w:rsidRPr="00217EFC">
        <w:rPr>
          <w:sz w:val="22"/>
          <w:szCs w:val="22"/>
          <w:lang w:val="fr-CA"/>
        </w:rPr>
        <w:t xml:space="preserve">. Les autorités militaires du </w:t>
      </w:r>
      <w:r>
        <w:rPr>
          <w:sz w:val="22"/>
          <w:szCs w:val="22"/>
          <w:lang w:val="fr-CA"/>
        </w:rPr>
        <w:t>bataillon</w:t>
      </w:r>
      <w:r w:rsidRPr="00217EFC">
        <w:rPr>
          <w:sz w:val="22"/>
          <w:szCs w:val="22"/>
          <w:lang w:val="fr-CA"/>
        </w:rPr>
        <w:t xml:space="preserve"> présument que Bertrand est plutôt décédé en septembre, au moment où </w:t>
      </w:r>
      <w:r>
        <w:rPr>
          <w:sz w:val="22"/>
          <w:szCs w:val="22"/>
          <w:lang w:val="fr-CA"/>
        </w:rPr>
        <w:t>son bataillon</w:t>
      </w:r>
      <w:r w:rsidRPr="00217EFC">
        <w:rPr>
          <w:sz w:val="22"/>
          <w:szCs w:val="22"/>
          <w:lang w:val="fr-CA"/>
        </w:rPr>
        <w:t xml:space="preserve"> a dû se replier face à une contre-attaque allemande </w:t>
      </w:r>
      <w:r>
        <w:rPr>
          <w:sz w:val="22"/>
          <w:szCs w:val="22"/>
          <w:lang w:val="fr-CA"/>
        </w:rPr>
        <w:t xml:space="preserve">lors de bataille visant à </w:t>
      </w:r>
      <w:r w:rsidRPr="00217EFC">
        <w:rPr>
          <w:sz w:val="22"/>
          <w:szCs w:val="22"/>
          <w:lang w:val="fr-CA"/>
        </w:rPr>
        <w:t>prendre la tranché</w:t>
      </w:r>
      <w:r w:rsidR="00DB5D0B">
        <w:rPr>
          <w:sz w:val="22"/>
          <w:szCs w:val="22"/>
          <w:lang w:val="fr-CA"/>
        </w:rPr>
        <w:t>e</w:t>
      </w:r>
      <w:r w:rsidRPr="00217EFC">
        <w:rPr>
          <w:sz w:val="22"/>
          <w:szCs w:val="22"/>
          <w:lang w:val="fr-CA"/>
        </w:rPr>
        <w:t xml:space="preserve"> Kenora</w:t>
      </w:r>
      <w:r w:rsidRPr="00217EFC">
        <w:rPr>
          <w:rStyle w:val="FootnoteReference"/>
          <w:sz w:val="22"/>
          <w:szCs w:val="22"/>
          <w:lang w:val="fr-CA"/>
        </w:rPr>
        <w:footnoteReference w:id="264"/>
      </w:r>
      <w:r w:rsidRPr="00217EFC">
        <w:rPr>
          <w:sz w:val="22"/>
          <w:szCs w:val="22"/>
          <w:lang w:val="fr-CA"/>
        </w:rPr>
        <w:t xml:space="preserve">. Sans nouvelle de lui, son frère Maurice, un résident de Manchester, écrit au ministère de la Milice et de la Défense pour tenter de connaître le sort d’Alfred. La réponse qu’il reçoit </w:t>
      </w:r>
      <w:r>
        <w:rPr>
          <w:sz w:val="22"/>
          <w:szCs w:val="22"/>
          <w:lang w:val="fr-CA"/>
        </w:rPr>
        <w:t xml:space="preserve">lui </w:t>
      </w:r>
      <w:r w:rsidRPr="00217EFC">
        <w:rPr>
          <w:sz w:val="22"/>
          <w:szCs w:val="22"/>
          <w:lang w:val="fr-CA"/>
        </w:rPr>
        <w:t>annonce qu</w:t>
      </w:r>
      <w:r>
        <w:rPr>
          <w:sz w:val="22"/>
          <w:szCs w:val="22"/>
          <w:lang w:val="fr-CA"/>
        </w:rPr>
        <w:t xml:space="preserve">e Alfred Bertrand est </w:t>
      </w:r>
      <w:r w:rsidRPr="00217EFC">
        <w:rPr>
          <w:sz w:val="22"/>
          <w:szCs w:val="22"/>
          <w:lang w:val="fr-CA"/>
        </w:rPr>
        <w:t>porté disparu depuis le 26 septembre 1916</w:t>
      </w:r>
      <w:r w:rsidRPr="00217EFC">
        <w:rPr>
          <w:rStyle w:val="FootnoteReference"/>
          <w:sz w:val="22"/>
          <w:szCs w:val="22"/>
          <w:lang w:val="fr-CA"/>
        </w:rPr>
        <w:footnoteReference w:id="265"/>
      </w:r>
      <w:r w:rsidRPr="00217EFC">
        <w:rPr>
          <w:sz w:val="22"/>
          <w:szCs w:val="22"/>
          <w:lang w:val="fr-CA"/>
        </w:rPr>
        <w:t>.</w:t>
      </w:r>
    </w:p>
    <w:p w14:paraId="00B7C242" w14:textId="77777777" w:rsidR="000264D6" w:rsidRPr="00500AD8" w:rsidRDefault="000264D6" w:rsidP="002B5319">
      <w:pPr>
        <w:spacing w:before="100" w:beforeAutospacing="1" w:after="100" w:afterAutospacing="1"/>
        <w:ind w:firstLine="360"/>
        <w:jc w:val="both"/>
        <w:rPr>
          <w:sz w:val="22"/>
          <w:szCs w:val="22"/>
          <w:lang w:val="fr-CA"/>
        </w:rPr>
      </w:pPr>
      <w:r>
        <w:rPr>
          <w:sz w:val="22"/>
          <w:szCs w:val="22"/>
          <w:lang w:val="fr-CA"/>
        </w:rPr>
        <w:t>Tout au long du conflit, l</w:t>
      </w:r>
      <w:r w:rsidRPr="00500AD8">
        <w:rPr>
          <w:sz w:val="22"/>
          <w:szCs w:val="22"/>
          <w:lang w:val="fr-CA"/>
        </w:rPr>
        <w:t xml:space="preserve">a ville continue à démontrer son patriotisme et la communauté de Manchester </w:t>
      </w:r>
      <w:r>
        <w:rPr>
          <w:sz w:val="22"/>
          <w:szCs w:val="22"/>
          <w:lang w:val="fr-CA"/>
        </w:rPr>
        <w:t xml:space="preserve">se clame de </w:t>
      </w:r>
      <w:r w:rsidRPr="00500AD8">
        <w:rPr>
          <w:sz w:val="22"/>
          <w:szCs w:val="22"/>
          <w:lang w:val="fr-CA"/>
        </w:rPr>
        <w:t xml:space="preserve">ne </w:t>
      </w:r>
      <w:r>
        <w:rPr>
          <w:sz w:val="22"/>
          <w:szCs w:val="22"/>
          <w:lang w:val="fr-CA"/>
        </w:rPr>
        <w:t xml:space="preserve">pas </w:t>
      </w:r>
      <w:r w:rsidRPr="00500AD8">
        <w:rPr>
          <w:sz w:val="22"/>
          <w:szCs w:val="22"/>
          <w:lang w:val="fr-CA"/>
        </w:rPr>
        <w:t>ser</w:t>
      </w:r>
      <w:r>
        <w:rPr>
          <w:sz w:val="22"/>
          <w:szCs w:val="22"/>
          <w:lang w:val="fr-CA"/>
        </w:rPr>
        <w:t xml:space="preserve">vir </w:t>
      </w:r>
      <w:r w:rsidRPr="00500AD8">
        <w:rPr>
          <w:sz w:val="22"/>
          <w:szCs w:val="22"/>
          <w:lang w:val="fr-CA"/>
        </w:rPr>
        <w:t>de refuge pour les déserteurs canadiens</w:t>
      </w:r>
      <w:r>
        <w:rPr>
          <w:sz w:val="22"/>
          <w:szCs w:val="22"/>
          <w:lang w:val="fr-CA"/>
        </w:rPr>
        <w:t>.</w:t>
      </w:r>
      <w:r w:rsidRPr="00500AD8">
        <w:rPr>
          <w:sz w:val="22"/>
          <w:szCs w:val="22"/>
          <w:lang w:val="fr-CA"/>
        </w:rPr>
        <w:t xml:space="preserve"> Le 11 juillet 1918, le journal annonce qu’Albert Valiquette, un déserteur canadien, n’est resté qu’une semaine à Manchester avant d’être remis aux autorités canadiennes pour être ensuite ramené à Montréal</w:t>
      </w:r>
      <w:r w:rsidRPr="00500AD8">
        <w:rPr>
          <w:rStyle w:val="FootnoteReference"/>
          <w:sz w:val="22"/>
          <w:szCs w:val="22"/>
          <w:lang w:val="fr-CA"/>
        </w:rPr>
        <w:footnoteReference w:id="266"/>
      </w:r>
      <w:r w:rsidRPr="00500AD8">
        <w:rPr>
          <w:sz w:val="22"/>
          <w:szCs w:val="22"/>
          <w:lang w:val="fr-CA"/>
        </w:rPr>
        <w:t xml:space="preserve">. Donc, </w:t>
      </w:r>
      <w:r w:rsidRPr="00500AD8">
        <w:rPr>
          <w:i/>
          <w:iCs/>
          <w:sz w:val="22"/>
          <w:szCs w:val="22"/>
          <w:lang w:val="fr-CA"/>
        </w:rPr>
        <w:t>L’Avenir National</w:t>
      </w:r>
      <w:r w:rsidRPr="00500AD8">
        <w:rPr>
          <w:sz w:val="22"/>
          <w:szCs w:val="22"/>
          <w:lang w:val="fr-CA"/>
        </w:rPr>
        <w:t xml:space="preserve"> décrit avec fierté la rigueur et la sévérité des gens de Manchester devant les déserteurs.</w:t>
      </w:r>
    </w:p>
    <w:p w14:paraId="24A400E5" w14:textId="77777777" w:rsidR="000264D6" w:rsidRPr="00217EFC" w:rsidRDefault="000264D6" w:rsidP="002B5319">
      <w:pPr>
        <w:spacing w:before="100" w:beforeAutospacing="1" w:after="100" w:afterAutospacing="1"/>
        <w:ind w:firstLine="720"/>
        <w:jc w:val="both"/>
        <w:rPr>
          <w:sz w:val="22"/>
          <w:szCs w:val="22"/>
          <w:lang w:val="fr-CA"/>
        </w:rPr>
      </w:pPr>
      <w:r w:rsidRPr="00217EFC">
        <w:rPr>
          <w:i/>
          <w:iCs/>
          <w:sz w:val="22"/>
          <w:szCs w:val="22"/>
          <w:lang w:val="fr-CA"/>
        </w:rPr>
        <w:t>L’Avenir National</w:t>
      </w:r>
      <w:r w:rsidRPr="00CB66F4">
        <w:rPr>
          <w:sz w:val="22"/>
          <w:szCs w:val="22"/>
          <w:lang w:val="fr-CA"/>
        </w:rPr>
        <w:t xml:space="preserve"> décrit</w:t>
      </w:r>
      <w:r>
        <w:rPr>
          <w:i/>
          <w:iCs/>
          <w:sz w:val="22"/>
          <w:szCs w:val="22"/>
          <w:lang w:val="fr-CA"/>
        </w:rPr>
        <w:t xml:space="preserve"> </w:t>
      </w:r>
      <w:r>
        <w:rPr>
          <w:sz w:val="22"/>
          <w:szCs w:val="22"/>
          <w:lang w:val="fr-CA"/>
        </w:rPr>
        <w:t xml:space="preserve">aussi </w:t>
      </w:r>
      <w:r w:rsidRPr="00217EFC">
        <w:rPr>
          <w:sz w:val="22"/>
          <w:szCs w:val="22"/>
          <w:lang w:val="fr-CA"/>
        </w:rPr>
        <w:t xml:space="preserve">les faits d’armes d’anciens résidents de Manchester qui servent avec les forces françaises. </w:t>
      </w:r>
      <w:r w:rsidRPr="00E95CE4">
        <w:rPr>
          <w:sz w:val="22"/>
          <w:szCs w:val="22"/>
          <w:lang w:val="fr-CA"/>
        </w:rPr>
        <w:t xml:space="preserve">Le soldat L. Legrand </w:t>
      </w:r>
      <w:r>
        <w:rPr>
          <w:sz w:val="22"/>
          <w:szCs w:val="22"/>
          <w:lang w:val="fr-CA"/>
        </w:rPr>
        <w:t xml:space="preserve">correspond avec sa tante et son </w:t>
      </w:r>
      <w:r w:rsidRPr="00A338C3">
        <w:rPr>
          <w:sz w:val="22"/>
          <w:lang w:val="fr-CA"/>
        </w:rPr>
        <w:t>oncle</w:t>
      </w:r>
      <w:r>
        <w:rPr>
          <w:sz w:val="22"/>
          <w:szCs w:val="22"/>
          <w:lang w:val="fr-CA"/>
        </w:rPr>
        <w:t xml:space="preserve"> </w:t>
      </w:r>
      <w:r w:rsidRPr="00E95CE4">
        <w:rPr>
          <w:sz w:val="22"/>
          <w:szCs w:val="22"/>
          <w:lang w:val="fr-CA"/>
        </w:rPr>
        <w:t>Mme et M.</w:t>
      </w:r>
      <w:r w:rsidR="00DB5D0B">
        <w:rPr>
          <w:sz w:val="22"/>
          <w:szCs w:val="22"/>
          <w:lang w:val="fr-CA"/>
        </w:rPr>
        <w:t> </w:t>
      </w:r>
      <w:r w:rsidRPr="00E95CE4">
        <w:rPr>
          <w:sz w:val="22"/>
          <w:szCs w:val="22"/>
          <w:lang w:val="fr-CA"/>
        </w:rPr>
        <w:t>Quirin</w:t>
      </w:r>
      <w:r>
        <w:rPr>
          <w:sz w:val="22"/>
          <w:szCs w:val="22"/>
          <w:lang w:val="fr-CA"/>
        </w:rPr>
        <w:t xml:space="preserve">. Alors que Legrand </w:t>
      </w:r>
      <w:r w:rsidRPr="00217EFC">
        <w:rPr>
          <w:sz w:val="22"/>
          <w:szCs w:val="22"/>
          <w:lang w:val="fr-CA"/>
        </w:rPr>
        <w:t>sert comme téléphoniste avec les forces françaises</w:t>
      </w:r>
      <w:r>
        <w:rPr>
          <w:sz w:val="22"/>
          <w:szCs w:val="22"/>
          <w:lang w:val="fr-CA"/>
        </w:rPr>
        <w:t xml:space="preserve">, </w:t>
      </w:r>
      <w:r w:rsidRPr="00217EFC">
        <w:rPr>
          <w:sz w:val="22"/>
          <w:szCs w:val="22"/>
          <w:lang w:val="fr-CA"/>
        </w:rPr>
        <w:t>il reç</w:t>
      </w:r>
      <w:r>
        <w:rPr>
          <w:sz w:val="22"/>
          <w:szCs w:val="22"/>
          <w:lang w:val="fr-CA"/>
        </w:rPr>
        <w:t>oit</w:t>
      </w:r>
      <w:r w:rsidRPr="00217EFC">
        <w:rPr>
          <w:sz w:val="22"/>
          <w:szCs w:val="22"/>
          <w:lang w:val="fr-CA"/>
        </w:rPr>
        <w:t xml:space="preserve"> une citation à l’ordre du jour pour sa bravoure au front lorsqu’il réparait les lignes de communication qui </w:t>
      </w:r>
      <w:r>
        <w:rPr>
          <w:sz w:val="22"/>
          <w:szCs w:val="22"/>
          <w:lang w:val="fr-CA"/>
        </w:rPr>
        <w:t xml:space="preserve">avaient été </w:t>
      </w:r>
      <w:r w:rsidRPr="00217EFC">
        <w:rPr>
          <w:sz w:val="22"/>
          <w:szCs w:val="22"/>
          <w:lang w:val="fr-CA"/>
        </w:rPr>
        <w:t>coupées par le feu de l’artillerie. Legrand</w:t>
      </w:r>
      <w:r>
        <w:rPr>
          <w:sz w:val="22"/>
          <w:szCs w:val="22"/>
          <w:lang w:val="fr-CA"/>
        </w:rPr>
        <w:t xml:space="preserve"> </w:t>
      </w:r>
      <w:r w:rsidRPr="00217EFC">
        <w:rPr>
          <w:sz w:val="22"/>
          <w:szCs w:val="22"/>
          <w:lang w:val="fr-CA"/>
        </w:rPr>
        <w:t>correspond toujours avec son oncle</w:t>
      </w:r>
      <w:r w:rsidR="00DB5D0B">
        <w:rPr>
          <w:sz w:val="22"/>
          <w:szCs w:val="22"/>
          <w:lang w:val="fr-CA"/>
        </w:rPr>
        <w:t>,</w:t>
      </w:r>
      <w:r w:rsidRPr="00217EFC">
        <w:rPr>
          <w:sz w:val="22"/>
          <w:szCs w:val="22"/>
          <w:lang w:val="fr-CA"/>
        </w:rPr>
        <w:t xml:space="preserve"> M.</w:t>
      </w:r>
      <w:r w:rsidR="00DB5D0B">
        <w:rPr>
          <w:sz w:val="22"/>
          <w:szCs w:val="22"/>
          <w:lang w:val="fr-CA"/>
        </w:rPr>
        <w:t> </w:t>
      </w:r>
      <w:r w:rsidRPr="00217EFC">
        <w:rPr>
          <w:sz w:val="22"/>
          <w:szCs w:val="22"/>
          <w:lang w:val="fr-CA"/>
        </w:rPr>
        <w:t>Quirin</w:t>
      </w:r>
      <w:r>
        <w:rPr>
          <w:sz w:val="22"/>
          <w:szCs w:val="22"/>
          <w:lang w:val="fr-CA"/>
        </w:rPr>
        <w:t xml:space="preserve"> pendant le conflit et ses propos sont toujours optimistes par rapport à la victoire des Alliés. Même</w:t>
      </w:r>
      <w:r w:rsidRPr="00A338C3">
        <w:rPr>
          <w:sz w:val="22"/>
          <w:lang w:val="fr-CA"/>
        </w:rPr>
        <w:t xml:space="preserve"> </w:t>
      </w:r>
      <w:r>
        <w:rPr>
          <w:sz w:val="22"/>
          <w:szCs w:val="22"/>
          <w:lang w:val="fr-CA"/>
        </w:rPr>
        <w:t xml:space="preserve">au moment où il sert dans le secteur du Chemin des Dames, </w:t>
      </w:r>
      <w:r w:rsidRPr="00217EFC">
        <w:rPr>
          <w:sz w:val="22"/>
          <w:szCs w:val="22"/>
          <w:lang w:val="fr-CA"/>
        </w:rPr>
        <w:t>ses propos sont très patriotiques</w:t>
      </w:r>
      <w:r>
        <w:rPr>
          <w:sz w:val="22"/>
          <w:szCs w:val="22"/>
          <w:lang w:val="fr-CA"/>
        </w:rPr>
        <w:t xml:space="preserve"> et loyaux. Non seulement, il ne fait aucune mention des révoltes des soldats fran</w:t>
      </w:r>
      <w:r w:rsidRPr="00DF3906">
        <w:rPr>
          <w:sz w:val="22"/>
          <w:szCs w:val="22"/>
          <w:lang w:val="fr-CA"/>
        </w:rPr>
        <w:t>ça</w:t>
      </w:r>
      <w:r>
        <w:rPr>
          <w:sz w:val="22"/>
          <w:szCs w:val="22"/>
          <w:lang w:val="fr-CA"/>
        </w:rPr>
        <w:t>is qui sont en cours à cette époque dans l’armée française</w:t>
      </w:r>
      <w:r w:rsidRPr="00A338C3">
        <w:rPr>
          <w:rStyle w:val="FootnoteReference"/>
          <w:sz w:val="22"/>
          <w:lang w:val="fr-CA"/>
        </w:rPr>
        <w:footnoteReference w:id="267"/>
      </w:r>
      <w:r w:rsidRPr="00A338C3">
        <w:rPr>
          <w:sz w:val="22"/>
          <w:lang w:val="fr-CA"/>
        </w:rPr>
        <w:t>, mais, alors que nous sommes au printemps</w:t>
      </w:r>
      <w:r w:rsidR="00DB5D0B">
        <w:rPr>
          <w:sz w:val="22"/>
          <w:lang w:val="fr-CA"/>
        </w:rPr>
        <w:t> </w:t>
      </w:r>
      <w:r w:rsidRPr="00A338C3">
        <w:rPr>
          <w:sz w:val="22"/>
          <w:lang w:val="fr-CA"/>
        </w:rPr>
        <w:t>1917</w:t>
      </w:r>
      <w:r w:rsidRPr="00217EFC">
        <w:rPr>
          <w:sz w:val="22"/>
          <w:szCs w:val="22"/>
          <w:lang w:val="fr-CA"/>
        </w:rPr>
        <w:t xml:space="preserve">, il </w:t>
      </w:r>
      <w:r>
        <w:rPr>
          <w:sz w:val="22"/>
          <w:szCs w:val="22"/>
          <w:lang w:val="fr-CA"/>
        </w:rPr>
        <w:t xml:space="preserve">assure </w:t>
      </w:r>
      <w:r w:rsidRPr="00217EFC">
        <w:rPr>
          <w:sz w:val="22"/>
          <w:szCs w:val="22"/>
          <w:lang w:val="fr-CA"/>
        </w:rPr>
        <w:t xml:space="preserve">que </w:t>
      </w:r>
      <w:r>
        <w:rPr>
          <w:sz w:val="22"/>
          <w:szCs w:val="22"/>
          <w:lang w:val="fr-CA"/>
        </w:rPr>
        <w:t>«</w:t>
      </w:r>
      <w:r w:rsidR="00DB5D0B">
        <w:rPr>
          <w:sz w:val="22"/>
          <w:szCs w:val="22"/>
          <w:lang w:val="fr-CA"/>
        </w:rPr>
        <w:t> </w:t>
      </w:r>
      <w:r w:rsidRPr="00217EFC">
        <w:rPr>
          <w:sz w:val="22"/>
          <w:szCs w:val="22"/>
          <w:lang w:val="fr-CA"/>
        </w:rPr>
        <w:t>le moral de</w:t>
      </w:r>
      <w:r>
        <w:rPr>
          <w:sz w:val="22"/>
          <w:szCs w:val="22"/>
          <w:lang w:val="fr-CA"/>
        </w:rPr>
        <w:t xml:space="preserve"> notre armée est merveilleux [et que le] soldat accepte ce long sacrifice avec un esprit admirable</w:t>
      </w:r>
      <w:r w:rsidR="00DB5D0B">
        <w:rPr>
          <w:sz w:val="22"/>
          <w:szCs w:val="22"/>
          <w:lang w:val="fr-CA"/>
        </w:rPr>
        <w:t> </w:t>
      </w:r>
      <w:r>
        <w:rPr>
          <w:sz w:val="22"/>
          <w:szCs w:val="22"/>
          <w:lang w:val="fr-CA"/>
        </w:rPr>
        <w:t>»</w:t>
      </w:r>
      <w:r>
        <w:rPr>
          <w:rStyle w:val="FootnoteReference"/>
          <w:sz w:val="22"/>
          <w:szCs w:val="22"/>
          <w:lang w:val="fr-CA"/>
        </w:rPr>
        <w:footnoteReference w:id="268"/>
      </w:r>
      <w:r w:rsidRPr="00217EFC">
        <w:rPr>
          <w:sz w:val="22"/>
          <w:szCs w:val="22"/>
          <w:lang w:val="fr-CA"/>
        </w:rPr>
        <w:t>. Ses propos semblent être censurés, car historiquement nous sommes témoins de plusieurs cas de «</w:t>
      </w:r>
      <w:r w:rsidR="00DB5D0B">
        <w:rPr>
          <w:sz w:val="22"/>
          <w:szCs w:val="22"/>
          <w:lang w:val="fr-CA"/>
        </w:rPr>
        <w:t> </w:t>
      </w:r>
      <w:r w:rsidRPr="00217EFC">
        <w:rPr>
          <w:sz w:val="22"/>
          <w:szCs w:val="22"/>
          <w:lang w:val="fr-CA"/>
        </w:rPr>
        <w:t>grèves des tranchées</w:t>
      </w:r>
      <w:r w:rsidR="00DB5D0B">
        <w:rPr>
          <w:sz w:val="22"/>
          <w:szCs w:val="22"/>
          <w:lang w:val="fr-CA"/>
        </w:rPr>
        <w:t> </w:t>
      </w:r>
      <w:r w:rsidRPr="00217EFC">
        <w:rPr>
          <w:sz w:val="22"/>
          <w:szCs w:val="22"/>
          <w:lang w:val="fr-CA"/>
        </w:rPr>
        <w:t>» dans la période qui suit «</w:t>
      </w:r>
      <w:r w:rsidR="00DB5D0B">
        <w:rPr>
          <w:sz w:val="22"/>
          <w:szCs w:val="22"/>
          <w:lang w:val="fr-CA"/>
        </w:rPr>
        <w:t> </w:t>
      </w:r>
      <w:r w:rsidRPr="00217EFC">
        <w:rPr>
          <w:sz w:val="22"/>
          <w:szCs w:val="22"/>
          <w:lang w:val="fr-CA"/>
        </w:rPr>
        <w:t>le grave échec de l’offensive de Nivelle</w:t>
      </w:r>
      <w:r w:rsidR="00DB5D0B">
        <w:rPr>
          <w:sz w:val="22"/>
          <w:szCs w:val="22"/>
          <w:lang w:val="fr-CA"/>
        </w:rPr>
        <w:t> </w:t>
      </w:r>
      <w:r w:rsidRPr="00217EFC">
        <w:rPr>
          <w:sz w:val="22"/>
          <w:szCs w:val="22"/>
          <w:lang w:val="fr-CA"/>
        </w:rPr>
        <w:t>»</w:t>
      </w:r>
      <w:r w:rsidRPr="00217EFC">
        <w:rPr>
          <w:rStyle w:val="FootnoteReference"/>
          <w:sz w:val="22"/>
          <w:szCs w:val="22"/>
          <w:lang w:val="fr-CA"/>
        </w:rPr>
        <w:footnoteReference w:id="269"/>
      </w:r>
      <w:r w:rsidRPr="00217EFC">
        <w:rPr>
          <w:sz w:val="22"/>
          <w:szCs w:val="22"/>
          <w:lang w:val="fr-CA"/>
        </w:rPr>
        <w:t>.</w:t>
      </w:r>
    </w:p>
    <w:p w14:paraId="42C31D65" w14:textId="77777777" w:rsidR="000264D6" w:rsidRPr="00217EFC" w:rsidRDefault="000264D6" w:rsidP="002B5319">
      <w:pPr>
        <w:spacing w:before="100" w:beforeAutospacing="1" w:after="100" w:afterAutospacing="1"/>
        <w:ind w:firstLine="720"/>
        <w:jc w:val="both"/>
        <w:rPr>
          <w:sz w:val="22"/>
          <w:szCs w:val="22"/>
          <w:lang w:val="fr-CA"/>
        </w:rPr>
      </w:pPr>
      <w:r>
        <w:rPr>
          <w:sz w:val="22"/>
          <w:szCs w:val="22"/>
          <w:lang w:val="fr-CA"/>
        </w:rPr>
        <w:t>Pendant cette même période</w:t>
      </w:r>
      <w:r w:rsidRPr="00217EFC">
        <w:rPr>
          <w:sz w:val="22"/>
          <w:szCs w:val="22"/>
          <w:lang w:val="fr-CA"/>
        </w:rPr>
        <w:t xml:space="preserve">, </w:t>
      </w:r>
      <w:r w:rsidRPr="00217EFC">
        <w:rPr>
          <w:i/>
          <w:iCs/>
          <w:sz w:val="22"/>
          <w:szCs w:val="22"/>
          <w:lang w:val="fr-CA"/>
        </w:rPr>
        <w:t xml:space="preserve">L’Avenir National </w:t>
      </w:r>
      <w:r w:rsidRPr="00217EFC">
        <w:rPr>
          <w:sz w:val="22"/>
          <w:szCs w:val="22"/>
          <w:lang w:val="fr-CA"/>
        </w:rPr>
        <w:t xml:space="preserve">rapporte avec enthousiasme toute information </w:t>
      </w:r>
      <w:r>
        <w:rPr>
          <w:sz w:val="22"/>
          <w:szCs w:val="22"/>
          <w:lang w:val="fr-CA"/>
        </w:rPr>
        <w:t>concernant</w:t>
      </w:r>
      <w:r w:rsidRPr="00217EFC">
        <w:rPr>
          <w:sz w:val="22"/>
          <w:szCs w:val="22"/>
          <w:lang w:val="fr-CA"/>
        </w:rPr>
        <w:t xml:space="preserve"> des membres du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sz w:val="22"/>
          <w:szCs w:val="22"/>
          <w:lang w:val="fr-CA"/>
        </w:rPr>
        <w:t xml:space="preserve"> de la Garde Nationale du New Hampshire qui sont déployés à la frontière du </w:t>
      </w:r>
      <w:r>
        <w:rPr>
          <w:sz w:val="22"/>
          <w:szCs w:val="22"/>
          <w:lang w:val="fr-CA"/>
        </w:rPr>
        <w:t xml:space="preserve">Mexique. Le </w:t>
      </w:r>
      <w:r w:rsidRPr="00AC6F64">
        <w:rPr>
          <w:sz w:val="22"/>
          <w:szCs w:val="22"/>
          <w:lang w:val="fr-CA"/>
        </w:rPr>
        <w:t>r</w:t>
      </w:r>
      <w:r>
        <w:rPr>
          <w:sz w:val="22"/>
          <w:szCs w:val="22"/>
          <w:lang w:val="fr-CA"/>
        </w:rPr>
        <w:t xml:space="preserve">égiment est </w:t>
      </w:r>
      <w:r w:rsidRPr="00AC6F64">
        <w:rPr>
          <w:sz w:val="22"/>
          <w:szCs w:val="22"/>
          <w:lang w:val="fr-CA"/>
        </w:rPr>
        <w:t>dé</w:t>
      </w:r>
      <w:r>
        <w:rPr>
          <w:sz w:val="22"/>
          <w:szCs w:val="22"/>
          <w:lang w:val="fr-CA"/>
        </w:rPr>
        <w:t>ployé pendant six semaines dans d</w:t>
      </w:r>
      <w:r w:rsidRPr="00217EFC">
        <w:rPr>
          <w:sz w:val="22"/>
          <w:szCs w:val="22"/>
          <w:lang w:val="fr-CA"/>
        </w:rPr>
        <w:t>es postes avancés le long du Rio Grande</w:t>
      </w:r>
      <w:r w:rsidRPr="00217EFC">
        <w:rPr>
          <w:rStyle w:val="FootnoteReference"/>
          <w:sz w:val="22"/>
          <w:szCs w:val="22"/>
          <w:lang w:val="fr-CA"/>
        </w:rPr>
        <w:footnoteReference w:id="270"/>
      </w:r>
      <w:r w:rsidRPr="00217EFC">
        <w:rPr>
          <w:sz w:val="22"/>
          <w:szCs w:val="22"/>
          <w:lang w:val="fr-CA"/>
        </w:rPr>
        <w:t>.</w:t>
      </w:r>
      <w:r>
        <w:rPr>
          <w:sz w:val="22"/>
          <w:szCs w:val="22"/>
          <w:lang w:val="fr-CA"/>
        </w:rPr>
        <w:t xml:space="preserve"> Par </w:t>
      </w:r>
      <w:r w:rsidRPr="00217EFC">
        <w:rPr>
          <w:sz w:val="22"/>
          <w:szCs w:val="22"/>
          <w:lang w:val="fr-CA"/>
        </w:rPr>
        <w:t xml:space="preserve">ailleurs, </w:t>
      </w:r>
      <w:r>
        <w:rPr>
          <w:sz w:val="22"/>
          <w:szCs w:val="22"/>
          <w:lang w:val="fr-CA"/>
        </w:rPr>
        <w:t xml:space="preserve">le journal mentionne </w:t>
      </w:r>
      <w:r w:rsidRPr="00217EFC">
        <w:rPr>
          <w:sz w:val="22"/>
          <w:szCs w:val="22"/>
          <w:lang w:val="fr-CA"/>
        </w:rPr>
        <w:t xml:space="preserve">fièrement </w:t>
      </w:r>
      <w:r w:rsidRPr="00AC6F64">
        <w:rPr>
          <w:sz w:val="22"/>
          <w:szCs w:val="22"/>
          <w:lang w:val="fr-CA"/>
        </w:rPr>
        <w:t xml:space="preserve">à </w:t>
      </w:r>
      <w:r>
        <w:rPr>
          <w:sz w:val="22"/>
          <w:szCs w:val="22"/>
          <w:lang w:val="fr-CA"/>
        </w:rPr>
        <w:t xml:space="preserve">ses </w:t>
      </w:r>
      <w:r>
        <w:rPr>
          <w:sz w:val="22"/>
          <w:szCs w:val="22"/>
          <w:lang w:val="fr-CA"/>
        </w:rPr>
        <w:lastRenderedPageBreak/>
        <w:t xml:space="preserve">lecteurs </w:t>
      </w:r>
      <w:r w:rsidRPr="00217EFC">
        <w:rPr>
          <w:sz w:val="22"/>
          <w:szCs w:val="22"/>
          <w:lang w:val="fr-CA"/>
        </w:rPr>
        <w:t xml:space="preserve">que leurs gens font preuve de sang-froid dans l’exécution de leur tâche et que les groupes de travail sont décentralisés et </w:t>
      </w:r>
      <w:r>
        <w:rPr>
          <w:sz w:val="22"/>
          <w:szCs w:val="22"/>
          <w:lang w:val="fr-CA"/>
        </w:rPr>
        <w:t xml:space="preserve">qu’ils </w:t>
      </w:r>
      <w:r w:rsidRPr="00217EFC">
        <w:rPr>
          <w:sz w:val="22"/>
          <w:szCs w:val="22"/>
          <w:lang w:val="fr-CA"/>
        </w:rPr>
        <w:t>fonctionne</w:t>
      </w:r>
      <w:r>
        <w:rPr>
          <w:sz w:val="22"/>
          <w:szCs w:val="22"/>
          <w:lang w:val="fr-CA"/>
        </w:rPr>
        <w:t xml:space="preserve">nt </w:t>
      </w:r>
      <w:r w:rsidRPr="00217EFC">
        <w:rPr>
          <w:sz w:val="22"/>
          <w:szCs w:val="22"/>
          <w:lang w:val="fr-CA"/>
        </w:rPr>
        <w:t>indépendamment dans un environnement austère</w:t>
      </w:r>
      <w:r w:rsidRPr="00217EFC">
        <w:rPr>
          <w:rStyle w:val="FootnoteReference"/>
          <w:sz w:val="22"/>
          <w:szCs w:val="22"/>
          <w:lang w:val="fr-CA"/>
        </w:rPr>
        <w:footnoteReference w:id="271"/>
      </w:r>
      <w:r w:rsidRPr="00217EFC">
        <w:rPr>
          <w:sz w:val="22"/>
          <w:szCs w:val="22"/>
          <w:lang w:val="fr-CA"/>
        </w:rPr>
        <w:t xml:space="preserve">. On </w:t>
      </w:r>
      <w:r>
        <w:rPr>
          <w:sz w:val="22"/>
          <w:szCs w:val="22"/>
          <w:lang w:val="fr-CA"/>
        </w:rPr>
        <w:t xml:space="preserve">décrit </w:t>
      </w:r>
      <w:r w:rsidRPr="00217EFC">
        <w:rPr>
          <w:sz w:val="22"/>
          <w:szCs w:val="22"/>
          <w:lang w:val="fr-CA"/>
        </w:rPr>
        <w:t>les activités relatives à la vie des soldats, comme lorsque les membres de la compagnie A sont payés sur la ligne (</w:t>
      </w:r>
      <w:r w:rsidRPr="00217EFC">
        <w:rPr>
          <w:i/>
          <w:iCs/>
          <w:sz w:val="22"/>
          <w:szCs w:val="22"/>
          <w:lang w:val="fr-CA"/>
        </w:rPr>
        <w:t>parade de paye</w:t>
      </w:r>
      <w:r w:rsidRPr="00217EFC">
        <w:rPr>
          <w:sz w:val="22"/>
          <w:szCs w:val="22"/>
          <w:lang w:val="fr-CA"/>
        </w:rPr>
        <w:t xml:space="preserve">) et qu’ils </w:t>
      </w:r>
      <w:r>
        <w:rPr>
          <w:sz w:val="22"/>
          <w:szCs w:val="22"/>
          <w:lang w:val="fr-CA"/>
        </w:rPr>
        <w:t xml:space="preserve">suppléent à </w:t>
      </w:r>
      <w:r w:rsidRPr="00217EFC">
        <w:rPr>
          <w:sz w:val="22"/>
          <w:szCs w:val="22"/>
          <w:lang w:val="fr-CA"/>
        </w:rPr>
        <w:t xml:space="preserve">leur diète </w:t>
      </w:r>
      <w:r>
        <w:rPr>
          <w:sz w:val="22"/>
          <w:szCs w:val="22"/>
          <w:lang w:val="fr-CA"/>
        </w:rPr>
        <w:t xml:space="preserve">par la </w:t>
      </w:r>
      <w:r w:rsidRPr="00217EFC">
        <w:rPr>
          <w:sz w:val="22"/>
          <w:szCs w:val="22"/>
          <w:lang w:val="fr-CA"/>
        </w:rPr>
        <w:t>chasse</w:t>
      </w:r>
      <w:r w:rsidRPr="00217EFC">
        <w:rPr>
          <w:rStyle w:val="FootnoteReference"/>
          <w:sz w:val="22"/>
          <w:szCs w:val="22"/>
          <w:lang w:val="fr-CA"/>
        </w:rPr>
        <w:footnoteReference w:id="272"/>
      </w:r>
      <w:r w:rsidRPr="00217EFC">
        <w:rPr>
          <w:sz w:val="22"/>
          <w:szCs w:val="22"/>
          <w:lang w:val="fr-CA"/>
        </w:rPr>
        <w:t>. Vers la fin janvier 1917, le journal annonce le retour de 25</w:t>
      </w:r>
      <w:r w:rsidR="00DB5D0B">
        <w:rPr>
          <w:sz w:val="22"/>
          <w:szCs w:val="22"/>
          <w:lang w:val="fr-CA"/>
        </w:rPr>
        <w:t> </w:t>
      </w:r>
      <w:r w:rsidRPr="00217EFC">
        <w:rPr>
          <w:sz w:val="22"/>
          <w:szCs w:val="22"/>
          <w:lang w:val="fr-CA"/>
        </w:rPr>
        <w:t>000 membres des Gardes Nationales. Manchester se prépare pour accueillir les membres de la garde Lafayette, la compagnie A et les autres compagnies du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rStyle w:val="FootnoteReference"/>
          <w:sz w:val="22"/>
          <w:szCs w:val="22"/>
          <w:lang w:val="fr-CA"/>
        </w:rPr>
        <w:footnoteReference w:id="273"/>
      </w:r>
      <w:r w:rsidRPr="00217EFC">
        <w:rPr>
          <w:sz w:val="22"/>
          <w:szCs w:val="22"/>
          <w:lang w:val="fr-CA"/>
        </w:rPr>
        <w:t>. Le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sz w:val="22"/>
          <w:szCs w:val="22"/>
          <w:lang w:val="fr-CA"/>
        </w:rPr>
        <w:t xml:space="preserve"> retourne à Manchester le 9 février 1917 et c’est avec faste que l’on célèbre son retour</w:t>
      </w:r>
      <w:r w:rsidRPr="00217EFC">
        <w:rPr>
          <w:rStyle w:val="FootnoteReference"/>
          <w:sz w:val="22"/>
          <w:szCs w:val="22"/>
          <w:lang w:val="fr-CA"/>
        </w:rPr>
        <w:footnoteReference w:id="274"/>
      </w:r>
      <w:r w:rsidRPr="00217EFC">
        <w:rPr>
          <w:sz w:val="22"/>
          <w:szCs w:val="22"/>
          <w:lang w:val="fr-CA"/>
        </w:rPr>
        <w:t>.</w:t>
      </w:r>
    </w:p>
    <w:p w14:paraId="524B869E" w14:textId="77777777" w:rsidR="000264D6" w:rsidRPr="00217EFC" w:rsidRDefault="000264D6" w:rsidP="003C57D5">
      <w:pPr>
        <w:spacing w:before="100" w:beforeAutospacing="1" w:after="100" w:afterAutospacing="1" w:line="480" w:lineRule="auto"/>
        <w:jc w:val="both"/>
        <w:rPr>
          <w:b/>
          <w:sz w:val="22"/>
          <w:szCs w:val="22"/>
          <w:lang w:val="fr-CA"/>
        </w:rPr>
      </w:pPr>
      <w:r w:rsidRPr="00217EFC">
        <w:rPr>
          <w:b/>
          <w:sz w:val="22"/>
          <w:szCs w:val="22"/>
          <w:lang w:val="fr-CA"/>
        </w:rPr>
        <w:t xml:space="preserve">Réactions suivant la déclaration de guerre par les États-Unis </w:t>
      </w:r>
      <w:r w:rsidR="00DB5D0B">
        <w:rPr>
          <w:b/>
          <w:sz w:val="22"/>
          <w:szCs w:val="22"/>
          <w:lang w:val="fr-CA"/>
        </w:rPr>
        <w:t>—</w:t>
      </w:r>
      <w:r w:rsidRPr="00217EFC">
        <w:rPr>
          <w:b/>
          <w:sz w:val="22"/>
          <w:szCs w:val="22"/>
          <w:lang w:val="fr-CA"/>
        </w:rPr>
        <w:t xml:space="preserve"> avril 1917</w:t>
      </w:r>
    </w:p>
    <w:p w14:paraId="3678322B" w14:textId="77777777" w:rsidR="000264D6" w:rsidRDefault="000264D6" w:rsidP="002D11B0">
      <w:pPr>
        <w:jc w:val="center"/>
        <w:rPr>
          <w:b/>
          <w:bCs/>
          <w:sz w:val="22"/>
          <w:szCs w:val="22"/>
          <w:lang w:val="fr-CA"/>
        </w:rPr>
      </w:pPr>
      <w:r w:rsidRPr="00AF1ECB">
        <w:rPr>
          <w:b/>
          <w:bCs/>
          <w:sz w:val="22"/>
          <w:szCs w:val="22"/>
          <w:lang w:val="fr-CA"/>
        </w:rPr>
        <w:t xml:space="preserve">Démonstrations de patriotisme et de la loyauté </w:t>
      </w:r>
      <w:r>
        <w:rPr>
          <w:b/>
          <w:bCs/>
          <w:sz w:val="22"/>
          <w:szCs w:val="22"/>
          <w:lang w:val="fr-CA"/>
        </w:rPr>
        <w:t>des</w:t>
      </w:r>
    </w:p>
    <w:p w14:paraId="3C295C23" w14:textId="77777777" w:rsidR="000264D6" w:rsidRPr="00AF1ECB" w:rsidRDefault="000264D6" w:rsidP="002D11B0">
      <w:pPr>
        <w:jc w:val="center"/>
        <w:rPr>
          <w:b/>
          <w:bCs/>
          <w:sz w:val="22"/>
          <w:szCs w:val="22"/>
          <w:lang w:val="fr-CA"/>
        </w:rPr>
      </w:pPr>
      <w:r w:rsidRPr="00AF1ECB">
        <w:rPr>
          <w:b/>
          <w:bCs/>
          <w:sz w:val="22"/>
          <w:szCs w:val="22"/>
          <w:lang w:val="fr-CA"/>
        </w:rPr>
        <w:t>Franco-Américains envers les États-Unis, leur pays d’accueil</w:t>
      </w:r>
    </w:p>
    <w:p w14:paraId="19C06D41" w14:textId="66149D60" w:rsidR="000264D6" w:rsidRDefault="000264D6" w:rsidP="002B5319">
      <w:pPr>
        <w:spacing w:before="100" w:beforeAutospacing="1" w:after="100" w:afterAutospacing="1"/>
        <w:ind w:firstLine="720"/>
        <w:jc w:val="both"/>
        <w:rPr>
          <w:sz w:val="22"/>
          <w:szCs w:val="22"/>
          <w:lang w:val="fr-CA"/>
        </w:rPr>
      </w:pPr>
      <w:r>
        <w:rPr>
          <w:rFonts w:eastAsia="Calibri"/>
          <w:sz w:val="22"/>
          <w:szCs w:val="22"/>
          <w:lang w:val="fr-CA" w:eastAsia="en-US"/>
        </w:rPr>
        <w:t xml:space="preserve">Comme nous l’avons mentionné précédemment, les </w:t>
      </w:r>
      <w:r w:rsidRPr="00217EFC">
        <w:rPr>
          <w:rFonts w:eastAsia="Calibri"/>
          <w:sz w:val="22"/>
          <w:szCs w:val="22"/>
          <w:lang w:val="fr-CA" w:eastAsia="en-US"/>
        </w:rPr>
        <w:t xml:space="preserve">évènements qui mènent les États-Unis vers une </w:t>
      </w:r>
      <w:r>
        <w:rPr>
          <w:rFonts w:eastAsia="Calibri"/>
          <w:sz w:val="22"/>
          <w:szCs w:val="22"/>
          <w:lang w:val="fr-CA" w:eastAsia="en-US"/>
        </w:rPr>
        <w:t xml:space="preserve">implication dans la guerre européenne </w:t>
      </w:r>
      <w:r w:rsidRPr="00217EFC">
        <w:rPr>
          <w:rFonts w:eastAsia="Calibri"/>
          <w:sz w:val="22"/>
          <w:szCs w:val="22"/>
          <w:lang w:val="fr-CA" w:eastAsia="en-US"/>
        </w:rPr>
        <w:t>continuent à s’additionner</w:t>
      </w:r>
      <w:r>
        <w:rPr>
          <w:rFonts w:eastAsia="Calibri"/>
          <w:sz w:val="22"/>
          <w:szCs w:val="22"/>
          <w:lang w:val="fr-CA" w:eastAsia="en-US"/>
        </w:rPr>
        <w:t xml:space="preserve"> pendant la période de neutralité américaine. Alors que </w:t>
      </w:r>
      <w:r w:rsidRPr="00217EFC">
        <w:rPr>
          <w:rFonts w:eastAsia="Calibri"/>
          <w:sz w:val="22"/>
          <w:szCs w:val="22"/>
          <w:lang w:val="fr-CA" w:eastAsia="en-US"/>
        </w:rPr>
        <w:t xml:space="preserve">les États-Unis </w:t>
      </w:r>
      <w:r>
        <w:rPr>
          <w:rFonts w:eastAsia="Calibri"/>
          <w:sz w:val="22"/>
          <w:szCs w:val="22"/>
          <w:lang w:val="fr-CA" w:eastAsia="en-US"/>
        </w:rPr>
        <w:t xml:space="preserve">rompent </w:t>
      </w:r>
      <w:r w:rsidRPr="00217EFC">
        <w:rPr>
          <w:rFonts w:eastAsia="Calibri"/>
          <w:sz w:val="22"/>
          <w:szCs w:val="22"/>
          <w:lang w:val="fr-CA" w:eastAsia="en-US"/>
        </w:rPr>
        <w:t>leurs relations diplomatiques avec l’</w:t>
      </w:r>
      <w:r>
        <w:rPr>
          <w:rFonts w:eastAsia="Calibri"/>
          <w:sz w:val="22"/>
          <w:szCs w:val="22"/>
          <w:lang w:val="fr-CA" w:eastAsia="en-US"/>
        </w:rPr>
        <w:t>Allemagne,</w:t>
      </w:r>
      <w:r w:rsidRPr="005F52D5">
        <w:rPr>
          <w:rFonts w:eastAsia="Calibri"/>
          <w:sz w:val="22"/>
          <w:szCs w:val="22"/>
          <w:lang w:val="fr-CA" w:eastAsia="en-US"/>
        </w:rPr>
        <w:t xml:space="preserve"> </w:t>
      </w:r>
      <w:r w:rsidRPr="00217EFC">
        <w:rPr>
          <w:rFonts w:eastAsia="Calibri"/>
          <w:sz w:val="22"/>
          <w:szCs w:val="22"/>
          <w:lang w:val="fr-CA" w:eastAsia="en-US"/>
        </w:rPr>
        <w:t>le 3 février 1917</w:t>
      </w:r>
      <w:r>
        <w:rPr>
          <w:rFonts w:eastAsia="Calibri"/>
          <w:sz w:val="22"/>
          <w:szCs w:val="22"/>
          <w:lang w:val="fr-CA" w:eastAsia="en-US"/>
        </w:rPr>
        <w:t xml:space="preserve">, et que </w:t>
      </w:r>
      <w:r w:rsidRPr="00217EFC">
        <w:rPr>
          <w:sz w:val="22"/>
          <w:szCs w:val="22"/>
          <w:lang w:val="fr-CA"/>
        </w:rPr>
        <w:t xml:space="preserve">les indices d’une guerre avec l’Allemagne sont de plus en plus </w:t>
      </w:r>
      <w:r>
        <w:rPr>
          <w:sz w:val="22"/>
          <w:szCs w:val="22"/>
          <w:lang w:val="fr-CA"/>
        </w:rPr>
        <w:t>clairs, l</w:t>
      </w:r>
      <w:r w:rsidRPr="00217EFC">
        <w:rPr>
          <w:sz w:val="22"/>
          <w:szCs w:val="22"/>
          <w:lang w:val="fr-CA"/>
        </w:rPr>
        <w:t xml:space="preserve">a Brigade </w:t>
      </w:r>
      <w:r w:rsidR="00D34D2E">
        <w:rPr>
          <w:sz w:val="22"/>
          <w:szCs w:val="22"/>
          <w:lang w:val="fr-CA"/>
        </w:rPr>
        <w:t xml:space="preserve">des </w:t>
      </w:r>
      <w:r w:rsidR="00464E8E">
        <w:rPr>
          <w:sz w:val="22"/>
          <w:szCs w:val="22"/>
          <w:lang w:val="fr-CA"/>
        </w:rPr>
        <w:t>V</w:t>
      </w:r>
      <w:r w:rsidR="00D34D2E">
        <w:rPr>
          <w:sz w:val="22"/>
          <w:szCs w:val="22"/>
          <w:lang w:val="fr-CA"/>
        </w:rPr>
        <w:t>olontaires f</w:t>
      </w:r>
      <w:r w:rsidRPr="00217EFC">
        <w:rPr>
          <w:sz w:val="22"/>
          <w:szCs w:val="22"/>
          <w:lang w:val="fr-CA"/>
        </w:rPr>
        <w:t>ranco-</w:t>
      </w:r>
      <w:r w:rsidR="00D34D2E">
        <w:rPr>
          <w:sz w:val="22"/>
          <w:szCs w:val="22"/>
          <w:lang w:val="fr-CA"/>
        </w:rPr>
        <w:t>a</w:t>
      </w:r>
      <w:r w:rsidRPr="00217EFC">
        <w:rPr>
          <w:sz w:val="22"/>
          <w:szCs w:val="22"/>
          <w:lang w:val="fr-CA"/>
        </w:rPr>
        <w:t>méricain</w:t>
      </w:r>
      <w:r w:rsidR="00D34D2E">
        <w:rPr>
          <w:sz w:val="22"/>
          <w:szCs w:val="22"/>
          <w:lang w:val="fr-CA"/>
        </w:rPr>
        <w:t>s</w:t>
      </w:r>
      <w:r w:rsidRPr="00217EFC">
        <w:rPr>
          <w:sz w:val="22"/>
          <w:szCs w:val="22"/>
          <w:lang w:val="fr-CA"/>
        </w:rPr>
        <w:t xml:space="preserve"> annonce</w:t>
      </w:r>
      <w:r>
        <w:rPr>
          <w:sz w:val="22"/>
          <w:szCs w:val="22"/>
          <w:lang w:val="fr-CA"/>
        </w:rPr>
        <w:t>,</w:t>
      </w:r>
      <w:r w:rsidRPr="00217EFC">
        <w:rPr>
          <w:sz w:val="22"/>
          <w:szCs w:val="22"/>
          <w:lang w:val="fr-CA"/>
        </w:rPr>
        <w:t xml:space="preserve"> </w:t>
      </w:r>
      <w:r>
        <w:rPr>
          <w:sz w:val="22"/>
          <w:szCs w:val="22"/>
          <w:lang w:val="fr-CA"/>
        </w:rPr>
        <w:t>l</w:t>
      </w:r>
      <w:r w:rsidRPr="00217EFC">
        <w:rPr>
          <w:sz w:val="22"/>
          <w:szCs w:val="22"/>
          <w:lang w:val="fr-CA"/>
        </w:rPr>
        <w:t>ors de son congrès de février 1917</w:t>
      </w:r>
      <w:r>
        <w:rPr>
          <w:sz w:val="22"/>
          <w:szCs w:val="22"/>
          <w:lang w:val="fr-CA"/>
        </w:rPr>
        <w:t xml:space="preserve">, </w:t>
      </w:r>
      <w:r w:rsidRPr="00217EFC">
        <w:rPr>
          <w:sz w:val="22"/>
          <w:szCs w:val="22"/>
          <w:lang w:val="fr-CA"/>
        </w:rPr>
        <w:t>qu’elle adopt</w:t>
      </w:r>
      <w:r>
        <w:rPr>
          <w:sz w:val="22"/>
          <w:szCs w:val="22"/>
          <w:lang w:val="fr-CA"/>
        </w:rPr>
        <w:t>e</w:t>
      </w:r>
      <w:r w:rsidRPr="00217EFC">
        <w:rPr>
          <w:sz w:val="22"/>
          <w:szCs w:val="22"/>
          <w:lang w:val="fr-CA"/>
        </w:rPr>
        <w:t xml:space="preserve"> une résolution pour envo</w:t>
      </w:r>
      <w:r>
        <w:rPr>
          <w:sz w:val="22"/>
          <w:szCs w:val="22"/>
          <w:lang w:val="fr-CA"/>
        </w:rPr>
        <w:t xml:space="preserve">yer </w:t>
      </w:r>
      <w:r w:rsidRPr="00217EFC">
        <w:rPr>
          <w:sz w:val="22"/>
          <w:szCs w:val="22"/>
          <w:lang w:val="fr-CA"/>
        </w:rPr>
        <w:t>immédiat</w:t>
      </w:r>
      <w:r>
        <w:rPr>
          <w:sz w:val="22"/>
          <w:szCs w:val="22"/>
          <w:lang w:val="fr-CA"/>
        </w:rPr>
        <w:t xml:space="preserve">ement </w:t>
      </w:r>
      <w:r w:rsidRPr="00217EFC">
        <w:rPr>
          <w:sz w:val="22"/>
          <w:szCs w:val="22"/>
          <w:lang w:val="fr-CA"/>
        </w:rPr>
        <w:t>un télégramme au Président Wilson, lui indiquant qu’</w:t>
      </w:r>
      <w:r>
        <w:rPr>
          <w:sz w:val="22"/>
          <w:szCs w:val="22"/>
          <w:lang w:val="fr-CA"/>
        </w:rPr>
        <w:t xml:space="preserve">il </w:t>
      </w:r>
      <w:r w:rsidRPr="00217EFC">
        <w:rPr>
          <w:sz w:val="22"/>
          <w:szCs w:val="22"/>
          <w:lang w:val="fr-CA"/>
        </w:rPr>
        <w:t>peut compter sur les services des 2</w:t>
      </w:r>
      <w:r w:rsidR="00DB5D0B">
        <w:rPr>
          <w:sz w:val="22"/>
          <w:szCs w:val="22"/>
          <w:lang w:val="fr-CA"/>
        </w:rPr>
        <w:t> </w:t>
      </w:r>
      <w:r w:rsidRPr="00217EFC">
        <w:rPr>
          <w:sz w:val="22"/>
          <w:szCs w:val="22"/>
          <w:lang w:val="fr-CA"/>
        </w:rPr>
        <w:t>000 hommes de la Brigade qui sont «</w:t>
      </w:r>
      <w:r w:rsidR="00DB5D0B">
        <w:rPr>
          <w:sz w:val="22"/>
          <w:szCs w:val="22"/>
          <w:lang w:val="fr-CA"/>
        </w:rPr>
        <w:t> </w:t>
      </w:r>
      <w:r w:rsidRPr="00217EFC">
        <w:rPr>
          <w:sz w:val="22"/>
          <w:szCs w:val="22"/>
          <w:lang w:val="fr-CA"/>
        </w:rPr>
        <w:t>prêts à voler au premier rang des régiments</w:t>
      </w:r>
      <w:r w:rsidR="00DB5D0B">
        <w:rPr>
          <w:sz w:val="22"/>
          <w:szCs w:val="22"/>
          <w:lang w:val="fr-CA"/>
        </w:rPr>
        <w:t> </w:t>
      </w:r>
      <w:r w:rsidRPr="00217EFC">
        <w:rPr>
          <w:sz w:val="22"/>
          <w:szCs w:val="22"/>
          <w:lang w:val="fr-CA"/>
        </w:rPr>
        <w:t>»</w:t>
      </w:r>
      <w:r w:rsidRPr="00217EFC">
        <w:rPr>
          <w:rStyle w:val="FootnoteReference"/>
          <w:sz w:val="22"/>
          <w:szCs w:val="22"/>
          <w:lang w:val="fr-CA"/>
        </w:rPr>
        <w:footnoteReference w:id="275"/>
      </w:r>
      <w:r w:rsidRPr="00217EFC">
        <w:rPr>
          <w:sz w:val="22"/>
          <w:szCs w:val="22"/>
          <w:lang w:val="fr-CA"/>
        </w:rPr>
        <w:t>.</w:t>
      </w:r>
      <w:r>
        <w:rPr>
          <w:sz w:val="22"/>
          <w:szCs w:val="22"/>
          <w:lang w:val="fr-CA"/>
        </w:rPr>
        <w:t xml:space="preserve"> </w:t>
      </w:r>
      <w:r w:rsidRPr="00217EFC">
        <w:rPr>
          <w:sz w:val="22"/>
          <w:szCs w:val="22"/>
          <w:lang w:val="fr-CA"/>
        </w:rPr>
        <w:t xml:space="preserve">De plus, quelques jours </w:t>
      </w:r>
      <w:r>
        <w:rPr>
          <w:sz w:val="22"/>
          <w:szCs w:val="22"/>
          <w:lang w:val="fr-CA"/>
        </w:rPr>
        <w:t xml:space="preserve">après </w:t>
      </w:r>
      <w:r w:rsidRPr="00217EFC">
        <w:rPr>
          <w:sz w:val="22"/>
          <w:szCs w:val="22"/>
          <w:lang w:val="fr-CA"/>
        </w:rPr>
        <w:t xml:space="preserve">l’annonce de la Brigade </w:t>
      </w:r>
      <w:r w:rsidR="00A750EB">
        <w:rPr>
          <w:sz w:val="22"/>
          <w:szCs w:val="22"/>
          <w:lang w:val="fr-CA"/>
        </w:rPr>
        <w:t xml:space="preserve">des </w:t>
      </w:r>
      <w:r w:rsidR="00464E8E">
        <w:rPr>
          <w:sz w:val="22"/>
          <w:szCs w:val="22"/>
          <w:lang w:val="fr-CA"/>
        </w:rPr>
        <w:t>V</w:t>
      </w:r>
      <w:r w:rsidR="00A750EB">
        <w:rPr>
          <w:sz w:val="22"/>
          <w:szCs w:val="22"/>
          <w:lang w:val="fr-CA"/>
        </w:rPr>
        <w:t>olontaires f</w:t>
      </w:r>
      <w:r w:rsidR="00A750EB" w:rsidRPr="00217EFC">
        <w:rPr>
          <w:sz w:val="22"/>
          <w:szCs w:val="22"/>
          <w:lang w:val="fr-CA"/>
        </w:rPr>
        <w:t>ranco-</w:t>
      </w:r>
      <w:r w:rsidR="00A750EB">
        <w:rPr>
          <w:sz w:val="22"/>
          <w:szCs w:val="22"/>
          <w:lang w:val="fr-CA"/>
        </w:rPr>
        <w:t>américains</w:t>
      </w:r>
      <w:r w:rsidRPr="00217EFC">
        <w:rPr>
          <w:sz w:val="22"/>
          <w:szCs w:val="22"/>
          <w:lang w:val="fr-CA"/>
        </w:rPr>
        <w:t xml:space="preserve">, c’est au tour de la compagnie Amoskeag d’annoncer qu’elle </w:t>
      </w:r>
      <w:r>
        <w:rPr>
          <w:sz w:val="22"/>
          <w:szCs w:val="22"/>
          <w:lang w:val="fr-CA"/>
        </w:rPr>
        <w:t xml:space="preserve">est disposée à </w:t>
      </w:r>
      <w:r w:rsidRPr="00217EFC">
        <w:rPr>
          <w:sz w:val="22"/>
          <w:szCs w:val="22"/>
          <w:lang w:val="fr-CA"/>
        </w:rPr>
        <w:t>payer pour la levée d’un régiment, si le gouvernement a besoin de volontaire</w:t>
      </w:r>
      <w:r>
        <w:rPr>
          <w:sz w:val="22"/>
          <w:szCs w:val="22"/>
          <w:lang w:val="fr-CA"/>
        </w:rPr>
        <w:t>s</w:t>
      </w:r>
      <w:r w:rsidRPr="00217EFC">
        <w:rPr>
          <w:rStyle w:val="FootnoteReference"/>
          <w:sz w:val="22"/>
          <w:szCs w:val="22"/>
          <w:lang w:val="fr-CA"/>
        </w:rPr>
        <w:footnoteReference w:id="276"/>
      </w:r>
      <w:r w:rsidRPr="00217EFC">
        <w:rPr>
          <w:sz w:val="22"/>
          <w:szCs w:val="22"/>
          <w:lang w:val="fr-CA"/>
        </w:rPr>
        <w:t xml:space="preserve">. </w:t>
      </w:r>
    </w:p>
    <w:p w14:paraId="062C157B" w14:textId="77777777" w:rsidR="000264D6" w:rsidRDefault="000264D6" w:rsidP="002B5319">
      <w:pPr>
        <w:spacing w:before="100" w:beforeAutospacing="1" w:after="100" w:afterAutospacing="1"/>
        <w:ind w:firstLine="720"/>
        <w:jc w:val="both"/>
        <w:rPr>
          <w:sz w:val="22"/>
          <w:szCs w:val="22"/>
          <w:lang w:val="fr-CA"/>
        </w:rPr>
      </w:pPr>
      <w:r w:rsidRPr="00217EFC">
        <w:rPr>
          <w:bCs/>
          <w:sz w:val="22"/>
          <w:szCs w:val="22"/>
          <w:lang w:val="fr-CA"/>
        </w:rPr>
        <w:t xml:space="preserve">À l’instar de la presse du pays, </w:t>
      </w:r>
      <w:r w:rsidRPr="00217EFC">
        <w:rPr>
          <w:bCs/>
          <w:i/>
          <w:iCs/>
          <w:sz w:val="22"/>
          <w:szCs w:val="22"/>
          <w:lang w:val="fr-CA"/>
        </w:rPr>
        <w:t xml:space="preserve">L’Avenir National </w:t>
      </w:r>
      <w:r w:rsidRPr="00217EFC">
        <w:rPr>
          <w:sz w:val="22"/>
          <w:szCs w:val="22"/>
          <w:lang w:val="fr-CA"/>
        </w:rPr>
        <w:t>annonce la déclaration de guerre, le 6 avril 1917, en première page du journal et l’entrée en guerre des États-Unis devient le sujet prédo</w:t>
      </w:r>
      <w:r w:rsidRPr="005F52D5">
        <w:rPr>
          <w:sz w:val="22"/>
          <w:szCs w:val="22"/>
          <w:lang w:val="fr-CA"/>
        </w:rPr>
        <w:t>minant du quotidien pour les jours à venir</w:t>
      </w:r>
      <w:r w:rsidRPr="005F52D5">
        <w:rPr>
          <w:rStyle w:val="FootnoteReference"/>
          <w:sz w:val="22"/>
          <w:szCs w:val="22"/>
          <w:lang w:val="fr-CA"/>
        </w:rPr>
        <w:footnoteReference w:id="277"/>
      </w:r>
      <w:r w:rsidRPr="005F52D5">
        <w:rPr>
          <w:sz w:val="22"/>
          <w:szCs w:val="22"/>
          <w:lang w:val="fr-CA"/>
        </w:rPr>
        <w:t xml:space="preserve">. </w:t>
      </w:r>
    </w:p>
    <w:p w14:paraId="6440D25E" w14:textId="77777777" w:rsidR="000264D6" w:rsidRPr="005F52D5" w:rsidRDefault="000264D6" w:rsidP="002B5319">
      <w:pPr>
        <w:spacing w:before="100" w:beforeAutospacing="1" w:after="100" w:afterAutospacing="1"/>
        <w:ind w:firstLine="720"/>
        <w:jc w:val="both"/>
        <w:rPr>
          <w:sz w:val="22"/>
          <w:szCs w:val="22"/>
          <w:lang w:val="fr-CA"/>
        </w:rPr>
      </w:pPr>
      <w:r w:rsidRPr="005F52D5">
        <w:rPr>
          <w:sz w:val="22"/>
          <w:szCs w:val="22"/>
          <w:lang w:val="fr-CA"/>
        </w:rPr>
        <w:t xml:space="preserve">Dès le début de l’entrée en guerre des États-Unis, </w:t>
      </w:r>
      <w:r w:rsidRPr="005F52D5">
        <w:rPr>
          <w:i/>
          <w:iCs/>
          <w:sz w:val="22"/>
          <w:szCs w:val="22"/>
          <w:lang w:val="fr-CA"/>
        </w:rPr>
        <w:t xml:space="preserve">L’Avenir </w:t>
      </w:r>
      <w:r w:rsidRPr="005F52D5">
        <w:rPr>
          <w:sz w:val="22"/>
          <w:szCs w:val="22"/>
          <w:lang w:val="fr-CA"/>
        </w:rPr>
        <w:t xml:space="preserve">National </w:t>
      </w:r>
      <w:r>
        <w:rPr>
          <w:sz w:val="22"/>
          <w:szCs w:val="22"/>
          <w:lang w:val="fr-CA"/>
        </w:rPr>
        <w:t xml:space="preserve">manifeste son appui à la cause et </w:t>
      </w:r>
      <w:r w:rsidRPr="00A338C3">
        <w:rPr>
          <w:sz w:val="22"/>
          <w:lang w:val="fr-CA"/>
        </w:rPr>
        <w:t>dès lors</w:t>
      </w:r>
      <w:r>
        <w:rPr>
          <w:sz w:val="22"/>
          <w:szCs w:val="22"/>
          <w:lang w:val="fr-CA"/>
        </w:rPr>
        <w:t xml:space="preserve">, </w:t>
      </w:r>
      <w:r w:rsidRPr="005F52D5">
        <w:rPr>
          <w:sz w:val="22"/>
          <w:szCs w:val="22"/>
          <w:lang w:val="fr-CA"/>
        </w:rPr>
        <w:t xml:space="preserve">publie plusieurs articles et éditoriaux incitant les gens à manifester leur appui au Congrès, à s’enrôler, à travailler </w:t>
      </w:r>
      <w:r>
        <w:rPr>
          <w:sz w:val="22"/>
          <w:szCs w:val="22"/>
          <w:lang w:val="fr-CA"/>
        </w:rPr>
        <w:t xml:space="preserve">avec ardeur </w:t>
      </w:r>
      <w:r w:rsidRPr="005F52D5">
        <w:rPr>
          <w:sz w:val="22"/>
          <w:szCs w:val="22"/>
          <w:lang w:val="fr-CA"/>
        </w:rPr>
        <w:t xml:space="preserve">pour maintenir la prospérité du pays et à contribuer aux emprunts de la Liberté. </w:t>
      </w:r>
      <w:r w:rsidRPr="000428B6">
        <w:rPr>
          <w:sz w:val="22"/>
          <w:lang w:val="fr-CA"/>
        </w:rPr>
        <w:t xml:space="preserve">De plus, le journal incite les </w:t>
      </w:r>
      <w:r>
        <w:rPr>
          <w:sz w:val="22"/>
          <w:szCs w:val="22"/>
          <w:lang w:val="fr-CA"/>
        </w:rPr>
        <w:t>membres</w:t>
      </w:r>
      <w:r w:rsidRPr="000428B6">
        <w:rPr>
          <w:sz w:val="22"/>
          <w:lang w:val="fr-CA"/>
        </w:rPr>
        <w:t xml:space="preserve"> de</w:t>
      </w:r>
      <w:r>
        <w:rPr>
          <w:sz w:val="22"/>
          <w:szCs w:val="22"/>
          <w:lang w:val="fr-CA"/>
        </w:rPr>
        <w:t xml:space="preserve"> la communauté</w:t>
      </w:r>
      <w:r w:rsidRPr="005F52D5">
        <w:rPr>
          <w:sz w:val="22"/>
          <w:szCs w:val="22"/>
          <w:lang w:val="fr-CA"/>
        </w:rPr>
        <w:t xml:space="preserve"> </w:t>
      </w:r>
      <w:r>
        <w:rPr>
          <w:sz w:val="22"/>
          <w:szCs w:val="22"/>
          <w:lang w:val="fr-CA"/>
        </w:rPr>
        <w:t>à</w:t>
      </w:r>
      <w:r w:rsidRPr="000428B6">
        <w:rPr>
          <w:sz w:val="22"/>
          <w:lang w:val="fr-CA"/>
        </w:rPr>
        <w:t xml:space="preserve"> s’informer sur la guerre, pour ainsi être apte</w:t>
      </w:r>
      <w:r>
        <w:rPr>
          <w:sz w:val="22"/>
          <w:lang w:val="fr-CA"/>
        </w:rPr>
        <w:t>s</w:t>
      </w:r>
      <w:r w:rsidRPr="000428B6">
        <w:rPr>
          <w:sz w:val="22"/>
          <w:lang w:val="fr-CA"/>
        </w:rPr>
        <w:t xml:space="preserve"> à débattre et </w:t>
      </w:r>
      <w:r>
        <w:rPr>
          <w:sz w:val="22"/>
          <w:lang w:val="fr-CA"/>
        </w:rPr>
        <w:t xml:space="preserve">à </w:t>
      </w:r>
      <w:r w:rsidRPr="000428B6">
        <w:rPr>
          <w:sz w:val="22"/>
          <w:lang w:val="fr-CA"/>
        </w:rPr>
        <w:t xml:space="preserve">prouver aux objecteurs de conscience qu’ils ont </w:t>
      </w:r>
      <w:r>
        <w:rPr>
          <w:sz w:val="22"/>
          <w:lang w:val="fr-CA"/>
        </w:rPr>
        <w:lastRenderedPageBreak/>
        <w:t>tort</w:t>
      </w:r>
      <w:r w:rsidRPr="000428B6">
        <w:rPr>
          <w:sz w:val="22"/>
          <w:lang w:val="fr-CA"/>
        </w:rPr>
        <w:t xml:space="preserve">. Finalement, le journal demande aux lecteurs de faire leur devoir civique en déclarant les embusqués au comité du </w:t>
      </w:r>
      <w:r w:rsidRPr="000428B6">
        <w:rPr>
          <w:i/>
          <w:sz w:val="22"/>
          <w:lang w:val="fr-CA"/>
        </w:rPr>
        <w:t xml:space="preserve">New Hampshire </w:t>
      </w:r>
      <w:r w:rsidRPr="005F52D5">
        <w:rPr>
          <w:i/>
          <w:iCs/>
          <w:sz w:val="22"/>
          <w:szCs w:val="22"/>
          <w:lang w:val="fr-CA"/>
        </w:rPr>
        <w:t>Defen</w:t>
      </w:r>
      <w:r>
        <w:rPr>
          <w:i/>
          <w:iCs/>
          <w:sz w:val="22"/>
          <w:szCs w:val="22"/>
          <w:lang w:val="fr-CA"/>
        </w:rPr>
        <w:t>c</w:t>
      </w:r>
      <w:r w:rsidRPr="005F52D5">
        <w:rPr>
          <w:i/>
          <w:iCs/>
          <w:sz w:val="22"/>
          <w:szCs w:val="22"/>
          <w:lang w:val="fr-CA"/>
        </w:rPr>
        <w:t>e</w:t>
      </w:r>
      <w:r w:rsidRPr="000428B6">
        <w:rPr>
          <w:i/>
          <w:sz w:val="22"/>
          <w:lang w:val="fr-CA"/>
        </w:rPr>
        <w:t xml:space="preserve"> Ligue</w:t>
      </w:r>
      <w:r w:rsidRPr="000428B6">
        <w:rPr>
          <w:rStyle w:val="FootnoteReference"/>
          <w:sz w:val="22"/>
          <w:lang w:val="fr-CA"/>
        </w:rPr>
        <w:footnoteReference w:id="278"/>
      </w:r>
      <w:r w:rsidRPr="000428B6">
        <w:rPr>
          <w:sz w:val="22"/>
          <w:lang w:val="fr-CA"/>
        </w:rPr>
        <w:t>.</w:t>
      </w:r>
      <w:r w:rsidRPr="005F52D5">
        <w:rPr>
          <w:sz w:val="22"/>
          <w:szCs w:val="22"/>
          <w:lang w:val="fr-CA"/>
        </w:rPr>
        <w:t xml:space="preserve">  </w:t>
      </w:r>
    </w:p>
    <w:p w14:paraId="25D35351" w14:textId="5CF2AC28" w:rsidR="000264D6" w:rsidRDefault="000264D6" w:rsidP="002B5319">
      <w:pPr>
        <w:spacing w:before="100" w:beforeAutospacing="1" w:after="100" w:afterAutospacing="1"/>
        <w:ind w:firstLine="720"/>
        <w:jc w:val="both"/>
        <w:rPr>
          <w:sz w:val="22"/>
          <w:szCs w:val="22"/>
          <w:lang w:val="fr-CA"/>
        </w:rPr>
      </w:pPr>
      <w:r>
        <w:rPr>
          <w:sz w:val="22"/>
          <w:szCs w:val="22"/>
          <w:lang w:val="fr-CA"/>
        </w:rPr>
        <w:t>Quoique le taux d’enrôlement n</w:t>
      </w:r>
      <w:r w:rsidRPr="005D0100">
        <w:rPr>
          <w:sz w:val="22"/>
          <w:szCs w:val="22"/>
          <w:lang w:val="fr-CA"/>
        </w:rPr>
        <w:t>’</w:t>
      </w:r>
      <w:r>
        <w:rPr>
          <w:sz w:val="22"/>
          <w:szCs w:val="22"/>
          <w:lang w:val="fr-CA"/>
        </w:rPr>
        <w:t xml:space="preserve">est pas à la hauteur des attentes de la </w:t>
      </w:r>
      <w:r w:rsidRPr="00217EFC">
        <w:rPr>
          <w:i/>
          <w:iCs/>
          <w:sz w:val="22"/>
          <w:szCs w:val="22"/>
          <w:lang w:val="fr-CA"/>
        </w:rPr>
        <w:t>New Hampshire National Defen</w:t>
      </w:r>
      <w:r>
        <w:rPr>
          <w:i/>
          <w:iCs/>
          <w:sz w:val="22"/>
          <w:szCs w:val="22"/>
          <w:lang w:val="fr-CA"/>
        </w:rPr>
        <w:t>c</w:t>
      </w:r>
      <w:r w:rsidRPr="00217EFC">
        <w:rPr>
          <w:i/>
          <w:iCs/>
          <w:sz w:val="22"/>
          <w:szCs w:val="22"/>
          <w:lang w:val="fr-CA"/>
        </w:rPr>
        <w:t>e Ligue</w:t>
      </w:r>
      <w:r>
        <w:rPr>
          <w:sz w:val="22"/>
          <w:szCs w:val="22"/>
          <w:lang w:val="fr-CA"/>
        </w:rPr>
        <w:t xml:space="preserve">, ses représentants </w:t>
      </w:r>
      <w:r w:rsidRPr="00217EFC">
        <w:rPr>
          <w:sz w:val="22"/>
          <w:szCs w:val="22"/>
          <w:lang w:val="fr-CA"/>
        </w:rPr>
        <w:t>avoue</w:t>
      </w:r>
      <w:r>
        <w:rPr>
          <w:sz w:val="22"/>
          <w:szCs w:val="22"/>
          <w:lang w:val="fr-CA"/>
        </w:rPr>
        <w:t>nt</w:t>
      </w:r>
      <w:r w:rsidRPr="00217EFC">
        <w:rPr>
          <w:sz w:val="22"/>
          <w:szCs w:val="22"/>
          <w:lang w:val="fr-CA"/>
        </w:rPr>
        <w:t xml:space="preserve"> </w:t>
      </w:r>
      <w:r>
        <w:rPr>
          <w:sz w:val="22"/>
          <w:szCs w:val="22"/>
          <w:lang w:val="fr-CA"/>
        </w:rPr>
        <w:t>au journal qu</w:t>
      </w:r>
      <w:r w:rsidRPr="005D0100">
        <w:rPr>
          <w:sz w:val="22"/>
          <w:szCs w:val="22"/>
          <w:lang w:val="fr-CA"/>
        </w:rPr>
        <w:t>’</w:t>
      </w:r>
      <w:r>
        <w:rPr>
          <w:sz w:val="22"/>
          <w:szCs w:val="22"/>
          <w:lang w:val="fr-CA"/>
        </w:rPr>
        <w:t>ils ne sont pas</w:t>
      </w:r>
      <w:r w:rsidRPr="005D0100">
        <w:rPr>
          <w:sz w:val="22"/>
          <w:szCs w:val="22"/>
          <w:lang w:val="fr-CA"/>
        </w:rPr>
        <w:t xml:space="preserve"> </w:t>
      </w:r>
      <w:r w:rsidRPr="00217EFC">
        <w:rPr>
          <w:sz w:val="22"/>
          <w:szCs w:val="22"/>
          <w:lang w:val="fr-CA"/>
        </w:rPr>
        <w:t>inquiets par cette situation</w:t>
      </w:r>
      <w:r>
        <w:rPr>
          <w:sz w:val="22"/>
          <w:szCs w:val="22"/>
          <w:lang w:val="fr-CA"/>
        </w:rPr>
        <w:t xml:space="preserve">. Or, </w:t>
      </w:r>
      <w:r>
        <w:rPr>
          <w:i/>
          <w:iCs/>
          <w:sz w:val="22"/>
          <w:szCs w:val="22"/>
          <w:lang w:val="fr-CA"/>
        </w:rPr>
        <w:t xml:space="preserve">L’Avenir National </w:t>
      </w:r>
      <w:r>
        <w:rPr>
          <w:sz w:val="22"/>
          <w:szCs w:val="22"/>
          <w:lang w:val="fr-CA"/>
        </w:rPr>
        <w:t>mentionne,</w:t>
      </w:r>
      <w:r w:rsidRPr="000428B6">
        <w:rPr>
          <w:sz w:val="22"/>
          <w:lang w:val="fr-CA"/>
        </w:rPr>
        <w:t xml:space="preserve"> </w:t>
      </w:r>
      <w:r>
        <w:rPr>
          <w:sz w:val="22"/>
          <w:lang w:val="fr-CA"/>
        </w:rPr>
        <w:t>a</w:t>
      </w:r>
      <w:r>
        <w:rPr>
          <w:sz w:val="22"/>
          <w:szCs w:val="22"/>
          <w:lang w:val="fr-CA"/>
        </w:rPr>
        <w:t>u début</w:t>
      </w:r>
      <w:r w:rsidRPr="00217EFC">
        <w:rPr>
          <w:sz w:val="22"/>
          <w:szCs w:val="22"/>
          <w:lang w:val="fr-CA"/>
        </w:rPr>
        <w:t xml:space="preserve"> avril 1917</w:t>
      </w:r>
      <w:r>
        <w:rPr>
          <w:sz w:val="22"/>
          <w:szCs w:val="22"/>
          <w:lang w:val="fr-CA"/>
        </w:rPr>
        <w:t>,</w:t>
      </w:r>
      <w:r w:rsidRPr="00217EFC">
        <w:rPr>
          <w:sz w:val="22"/>
          <w:szCs w:val="22"/>
          <w:lang w:val="fr-CA"/>
        </w:rPr>
        <w:t xml:space="preserve"> </w:t>
      </w:r>
      <w:r>
        <w:rPr>
          <w:sz w:val="22"/>
          <w:szCs w:val="22"/>
          <w:lang w:val="fr-CA"/>
        </w:rPr>
        <w:t>que l</w:t>
      </w:r>
      <w:r w:rsidRPr="00217EFC">
        <w:rPr>
          <w:sz w:val="22"/>
          <w:szCs w:val="22"/>
          <w:lang w:val="fr-CA"/>
        </w:rPr>
        <w:t>’organisation est appuyée par des membres solides que le Gouverneur de l’État a choisis lui-même pour cette tâche importante</w:t>
      </w:r>
      <w:r w:rsidRPr="00217EFC">
        <w:rPr>
          <w:rStyle w:val="FootnoteReference"/>
          <w:sz w:val="22"/>
          <w:szCs w:val="22"/>
          <w:lang w:val="fr-CA"/>
        </w:rPr>
        <w:footnoteReference w:id="279"/>
      </w:r>
      <w:r w:rsidRPr="00217EFC">
        <w:rPr>
          <w:sz w:val="22"/>
          <w:szCs w:val="22"/>
          <w:lang w:val="fr-CA"/>
        </w:rPr>
        <w:t>. Quelques jours après la déclaration de guerre, 51 demandes d’enrôlement sont reçues et 36 personnes sont accepté</w:t>
      </w:r>
      <w:r>
        <w:rPr>
          <w:sz w:val="22"/>
          <w:szCs w:val="22"/>
          <w:lang w:val="fr-CA"/>
        </w:rPr>
        <w:t>e</w:t>
      </w:r>
      <w:r w:rsidRPr="00217EFC">
        <w:rPr>
          <w:sz w:val="22"/>
          <w:szCs w:val="22"/>
          <w:lang w:val="fr-CA"/>
        </w:rPr>
        <w:t>s pour le service militaire. Pendant le mois d’avril</w:t>
      </w:r>
      <w:r>
        <w:rPr>
          <w:sz w:val="22"/>
          <w:szCs w:val="22"/>
          <w:lang w:val="fr-CA"/>
        </w:rPr>
        <w:t xml:space="preserve"> 1917</w:t>
      </w:r>
      <w:r w:rsidRPr="00217EFC">
        <w:rPr>
          <w:sz w:val="22"/>
          <w:szCs w:val="22"/>
          <w:lang w:val="fr-CA"/>
        </w:rPr>
        <w:t xml:space="preserve">, quarante personnes sont enrôlées au bureau de Manchester pour servir </w:t>
      </w:r>
      <w:r>
        <w:rPr>
          <w:sz w:val="22"/>
          <w:szCs w:val="22"/>
          <w:lang w:val="fr-CA"/>
        </w:rPr>
        <w:t xml:space="preserve">dans </w:t>
      </w:r>
      <w:r w:rsidRPr="00217EFC">
        <w:rPr>
          <w:sz w:val="22"/>
          <w:szCs w:val="22"/>
          <w:lang w:val="fr-CA"/>
        </w:rPr>
        <w:t>la marine</w:t>
      </w:r>
      <w:r w:rsidRPr="00217EFC">
        <w:rPr>
          <w:rStyle w:val="FootnoteReference"/>
          <w:sz w:val="22"/>
          <w:szCs w:val="22"/>
          <w:lang w:val="fr-CA"/>
        </w:rPr>
        <w:footnoteReference w:id="280"/>
      </w:r>
      <w:r w:rsidRPr="00217EFC">
        <w:rPr>
          <w:sz w:val="22"/>
          <w:szCs w:val="22"/>
          <w:lang w:val="fr-CA"/>
        </w:rPr>
        <w:t xml:space="preserve">. En mai 1917, les trois postes de recrutement de la ville </w:t>
      </w:r>
      <w:r>
        <w:rPr>
          <w:sz w:val="22"/>
          <w:szCs w:val="22"/>
          <w:lang w:val="fr-CA"/>
        </w:rPr>
        <w:t>enrôlent en</w:t>
      </w:r>
      <w:r w:rsidRPr="00217EFC">
        <w:rPr>
          <w:sz w:val="22"/>
          <w:szCs w:val="22"/>
          <w:lang w:val="fr-CA"/>
        </w:rPr>
        <w:t xml:space="preserve"> moyenne dix personnes par jour. </w:t>
      </w:r>
      <w:r>
        <w:rPr>
          <w:i/>
          <w:iCs/>
          <w:sz w:val="22"/>
          <w:szCs w:val="22"/>
          <w:lang w:val="fr-CA"/>
        </w:rPr>
        <w:t xml:space="preserve">L’Avenir National </w:t>
      </w:r>
      <w:r w:rsidRPr="00C044D7">
        <w:rPr>
          <w:sz w:val="22"/>
          <w:szCs w:val="22"/>
          <w:lang w:val="fr-CA"/>
        </w:rPr>
        <w:t>décrit</w:t>
      </w:r>
      <w:r>
        <w:rPr>
          <w:i/>
          <w:iCs/>
          <w:sz w:val="22"/>
          <w:szCs w:val="22"/>
          <w:lang w:val="fr-CA"/>
        </w:rPr>
        <w:t xml:space="preserve"> </w:t>
      </w:r>
      <w:r>
        <w:rPr>
          <w:sz w:val="22"/>
          <w:szCs w:val="22"/>
          <w:lang w:val="fr-CA"/>
        </w:rPr>
        <w:t>que l</w:t>
      </w:r>
      <w:r w:rsidRPr="00217EFC">
        <w:rPr>
          <w:sz w:val="22"/>
          <w:szCs w:val="22"/>
          <w:lang w:val="fr-CA"/>
        </w:rPr>
        <w:t>’équipe de recrutement de Manchester semble satisfaite de</w:t>
      </w:r>
      <w:r>
        <w:rPr>
          <w:sz w:val="22"/>
          <w:szCs w:val="22"/>
          <w:lang w:val="fr-CA"/>
        </w:rPr>
        <w:t>s</w:t>
      </w:r>
      <w:r w:rsidRPr="00217EFC">
        <w:rPr>
          <w:sz w:val="22"/>
          <w:szCs w:val="22"/>
          <w:lang w:val="fr-CA"/>
        </w:rPr>
        <w:t xml:space="preserve"> résultat</w:t>
      </w:r>
      <w:r>
        <w:rPr>
          <w:sz w:val="22"/>
          <w:szCs w:val="22"/>
          <w:lang w:val="fr-CA"/>
        </w:rPr>
        <w:t>s</w:t>
      </w:r>
      <w:r w:rsidRPr="00217EFC">
        <w:rPr>
          <w:sz w:val="22"/>
          <w:szCs w:val="22"/>
          <w:lang w:val="fr-CA"/>
        </w:rPr>
        <w:t xml:space="preserve"> de </w:t>
      </w:r>
      <w:r>
        <w:rPr>
          <w:sz w:val="22"/>
          <w:szCs w:val="22"/>
          <w:lang w:val="fr-CA"/>
        </w:rPr>
        <w:t xml:space="preserve">sa </w:t>
      </w:r>
      <w:r w:rsidRPr="00217EFC">
        <w:rPr>
          <w:sz w:val="22"/>
          <w:szCs w:val="22"/>
          <w:lang w:val="fr-CA"/>
        </w:rPr>
        <w:t>campagne de recrutement</w:t>
      </w:r>
      <w:r>
        <w:rPr>
          <w:sz w:val="22"/>
          <w:szCs w:val="22"/>
          <w:lang w:val="fr-CA"/>
        </w:rPr>
        <w:t xml:space="preserve"> et il publie régulièrement l</w:t>
      </w:r>
      <w:r w:rsidRPr="00217EFC">
        <w:rPr>
          <w:sz w:val="22"/>
          <w:szCs w:val="22"/>
          <w:lang w:val="fr-CA"/>
        </w:rPr>
        <w:t>es noms des volontaires acceptés</w:t>
      </w:r>
      <w:r>
        <w:rPr>
          <w:sz w:val="22"/>
          <w:szCs w:val="22"/>
          <w:lang w:val="fr-CA"/>
        </w:rPr>
        <w:t>,</w:t>
      </w:r>
      <w:r w:rsidRPr="00217EFC">
        <w:rPr>
          <w:sz w:val="22"/>
          <w:szCs w:val="22"/>
          <w:lang w:val="fr-CA"/>
        </w:rPr>
        <w:t xml:space="preserve"> ainsi que leur adresse respective</w:t>
      </w:r>
      <w:r w:rsidRPr="00217EFC">
        <w:rPr>
          <w:rStyle w:val="FootnoteReference"/>
          <w:sz w:val="22"/>
          <w:szCs w:val="22"/>
          <w:lang w:val="fr-CA"/>
        </w:rPr>
        <w:footnoteReference w:id="281"/>
      </w:r>
      <w:r w:rsidRPr="00217EFC">
        <w:rPr>
          <w:sz w:val="22"/>
          <w:szCs w:val="22"/>
          <w:lang w:val="fr-CA"/>
        </w:rPr>
        <w:t xml:space="preserve">. D’ailleurs, avant l’établissement du système de tirage pour le service militaire obligatoire, les premières informations </w:t>
      </w:r>
      <w:r>
        <w:rPr>
          <w:sz w:val="22"/>
          <w:szCs w:val="22"/>
          <w:lang w:val="fr-CA"/>
        </w:rPr>
        <w:t xml:space="preserve">issues </w:t>
      </w:r>
      <w:r w:rsidRPr="00217EFC">
        <w:rPr>
          <w:sz w:val="22"/>
          <w:szCs w:val="22"/>
          <w:lang w:val="fr-CA"/>
        </w:rPr>
        <w:t>du recensement militaire de la ville dénombrent 7</w:t>
      </w:r>
      <w:r w:rsidR="00DB5D0B">
        <w:rPr>
          <w:sz w:val="22"/>
          <w:szCs w:val="22"/>
          <w:lang w:val="fr-CA"/>
        </w:rPr>
        <w:t> </w:t>
      </w:r>
      <w:r w:rsidRPr="00217EFC">
        <w:rPr>
          <w:sz w:val="22"/>
          <w:szCs w:val="22"/>
          <w:lang w:val="fr-CA"/>
        </w:rPr>
        <w:t>241 personnes</w:t>
      </w:r>
      <w:r>
        <w:rPr>
          <w:sz w:val="22"/>
          <w:szCs w:val="22"/>
          <w:lang w:val="fr-CA"/>
        </w:rPr>
        <w:t xml:space="preserve"> (de </w:t>
      </w:r>
      <w:r w:rsidRPr="00217EFC">
        <w:rPr>
          <w:sz w:val="22"/>
          <w:szCs w:val="22"/>
          <w:lang w:val="fr-CA"/>
        </w:rPr>
        <w:t xml:space="preserve">18 </w:t>
      </w:r>
      <w:r>
        <w:rPr>
          <w:sz w:val="22"/>
          <w:szCs w:val="22"/>
          <w:lang w:val="fr-CA"/>
        </w:rPr>
        <w:t xml:space="preserve">à </w:t>
      </w:r>
      <w:r w:rsidRPr="00217EFC">
        <w:rPr>
          <w:sz w:val="22"/>
          <w:szCs w:val="22"/>
          <w:lang w:val="fr-CA"/>
        </w:rPr>
        <w:t>45 ans</w:t>
      </w:r>
      <w:r>
        <w:rPr>
          <w:sz w:val="22"/>
          <w:szCs w:val="22"/>
          <w:lang w:val="fr-CA"/>
        </w:rPr>
        <w:t xml:space="preserve">) </w:t>
      </w:r>
      <w:r w:rsidRPr="00217EFC">
        <w:rPr>
          <w:sz w:val="22"/>
          <w:szCs w:val="22"/>
          <w:lang w:val="fr-CA"/>
        </w:rPr>
        <w:t xml:space="preserve">inscrites sur la liste. </w:t>
      </w:r>
      <w:r>
        <w:rPr>
          <w:sz w:val="22"/>
          <w:szCs w:val="22"/>
          <w:lang w:val="fr-CA"/>
        </w:rPr>
        <w:t xml:space="preserve">Toutefois, </w:t>
      </w:r>
      <w:r w:rsidRPr="00217EFC">
        <w:rPr>
          <w:sz w:val="22"/>
          <w:szCs w:val="22"/>
          <w:lang w:val="fr-CA"/>
        </w:rPr>
        <w:t>quelques semaines plus tard</w:t>
      </w:r>
      <w:r>
        <w:rPr>
          <w:sz w:val="22"/>
          <w:szCs w:val="22"/>
          <w:lang w:val="fr-CA"/>
        </w:rPr>
        <w:t>,</w:t>
      </w:r>
      <w:r w:rsidRPr="00217EFC">
        <w:rPr>
          <w:sz w:val="22"/>
          <w:szCs w:val="22"/>
          <w:lang w:val="fr-CA"/>
        </w:rPr>
        <w:t xml:space="preserve"> la liste de Manchester compte 16</w:t>
      </w:r>
      <w:r w:rsidR="00DB5D0B">
        <w:rPr>
          <w:sz w:val="22"/>
          <w:szCs w:val="22"/>
          <w:lang w:val="fr-CA"/>
        </w:rPr>
        <w:t> </w:t>
      </w:r>
      <w:r w:rsidRPr="00217EFC">
        <w:rPr>
          <w:sz w:val="22"/>
          <w:szCs w:val="22"/>
          <w:lang w:val="fr-CA"/>
        </w:rPr>
        <w:t>147 noms</w:t>
      </w:r>
      <w:r w:rsidRPr="00217EFC">
        <w:rPr>
          <w:rStyle w:val="FootnoteReference"/>
          <w:sz w:val="22"/>
          <w:szCs w:val="22"/>
          <w:lang w:val="fr-CA"/>
        </w:rPr>
        <w:footnoteReference w:id="282"/>
      </w:r>
      <w:r w:rsidRPr="00217EFC">
        <w:rPr>
          <w:sz w:val="22"/>
          <w:szCs w:val="22"/>
          <w:lang w:val="fr-CA"/>
        </w:rPr>
        <w:t xml:space="preserve">. De plus, c’est avec enthousiasme qu’on annonce que le 6 mai 1917 la ville de Manchester tiendra une assemblée patriotique pour stimuler le recrutement sous la présidence du secrétaire d’État. On invite tous les gens aptes à joindre les rangs </w:t>
      </w:r>
      <w:r>
        <w:rPr>
          <w:sz w:val="22"/>
          <w:szCs w:val="22"/>
          <w:lang w:val="fr-CA"/>
        </w:rPr>
        <w:t xml:space="preserve">et </w:t>
      </w:r>
      <w:r w:rsidR="005B7936">
        <w:rPr>
          <w:sz w:val="22"/>
          <w:szCs w:val="22"/>
          <w:lang w:val="fr-CA"/>
        </w:rPr>
        <w:t xml:space="preserve">la population </w:t>
      </w:r>
      <w:r w:rsidRPr="00217EFC">
        <w:rPr>
          <w:sz w:val="22"/>
          <w:szCs w:val="22"/>
          <w:lang w:val="fr-CA"/>
        </w:rPr>
        <w:t>à participer en grand nombre</w:t>
      </w:r>
      <w:r w:rsidR="00810545">
        <w:rPr>
          <w:sz w:val="22"/>
          <w:szCs w:val="22"/>
          <w:lang w:val="fr-CA"/>
        </w:rPr>
        <w:t xml:space="preserve"> à l’assemblée</w:t>
      </w:r>
      <w:r w:rsidRPr="00217EFC">
        <w:rPr>
          <w:rStyle w:val="FootnoteReference"/>
          <w:sz w:val="22"/>
          <w:szCs w:val="22"/>
          <w:lang w:val="fr-CA"/>
        </w:rPr>
        <w:footnoteReference w:id="283"/>
      </w:r>
      <w:r w:rsidRPr="00217EFC">
        <w:rPr>
          <w:sz w:val="22"/>
          <w:szCs w:val="22"/>
          <w:lang w:val="fr-CA"/>
        </w:rPr>
        <w:t>. D’ailleurs, les compagnies du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sz w:val="22"/>
          <w:szCs w:val="22"/>
          <w:lang w:val="fr-CA"/>
        </w:rPr>
        <w:t xml:space="preserve"> prendront part aux cérémonies et le cloch</w:t>
      </w:r>
      <w:r>
        <w:rPr>
          <w:sz w:val="22"/>
          <w:szCs w:val="22"/>
          <w:lang w:val="fr-CA"/>
        </w:rPr>
        <w:t>er</w:t>
      </w:r>
      <w:r w:rsidRPr="00217EFC">
        <w:rPr>
          <w:sz w:val="22"/>
          <w:szCs w:val="22"/>
          <w:lang w:val="fr-CA"/>
        </w:rPr>
        <w:t xml:space="preserve"> de la paroisse Sainte-Marie sonnera 21 coups pour saluer le gigantesque drapeau américain </w:t>
      </w:r>
      <w:r>
        <w:rPr>
          <w:sz w:val="22"/>
          <w:szCs w:val="22"/>
          <w:lang w:val="fr-CA"/>
        </w:rPr>
        <w:t>q</w:t>
      </w:r>
      <w:r w:rsidRPr="00217EFC">
        <w:rPr>
          <w:sz w:val="22"/>
          <w:szCs w:val="22"/>
          <w:lang w:val="fr-CA"/>
        </w:rPr>
        <w:t>ui sera présenté au public</w:t>
      </w:r>
      <w:r w:rsidRPr="00217EFC">
        <w:rPr>
          <w:rStyle w:val="FootnoteReference"/>
          <w:sz w:val="22"/>
          <w:szCs w:val="22"/>
          <w:lang w:val="fr-CA"/>
        </w:rPr>
        <w:footnoteReference w:id="284"/>
      </w:r>
      <w:r w:rsidRPr="00217EFC">
        <w:rPr>
          <w:sz w:val="22"/>
          <w:szCs w:val="22"/>
          <w:lang w:val="fr-CA"/>
        </w:rPr>
        <w:t xml:space="preserve">. </w:t>
      </w:r>
    </w:p>
    <w:p w14:paraId="373004DF"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Le lendemain</w:t>
      </w:r>
      <w:r>
        <w:rPr>
          <w:sz w:val="22"/>
          <w:szCs w:val="22"/>
          <w:lang w:val="fr-CA"/>
        </w:rPr>
        <w:t>,</w:t>
      </w:r>
      <w:r w:rsidRPr="00217EFC">
        <w:rPr>
          <w:sz w:val="22"/>
          <w:szCs w:val="22"/>
          <w:lang w:val="fr-CA"/>
        </w:rPr>
        <w:t xml:space="preserve"> le journal rapporte que cent cinquante personnes se seraient enrôlées</w:t>
      </w:r>
      <w:r>
        <w:rPr>
          <w:sz w:val="22"/>
          <w:szCs w:val="22"/>
          <w:lang w:val="fr-CA"/>
        </w:rPr>
        <w:t xml:space="preserve"> dans les forces armées</w:t>
      </w:r>
      <w:r w:rsidRPr="00217EFC">
        <w:rPr>
          <w:rStyle w:val="FootnoteReference"/>
          <w:sz w:val="22"/>
          <w:szCs w:val="22"/>
          <w:lang w:val="fr-CA"/>
        </w:rPr>
        <w:footnoteReference w:id="285"/>
      </w:r>
      <w:r w:rsidRPr="00217EFC">
        <w:rPr>
          <w:sz w:val="22"/>
          <w:szCs w:val="22"/>
          <w:lang w:val="fr-CA"/>
        </w:rPr>
        <w:t>. En effet, le recrutement est satisfaisant</w:t>
      </w:r>
      <w:r>
        <w:rPr>
          <w:sz w:val="22"/>
          <w:szCs w:val="22"/>
          <w:lang w:val="fr-CA"/>
        </w:rPr>
        <w:t xml:space="preserve">, </w:t>
      </w:r>
      <w:r w:rsidRPr="00217EFC">
        <w:rPr>
          <w:sz w:val="22"/>
          <w:szCs w:val="22"/>
          <w:lang w:val="fr-CA"/>
        </w:rPr>
        <w:t xml:space="preserve">77 nouvelles recrues se présentent le 7 mai 1917 et le total de soldats enrôlés depuis le mois </w:t>
      </w:r>
      <w:r>
        <w:rPr>
          <w:sz w:val="22"/>
          <w:szCs w:val="22"/>
          <w:lang w:val="fr-CA"/>
        </w:rPr>
        <w:t>d’avril</w:t>
      </w:r>
      <w:r w:rsidRPr="00217EFC">
        <w:rPr>
          <w:sz w:val="22"/>
          <w:szCs w:val="22"/>
          <w:lang w:val="fr-CA"/>
        </w:rPr>
        <w:t xml:space="preserve"> est de 777</w:t>
      </w:r>
      <w:r w:rsidRPr="00217EFC">
        <w:rPr>
          <w:rStyle w:val="FootnoteReference"/>
          <w:sz w:val="22"/>
          <w:szCs w:val="22"/>
          <w:lang w:val="fr-CA"/>
        </w:rPr>
        <w:footnoteReference w:id="286"/>
      </w:r>
      <w:r w:rsidRPr="00217EFC">
        <w:rPr>
          <w:sz w:val="22"/>
          <w:szCs w:val="22"/>
          <w:lang w:val="fr-CA"/>
        </w:rPr>
        <w:t>. On mentionne aussi que le Dr Bergeron s’est enrôlé avec quatre autres médecin</w:t>
      </w:r>
      <w:r>
        <w:rPr>
          <w:sz w:val="22"/>
          <w:szCs w:val="22"/>
          <w:lang w:val="fr-CA"/>
        </w:rPr>
        <w:t>s</w:t>
      </w:r>
      <w:r w:rsidRPr="00217EFC">
        <w:rPr>
          <w:sz w:val="22"/>
          <w:szCs w:val="22"/>
          <w:lang w:val="fr-CA"/>
        </w:rPr>
        <w:t xml:space="preserve"> dans le Corps de Réserve des Officiers Médicaux et qu’ils ont tous reçu le grade de capitaine</w:t>
      </w:r>
      <w:r w:rsidRPr="00217EFC">
        <w:rPr>
          <w:rStyle w:val="FootnoteReference"/>
          <w:sz w:val="22"/>
          <w:szCs w:val="22"/>
          <w:lang w:val="fr-CA"/>
        </w:rPr>
        <w:footnoteReference w:id="287"/>
      </w:r>
      <w:r w:rsidRPr="00217EFC">
        <w:rPr>
          <w:sz w:val="22"/>
          <w:szCs w:val="22"/>
          <w:lang w:val="fr-CA"/>
        </w:rPr>
        <w:t>. Un article</w:t>
      </w:r>
      <w:r>
        <w:rPr>
          <w:sz w:val="22"/>
          <w:szCs w:val="22"/>
          <w:lang w:val="fr-CA"/>
        </w:rPr>
        <w:t>,</w:t>
      </w:r>
      <w:r w:rsidRPr="00217EFC">
        <w:rPr>
          <w:sz w:val="22"/>
          <w:szCs w:val="22"/>
          <w:lang w:val="fr-CA"/>
        </w:rPr>
        <w:t xml:space="preserve"> </w:t>
      </w:r>
      <w:r>
        <w:rPr>
          <w:sz w:val="22"/>
          <w:szCs w:val="22"/>
          <w:lang w:val="fr-CA"/>
        </w:rPr>
        <w:t>publié le</w:t>
      </w:r>
      <w:r w:rsidRPr="00217EFC">
        <w:rPr>
          <w:sz w:val="22"/>
          <w:szCs w:val="22"/>
          <w:lang w:val="fr-CA"/>
        </w:rPr>
        <w:t xml:space="preserve"> 10 mai 1917, mentionne que le départ </w:t>
      </w:r>
      <w:r>
        <w:rPr>
          <w:sz w:val="22"/>
          <w:szCs w:val="22"/>
          <w:lang w:val="fr-CA"/>
        </w:rPr>
        <w:t xml:space="preserve">en train </w:t>
      </w:r>
      <w:r w:rsidRPr="00217EFC">
        <w:rPr>
          <w:sz w:val="22"/>
          <w:szCs w:val="22"/>
          <w:lang w:val="fr-CA"/>
        </w:rPr>
        <w:t>de 52 recrues de la région</w:t>
      </w:r>
      <w:r w:rsidRPr="006628D2">
        <w:rPr>
          <w:sz w:val="22"/>
          <w:lang w:val="fr-CA"/>
        </w:rPr>
        <w:t xml:space="preserve"> </w:t>
      </w:r>
      <w:r>
        <w:rPr>
          <w:sz w:val="22"/>
          <w:szCs w:val="22"/>
          <w:lang w:val="fr-CA"/>
        </w:rPr>
        <w:t xml:space="preserve">pour </w:t>
      </w:r>
      <w:r w:rsidR="00DB5D0B">
        <w:rPr>
          <w:sz w:val="22"/>
          <w:lang w:val="fr-CA"/>
        </w:rPr>
        <w:t>F</w:t>
      </w:r>
      <w:r w:rsidRPr="006628D2">
        <w:rPr>
          <w:sz w:val="22"/>
          <w:lang w:val="fr-CA"/>
        </w:rPr>
        <w:t>ort Slocum</w:t>
      </w:r>
      <w:r w:rsidRPr="00217EFC">
        <w:rPr>
          <w:sz w:val="22"/>
          <w:szCs w:val="22"/>
          <w:lang w:val="fr-CA"/>
        </w:rPr>
        <w:t xml:space="preserve"> est ovationné par la population. Sur ces 52 recrues</w:t>
      </w:r>
      <w:r w:rsidR="00DB5D0B">
        <w:rPr>
          <w:sz w:val="22"/>
          <w:szCs w:val="22"/>
          <w:lang w:val="fr-CA"/>
        </w:rPr>
        <w:t>,</w:t>
      </w:r>
      <w:r w:rsidRPr="00217EFC">
        <w:rPr>
          <w:sz w:val="22"/>
          <w:szCs w:val="22"/>
          <w:lang w:val="fr-CA"/>
        </w:rPr>
        <w:t xml:space="preserve"> 12 d’entre elles sont de Manchester et quatre pourraient être identifié</w:t>
      </w:r>
      <w:r>
        <w:rPr>
          <w:sz w:val="22"/>
          <w:szCs w:val="22"/>
          <w:lang w:val="fr-CA"/>
        </w:rPr>
        <w:t>e</w:t>
      </w:r>
      <w:r w:rsidRPr="00217EFC">
        <w:rPr>
          <w:sz w:val="22"/>
          <w:szCs w:val="22"/>
          <w:lang w:val="fr-CA"/>
        </w:rPr>
        <w:t>s comme Franco-Américains</w:t>
      </w:r>
      <w:r w:rsidRPr="00217EFC">
        <w:rPr>
          <w:rStyle w:val="FootnoteReference"/>
          <w:sz w:val="22"/>
          <w:szCs w:val="22"/>
          <w:lang w:val="fr-CA"/>
        </w:rPr>
        <w:footnoteReference w:id="288"/>
      </w:r>
      <w:r w:rsidRPr="00217EFC">
        <w:rPr>
          <w:sz w:val="22"/>
          <w:szCs w:val="22"/>
          <w:lang w:val="fr-CA"/>
        </w:rPr>
        <w:t>. Dès la mi-mai</w:t>
      </w:r>
      <w:r w:rsidR="00DB5D0B">
        <w:rPr>
          <w:sz w:val="22"/>
          <w:szCs w:val="22"/>
          <w:lang w:val="fr-CA"/>
        </w:rPr>
        <w:t> </w:t>
      </w:r>
      <w:r w:rsidRPr="00217EFC">
        <w:rPr>
          <w:sz w:val="22"/>
          <w:szCs w:val="22"/>
          <w:lang w:val="fr-CA"/>
        </w:rPr>
        <w:t xml:space="preserve">1917, on rapporte que les postes pour </w:t>
      </w:r>
      <w:r w:rsidRPr="00217EFC">
        <w:rPr>
          <w:sz w:val="22"/>
          <w:szCs w:val="22"/>
          <w:lang w:val="fr-CA"/>
        </w:rPr>
        <w:lastRenderedPageBreak/>
        <w:t xml:space="preserve">servir au sein de l’artillerie de défense côtière sont tous </w:t>
      </w:r>
      <w:r w:rsidR="00DB5D0B">
        <w:rPr>
          <w:sz w:val="22"/>
          <w:szCs w:val="22"/>
          <w:lang w:val="fr-CA"/>
        </w:rPr>
        <w:t>pourvu</w:t>
      </w:r>
      <w:r w:rsidRPr="00217EFC">
        <w:rPr>
          <w:sz w:val="22"/>
          <w:szCs w:val="22"/>
          <w:lang w:val="fr-CA"/>
        </w:rPr>
        <w:t>s</w:t>
      </w:r>
      <w:r w:rsidRPr="00217EFC">
        <w:rPr>
          <w:rStyle w:val="FootnoteReference"/>
          <w:sz w:val="22"/>
          <w:szCs w:val="22"/>
          <w:lang w:val="fr-CA"/>
        </w:rPr>
        <w:footnoteReference w:id="289"/>
      </w:r>
      <w:r w:rsidRPr="00217EFC">
        <w:rPr>
          <w:sz w:val="22"/>
          <w:szCs w:val="22"/>
          <w:lang w:val="fr-CA"/>
        </w:rPr>
        <w:t xml:space="preserve">. Plus tard en mai, </w:t>
      </w:r>
      <w:r w:rsidRPr="00217EFC">
        <w:rPr>
          <w:i/>
          <w:iCs/>
          <w:sz w:val="22"/>
          <w:szCs w:val="22"/>
          <w:lang w:val="fr-CA"/>
        </w:rPr>
        <w:t>L’Avenir National</w:t>
      </w:r>
      <w:r w:rsidRPr="00217EFC">
        <w:rPr>
          <w:sz w:val="22"/>
          <w:szCs w:val="22"/>
          <w:lang w:val="fr-CA"/>
        </w:rPr>
        <w:t xml:space="preserve"> </w:t>
      </w:r>
      <w:r>
        <w:rPr>
          <w:sz w:val="22"/>
          <w:szCs w:val="22"/>
          <w:lang w:val="fr-CA"/>
        </w:rPr>
        <w:t xml:space="preserve">annonce </w:t>
      </w:r>
      <w:r w:rsidRPr="00217EFC">
        <w:rPr>
          <w:sz w:val="22"/>
          <w:szCs w:val="22"/>
          <w:lang w:val="fr-CA"/>
        </w:rPr>
        <w:t xml:space="preserve">le départ de 32 recrues pour le </w:t>
      </w:r>
      <w:r w:rsidR="00DB5D0B">
        <w:rPr>
          <w:sz w:val="22"/>
          <w:szCs w:val="22"/>
          <w:lang w:val="fr-CA"/>
        </w:rPr>
        <w:t>F</w:t>
      </w:r>
      <w:r w:rsidRPr="00217EFC">
        <w:rPr>
          <w:sz w:val="22"/>
          <w:szCs w:val="22"/>
          <w:lang w:val="fr-CA"/>
        </w:rPr>
        <w:t xml:space="preserve">ort Slocum, dont 9 sont de Manchester et </w:t>
      </w:r>
      <w:r>
        <w:rPr>
          <w:sz w:val="22"/>
          <w:szCs w:val="22"/>
          <w:lang w:val="fr-CA"/>
        </w:rPr>
        <w:t xml:space="preserve">raconte </w:t>
      </w:r>
      <w:r w:rsidRPr="00217EFC">
        <w:rPr>
          <w:sz w:val="22"/>
          <w:szCs w:val="22"/>
          <w:lang w:val="fr-CA"/>
        </w:rPr>
        <w:t xml:space="preserve">que 155 personnes ont </w:t>
      </w:r>
      <w:r>
        <w:rPr>
          <w:sz w:val="22"/>
          <w:szCs w:val="22"/>
          <w:lang w:val="fr-CA"/>
        </w:rPr>
        <w:t>été</w:t>
      </w:r>
      <w:r w:rsidRPr="00217EFC">
        <w:rPr>
          <w:sz w:val="22"/>
          <w:szCs w:val="22"/>
          <w:lang w:val="fr-CA"/>
        </w:rPr>
        <w:t xml:space="preserve"> recrutées </w:t>
      </w:r>
      <w:r>
        <w:rPr>
          <w:sz w:val="22"/>
          <w:szCs w:val="22"/>
          <w:lang w:val="fr-CA"/>
        </w:rPr>
        <w:t xml:space="preserve">à </w:t>
      </w:r>
      <w:r w:rsidRPr="00217EFC">
        <w:rPr>
          <w:sz w:val="22"/>
          <w:szCs w:val="22"/>
          <w:lang w:val="fr-CA"/>
        </w:rPr>
        <w:t xml:space="preserve">Manchester </w:t>
      </w:r>
      <w:r>
        <w:rPr>
          <w:sz w:val="22"/>
          <w:szCs w:val="22"/>
          <w:lang w:val="fr-CA"/>
        </w:rPr>
        <w:t>durant</w:t>
      </w:r>
      <w:r w:rsidRPr="00217EFC">
        <w:rPr>
          <w:sz w:val="22"/>
          <w:szCs w:val="22"/>
          <w:lang w:val="fr-CA"/>
        </w:rPr>
        <w:t xml:space="preserve"> le mois de mai 1917</w:t>
      </w:r>
      <w:r w:rsidRPr="00217EFC">
        <w:rPr>
          <w:rStyle w:val="FootnoteReference"/>
          <w:sz w:val="22"/>
          <w:szCs w:val="22"/>
          <w:lang w:val="fr-CA"/>
        </w:rPr>
        <w:footnoteReference w:id="290"/>
      </w:r>
      <w:r w:rsidRPr="00217EFC">
        <w:rPr>
          <w:sz w:val="22"/>
          <w:szCs w:val="22"/>
          <w:lang w:val="fr-CA"/>
        </w:rPr>
        <w:t xml:space="preserve">. En </w:t>
      </w:r>
      <w:r>
        <w:rPr>
          <w:sz w:val="22"/>
          <w:szCs w:val="22"/>
          <w:lang w:val="fr-CA"/>
        </w:rPr>
        <w:t>j</w:t>
      </w:r>
      <w:r w:rsidRPr="00217EFC">
        <w:rPr>
          <w:sz w:val="22"/>
          <w:szCs w:val="22"/>
          <w:lang w:val="fr-CA"/>
        </w:rPr>
        <w:t>uin</w:t>
      </w:r>
      <w:r>
        <w:rPr>
          <w:sz w:val="22"/>
          <w:szCs w:val="22"/>
          <w:lang w:val="fr-CA"/>
        </w:rPr>
        <w:t xml:space="preserve"> 1917</w:t>
      </w:r>
      <w:r w:rsidRPr="00217EFC">
        <w:rPr>
          <w:sz w:val="22"/>
          <w:szCs w:val="22"/>
          <w:lang w:val="fr-CA"/>
        </w:rPr>
        <w:t>, on rapporte que sur 1</w:t>
      </w:r>
      <w:r w:rsidR="00DB5D0B">
        <w:rPr>
          <w:sz w:val="22"/>
          <w:szCs w:val="22"/>
          <w:lang w:val="fr-CA"/>
        </w:rPr>
        <w:t> </w:t>
      </w:r>
      <w:r w:rsidRPr="00217EFC">
        <w:rPr>
          <w:sz w:val="22"/>
          <w:szCs w:val="22"/>
          <w:lang w:val="fr-CA"/>
        </w:rPr>
        <w:t>246 inscriptions, 488 sont des Franco-Américains</w:t>
      </w:r>
      <w:r>
        <w:rPr>
          <w:sz w:val="22"/>
          <w:szCs w:val="22"/>
          <w:lang w:val="fr-CA"/>
        </w:rPr>
        <w:t xml:space="preserve"> : </w:t>
      </w:r>
      <w:r w:rsidRPr="00217EFC">
        <w:rPr>
          <w:sz w:val="22"/>
          <w:szCs w:val="22"/>
          <w:lang w:val="fr-CA"/>
        </w:rPr>
        <w:t xml:space="preserve">247 </w:t>
      </w:r>
      <w:r>
        <w:rPr>
          <w:sz w:val="22"/>
          <w:szCs w:val="22"/>
          <w:lang w:val="fr-CA"/>
        </w:rPr>
        <w:t>d</w:t>
      </w:r>
      <w:r w:rsidRPr="005216CF">
        <w:rPr>
          <w:sz w:val="22"/>
          <w:szCs w:val="22"/>
          <w:lang w:val="fr-CA"/>
        </w:rPr>
        <w:t>’</w:t>
      </w:r>
      <w:r>
        <w:rPr>
          <w:sz w:val="22"/>
          <w:szCs w:val="22"/>
          <w:lang w:val="fr-CA"/>
        </w:rPr>
        <w:t xml:space="preserve">entre eux </w:t>
      </w:r>
      <w:r w:rsidRPr="00217EFC">
        <w:rPr>
          <w:sz w:val="22"/>
          <w:szCs w:val="22"/>
          <w:lang w:val="fr-CA"/>
        </w:rPr>
        <w:t>joig</w:t>
      </w:r>
      <w:r>
        <w:rPr>
          <w:sz w:val="22"/>
          <w:szCs w:val="22"/>
          <w:lang w:val="fr-CA"/>
        </w:rPr>
        <w:t xml:space="preserve">nent </w:t>
      </w:r>
      <w:r w:rsidRPr="00217EFC">
        <w:rPr>
          <w:sz w:val="22"/>
          <w:szCs w:val="22"/>
          <w:lang w:val="fr-CA"/>
        </w:rPr>
        <w:t xml:space="preserve">la Garde Nationale, 172 la Marine, 46 l’Armée régulière et 23 </w:t>
      </w:r>
      <w:r>
        <w:rPr>
          <w:sz w:val="22"/>
          <w:szCs w:val="22"/>
          <w:lang w:val="fr-CA"/>
        </w:rPr>
        <w:t xml:space="preserve">le </w:t>
      </w:r>
      <w:r w:rsidRPr="00217EFC">
        <w:rPr>
          <w:sz w:val="22"/>
          <w:szCs w:val="22"/>
          <w:lang w:val="fr-CA"/>
        </w:rPr>
        <w:t xml:space="preserve">Corps des fusiliers marins. </w:t>
      </w:r>
      <w:r>
        <w:rPr>
          <w:sz w:val="22"/>
          <w:szCs w:val="22"/>
          <w:lang w:val="fr-CA"/>
        </w:rPr>
        <w:t>En fait, l</w:t>
      </w:r>
      <w:r w:rsidRPr="00217EFC">
        <w:rPr>
          <w:sz w:val="22"/>
          <w:szCs w:val="22"/>
          <w:lang w:val="fr-CA"/>
        </w:rPr>
        <w:t xml:space="preserve">es recruteurs </w:t>
      </w:r>
      <w:r>
        <w:rPr>
          <w:sz w:val="22"/>
          <w:szCs w:val="22"/>
          <w:lang w:val="fr-CA"/>
        </w:rPr>
        <w:t xml:space="preserve">de Manchester mentionnent </w:t>
      </w:r>
      <w:r w:rsidRPr="00217EFC">
        <w:rPr>
          <w:sz w:val="22"/>
          <w:szCs w:val="22"/>
          <w:lang w:val="fr-CA"/>
        </w:rPr>
        <w:t>que sur le total des engagés et des enrôlés</w:t>
      </w:r>
      <w:r>
        <w:rPr>
          <w:sz w:val="22"/>
          <w:szCs w:val="22"/>
          <w:lang w:val="fr-CA"/>
        </w:rPr>
        <w:t xml:space="preserve"> en juin 1917, </w:t>
      </w:r>
      <w:r w:rsidRPr="00217EFC">
        <w:rPr>
          <w:sz w:val="22"/>
          <w:szCs w:val="22"/>
          <w:lang w:val="fr-CA"/>
        </w:rPr>
        <w:t>718 sont Franco-Américain</w:t>
      </w:r>
      <w:r>
        <w:rPr>
          <w:sz w:val="22"/>
          <w:szCs w:val="22"/>
          <w:lang w:val="fr-CA"/>
        </w:rPr>
        <w:t>s</w:t>
      </w:r>
      <w:r w:rsidRPr="00217EFC">
        <w:rPr>
          <w:rStyle w:val="FootnoteReference"/>
          <w:sz w:val="22"/>
          <w:szCs w:val="22"/>
          <w:lang w:val="fr-CA"/>
        </w:rPr>
        <w:footnoteReference w:id="291"/>
      </w:r>
      <w:r w:rsidRPr="00217EFC">
        <w:rPr>
          <w:sz w:val="22"/>
          <w:szCs w:val="22"/>
          <w:lang w:val="fr-CA"/>
        </w:rPr>
        <w:t xml:space="preserve">. </w:t>
      </w:r>
      <w:r>
        <w:rPr>
          <w:sz w:val="22"/>
          <w:szCs w:val="22"/>
          <w:lang w:val="fr-CA"/>
        </w:rPr>
        <w:t>D’ailleurs</w:t>
      </w:r>
      <w:r w:rsidRPr="00217EFC">
        <w:rPr>
          <w:sz w:val="22"/>
          <w:szCs w:val="22"/>
          <w:lang w:val="fr-CA"/>
        </w:rPr>
        <w:t xml:space="preserve">, le journal continue à publier les noms de volontaires qui sont acceptés pour leur entrainement de </w:t>
      </w:r>
      <w:r>
        <w:rPr>
          <w:sz w:val="22"/>
          <w:szCs w:val="22"/>
          <w:lang w:val="fr-CA"/>
        </w:rPr>
        <w:t xml:space="preserve">recrue à la </w:t>
      </w:r>
      <w:r w:rsidRPr="00217EFC">
        <w:rPr>
          <w:sz w:val="22"/>
          <w:szCs w:val="22"/>
          <w:lang w:val="fr-CA"/>
        </w:rPr>
        <w:t xml:space="preserve">base </w:t>
      </w:r>
      <w:r>
        <w:rPr>
          <w:sz w:val="22"/>
          <w:szCs w:val="22"/>
          <w:lang w:val="fr-CA"/>
        </w:rPr>
        <w:t xml:space="preserve">de </w:t>
      </w:r>
      <w:r w:rsidRPr="00217EFC">
        <w:rPr>
          <w:sz w:val="22"/>
          <w:szCs w:val="22"/>
          <w:lang w:val="fr-CA"/>
        </w:rPr>
        <w:t>Slocum</w:t>
      </w:r>
      <w:r w:rsidRPr="00217EFC">
        <w:rPr>
          <w:rStyle w:val="FootnoteReference"/>
          <w:sz w:val="22"/>
          <w:szCs w:val="22"/>
          <w:lang w:val="fr-CA"/>
        </w:rPr>
        <w:footnoteReference w:id="292"/>
      </w:r>
      <w:r w:rsidRPr="00217EFC">
        <w:rPr>
          <w:sz w:val="22"/>
          <w:szCs w:val="22"/>
          <w:lang w:val="fr-CA"/>
        </w:rPr>
        <w:t>.</w:t>
      </w:r>
    </w:p>
    <w:p w14:paraId="4837AC90" w14:textId="77777777"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t>Une deuxième vague de recrutement est lancée le 25 juin 1917</w:t>
      </w:r>
      <w:r>
        <w:rPr>
          <w:sz w:val="22"/>
          <w:szCs w:val="22"/>
          <w:lang w:val="fr-CA"/>
        </w:rPr>
        <w:t xml:space="preserve">, car l’armée régulière </w:t>
      </w:r>
      <w:r w:rsidRPr="00217EFC">
        <w:rPr>
          <w:sz w:val="22"/>
          <w:szCs w:val="22"/>
          <w:lang w:val="fr-CA"/>
        </w:rPr>
        <w:t>requi</w:t>
      </w:r>
      <w:r>
        <w:rPr>
          <w:sz w:val="22"/>
          <w:szCs w:val="22"/>
          <w:lang w:val="fr-CA"/>
        </w:rPr>
        <w:t>e</w:t>
      </w:r>
      <w:r w:rsidRPr="00217EFC">
        <w:rPr>
          <w:sz w:val="22"/>
          <w:szCs w:val="22"/>
          <w:lang w:val="fr-CA"/>
        </w:rPr>
        <w:t>r</w:t>
      </w:r>
      <w:r>
        <w:rPr>
          <w:sz w:val="22"/>
          <w:szCs w:val="22"/>
          <w:lang w:val="fr-CA"/>
        </w:rPr>
        <w:t>t</w:t>
      </w:r>
      <w:r w:rsidRPr="00217EFC">
        <w:rPr>
          <w:sz w:val="22"/>
          <w:szCs w:val="22"/>
          <w:lang w:val="fr-CA"/>
        </w:rPr>
        <w:t xml:space="preserve"> 70</w:t>
      </w:r>
      <w:r w:rsidR="00DB5D0B">
        <w:rPr>
          <w:sz w:val="22"/>
          <w:szCs w:val="22"/>
          <w:lang w:val="fr-CA"/>
        </w:rPr>
        <w:t> </w:t>
      </w:r>
      <w:r w:rsidRPr="00217EFC">
        <w:rPr>
          <w:sz w:val="22"/>
          <w:szCs w:val="22"/>
          <w:lang w:val="fr-CA"/>
        </w:rPr>
        <w:t>000 soldats supplémentaire</w:t>
      </w:r>
      <w:r>
        <w:rPr>
          <w:sz w:val="22"/>
          <w:szCs w:val="22"/>
          <w:lang w:val="fr-CA"/>
        </w:rPr>
        <w:t>s</w:t>
      </w:r>
      <w:r w:rsidRPr="00217EFC">
        <w:rPr>
          <w:rStyle w:val="FootnoteReference"/>
          <w:sz w:val="22"/>
          <w:szCs w:val="22"/>
          <w:lang w:val="fr-CA"/>
        </w:rPr>
        <w:footnoteReference w:id="293"/>
      </w:r>
      <w:r w:rsidRPr="00217EFC">
        <w:rPr>
          <w:sz w:val="22"/>
          <w:szCs w:val="22"/>
          <w:lang w:val="fr-CA"/>
        </w:rPr>
        <w:t xml:space="preserve">. </w:t>
      </w:r>
      <w:r>
        <w:rPr>
          <w:sz w:val="22"/>
          <w:szCs w:val="22"/>
          <w:lang w:val="fr-CA"/>
        </w:rPr>
        <w:t>La</w:t>
      </w:r>
      <w:r w:rsidRPr="00217EFC">
        <w:rPr>
          <w:sz w:val="22"/>
          <w:szCs w:val="22"/>
          <w:lang w:val="fr-CA"/>
        </w:rPr>
        <w:t xml:space="preserve"> </w:t>
      </w:r>
      <w:r w:rsidRPr="00217EFC">
        <w:rPr>
          <w:i/>
          <w:iCs/>
          <w:sz w:val="22"/>
          <w:szCs w:val="22"/>
          <w:lang w:val="fr-CA"/>
        </w:rPr>
        <w:t>New Hampshire National Defen</w:t>
      </w:r>
      <w:r>
        <w:rPr>
          <w:i/>
          <w:iCs/>
          <w:sz w:val="22"/>
          <w:szCs w:val="22"/>
          <w:lang w:val="fr-CA"/>
        </w:rPr>
        <w:t>c</w:t>
      </w:r>
      <w:r w:rsidRPr="00217EFC">
        <w:rPr>
          <w:i/>
          <w:iCs/>
          <w:sz w:val="22"/>
          <w:szCs w:val="22"/>
          <w:lang w:val="fr-CA"/>
        </w:rPr>
        <w:t>e Ligue</w:t>
      </w:r>
      <w:r w:rsidRPr="00217EFC">
        <w:rPr>
          <w:sz w:val="22"/>
          <w:szCs w:val="22"/>
          <w:lang w:val="fr-CA"/>
        </w:rPr>
        <w:t xml:space="preserve"> </w:t>
      </w:r>
      <w:r>
        <w:rPr>
          <w:sz w:val="22"/>
          <w:szCs w:val="22"/>
          <w:lang w:val="fr-CA"/>
        </w:rPr>
        <w:t xml:space="preserve">mentionne </w:t>
      </w:r>
      <w:r w:rsidRPr="00217EFC">
        <w:rPr>
          <w:sz w:val="22"/>
          <w:szCs w:val="22"/>
          <w:lang w:val="fr-CA"/>
        </w:rPr>
        <w:t xml:space="preserve">que le New Hampshire ne semble pas contribuer suffisamment en </w:t>
      </w:r>
      <w:r>
        <w:rPr>
          <w:sz w:val="22"/>
          <w:szCs w:val="22"/>
          <w:lang w:val="fr-CA"/>
        </w:rPr>
        <w:t xml:space="preserve">termes d’effectifs. Les </w:t>
      </w:r>
      <w:r w:rsidRPr="00217EFC">
        <w:rPr>
          <w:sz w:val="22"/>
          <w:szCs w:val="22"/>
          <w:lang w:val="fr-CA"/>
        </w:rPr>
        <w:t xml:space="preserve">orateurs et oratrices lors des différents ralliements mentionnent </w:t>
      </w:r>
      <w:r w:rsidR="006A7367">
        <w:rPr>
          <w:sz w:val="22"/>
          <w:szCs w:val="22"/>
          <w:lang w:val="fr-CA"/>
        </w:rPr>
        <w:t xml:space="preserve">tous à l’unisson </w:t>
      </w:r>
      <w:r w:rsidRPr="00217EFC">
        <w:rPr>
          <w:sz w:val="22"/>
          <w:szCs w:val="22"/>
          <w:lang w:val="fr-CA"/>
        </w:rPr>
        <w:t xml:space="preserve">que les gens ne peuvent pas rester chez eux alors que leurs voisins font leur part et que le New Hampshire est au quarantième rang </w:t>
      </w:r>
      <w:r>
        <w:rPr>
          <w:sz w:val="22"/>
          <w:szCs w:val="22"/>
          <w:lang w:val="fr-CA"/>
        </w:rPr>
        <w:t xml:space="preserve">de </w:t>
      </w:r>
      <w:r w:rsidRPr="00217EFC">
        <w:rPr>
          <w:sz w:val="22"/>
          <w:szCs w:val="22"/>
          <w:lang w:val="fr-CA"/>
        </w:rPr>
        <w:t>tous les États-Unis quant aux enrôlements pour l’armée et la marine</w:t>
      </w:r>
      <w:r w:rsidRPr="00217EFC">
        <w:rPr>
          <w:rStyle w:val="FootnoteReference"/>
          <w:sz w:val="22"/>
          <w:szCs w:val="22"/>
          <w:lang w:val="fr-CA"/>
        </w:rPr>
        <w:footnoteReference w:id="294"/>
      </w:r>
      <w:r w:rsidRPr="00217EFC">
        <w:rPr>
          <w:sz w:val="22"/>
          <w:szCs w:val="22"/>
          <w:lang w:val="fr-CA"/>
        </w:rPr>
        <w:t xml:space="preserve">. C’est pendant la semaine du 9 juillet 1917 que </w:t>
      </w:r>
      <w:r w:rsidRPr="00217EFC">
        <w:rPr>
          <w:i/>
          <w:iCs/>
          <w:sz w:val="22"/>
          <w:szCs w:val="22"/>
          <w:lang w:val="fr-CA"/>
        </w:rPr>
        <w:t>L’Avenir National</w:t>
      </w:r>
      <w:r w:rsidRPr="00217EFC">
        <w:rPr>
          <w:sz w:val="22"/>
          <w:szCs w:val="22"/>
          <w:lang w:val="fr-CA"/>
        </w:rPr>
        <w:t xml:space="preserve"> publiera la liste des </w:t>
      </w:r>
      <w:r>
        <w:rPr>
          <w:sz w:val="22"/>
          <w:szCs w:val="22"/>
          <w:lang w:val="fr-CA"/>
        </w:rPr>
        <w:t>8</w:t>
      </w:r>
      <w:r w:rsidR="00DB5D0B">
        <w:rPr>
          <w:sz w:val="22"/>
          <w:szCs w:val="22"/>
          <w:lang w:val="fr-CA"/>
        </w:rPr>
        <w:t> </w:t>
      </w:r>
      <w:r>
        <w:rPr>
          <w:sz w:val="22"/>
          <w:szCs w:val="22"/>
          <w:lang w:val="fr-CA"/>
        </w:rPr>
        <w:t xml:space="preserve">401 inscrits de Manchester </w:t>
      </w:r>
      <w:r w:rsidRPr="00217EFC">
        <w:rPr>
          <w:sz w:val="22"/>
          <w:szCs w:val="22"/>
          <w:lang w:val="fr-CA"/>
        </w:rPr>
        <w:t xml:space="preserve">qui seront sujets </w:t>
      </w:r>
      <w:r w:rsidRPr="002952DF">
        <w:rPr>
          <w:sz w:val="22"/>
          <w:szCs w:val="22"/>
          <w:lang w:val="fr-CA"/>
        </w:rPr>
        <w:t>à</w:t>
      </w:r>
      <w:r>
        <w:rPr>
          <w:sz w:val="22"/>
          <w:szCs w:val="22"/>
          <w:lang w:val="fr-CA"/>
        </w:rPr>
        <w:t xml:space="preserve"> </w:t>
      </w:r>
      <w:r w:rsidRPr="00217EFC">
        <w:rPr>
          <w:sz w:val="22"/>
          <w:szCs w:val="22"/>
          <w:lang w:val="fr-CA"/>
        </w:rPr>
        <w:t>la conscription</w:t>
      </w:r>
      <w:r w:rsidR="00C97B0E">
        <w:rPr>
          <w:sz w:val="22"/>
          <w:szCs w:val="22"/>
          <w:lang w:val="fr-CA"/>
        </w:rPr>
        <w:t>. L</w:t>
      </w:r>
      <w:r w:rsidRPr="00217EFC">
        <w:rPr>
          <w:sz w:val="22"/>
          <w:szCs w:val="22"/>
          <w:lang w:val="fr-CA"/>
        </w:rPr>
        <w:t xml:space="preserve">e tirage </w:t>
      </w:r>
      <w:r w:rsidRPr="002952DF">
        <w:rPr>
          <w:sz w:val="22"/>
          <w:szCs w:val="22"/>
          <w:lang w:val="fr-CA"/>
        </w:rPr>
        <w:t>des numéros</w:t>
      </w:r>
      <w:r w:rsidRPr="006628D2">
        <w:rPr>
          <w:sz w:val="22"/>
          <w:lang w:val="fr-CA"/>
        </w:rPr>
        <w:t xml:space="preserve"> des cartes d’inscription </w:t>
      </w:r>
      <w:r>
        <w:rPr>
          <w:sz w:val="22"/>
          <w:szCs w:val="22"/>
          <w:lang w:val="fr-CA"/>
        </w:rPr>
        <w:t>se tient</w:t>
      </w:r>
      <w:r w:rsidRPr="006628D2">
        <w:rPr>
          <w:sz w:val="22"/>
          <w:lang w:val="fr-CA"/>
        </w:rPr>
        <w:t xml:space="preserve"> à Washington</w:t>
      </w:r>
      <w:r w:rsidR="00C97B0E">
        <w:rPr>
          <w:sz w:val="22"/>
          <w:lang w:val="fr-CA"/>
        </w:rPr>
        <w:t>,</w:t>
      </w:r>
      <w:r w:rsidR="00C97B0E" w:rsidRPr="00C97B0E">
        <w:rPr>
          <w:sz w:val="22"/>
          <w:szCs w:val="22"/>
          <w:lang w:val="fr-CA"/>
        </w:rPr>
        <w:t xml:space="preserve"> </w:t>
      </w:r>
      <w:r w:rsidR="00C97B0E" w:rsidRPr="00217EFC">
        <w:rPr>
          <w:sz w:val="22"/>
          <w:szCs w:val="22"/>
          <w:lang w:val="fr-CA"/>
        </w:rPr>
        <w:t>le 20 juillet 1917</w:t>
      </w:r>
      <w:r w:rsidR="00C97B0E">
        <w:rPr>
          <w:sz w:val="22"/>
          <w:szCs w:val="22"/>
          <w:lang w:val="fr-CA"/>
        </w:rPr>
        <w:t xml:space="preserve"> et </w:t>
      </w:r>
      <w:r w:rsidRPr="006628D2">
        <w:rPr>
          <w:i/>
          <w:sz w:val="22"/>
          <w:lang w:val="fr-CA"/>
        </w:rPr>
        <w:t>L’Avenir</w:t>
      </w:r>
      <w:r w:rsidRPr="00217EFC">
        <w:rPr>
          <w:i/>
          <w:iCs/>
          <w:sz w:val="22"/>
          <w:szCs w:val="22"/>
          <w:lang w:val="fr-CA"/>
        </w:rPr>
        <w:t xml:space="preserve"> National</w:t>
      </w:r>
      <w:r w:rsidRPr="00217EFC">
        <w:rPr>
          <w:sz w:val="22"/>
          <w:szCs w:val="22"/>
          <w:lang w:val="fr-CA"/>
        </w:rPr>
        <w:t xml:space="preserve"> publie la liste des conscrits qui sont tirés</w:t>
      </w:r>
      <w:r>
        <w:rPr>
          <w:sz w:val="22"/>
          <w:szCs w:val="22"/>
          <w:lang w:val="fr-CA"/>
        </w:rPr>
        <w:t>. L</w:t>
      </w:r>
      <w:r w:rsidRPr="00217EFC">
        <w:rPr>
          <w:sz w:val="22"/>
          <w:szCs w:val="22"/>
          <w:lang w:val="fr-CA"/>
        </w:rPr>
        <w:t>e premier Franco-Américain de la ville à être conscrit est M.</w:t>
      </w:r>
      <w:r w:rsidR="00DB5D0B">
        <w:rPr>
          <w:sz w:val="22"/>
          <w:szCs w:val="22"/>
          <w:lang w:val="fr-CA"/>
        </w:rPr>
        <w:t> </w:t>
      </w:r>
      <w:r w:rsidRPr="00217EFC">
        <w:rPr>
          <w:sz w:val="22"/>
          <w:szCs w:val="22"/>
          <w:lang w:val="fr-CA"/>
        </w:rPr>
        <w:t>E. L. Harnois</w:t>
      </w:r>
      <w:r w:rsidRPr="00217EFC">
        <w:rPr>
          <w:rStyle w:val="FootnoteReference"/>
          <w:sz w:val="22"/>
          <w:szCs w:val="22"/>
          <w:lang w:val="fr-CA"/>
        </w:rPr>
        <w:footnoteReference w:id="295"/>
      </w:r>
      <w:r w:rsidRPr="00217EFC">
        <w:rPr>
          <w:sz w:val="22"/>
          <w:szCs w:val="22"/>
          <w:lang w:val="fr-CA"/>
        </w:rPr>
        <w:t xml:space="preserve">. </w:t>
      </w:r>
      <w:r>
        <w:rPr>
          <w:sz w:val="22"/>
          <w:szCs w:val="22"/>
          <w:lang w:val="fr-CA"/>
        </w:rPr>
        <w:t>Par ailleurs, le journal décrit que l</w:t>
      </w:r>
      <w:r w:rsidRPr="00217EFC">
        <w:rPr>
          <w:sz w:val="22"/>
          <w:szCs w:val="22"/>
          <w:lang w:val="fr-CA"/>
        </w:rPr>
        <w:t xml:space="preserve">es </w:t>
      </w:r>
      <w:r>
        <w:rPr>
          <w:sz w:val="22"/>
          <w:szCs w:val="22"/>
          <w:lang w:val="fr-CA"/>
        </w:rPr>
        <w:t xml:space="preserve">volontaires sont plus nombreux </w:t>
      </w:r>
      <w:r w:rsidRPr="00217EFC">
        <w:rPr>
          <w:sz w:val="22"/>
          <w:szCs w:val="22"/>
          <w:lang w:val="fr-CA"/>
        </w:rPr>
        <w:t xml:space="preserve">au centre de recrutement de Manchester et </w:t>
      </w:r>
      <w:r>
        <w:rPr>
          <w:sz w:val="22"/>
          <w:szCs w:val="22"/>
          <w:lang w:val="fr-CA"/>
        </w:rPr>
        <w:t xml:space="preserve">que </w:t>
      </w:r>
      <w:r w:rsidRPr="00217EFC">
        <w:rPr>
          <w:sz w:val="22"/>
          <w:szCs w:val="22"/>
          <w:lang w:val="fr-CA"/>
        </w:rPr>
        <w:t xml:space="preserve">les gens sont affectés </w:t>
      </w:r>
      <w:r>
        <w:rPr>
          <w:sz w:val="22"/>
          <w:szCs w:val="22"/>
          <w:lang w:val="fr-CA"/>
        </w:rPr>
        <w:t xml:space="preserve">soit </w:t>
      </w:r>
      <w:r w:rsidRPr="00217EFC">
        <w:rPr>
          <w:sz w:val="22"/>
          <w:szCs w:val="22"/>
          <w:lang w:val="fr-CA"/>
        </w:rPr>
        <w:t>au corps d’infanterie</w:t>
      </w:r>
      <w:r>
        <w:rPr>
          <w:sz w:val="22"/>
          <w:szCs w:val="22"/>
          <w:lang w:val="fr-CA"/>
        </w:rPr>
        <w:t>,</w:t>
      </w:r>
      <w:r w:rsidRPr="00217EFC">
        <w:rPr>
          <w:sz w:val="22"/>
          <w:szCs w:val="22"/>
          <w:lang w:val="fr-CA"/>
        </w:rPr>
        <w:t xml:space="preserve"> </w:t>
      </w:r>
      <w:r>
        <w:rPr>
          <w:sz w:val="22"/>
          <w:szCs w:val="22"/>
          <w:lang w:val="fr-CA"/>
        </w:rPr>
        <w:t xml:space="preserve">soit </w:t>
      </w:r>
      <w:r w:rsidRPr="00217EFC">
        <w:rPr>
          <w:sz w:val="22"/>
          <w:szCs w:val="22"/>
          <w:lang w:val="fr-CA"/>
        </w:rPr>
        <w:t>au service médical</w:t>
      </w:r>
      <w:r w:rsidRPr="00217EFC">
        <w:rPr>
          <w:rStyle w:val="FootnoteReference"/>
          <w:sz w:val="22"/>
          <w:szCs w:val="22"/>
          <w:lang w:val="fr-CA"/>
        </w:rPr>
        <w:footnoteReference w:id="296"/>
      </w:r>
      <w:r w:rsidRPr="00217EFC">
        <w:rPr>
          <w:sz w:val="22"/>
          <w:szCs w:val="22"/>
          <w:lang w:val="fr-CA"/>
        </w:rPr>
        <w:t>. Pour cette nouvelle vague de recrutement, les recrues de Manchester se compte</w:t>
      </w:r>
      <w:r>
        <w:rPr>
          <w:sz w:val="22"/>
          <w:szCs w:val="22"/>
          <w:lang w:val="fr-CA"/>
        </w:rPr>
        <w:t>nt</w:t>
      </w:r>
      <w:r w:rsidRPr="00217EFC">
        <w:rPr>
          <w:sz w:val="22"/>
          <w:szCs w:val="22"/>
          <w:lang w:val="fr-CA"/>
        </w:rPr>
        <w:t xml:space="preserve"> par groupes de 20 et celles qui sont sélectionnées pour l’infanterie seront envoyées au </w:t>
      </w:r>
      <w:r w:rsidR="00DB5D0B">
        <w:rPr>
          <w:sz w:val="22"/>
          <w:szCs w:val="22"/>
          <w:lang w:val="fr-CA"/>
        </w:rPr>
        <w:t>F</w:t>
      </w:r>
      <w:r w:rsidRPr="00217EFC">
        <w:rPr>
          <w:sz w:val="22"/>
          <w:szCs w:val="22"/>
          <w:lang w:val="fr-CA"/>
        </w:rPr>
        <w:t>ort Syra</w:t>
      </w:r>
      <w:r>
        <w:rPr>
          <w:sz w:val="22"/>
          <w:szCs w:val="22"/>
          <w:lang w:val="fr-CA"/>
        </w:rPr>
        <w:t>c</w:t>
      </w:r>
      <w:r w:rsidRPr="00217EFC">
        <w:rPr>
          <w:sz w:val="22"/>
          <w:szCs w:val="22"/>
          <w:lang w:val="fr-CA"/>
        </w:rPr>
        <w:t>use, N.Y.</w:t>
      </w:r>
      <w:r w:rsidRPr="00217EFC">
        <w:rPr>
          <w:rStyle w:val="FootnoteReference"/>
          <w:sz w:val="22"/>
          <w:szCs w:val="22"/>
          <w:lang w:val="fr-CA"/>
        </w:rPr>
        <w:footnoteReference w:id="297"/>
      </w:r>
      <w:r w:rsidRPr="00217EFC">
        <w:rPr>
          <w:sz w:val="22"/>
          <w:szCs w:val="22"/>
          <w:lang w:val="fr-CA"/>
        </w:rPr>
        <w:t xml:space="preserve">. Quant aux enrôlements pour le mois d’août 1917, la ville de Manchester se classe première pour la Nouvelle-Angleterre, avec 133 personnes sur 173 qui sont acceptées pour servir dans l’armée </w:t>
      </w:r>
      <w:r>
        <w:rPr>
          <w:sz w:val="22"/>
          <w:szCs w:val="22"/>
          <w:lang w:val="fr-CA"/>
        </w:rPr>
        <w:t>américaine</w:t>
      </w:r>
      <w:r w:rsidRPr="00217EFC">
        <w:rPr>
          <w:rStyle w:val="FootnoteReference"/>
          <w:sz w:val="22"/>
          <w:szCs w:val="22"/>
          <w:lang w:val="fr-CA"/>
        </w:rPr>
        <w:footnoteReference w:id="298"/>
      </w:r>
      <w:r w:rsidRPr="00217EFC">
        <w:rPr>
          <w:sz w:val="22"/>
          <w:szCs w:val="22"/>
          <w:lang w:val="fr-CA"/>
        </w:rPr>
        <w:t>.</w:t>
      </w:r>
    </w:p>
    <w:p w14:paraId="1AE3EA14" w14:textId="77777777" w:rsidR="000264D6" w:rsidRPr="00217EFC" w:rsidRDefault="000264D6" w:rsidP="002B5319">
      <w:pPr>
        <w:spacing w:before="100" w:beforeAutospacing="1" w:after="100" w:afterAutospacing="1"/>
        <w:ind w:firstLine="720"/>
        <w:jc w:val="both"/>
        <w:rPr>
          <w:sz w:val="22"/>
          <w:szCs w:val="22"/>
          <w:lang w:val="fr-CA"/>
        </w:rPr>
      </w:pPr>
      <w:r w:rsidRPr="006628D2">
        <w:rPr>
          <w:sz w:val="22"/>
          <w:lang w:val="fr-CA"/>
        </w:rPr>
        <w:t>En septembre</w:t>
      </w:r>
      <w:r>
        <w:rPr>
          <w:sz w:val="22"/>
          <w:szCs w:val="22"/>
          <w:lang w:val="fr-CA"/>
        </w:rPr>
        <w:t xml:space="preserve"> 1917, </w:t>
      </w:r>
      <w:r w:rsidRPr="00217EFC">
        <w:rPr>
          <w:i/>
          <w:iCs/>
          <w:sz w:val="22"/>
          <w:szCs w:val="22"/>
          <w:lang w:val="fr-CA"/>
        </w:rPr>
        <w:t xml:space="preserve">L’Avenir National </w:t>
      </w:r>
      <w:r w:rsidRPr="00217EFC">
        <w:rPr>
          <w:sz w:val="22"/>
          <w:szCs w:val="22"/>
          <w:lang w:val="fr-CA"/>
        </w:rPr>
        <w:t>continue de souligner avec enthousiasme le départ des conscrits. L’équipe édito</w:t>
      </w:r>
      <w:r>
        <w:rPr>
          <w:sz w:val="22"/>
          <w:szCs w:val="22"/>
          <w:lang w:val="fr-CA"/>
        </w:rPr>
        <w:t xml:space="preserve">riale </w:t>
      </w:r>
      <w:r w:rsidRPr="00217EFC">
        <w:rPr>
          <w:sz w:val="22"/>
          <w:szCs w:val="22"/>
          <w:lang w:val="fr-CA"/>
        </w:rPr>
        <w:t>salue et reconnait le patriotisme de ces gens qui partent pour l’Europe, «</w:t>
      </w:r>
      <w:r w:rsidR="00DB5D0B">
        <w:rPr>
          <w:sz w:val="22"/>
          <w:szCs w:val="22"/>
          <w:lang w:val="fr-CA"/>
        </w:rPr>
        <w:t> </w:t>
      </w:r>
      <w:r w:rsidRPr="00217EFC">
        <w:rPr>
          <w:sz w:val="22"/>
          <w:szCs w:val="22"/>
          <w:lang w:val="fr-CA"/>
        </w:rPr>
        <w:t>où ils feront leur part de combat pour le droit et la justice</w:t>
      </w:r>
      <w:r w:rsidR="00DB5D0B">
        <w:rPr>
          <w:sz w:val="22"/>
          <w:szCs w:val="22"/>
          <w:lang w:val="fr-CA"/>
        </w:rPr>
        <w:t> </w:t>
      </w:r>
      <w:r w:rsidRPr="00217EFC">
        <w:rPr>
          <w:sz w:val="22"/>
          <w:szCs w:val="22"/>
          <w:lang w:val="fr-CA"/>
        </w:rPr>
        <w:t>»</w:t>
      </w:r>
      <w:r w:rsidRPr="00217EFC">
        <w:rPr>
          <w:rStyle w:val="FootnoteReference"/>
          <w:sz w:val="22"/>
          <w:szCs w:val="22"/>
          <w:lang w:val="fr-CA"/>
        </w:rPr>
        <w:footnoteReference w:id="299"/>
      </w:r>
      <w:r w:rsidRPr="00217EFC">
        <w:rPr>
          <w:sz w:val="22"/>
          <w:szCs w:val="22"/>
          <w:lang w:val="fr-CA"/>
        </w:rPr>
        <w:t>.</w:t>
      </w:r>
      <w:r>
        <w:rPr>
          <w:sz w:val="22"/>
          <w:szCs w:val="22"/>
          <w:lang w:val="fr-CA"/>
        </w:rPr>
        <w:t xml:space="preserve"> À </w:t>
      </w:r>
      <w:r w:rsidRPr="00217EFC">
        <w:rPr>
          <w:sz w:val="22"/>
          <w:szCs w:val="22"/>
          <w:lang w:val="fr-CA"/>
        </w:rPr>
        <w:t xml:space="preserve">la fin octobre 1917, le commandement du groupe de recrutement pour les États du New Hampshire et du Maine </w:t>
      </w:r>
      <w:r w:rsidRPr="00217EFC">
        <w:rPr>
          <w:sz w:val="22"/>
          <w:szCs w:val="22"/>
          <w:lang w:val="fr-CA"/>
        </w:rPr>
        <w:lastRenderedPageBreak/>
        <w:t>mentionne qu’il aura un sergent recruteur francophone sous peu pour répondre aux besoins de</w:t>
      </w:r>
      <w:r>
        <w:rPr>
          <w:sz w:val="22"/>
          <w:szCs w:val="22"/>
          <w:lang w:val="fr-CA"/>
        </w:rPr>
        <w:t xml:space="preserve">s </w:t>
      </w:r>
      <w:r w:rsidRPr="00217EFC">
        <w:rPr>
          <w:sz w:val="22"/>
          <w:szCs w:val="22"/>
          <w:lang w:val="fr-CA"/>
        </w:rPr>
        <w:t>communauté</w:t>
      </w:r>
      <w:r>
        <w:rPr>
          <w:sz w:val="22"/>
          <w:szCs w:val="22"/>
          <w:lang w:val="fr-CA"/>
        </w:rPr>
        <w:t>s</w:t>
      </w:r>
      <w:r w:rsidRPr="00217EFC">
        <w:rPr>
          <w:sz w:val="22"/>
          <w:szCs w:val="22"/>
          <w:lang w:val="fr-CA"/>
        </w:rPr>
        <w:t xml:space="preserve"> francophone</w:t>
      </w:r>
      <w:r>
        <w:rPr>
          <w:sz w:val="22"/>
          <w:szCs w:val="22"/>
          <w:lang w:val="fr-CA"/>
        </w:rPr>
        <w:t>s</w:t>
      </w:r>
      <w:r w:rsidRPr="00217EFC">
        <w:rPr>
          <w:sz w:val="22"/>
          <w:szCs w:val="22"/>
          <w:lang w:val="fr-CA"/>
        </w:rPr>
        <w:t xml:space="preserve"> de ces régions</w:t>
      </w:r>
      <w:r w:rsidRPr="00217EFC">
        <w:rPr>
          <w:rStyle w:val="FootnoteReference"/>
          <w:sz w:val="22"/>
          <w:szCs w:val="22"/>
          <w:lang w:val="fr-CA"/>
        </w:rPr>
        <w:footnoteReference w:id="300"/>
      </w:r>
      <w:r w:rsidRPr="00217EFC">
        <w:rPr>
          <w:sz w:val="22"/>
          <w:szCs w:val="22"/>
          <w:lang w:val="fr-CA"/>
        </w:rPr>
        <w:t>. En décembre 1917, le bureau de recrutement pour le district du Maine et du New Hampshire rapporte que sur les 205 volontaires qui proviennent de Manchester</w:t>
      </w:r>
      <w:r>
        <w:rPr>
          <w:sz w:val="22"/>
          <w:szCs w:val="22"/>
          <w:lang w:val="fr-CA"/>
        </w:rPr>
        <w:t>,</w:t>
      </w:r>
      <w:r w:rsidRPr="00217EFC">
        <w:rPr>
          <w:sz w:val="22"/>
          <w:szCs w:val="22"/>
          <w:lang w:val="fr-CA"/>
        </w:rPr>
        <w:t xml:space="preserve"> 67 sont Franco-Américains</w:t>
      </w:r>
      <w:r w:rsidRPr="00217EFC">
        <w:rPr>
          <w:rStyle w:val="FootnoteReference"/>
          <w:sz w:val="22"/>
          <w:szCs w:val="22"/>
          <w:lang w:val="fr-CA"/>
        </w:rPr>
        <w:footnoteReference w:id="301"/>
      </w:r>
      <w:r w:rsidRPr="00217EFC">
        <w:rPr>
          <w:sz w:val="22"/>
          <w:szCs w:val="22"/>
          <w:lang w:val="fr-CA"/>
        </w:rPr>
        <w:t xml:space="preserve">. </w:t>
      </w:r>
      <w:r w:rsidR="001B22CA">
        <w:rPr>
          <w:sz w:val="22"/>
          <w:szCs w:val="22"/>
          <w:lang w:val="fr-CA"/>
        </w:rPr>
        <w:t xml:space="preserve">Par ailleurs, le </w:t>
      </w:r>
      <w:r w:rsidR="001B22CA" w:rsidRPr="00217EFC">
        <w:rPr>
          <w:sz w:val="22"/>
          <w:szCs w:val="22"/>
          <w:lang w:val="fr-CA"/>
        </w:rPr>
        <w:t>service spécialisé</w:t>
      </w:r>
      <w:r w:rsidR="001B22CA">
        <w:rPr>
          <w:sz w:val="22"/>
          <w:szCs w:val="22"/>
          <w:lang w:val="fr-CA"/>
        </w:rPr>
        <w:t xml:space="preserve"> de l</w:t>
      </w:r>
      <w:r w:rsidR="001B22CA" w:rsidRPr="00217EFC">
        <w:rPr>
          <w:sz w:val="22"/>
          <w:szCs w:val="22"/>
          <w:lang w:val="fr-CA"/>
        </w:rPr>
        <w:t xml:space="preserve">’aviation </w:t>
      </w:r>
      <w:r w:rsidR="001B22CA">
        <w:rPr>
          <w:sz w:val="22"/>
          <w:szCs w:val="22"/>
          <w:lang w:val="fr-CA"/>
        </w:rPr>
        <w:t xml:space="preserve">de </w:t>
      </w:r>
      <w:r w:rsidR="001B22CA" w:rsidRPr="00217EFC">
        <w:rPr>
          <w:sz w:val="22"/>
          <w:szCs w:val="22"/>
          <w:lang w:val="fr-CA"/>
        </w:rPr>
        <w:t>l’armée commence à recruter du personnel vers la fin juillet 1917</w:t>
      </w:r>
      <w:r w:rsidR="001B22CA">
        <w:rPr>
          <w:sz w:val="22"/>
          <w:szCs w:val="22"/>
          <w:lang w:val="fr-CA"/>
        </w:rPr>
        <w:t xml:space="preserve"> et </w:t>
      </w:r>
      <w:r w:rsidR="001B22CA" w:rsidRPr="00217EFC">
        <w:rPr>
          <w:sz w:val="22"/>
          <w:szCs w:val="22"/>
          <w:lang w:val="fr-CA"/>
        </w:rPr>
        <w:t xml:space="preserve">l’entrainement </w:t>
      </w:r>
      <w:r w:rsidR="001B22CA">
        <w:rPr>
          <w:sz w:val="22"/>
          <w:szCs w:val="22"/>
          <w:lang w:val="fr-CA"/>
        </w:rPr>
        <w:t xml:space="preserve">se tient </w:t>
      </w:r>
      <w:r w:rsidR="001B22CA" w:rsidRPr="00217EFC">
        <w:rPr>
          <w:sz w:val="22"/>
          <w:szCs w:val="22"/>
          <w:lang w:val="fr-CA"/>
        </w:rPr>
        <w:t xml:space="preserve">au Texas, au </w:t>
      </w:r>
      <w:r w:rsidR="001B22CA">
        <w:rPr>
          <w:sz w:val="22"/>
          <w:szCs w:val="22"/>
          <w:lang w:val="fr-CA"/>
        </w:rPr>
        <w:t>F</w:t>
      </w:r>
      <w:r w:rsidR="001B22CA" w:rsidRPr="00217EFC">
        <w:rPr>
          <w:sz w:val="22"/>
          <w:szCs w:val="22"/>
          <w:lang w:val="fr-CA"/>
        </w:rPr>
        <w:t>ort Sam Houston</w:t>
      </w:r>
      <w:r w:rsidR="001B22CA" w:rsidRPr="00217EFC">
        <w:rPr>
          <w:rStyle w:val="FootnoteReference"/>
          <w:sz w:val="22"/>
          <w:szCs w:val="22"/>
          <w:lang w:val="fr-CA"/>
        </w:rPr>
        <w:footnoteReference w:id="302"/>
      </w:r>
      <w:r w:rsidR="001B22CA" w:rsidRPr="00217EFC">
        <w:rPr>
          <w:sz w:val="22"/>
          <w:szCs w:val="22"/>
          <w:lang w:val="fr-CA"/>
        </w:rPr>
        <w:t xml:space="preserve">. </w:t>
      </w:r>
      <w:r w:rsidRPr="00217EFC">
        <w:rPr>
          <w:sz w:val="22"/>
          <w:szCs w:val="22"/>
          <w:lang w:val="fr-CA"/>
        </w:rPr>
        <w:t>Plus tard, le bureau rapporte que sur les 8</w:t>
      </w:r>
      <w:r w:rsidR="00DB5D0B">
        <w:rPr>
          <w:sz w:val="22"/>
          <w:szCs w:val="22"/>
          <w:lang w:val="fr-CA"/>
        </w:rPr>
        <w:t> </w:t>
      </w:r>
      <w:r w:rsidRPr="00217EFC">
        <w:rPr>
          <w:sz w:val="22"/>
          <w:szCs w:val="22"/>
          <w:lang w:val="fr-CA"/>
        </w:rPr>
        <w:t>189 personnes du New Hampshire qui se sont enrôlées dans l’armée américaine, 1</w:t>
      </w:r>
      <w:r w:rsidR="00DB5D0B">
        <w:rPr>
          <w:sz w:val="22"/>
          <w:szCs w:val="22"/>
          <w:lang w:val="fr-CA"/>
        </w:rPr>
        <w:t> </w:t>
      </w:r>
      <w:r w:rsidRPr="00217EFC">
        <w:rPr>
          <w:sz w:val="22"/>
          <w:szCs w:val="22"/>
          <w:lang w:val="fr-CA"/>
        </w:rPr>
        <w:t>218 sont résident de Manchester</w:t>
      </w:r>
      <w:r w:rsidRPr="00217EFC">
        <w:rPr>
          <w:rStyle w:val="FootnoteReference"/>
          <w:sz w:val="22"/>
          <w:szCs w:val="22"/>
          <w:lang w:val="fr-CA"/>
        </w:rPr>
        <w:footnoteReference w:id="303"/>
      </w:r>
      <w:r w:rsidRPr="00217EFC">
        <w:rPr>
          <w:sz w:val="22"/>
          <w:szCs w:val="22"/>
          <w:lang w:val="fr-CA"/>
        </w:rPr>
        <w:t xml:space="preserve">. </w:t>
      </w:r>
      <w:r>
        <w:rPr>
          <w:sz w:val="22"/>
          <w:szCs w:val="22"/>
          <w:lang w:val="fr-CA"/>
        </w:rPr>
        <w:t>Finalement</w:t>
      </w:r>
      <w:r w:rsidRPr="006628D2">
        <w:rPr>
          <w:sz w:val="22"/>
          <w:lang w:val="fr-CA"/>
        </w:rPr>
        <w:t xml:space="preserve">, selon Albert Bélanger, 865 Franco-Américains de Manchester auraient joint les rangs des forces militaires </w:t>
      </w:r>
      <w:r w:rsidRPr="00217EFC">
        <w:rPr>
          <w:sz w:val="22"/>
          <w:szCs w:val="22"/>
          <w:lang w:val="fr-CA"/>
        </w:rPr>
        <w:t>et 22 sont décédés pendant le conflit</w:t>
      </w:r>
      <w:r w:rsidRPr="00217EFC">
        <w:rPr>
          <w:rStyle w:val="FootnoteReference"/>
          <w:sz w:val="22"/>
          <w:szCs w:val="22"/>
          <w:lang w:val="fr-CA"/>
        </w:rPr>
        <w:footnoteReference w:id="304"/>
      </w:r>
      <w:r w:rsidRPr="00217EFC">
        <w:rPr>
          <w:sz w:val="22"/>
          <w:szCs w:val="22"/>
          <w:lang w:val="fr-CA"/>
        </w:rPr>
        <w:t>.</w:t>
      </w:r>
    </w:p>
    <w:p w14:paraId="3497CBF8" w14:textId="77777777"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De plus, en juin 1918, la ville d</w:t>
      </w:r>
      <w:r>
        <w:rPr>
          <w:sz w:val="22"/>
          <w:szCs w:val="22"/>
          <w:lang w:val="fr-CA"/>
        </w:rPr>
        <w:t>e</w:t>
      </w:r>
      <w:r w:rsidRPr="00217EFC">
        <w:rPr>
          <w:sz w:val="22"/>
          <w:szCs w:val="22"/>
          <w:lang w:val="fr-CA"/>
        </w:rPr>
        <w:t xml:space="preserve"> Manchester sera sollicité</w:t>
      </w:r>
      <w:r>
        <w:rPr>
          <w:sz w:val="22"/>
          <w:szCs w:val="22"/>
          <w:lang w:val="fr-CA"/>
        </w:rPr>
        <w:t>e</w:t>
      </w:r>
      <w:r w:rsidRPr="00217EFC">
        <w:rPr>
          <w:sz w:val="22"/>
          <w:szCs w:val="22"/>
          <w:lang w:val="fr-CA"/>
        </w:rPr>
        <w:t xml:space="preserve"> pour fournir 30 des 98 infirmières que l’État doit fournir. Dès les premi</w:t>
      </w:r>
      <w:r>
        <w:rPr>
          <w:sz w:val="22"/>
          <w:szCs w:val="22"/>
          <w:lang w:val="fr-CA"/>
        </w:rPr>
        <w:t xml:space="preserve">ères </w:t>
      </w:r>
      <w:r w:rsidRPr="00217EFC">
        <w:rPr>
          <w:sz w:val="22"/>
          <w:szCs w:val="22"/>
          <w:lang w:val="fr-CA"/>
        </w:rPr>
        <w:t>annonce</w:t>
      </w:r>
      <w:r>
        <w:rPr>
          <w:sz w:val="22"/>
          <w:szCs w:val="22"/>
          <w:lang w:val="fr-CA"/>
        </w:rPr>
        <w:t xml:space="preserve">s </w:t>
      </w:r>
      <w:r w:rsidRPr="00217EFC">
        <w:rPr>
          <w:sz w:val="22"/>
          <w:szCs w:val="22"/>
          <w:lang w:val="fr-CA"/>
        </w:rPr>
        <w:t xml:space="preserve">de cette information 22 infirmières </w:t>
      </w:r>
      <w:r>
        <w:rPr>
          <w:sz w:val="22"/>
          <w:szCs w:val="22"/>
          <w:lang w:val="fr-CA"/>
        </w:rPr>
        <w:t xml:space="preserve">sont </w:t>
      </w:r>
      <w:r w:rsidRPr="00217EFC">
        <w:rPr>
          <w:sz w:val="22"/>
          <w:szCs w:val="22"/>
          <w:lang w:val="fr-CA"/>
        </w:rPr>
        <w:t>en voie d’être accepté</w:t>
      </w:r>
      <w:r>
        <w:rPr>
          <w:sz w:val="22"/>
          <w:szCs w:val="22"/>
          <w:lang w:val="fr-CA"/>
        </w:rPr>
        <w:t>es</w:t>
      </w:r>
      <w:r w:rsidRPr="00217EFC">
        <w:rPr>
          <w:sz w:val="22"/>
          <w:szCs w:val="22"/>
          <w:lang w:val="fr-CA"/>
        </w:rPr>
        <w:t xml:space="preserve"> pour le service militaire actif</w:t>
      </w:r>
      <w:r w:rsidRPr="00217EFC">
        <w:rPr>
          <w:rStyle w:val="FootnoteReference"/>
          <w:sz w:val="22"/>
          <w:szCs w:val="22"/>
          <w:lang w:val="fr-CA"/>
        </w:rPr>
        <w:footnoteReference w:id="305"/>
      </w:r>
      <w:r w:rsidRPr="00217EFC">
        <w:rPr>
          <w:sz w:val="22"/>
          <w:szCs w:val="22"/>
          <w:lang w:val="fr-CA"/>
        </w:rPr>
        <w:t xml:space="preserve">. </w:t>
      </w:r>
    </w:p>
    <w:p w14:paraId="3E78C69B" w14:textId="77777777" w:rsidR="000264D6" w:rsidRDefault="000264D6" w:rsidP="002B5319">
      <w:pPr>
        <w:spacing w:before="100" w:beforeAutospacing="1" w:after="100" w:afterAutospacing="1"/>
        <w:ind w:firstLine="720"/>
        <w:jc w:val="both"/>
        <w:rPr>
          <w:sz w:val="22"/>
          <w:szCs w:val="22"/>
          <w:lang w:val="fr-CA"/>
        </w:rPr>
      </w:pPr>
      <w:r w:rsidRPr="00D90A98">
        <w:rPr>
          <w:sz w:val="22"/>
          <w:szCs w:val="22"/>
          <w:lang w:val="fr-CA"/>
        </w:rPr>
        <w:t xml:space="preserve">C’est en juin 1917 que nous commençons à noter dans </w:t>
      </w:r>
      <w:r w:rsidRPr="00D90A98">
        <w:rPr>
          <w:i/>
          <w:iCs/>
          <w:sz w:val="22"/>
          <w:szCs w:val="22"/>
          <w:lang w:val="fr-CA"/>
        </w:rPr>
        <w:t>L’Avenir National</w:t>
      </w:r>
      <w:r w:rsidRPr="00D90A98">
        <w:rPr>
          <w:sz w:val="22"/>
          <w:szCs w:val="22"/>
          <w:lang w:val="fr-CA"/>
        </w:rPr>
        <w:t xml:space="preserve"> les départs des citoyens de Manchester pour l’Europe. Le premier</w:t>
      </w:r>
      <w:r w:rsidRPr="00217EFC">
        <w:rPr>
          <w:sz w:val="22"/>
          <w:szCs w:val="22"/>
          <w:lang w:val="fr-CA"/>
        </w:rPr>
        <w:t xml:space="preserve"> départ annoncé est celui </w:t>
      </w:r>
      <w:r>
        <w:rPr>
          <w:sz w:val="22"/>
          <w:szCs w:val="22"/>
          <w:lang w:val="fr-CA"/>
        </w:rPr>
        <w:t>de Bertrand Tremblay, le</w:t>
      </w:r>
      <w:r w:rsidRPr="00217EFC">
        <w:rPr>
          <w:sz w:val="22"/>
          <w:szCs w:val="22"/>
          <w:lang w:val="fr-CA"/>
        </w:rPr>
        <w:t xml:space="preserve"> fils du Dr Tremblay. </w:t>
      </w:r>
      <w:r>
        <w:rPr>
          <w:sz w:val="22"/>
          <w:szCs w:val="22"/>
          <w:lang w:val="fr-CA"/>
        </w:rPr>
        <w:t>Il</w:t>
      </w:r>
      <w:r w:rsidRPr="00217EFC">
        <w:rPr>
          <w:sz w:val="22"/>
          <w:szCs w:val="22"/>
          <w:lang w:val="fr-CA"/>
        </w:rPr>
        <w:t xml:space="preserve"> quitte New York, le 9 juin 1917 pour le service d’ambulance</w:t>
      </w:r>
      <w:r w:rsidR="00DB5D0B">
        <w:rPr>
          <w:sz w:val="22"/>
          <w:szCs w:val="22"/>
          <w:lang w:val="fr-CA"/>
        </w:rPr>
        <w:t>s</w:t>
      </w:r>
      <w:r w:rsidRPr="00217EFC">
        <w:rPr>
          <w:sz w:val="22"/>
          <w:szCs w:val="22"/>
          <w:lang w:val="fr-CA"/>
        </w:rPr>
        <w:t xml:space="preserve"> en France</w:t>
      </w:r>
      <w:r w:rsidRPr="00217EFC">
        <w:rPr>
          <w:rStyle w:val="FootnoteReference"/>
          <w:sz w:val="22"/>
          <w:szCs w:val="22"/>
          <w:lang w:val="fr-CA"/>
        </w:rPr>
        <w:footnoteReference w:id="306"/>
      </w:r>
      <w:r w:rsidRPr="00217EFC">
        <w:rPr>
          <w:sz w:val="22"/>
          <w:szCs w:val="22"/>
          <w:lang w:val="fr-CA"/>
        </w:rPr>
        <w:t xml:space="preserve">. Il sera affecté </w:t>
      </w:r>
      <w:r>
        <w:rPr>
          <w:sz w:val="22"/>
          <w:szCs w:val="22"/>
          <w:lang w:val="fr-CA"/>
        </w:rPr>
        <w:t xml:space="preserve">à la </w:t>
      </w:r>
      <w:r w:rsidRPr="00217EFC">
        <w:rPr>
          <w:sz w:val="22"/>
          <w:szCs w:val="22"/>
          <w:lang w:val="fr-CA"/>
        </w:rPr>
        <w:t>49</w:t>
      </w:r>
      <w:r w:rsidRPr="00217EFC">
        <w:rPr>
          <w:sz w:val="22"/>
          <w:szCs w:val="22"/>
          <w:vertAlign w:val="superscript"/>
          <w:lang w:val="fr-CA"/>
        </w:rPr>
        <w:t>e</w:t>
      </w:r>
      <w:r w:rsidRPr="00217EFC">
        <w:rPr>
          <w:sz w:val="22"/>
          <w:szCs w:val="22"/>
          <w:lang w:val="fr-CA"/>
        </w:rPr>
        <w:t xml:space="preserve"> </w:t>
      </w:r>
      <w:r>
        <w:rPr>
          <w:sz w:val="22"/>
          <w:szCs w:val="22"/>
          <w:lang w:val="fr-CA"/>
        </w:rPr>
        <w:t>D</w:t>
      </w:r>
      <w:r w:rsidRPr="00217EFC">
        <w:rPr>
          <w:sz w:val="22"/>
          <w:szCs w:val="22"/>
          <w:lang w:val="fr-CA"/>
        </w:rPr>
        <w:t>ivision de Chasseurs à Pied</w:t>
      </w:r>
      <w:r w:rsidRPr="00217EFC">
        <w:rPr>
          <w:rStyle w:val="FootnoteReference"/>
          <w:sz w:val="22"/>
          <w:szCs w:val="22"/>
          <w:lang w:val="fr-CA"/>
        </w:rPr>
        <w:footnoteReference w:id="307"/>
      </w:r>
      <w:r w:rsidRPr="00217EFC">
        <w:rPr>
          <w:sz w:val="22"/>
          <w:szCs w:val="22"/>
          <w:lang w:val="fr-CA"/>
        </w:rPr>
        <w:t xml:space="preserve">. Avec l’augmentation </w:t>
      </w:r>
      <w:r w:rsidR="009548E6">
        <w:rPr>
          <w:sz w:val="22"/>
          <w:szCs w:val="22"/>
          <w:lang w:val="fr-CA"/>
        </w:rPr>
        <w:t xml:space="preserve">du nombre de </w:t>
      </w:r>
      <w:r w:rsidRPr="00217EFC">
        <w:rPr>
          <w:sz w:val="22"/>
          <w:szCs w:val="22"/>
          <w:lang w:val="fr-CA"/>
        </w:rPr>
        <w:t xml:space="preserve">troupes qui servent en Europe, le journal annonce </w:t>
      </w:r>
      <w:r>
        <w:rPr>
          <w:sz w:val="22"/>
          <w:szCs w:val="22"/>
          <w:lang w:val="fr-CA"/>
        </w:rPr>
        <w:t xml:space="preserve">le </w:t>
      </w:r>
      <w:r w:rsidRPr="00217EFC">
        <w:rPr>
          <w:sz w:val="22"/>
          <w:szCs w:val="22"/>
          <w:lang w:val="fr-CA"/>
        </w:rPr>
        <w:t xml:space="preserve">premier décès en mer, le 26 juin 1917. Joseph Hébert est chauffeur à bord du contre-torpilleur </w:t>
      </w:r>
      <w:r w:rsidRPr="00217EFC">
        <w:rPr>
          <w:i/>
          <w:iCs/>
          <w:sz w:val="22"/>
          <w:szCs w:val="22"/>
          <w:lang w:val="fr-CA"/>
        </w:rPr>
        <w:t xml:space="preserve">USS Preston </w:t>
      </w:r>
      <w:r w:rsidRPr="00217EFC">
        <w:rPr>
          <w:sz w:val="22"/>
          <w:szCs w:val="22"/>
          <w:lang w:val="fr-CA"/>
        </w:rPr>
        <w:t xml:space="preserve">et il </w:t>
      </w:r>
      <w:r>
        <w:rPr>
          <w:sz w:val="22"/>
          <w:szCs w:val="22"/>
          <w:lang w:val="fr-CA"/>
        </w:rPr>
        <w:t xml:space="preserve">perd la vie lorsqu’une énorme lame l’emporte à la mer </w:t>
      </w:r>
      <w:r w:rsidRPr="00217EFC">
        <w:rPr>
          <w:sz w:val="22"/>
          <w:szCs w:val="22"/>
          <w:lang w:val="fr-CA"/>
        </w:rPr>
        <w:t>avec trois autres marins</w:t>
      </w:r>
      <w:r>
        <w:rPr>
          <w:sz w:val="22"/>
          <w:szCs w:val="22"/>
          <w:lang w:val="fr-CA"/>
        </w:rPr>
        <w:t>,</w:t>
      </w:r>
      <w:r w:rsidRPr="00217EFC">
        <w:rPr>
          <w:sz w:val="22"/>
          <w:szCs w:val="22"/>
          <w:lang w:val="fr-CA"/>
        </w:rPr>
        <w:t xml:space="preserve"> le 15 juin 1917</w:t>
      </w:r>
      <w:r w:rsidRPr="00217EFC">
        <w:rPr>
          <w:rStyle w:val="FootnoteReference"/>
          <w:sz w:val="22"/>
          <w:szCs w:val="22"/>
          <w:lang w:val="fr-CA"/>
        </w:rPr>
        <w:footnoteReference w:id="308"/>
      </w:r>
      <w:r w:rsidRPr="00217EFC">
        <w:rPr>
          <w:sz w:val="22"/>
          <w:szCs w:val="22"/>
          <w:lang w:val="fr-CA"/>
        </w:rPr>
        <w:t>.</w:t>
      </w:r>
    </w:p>
    <w:p w14:paraId="3A67F629" w14:textId="13147FED" w:rsidR="000264D6" w:rsidRDefault="000264D6" w:rsidP="002B5319">
      <w:pPr>
        <w:spacing w:before="100" w:beforeAutospacing="1" w:after="100" w:afterAutospacing="1"/>
        <w:ind w:firstLine="720"/>
        <w:jc w:val="both"/>
        <w:rPr>
          <w:sz w:val="22"/>
          <w:szCs w:val="22"/>
          <w:lang w:val="fr-CA"/>
        </w:rPr>
      </w:pPr>
      <w:r w:rsidRPr="007E482F">
        <w:rPr>
          <w:sz w:val="22"/>
          <w:szCs w:val="22"/>
          <w:lang w:val="fr-CA"/>
        </w:rPr>
        <w:t xml:space="preserve">Dès juin 1917, </w:t>
      </w:r>
      <w:r w:rsidRPr="007E482F">
        <w:rPr>
          <w:i/>
          <w:iCs/>
          <w:sz w:val="22"/>
          <w:szCs w:val="22"/>
          <w:lang w:val="fr-CA"/>
        </w:rPr>
        <w:t>L’Avenir National</w:t>
      </w:r>
      <w:r w:rsidRPr="007E482F">
        <w:rPr>
          <w:sz w:val="22"/>
          <w:szCs w:val="22"/>
          <w:lang w:val="fr-CA"/>
        </w:rPr>
        <w:t xml:space="preserve"> commence à</w:t>
      </w:r>
      <w:r w:rsidRPr="00217EFC">
        <w:rPr>
          <w:sz w:val="22"/>
          <w:szCs w:val="22"/>
          <w:lang w:val="fr-CA"/>
        </w:rPr>
        <w:t xml:space="preserve"> inform</w:t>
      </w:r>
      <w:r>
        <w:rPr>
          <w:sz w:val="22"/>
          <w:szCs w:val="22"/>
          <w:lang w:val="fr-CA"/>
        </w:rPr>
        <w:t xml:space="preserve">er ses lecteurs </w:t>
      </w:r>
      <w:r w:rsidRPr="00217EFC">
        <w:rPr>
          <w:sz w:val="22"/>
          <w:szCs w:val="22"/>
          <w:lang w:val="fr-CA"/>
        </w:rPr>
        <w:t xml:space="preserve">sur </w:t>
      </w:r>
      <w:r>
        <w:rPr>
          <w:sz w:val="22"/>
          <w:szCs w:val="22"/>
          <w:lang w:val="fr-CA"/>
        </w:rPr>
        <w:t>la situation d</w:t>
      </w:r>
      <w:r w:rsidRPr="00217EFC">
        <w:rPr>
          <w:sz w:val="22"/>
          <w:szCs w:val="22"/>
          <w:lang w:val="fr-CA"/>
        </w:rPr>
        <w:t>es gens de Manchester qui servent dans les forces américaines</w:t>
      </w:r>
      <w:r>
        <w:rPr>
          <w:sz w:val="22"/>
          <w:szCs w:val="22"/>
          <w:lang w:val="fr-CA"/>
        </w:rPr>
        <w:t xml:space="preserve">. Notamment sur </w:t>
      </w:r>
      <w:r w:rsidRPr="00217EFC">
        <w:rPr>
          <w:sz w:val="22"/>
          <w:szCs w:val="22"/>
          <w:lang w:val="fr-CA"/>
        </w:rPr>
        <w:t xml:space="preserve">André Lacombe et Wilfrid Hamelin qui servent tous les deux sur le </w:t>
      </w:r>
      <w:r w:rsidRPr="00217EFC">
        <w:rPr>
          <w:i/>
          <w:iCs/>
          <w:sz w:val="22"/>
          <w:szCs w:val="22"/>
          <w:lang w:val="fr-CA"/>
        </w:rPr>
        <w:t>USS Alert</w:t>
      </w:r>
      <w:r w:rsidRPr="00217EFC">
        <w:rPr>
          <w:sz w:val="22"/>
          <w:szCs w:val="22"/>
          <w:lang w:val="fr-CA"/>
        </w:rPr>
        <w:t>, un vaisseau chasseur de sous-marins</w:t>
      </w:r>
      <w:r w:rsidRPr="00217EFC">
        <w:rPr>
          <w:rStyle w:val="FootnoteReference"/>
          <w:sz w:val="22"/>
          <w:szCs w:val="22"/>
          <w:lang w:val="fr-CA"/>
        </w:rPr>
        <w:footnoteReference w:id="309"/>
      </w:r>
      <w:r w:rsidRPr="00217EFC">
        <w:rPr>
          <w:sz w:val="22"/>
          <w:szCs w:val="22"/>
          <w:lang w:val="fr-CA"/>
        </w:rPr>
        <w:t xml:space="preserve">. Harold Gosselin </w:t>
      </w:r>
      <w:r>
        <w:rPr>
          <w:sz w:val="22"/>
          <w:szCs w:val="22"/>
          <w:lang w:val="fr-CA"/>
        </w:rPr>
        <w:t xml:space="preserve">quant </w:t>
      </w:r>
      <w:r w:rsidRPr="00F90240">
        <w:rPr>
          <w:sz w:val="22"/>
          <w:szCs w:val="22"/>
          <w:lang w:val="fr-CA"/>
        </w:rPr>
        <w:t xml:space="preserve">à </w:t>
      </w:r>
      <w:r>
        <w:rPr>
          <w:sz w:val="22"/>
          <w:szCs w:val="22"/>
          <w:lang w:val="fr-CA"/>
        </w:rPr>
        <w:t xml:space="preserve">lui </w:t>
      </w:r>
      <w:r w:rsidRPr="00217EFC">
        <w:rPr>
          <w:sz w:val="22"/>
          <w:szCs w:val="22"/>
          <w:lang w:val="fr-CA"/>
        </w:rPr>
        <w:t>fait parti</w:t>
      </w:r>
      <w:r>
        <w:rPr>
          <w:sz w:val="22"/>
          <w:szCs w:val="22"/>
          <w:lang w:val="fr-CA"/>
        </w:rPr>
        <w:t>e</w:t>
      </w:r>
      <w:r w:rsidRPr="00217EFC">
        <w:rPr>
          <w:sz w:val="22"/>
          <w:szCs w:val="22"/>
          <w:lang w:val="fr-CA"/>
        </w:rPr>
        <w:t xml:space="preserve"> de l’équipe du général Pershing à titre de «</w:t>
      </w:r>
      <w:r w:rsidR="00DB5D0B">
        <w:rPr>
          <w:sz w:val="22"/>
          <w:szCs w:val="22"/>
          <w:lang w:val="fr-CA"/>
        </w:rPr>
        <w:t> </w:t>
      </w:r>
      <w:r w:rsidRPr="00217EFC">
        <w:rPr>
          <w:sz w:val="22"/>
          <w:szCs w:val="22"/>
          <w:lang w:val="fr-CA"/>
        </w:rPr>
        <w:t>gérant du bureau exécutif</w:t>
      </w:r>
      <w:r w:rsidR="00DB5D0B">
        <w:rPr>
          <w:sz w:val="22"/>
          <w:szCs w:val="22"/>
          <w:lang w:val="fr-CA"/>
        </w:rPr>
        <w:t> </w:t>
      </w:r>
      <w:r w:rsidRPr="00217EFC">
        <w:rPr>
          <w:sz w:val="22"/>
          <w:szCs w:val="22"/>
          <w:lang w:val="fr-CA"/>
        </w:rPr>
        <w:t>»</w:t>
      </w:r>
      <w:r w:rsidRPr="00217EFC">
        <w:rPr>
          <w:rStyle w:val="FootnoteReference"/>
          <w:sz w:val="22"/>
          <w:szCs w:val="22"/>
          <w:lang w:val="fr-CA"/>
        </w:rPr>
        <w:footnoteReference w:id="310"/>
      </w:r>
      <w:r w:rsidRPr="00217EFC">
        <w:rPr>
          <w:sz w:val="22"/>
          <w:szCs w:val="22"/>
          <w:lang w:val="fr-CA"/>
        </w:rPr>
        <w:t>. Maurice Quirin est à Bordeau</w:t>
      </w:r>
      <w:r>
        <w:rPr>
          <w:sz w:val="22"/>
          <w:szCs w:val="22"/>
          <w:lang w:val="fr-CA"/>
        </w:rPr>
        <w:t>x</w:t>
      </w:r>
      <w:r w:rsidRPr="00217EFC">
        <w:rPr>
          <w:sz w:val="22"/>
          <w:szCs w:val="22"/>
          <w:lang w:val="fr-CA"/>
        </w:rPr>
        <w:t xml:space="preserve"> depuis le 30 mai</w:t>
      </w:r>
      <w:r w:rsidR="007E482F">
        <w:rPr>
          <w:sz w:val="22"/>
          <w:szCs w:val="22"/>
          <w:lang w:val="fr-CA"/>
        </w:rPr>
        <w:t xml:space="preserve"> </w:t>
      </w:r>
      <w:r w:rsidRPr="00217EFC">
        <w:rPr>
          <w:sz w:val="22"/>
          <w:szCs w:val="22"/>
          <w:lang w:val="fr-CA"/>
        </w:rPr>
        <w:t>et il écrit régulièrement à sa famille. Il informe ses proches de ses activités comme chef de section d’ambulance, où il est déployé dans le secteur du Chemin des Dames, à environ 1 ½ kilomètre du front</w:t>
      </w:r>
      <w:r w:rsidRPr="00217EFC">
        <w:rPr>
          <w:rStyle w:val="FootnoteReference"/>
          <w:sz w:val="22"/>
          <w:szCs w:val="22"/>
          <w:lang w:val="fr-CA"/>
        </w:rPr>
        <w:footnoteReference w:id="311"/>
      </w:r>
      <w:r w:rsidRPr="00217EFC">
        <w:rPr>
          <w:sz w:val="22"/>
          <w:szCs w:val="22"/>
          <w:lang w:val="fr-CA"/>
        </w:rPr>
        <w:t xml:space="preserve">. De son abri à </w:t>
      </w:r>
      <w:r w:rsidR="00A20827">
        <w:rPr>
          <w:sz w:val="22"/>
          <w:szCs w:val="22"/>
          <w:lang w:val="fr-CA"/>
        </w:rPr>
        <w:t xml:space="preserve">cinq </w:t>
      </w:r>
      <w:r w:rsidR="00AA416A">
        <w:rPr>
          <w:sz w:val="22"/>
          <w:szCs w:val="22"/>
          <w:lang w:val="fr-CA"/>
        </w:rPr>
        <w:t xml:space="preserve">mètres </w:t>
      </w:r>
      <w:r w:rsidRPr="00217EFC">
        <w:rPr>
          <w:sz w:val="22"/>
          <w:szCs w:val="22"/>
          <w:lang w:val="fr-CA"/>
        </w:rPr>
        <w:t xml:space="preserve">sous la terre, protégé des obus, il </w:t>
      </w:r>
      <w:r>
        <w:rPr>
          <w:sz w:val="22"/>
          <w:szCs w:val="22"/>
          <w:lang w:val="fr-CA"/>
        </w:rPr>
        <w:t xml:space="preserve">indique </w:t>
      </w:r>
      <w:r w:rsidRPr="00217EFC">
        <w:rPr>
          <w:sz w:val="22"/>
          <w:szCs w:val="22"/>
          <w:lang w:val="fr-CA"/>
        </w:rPr>
        <w:t xml:space="preserve">à ses parents qu’il attend patiemment </w:t>
      </w:r>
      <w:r>
        <w:rPr>
          <w:sz w:val="22"/>
          <w:szCs w:val="22"/>
          <w:lang w:val="fr-CA"/>
        </w:rPr>
        <w:t xml:space="preserve">une </w:t>
      </w:r>
      <w:r w:rsidRPr="00217EFC">
        <w:rPr>
          <w:sz w:val="22"/>
          <w:szCs w:val="22"/>
          <w:lang w:val="fr-CA"/>
        </w:rPr>
        <w:t>confirmation pour débuter l’entrainement d’officier au centre d’entrainement de Meaux</w:t>
      </w:r>
      <w:r w:rsidRPr="00217EFC">
        <w:rPr>
          <w:rStyle w:val="FootnoteReference"/>
          <w:sz w:val="22"/>
          <w:szCs w:val="22"/>
          <w:lang w:val="fr-CA"/>
        </w:rPr>
        <w:footnoteReference w:id="312"/>
      </w:r>
      <w:r w:rsidRPr="00217EFC">
        <w:rPr>
          <w:sz w:val="22"/>
          <w:szCs w:val="22"/>
          <w:lang w:val="fr-CA"/>
        </w:rPr>
        <w:t xml:space="preserve">. </w:t>
      </w:r>
    </w:p>
    <w:p w14:paraId="415B522B" w14:textId="77777777" w:rsidR="000264D6" w:rsidRDefault="000264D6" w:rsidP="002B5319">
      <w:pPr>
        <w:spacing w:before="100" w:beforeAutospacing="1" w:after="100" w:afterAutospacing="1"/>
        <w:ind w:firstLine="720"/>
        <w:jc w:val="both"/>
        <w:rPr>
          <w:sz w:val="22"/>
          <w:szCs w:val="22"/>
          <w:lang w:val="fr-CA"/>
        </w:rPr>
      </w:pPr>
      <w:r w:rsidRPr="00217EFC">
        <w:rPr>
          <w:sz w:val="22"/>
          <w:szCs w:val="22"/>
          <w:lang w:val="fr-CA"/>
        </w:rPr>
        <w:lastRenderedPageBreak/>
        <w:t>Frank Laflamme</w:t>
      </w:r>
      <w:r>
        <w:rPr>
          <w:sz w:val="22"/>
          <w:szCs w:val="22"/>
          <w:lang w:val="fr-CA"/>
        </w:rPr>
        <w:t xml:space="preserve">, lui, </w:t>
      </w:r>
      <w:r w:rsidRPr="00217EFC">
        <w:rPr>
          <w:sz w:val="22"/>
          <w:szCs w:val="22"/>
          <w:lang w:val="fr-CA"/>
        </w:rPr>
        <w:t>sert comme conducteur d’ambulance dans la section</w:t>
      </w:r>
      <w:r w:rsidR="00DB5D0B">
        <w:rPr>
          <w:sz w:val="22"/>
          <w:szCs w:val="22"/>
          <w:lang w:val="fr-CA"/>
        </w:rPr>
        <w:t> </w:t>
      </w:r>
      <w:r w:rsidRPr="00217EFC">
        <w:rPr>
          <w:sz w:val="22"/>
          <w:szCs w:val="22"/>
          <w:lang w:val="fr-CA"/>
        </w:rPr>
        <w:t xml:space="preserve">13 de la Croix-Rouge </w:t>
      </w:r>
      <w:r w:rsidR="00DB5D0B">
        <w:rPr>
          <w:sz w:val="22"/>
          <w:szCs w:val="22"/>
          <w:lang w:val="fr-CA"/>
        </w:rPr>
        <w:t>a</w:t>
      </w:r>
      <w:r w:rsidRPr="00217EFC">
        <w:rPr>
          <w:sz w:val="22"/>
          <w:szCs w:val="22"/>
          <w:lang w:val="fr-CA"/>
        </w:rPr>
        <w:t>méricaine. Il raconte à sa famille que les évacuations de blessés se font la nuit et qu’il est souvent exposé aux obus et marmites ennemis. De plus, lors d’une permission à Paris, il a eu le plaisir de rencontrer Maurice Quirin</w:t>
      </w:r>
      <w:r>
        <w:rPr>
          <w:sz w:val="22"/>
          <w:szCs w:val="22"/>
          <w:lang w:val="fr-CA"/>
        </w:rPr>
        <w:t xml:space="preserve"> et </w:t>
      </w:r>
      <w:r w:rsidRPr="00217EFC">
        <w:rPr>
          <w:sz w:val="22"/>
          <w:szCs w:val="22"/>
          <w:lang w:val="fr-CA"/>
        </w:rPr>
        <w:t xml:space="preserve">Bernard Tremblay qui </w:t>
      </w:r>
      <w:r>
        <w:rPr>
          <w:sz w:val="22"/>
          <w:szCs w:val="22"/>
          <w:lang w:val="fr-CA"/>
        </w:rPr>
        <w:t xml:space="preserve">travaillent </w:t>
      </w:r>
      <w:r w:rsidRPr="00217EFC">
        <w:rPr>
          <w:sz w:val="22"/>
          <w:szCs w:val="22"/>
          <w:lang w:val="fr-CA"/>
        </w:rPr>
        <w:t xml:space="preserve">également </w:t>
      </w:r>
      <w:r>
        <w:rPr>
          <w:sz w:val="22"/>
          <w:szCs w:val="22"/>
          <w:lang w:val="fr-CA"/>
        </w:rPr>
        <w:t xml:space="preserve">au </w:t>
      </w:r>
      <w:r w:rsidRPr="00217EFC">
        <w:rPr>
          <w:sz w:val="22"/>
          <w:szCs w:val="22"/>
          <w:lang w:val="fr-CA"/>
        </w:rPr>
        <w:t>service d’ambulance</w:t>
      </w:r>
      <w:r w:rsidRPr="00217EFC">
        <w:rPr>
          <w:rStyle w:val="FootnoteReference"/>
          <w:sz w:val="22"/>
          <w:szCs w:val="22"/>
          <w:lang w:val="fr-CA"/>
        </w:rPr>
        <w:footnoteReference w:id="313"/>
      </w:r>
      <w:r w:rsidRPr="00217EFC">
        <w:rPr>
          <w:sz w:val="22"/>
          <w:szCs w:val="22"/>
          <w:lang w:val="fr-CA"/>
        </w:rPr>
        <w:t xml:space="preserve">. </w:t>
      </w:r>
    </w:p>
    <w:p w14:paraId="676C1C34" w14:textId="0ED9F936" w:rsidR="000264D6" w:rsidRPr="00217EFC" w:rsidRDefault="000264D6" w:rsidP="002B5319">
      <w:pPr>
        <w:spacing w:before="100" w:beforeAutospacing="1" w:after="100" w:afterAutospacing="1"/>
        <w:ind w:firstLine="720"/>
        <w:jc w:val="both"/>
        <w:rPr>
          <w:sz w:val="22"/>
          <w:szCs w:val="22"/>
          <w:lang w:val="fr-CA"/>
        </w:rPr>
      </w:pPr>
      <w:r w:rsidRPr="00217EFC">
        <w:rPr>
          <w:sz w:val="22"/>
          <w:szCs w:val="22"/>
          <w:lang w:val="fr-CA"/>
        </w:rPr>
        <w:t>Arthur Soucy</w:t>
      </w:r>
      <w:r>
        <w:rPr>
          <w:sz w:val="22"/>
          <w:szCs w:val="22"/>
          <w:lang w:val="fr-CA"/>
        </w:rPr>
        <w:t xml:space="preserve">, lui, </w:t>
      </w:r>
      <w:r w:rsidRPr="00217EFC">
        <w:rPr>
          <w:sz w:val="22"/>
          <w:szCs w:val="22"/>
          <w:lang w:val="fr-CA"/>
        </w:rPr>
        <w:t>s</w:t>
      </w:r>
      <w:r>
        <w:rPr>
          <w:sz w:val="22"/>
          <w:szCs w:val="22"/>
          <w:lang w:val="fr-CA"/>
        </w:rPr>
        <w:t xml:space="preserve">’est porté </w:t>
      </w:r>
      <w:r w:rsidRPr="00217EFC">
        <w:rPr>
          <w:sz w:val="22"/>
          <w:szCs w:val="22"/>
          <w:lang w:val="fr-CA"/>
        </w:rPr>
        <w:t>volontaire pour servir dans la marine et, en août 1917, il suit son entrainement de matelot à Newport. Il est très satisfait de son choix et il ne manque de rien. De plus, il croît qu’il sera déployé rapidement en mer, dans tout au plus un mois, pour couler son premier sous-marin</w:t>
      </w:r>
      <w:r w:rsidRPr="00217EFC">
        <w:rPr>
          <w:rStyle w:val="FootnoteReference"/>
          <w:sz w:val="22"/>
          <w:szCs w:val="22"/>
          <w:lang w:val="fr-CA"/>
        </w:rPr>
        <w:footnoteReference w:id="314"/>
      </w:r>
      <w:r w:rsidRPr="00217EFC">
        <w:rPr>
          <w:sz w:val="22"/>
          <w:szCs w:val="22"/>
          <w:lang w:val="fr-CA"/>
        </w:rPr>
        <w:t>. De plus, il se réjouit à l’idée de réussi</w:t>
      </w:r>
      <w:r>
        <w:rPr>
          <w:sz w:val="22"/>
          <w:szCs w:val="22"/>
          <w:lang w:val="fr-CA"/>
        </w:rPr>
        <w:t>r</w:t>
      </w:r>
      <w:r w:rsidRPr="00217EFC">
        <w:rPr>
          <w:sz w:val="22"/>
          <w:szCs w:val="22"/>
          <w:lang w:val="fr-CA"/>
        </w:rPr>
        <w:t xml:space="preserve"> son examen pour devenir matelot de première classe et ensuite</w:t>
      </w:r>
      <w:r>
        <w:rPr>
          <w:sz w:val="22"/>
          <w:szCs w:val="22"/>
          <w:lang w:val="fr-CA"/>
        </w:rPr>
        <w:t xml:space="preserve">, </w:t>
      </w:r>
      <w:r w:rsidRPr="00217EFC">
        <w:rPr>
          <w:sz w:val="22"/>
          <w:szCs w:val="22"/>
          <w:lang w:val="fr-CA"/>
        </w:rPr>
        <w:t>peut-être</w:t>
      </w:r>
      <w:r>
        <w:rPr>
          <w:sz w:val="22"/>
          <w:szCs w:val="22"/>
          <w:lang w:val="fr-CA"/>
        </w:rPr>
        <w:t>, de</w:t>
      </w:r>
      <w:r w:rsidRPr="00217EFC">
        <w:rPr>
          <w:sz w:val="22"/>
          <w:szCs w:val="22"/>
          <w:lang w:val="fr-CA"/>
        </w:rPr>
        <w:t xml:space="preserve"> rencontrer à Noël son frère, qui est à Toronto avec le </w:t>
      </w:r>
      <w:r w:rsidRPr="00217EFC">
        <w:rPr>
          <w:i/>
          <w:iCs/>
          <w:sz w:val="22"/>
          <w:szCs w:val="22"/>
          <w:lang w:val="fr-CA"/>
        </w:rPr>
        <w:t>Royal Flying Corps</w:t>
      </w:r>
      <w:r w:rsidRPr="00217EFC">
        <w:rPr>
          <w:sz w:val="22"/>
          <w:szCs w:val="22"/>
          <w:lang w:val="fr-CA"/>
        </w:rPr>
        <w:t>, et son ami Bill Boisvert, qui est en Caroline du Nord avec le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rStyle w:val="FootnoteReference"/>
          <w:sz w:val="22"/>
          <w:szCs w:val="22"/>
          <w:lang w:val="fr-CA"/>
        </w:rPr>
        <w:footnoteReference w:id="315"/>
      </w:r>
      <w:r w:rsidRPr="00217EFC">
        <w:rPr>
          <w:sz w:val="22"/>
          <w:szCs w:val="22"/>
          <w:lang w:val="fr-CA"/>
        </w:rPr>
        <w:t xml:space="preserve">. </w:t>
      </w:r>
      <w:r>
        <w:rPr>
          <w:sz w:val="22"/>
          <w:szCs w:val="22"/>
          <w:lang w:val="fr-CA"/>
        </w:rPr>
        <w:t xml:space="preserve">Certains </w:t>
      </w:r>
      <w:r w:rsidRPr="00217EFC">
        <w:rPr>
          <w:sz w:val="22"/>
          <w:szCs w:val="22"/>
          <w:lang w:val="fr-CA"/>
        </w:rPr>
        <w:t xml:space="preserve">membres de la Garde Nationale sont sollicités pour servir </w:t>
      </w:r>
      <w:r>
        <w:rPr>
          <w:sz w:val="22"/>
          <w:szCs w:val="22"/>
          <w:lang w:val="fr-CA"/>
        </w:rPr>
        <w:t>à titre d’</w:t>
      </w:r>
      <w:r w:rsidRPr="00217EFC">
        <w:rPr>
          <w:sz w:val="22"/>
          <w:szCs w:val="22"/>
          <w:lang w:val="fr-CA"/>
        </w:rPr>
        <w:t>instructeur</w:t>
      </w:r>
      <w:r>
        <w:rPr>
          <w:sz w:val="22"/>
          <w:szCs w:val="22"/>
          <w:lang w:val="fr-CA"/>
        </w:rPr>
        <w:t>s</w:t>
      </w:r>
      <w:r w:rsidRPr="00217EFC">
        <w:rPr>
          <w:sz w:val="22"/>
          <w:szCs w:val="22"/>
          <w:lang w:val="fr-CA"/>
        </w:rPr>
        <w:t xml:space="preserve"> dans les différents camp</w:t>
      </w:r>
      <w:r>
        <w:rPr>
          <w:sz w:val="22"/>
          <w:szCs w:val="22"/>
          <w:lang w:val="fr-CA"/>
        </w:rPr>
        <w:t>s</w:t>
      </w:r>
      <w:r w:rsidRPr="00217EFC">
        <w:rPr>
          <w:sz w:val="22"/>
          <w:szCs w:val="22"/>
          <w:lang w:val="fr-CA"/>
        </w:rPr>
        <w:t xml:space="preserve"> et centres d’instruction militaire</w:t>
      </w:r>
      <w:r>
        <w:rPr>
          <w:sz w:val="22"/>
          <w:szCs w:val="22"/>
          <w:lang w:val="fr-CA"/>
        </w:rPr>
        <w:t xml:space="preserve">. Tel est le cas du </w:t>
      </w:r>
      <w:r w:rsidRPr="00217EFC">
        <w:rPr>
          <w:sz w:val="22"/>
          <w:szCs w:val="22"/>
          <w:lang w:val="fr-CA"/>
        </w:rPr>
        <w:t xml:space="preserve">caporal Beaudet </w:t>
      </w:r>
      <w:r w:rsidR="0069070F">
        <w:rPr>
          <w:sz w:val="22"/>
          <w:szCs w:val="22"/>
          <w:lang w:val="fr-CA"/>
        </w:rPr>
        <w:t xml:space="preserve">qui </w:t>
      </w:r>
      <w:r w:rsidRPr="00217EFC">
        <w:rPr>
          <w:sz w:val="22"/>
          <w:szCs w:val="22"/>
          <w:lang w:val="fr-CA"/>
        </w:rPr>
        <w:t>ser</w:t>
      </w:r>
      <w:r>
        <w:rPr>
          <w:sz w:val="22"/>
          <w:szCs w:val="22"/>
          <w:lang w:val="fr-CA"/>
        </w:rPr>
        <w:t>t d</w:t>
      </w:r>
      <w:r w:rsidRPr="00023B22">
        <w:rPr>
          <w:sz w:val="22"/>
          <w:szCs w:val="22"/>
          <w:lang w:val="fr-CA"/>
        </w:rPr>
        <w:t>’</w:t>
      </w:r>
      <w:r w:rsidRPr="00217EFC">
        <w:rPr>
          <w:sz w:val="22"/>
          <w:szCs w:val="22"/>
          <w:lang w:val="fr-CA"/>
        </w:rPr>
        <w:t>instructeur à Plattsburgh</w:t>
      </w:r>
      <w:r w:rsidRPr="00023B22">
        <w:rPr>
          <w:sz w:val="22"/>
          <w:szCs w:val="22"/>
          <w:lang w:val="fr-CA"/>
        </w:rPr>
        <w:t xml:space="preserve"> </w:t>
      </w:r>
      <w:r>
        <w:rPr>
          <w:sz w:val="22"/>
          <w:szCs w:val="22"/>
          <w:lang w:val="fr-CA"/>
        </w:rPr>
        <w:t xml:space="preserve">et qui a </w:t>
      </w:r>
      <w:r w:rsidR="00D33FA2">
        <w:rPr>
          <w:sz w:val="22"/>
          <w:szCs w:val="22"/>
          <w:lang w:val="fr-CA"/>
        </w:rPr>
        <w:t xml:space="preserve">ainsi </w:t>
      </w:r>
      <w:r>
        <w:rPr>
          <w:sz w:val="22"/>
          <w:szCs w:val="22"/>
          <w:lang w:val="fr-CA"/>
        </w:rPr>
        <w:t xml:space="preserve">été </w:t>
      </w:r>
      <w:r w:rsidRPr="00217EFC">
        <w:rPr>
          <w:sz w:val="22"/>
          <w:szCs w:val="22"/>
          <w:lang w:val="fr-CA"/>
        </w:rPr>
        <w:t xml:space="preserve">promu </w:t>
      </w:r>
      <w:r>
        <w:rPr>
          <w:sz w:val="22"/>
          <w:szCs w:val="22"/>
          <w:lang w:val="fr-CA"/>
        </w:rPr>
        <w:t xml:space="preserve">au grade de </w:t>
      </w:r>
      <w:r w:rsidRPr="00217EFC">
        <w:rPr>
          <w:sz w:val="22"/>
          <w:szCs w:val="22"/>
          <w:lang w:val="fr-CA"/>
        </w:rPr>
        <w:t>sergent</w:t>
      </w:r>
      <w:r w:rsidRPr="00217EFC">
        <w:rPr>
          <w:rStyle w:val="FootnoteReference"/>
          <w:sz w:val="22"/>
          <w:szCs w:val="22"/>
          <w:lang w:val="fr-CA"/>
        </w:rPr>
        <w:footnoteReference w:id="316"/>
      </w:r>
      <w:r w:rsidRPr="00217EFC">
        <w:rPr>
          <w:sz w:val="22"/>
          <w:szCs w:val="22"/>
          <w:lang w:val="fr-CA"/>
        </w:rPr>
        <w:t>.</w:t>
      </w:r>
    </w:p>
    <w:p w14:paraId="3982D5E7" w14:textId="77777777" w:rsidR="000264D6" w:rsidRDefault="000264D6" w:rsidP="002B5319">
      <w:pPr>
        <w:spacing w:before="100" w:beforeAutospacing="1" w:after="100" w:afterAutospacing="1"/>
        <w:ind w:firstLine="360"/>
        <w:jc w:val="both"/>
        <w:rPr>
          <w:sz w:val="22"/>
          <w:szCs w:val="22"/>
          <w:lang w:val="fr-CA"/>
        </w:rPr>
      </w:pPr>
      <w:r>
        <w:rPr>
          <w:sz w:val="22"/>
          <w:szCs w:val="22"/>
          <w:lang w:val="fr-CA"/>
        </w:rPr>
        <w:t xml:space="preserve">Dès l’entrée en guerre des États-Unis, </w:t>
      </w:r>
      <w:r w:rsidRPr="00217EFC">
        <w:rPr>
          <w:sz w:val="22"/>
          <w:szCs w:val="22"/>
          <w:lang w:val="fr-CA"/>
        </w:rPr>
        <w:t xml:space="preserve">le clergé de Manchester </w:t>
      </w:r>
      <w:r>
        <w:rPr>
          <w:sz w:val="22"/>
          <w:szCs w:val="22"/>
          <w:lang w:val="fr-CA"/>
        </w:rPr>
        <w:t xml:space="preserve">continue à </w:t>
      </w:r>
      <w:r w:rsidRPr="00217EFC">
        <w:rPr>
          <w:sz w:val="22"/>
          <w:szCs w:val="22"/>
          <w:lang w:val="fr-CA"/>
        </w:rPr>
        <w:t>encourage</w:t>
      </w:r>
      <w:r>
        <w:rPr>
          <w:sz w:val="22"/>
          <w:szCs w:val="22"/>
          <w:lang w:val="fr-CA"/>
        </w:rPr>
        <w:t>r</w:t>
      </w:r>
      <w:r w:rsidRPr="00217EFC">
        <w:rPr>
          <w:sz w:val="22"/>
          <w:szCs w:val="22"/>
          <w:lang w:val="fr-CA"/>
        </w:rPr>
        <w:t xml:space="preserve"> les gens à servir </w:t>
      </w:r>
      <w:r>
        <w:rPr>
          <w:sz w:val="22"/>
          <w:szCs w:val="22"/>
          <w:lang w:val="fr-CA"/>
        </w:rPr>
        <w:t xml:space="preserve">pour la cause de </w:t>
      </w:r>
      <w:r w:rsidRPr="00217EFC">
        <w:rPr>
          <w:sz w:val="22"/>
          <w:szCs w:val="22"/>
          <w:lang w:val="fr-CA"/>
        </w:rPr>
        <w:t xml:space="preserve">leur pays. Les propos de l’abbé Davignon, </w:t>
      </w:r>
      <w:r>
        <w:rPr>
          <w:sz w:val="22"/>
          <w:szCs w:val="22"/>
          <w:lang w:val="fr-CA"/>
        </w:rPr>
        <w:t>en mai 1917</w:t>
      </w:r>
      <w:r w:rsidRPr="00217EFC">
        <w:rPr>
          <w:sz w:val="22"/>
          <w:szCs w:val="22"/>
          <w:lang w:val="fr-CA"/>
        </w:rPr>
        <w:t xml:space="preserve">, </w:t>
      </w:r>
      <w:r>
        <w:rPr>
          <w:sz w:val="22"/>
          <w:szCs w:val="22"/>
          <w:lang w:val="fr-CA"/>
        </w:rPr>
        <w:t xml:space="preserve">en </w:t>
      </w:r>
      <w:r w:rsidRPr="00217EFC">
        <w:rPr>
          <w:sz w:val="22"/>
          <w:szCs w:val="22"/>
          <w:lang w:val="fr-CA"/>
        </w:rPr>
        <w:t>sont un bon exemple</w:t>
      </w:r>
      <w:r>
        <w:rPr>
          <w:sz w:val="22"/>
          <w:szCs w:val="22"/>
          <w:lang w:val="fr-CA"/>
        </w:rPr>
        <w:t xml:space="preserve"> alors qu’il mentionne dans son sermon que </w:t>
      </w:r>
      <w:r w:rsidRPr="00217EFC">
        <w:rPr>
          <w:sz w:val="22"/>
          <w:szCs w:val="22"/>
          <w:lang w:val="fr-CA"/>
        </w:rPr>
        <w:t>«</w:t>
      </w:r>
      <w:r w:rsidR="00DB5D0B">
        <w:rPr>
          <w:sz w:val="22"/>
          <w:szCs w:val="22"/>
          <w:lang w:val="fr-CA"/>
        </w:rPr>
        <w:t> </w:t>
      </w:r>
      <w:r>
        <w:rPr>
          <w:sz w:val="22"/>
          <w:szCs w:val="22"/>
          <w:lang w:val="fr-CA"/>
        </w:rPr>
        <w:t>l</w:t>
      </w:r>
      <w:r w:rsidRPr="00217EFC">
        <w:rPr>
          <w:sz w:val="22"/>
          <w:szCs w:val="22"/>
          <w:lang w:val="fr-CA"/>
        </w:rPr>
        <w:t>e drapeau représente l’autorité [qui est] nécessaire, et on doit obéissance aux lois de son pays, dans l’intérêt général, et parce que Dieu le commande</w:t>
      </w:r>
      <w:r w:rsidR="00DB5D0B">
        <w:rPr>
          <w:sz w:val="22"/>
          <w:szCs w:val="22"/>
          <w:lang w:val="fr-CA"/>
        </w:rPr>
        <w:t> </w:t>
      </w:r>
      <w:r w:rsidRPr="00217EFC">
        <w:rPr>
          <w:sz w:val="22"/>
          <w:szCs w:val="22"/>
          <w:lang w:val="fr-CA"/>
        </w:rPr>
        <w:t>»</w:t>
      </w:r>
      <w:r w:rsidRPr="00217EFC">
        <w:rPr>
          <w:rStyle w:val="FootnoteReference"/>
          <w:sz w:val="22"/>
          <w:szCs w:val="22"/>
          <w:lang w:val="fr-CA"/>
        </w:rPr>
        <w:footnoteReference w:id="317"/>
      </w:r>
      <w:r w:rsidRPr="00217EFC">
        <w:rPr>
          <w:sz w:val="22"/>
          <w:szCs w:val="22"/>
          <w:lang w:val="fr-CA"/>
        </w:rPr>
        <w:t xml:space="preserve">. Il est aussi </w:t>
      </w:r>
      <w:r>
        <w:rPr>
          <w:sz w:val="22"/>
          <w:szCs w:val="22"/>
          <w:lang w:val="fr-CA"/>
        </w:rPr>
        <w:t>à noter</w:t>
      </w:r>
      <w:r w:rsidRPr="00217EFC">
        <w:rPr>
          <w:sz w:val="22"/>
          <w:szCs w:val="22"/>
          <w:lang w:val="fr-CA"/>
        </w:rPr>
        <w:t xml:space="preserve"> que son neveu sert </w:t>
      </w:r>
      <w:r>
        <w:rPr>
          <w:sz w:val="22"/>
          <w:szCs w:val="22"/>
          <w:lang w:val="fr-CA"/>
        </w:rPr>
        <w:t>dans</w:t>
      </w:r>
      <w:r w:rsidRPr="00217EFC">
        <w:rPr>
          <w:sz w:val="22"/>
          <w:szCs w:val="22"/>
          <w:lang w:val="fr-CA"/>
        </w:rPr>
        <w:t xml:space="preserve"> l’</w:t>
      </w:r>
      <w:r w:rsidRPr="00217EFC">
        <w:rPr>
          <w:i/>
          <w:iCs/>
          <w:sz w:val="22"/>
          <w:szCs w:val="22"/>
          <w:lang w:val="fr-CA"/>
        </w:rPr>
        <w:t>American Ambulance Field Service</w:t>
      </w:r>
      <w:r w:rsidRPr="00217EFC">
        <w:rPr>
          <w:sz w:val="22"/>
          <w:szCs w:val="22"/>
          <w:lang w:val="fr-CA"/>
        </w:rPr>
        <w:t xml:space="preserve"> et qu’il a reçu la Croix de Guerre française</w:t>
      </w:r>
      <w:r w:rsidRPr="00217EFC">
        <w:rPr>
          <w:rStyle w:val="FootnoteReference"/>
          <w:sz w:val="22"/>
          <w:szCs w:val="22"/>
          <w:lang w:val="fr-CA"/>
        </w:rPr>
        <w:footnoteReference w:id="318"/>
      </w:r>
      <w:r w:rsidRPr="00217EFC">
        <w:rPr>
          <w:sz w:val="22"/>
          <w:szCs w:val="22"/>
          <w:lang w:val="fr-CA"/>
        </w:rPr>
        <w:t xml:space="preserve">. D’ailleurs chaque paroisse de Manchester est fière de sa contribution pour la cause militaire et elles </w:t>
      </w:r>
      <w:r>
        <w:rPr>
          <w:sz w:val="22"/>
          <w:szCs w:val="22"/>
          <w:lang w:val="fr-CA"/>
        </w:rPr>
        <w:t xml:space="preserve">reçoivent </w:t>
      </w:r>
      <w:r w:rsidRPr="00217EFC">
        <w:rPr>
          <w:sz w:val="22"/>
          <w:szCs w:val="22"/>
          <w:lang w:val="fr-CA"/>
        </w:rPr>
        <w:t>leur drapeau de service qui portent des étoiles</w:t>
      </w:r>
      <w:r>
        <w:rPr>
          <w:sz w:val="22"/>
          <w:szCs w:val="22"/>
          <w:lang w:val="fr-CA"/>
        </w:rPr>
        <w:t xml:space="preserve">, dont chacune </w:t>
      </w:r>
      <w:r w:rsidRPr="00217EFC">
        <w:rPr>
          <w:sz w:val="22"/>
          <w:szCs w:val="22"/>
          <w:lang w:val="fr-CA"/>
        </w:rPr>
        <w:t xml:space="preserve">représente </w:t>
      </w:r>
      <w:r>
        <w:rPr>
          <w:sz w:val="22"/>
          <w:szCs w:val="22"/>
          <w:lang w:val="fr-CA"/>
        </w:rPr>
        <w:t xml:space="preserve">un </w:t>
      </w:r>
      <w:r w:rsidRPr="00217EFC">
        <w:rPr>
          <w:sz w:val="22"/>
          <w:szCs w:val="22"/>
          <w:lang w:val="fr-CA"/>
        </w:rPr>
        <w:t>«</w:t>
      </w:r>
      <w:r w:rsidR="00DB5D0B">
        <w:rPr>
          <w:sz w:val="22"/>
          <w:szCs w:val="22"/>
          <w:lang w:val="fr-CA"/>
        </w:rPr>
        <w:t> </w:t>
      </w:r>
      <w:r w:rsidRPr="00217EFC">
        <w:rPr>
          <w:sz w:val="22"/>
          <w:szCs w:val="22"/>
          <w:lang w:val="fr-CA"/>
        </w:rPr>
        <w:t>enfant de la paroisse parti à la guerre dans l’armée ou la marine</w:t>
      </w:r>
      <w:r w:rsidR="00DB5D0B">
        <w:rPr>
          <w:sz w:val="22"/>
          <w:szCs w:val="22"/>
          <w:lang w:val="fr-CA"/>
        </w:rPr>
        <w:t> </w:t>
      </w:r>
      <w:r w:rsidRPr="00217EFC">
        <w:rPr>
          <w:sz w:val="22"/>
          <w:szCs w:val="22"/>
          <w:lang w:val="fr-CA"/>
        </w:rPr>
        <w:t>»</w:t>
      </w:r>
      <w:r w:rsidRPr="00217EFC">
        <w:rPr>
          <w:rStyle w:val="FootnoteReference"/>
          <w:sz w:val="22"/>
          <w:szCs w:val="22"/>
          <w:lang w:val="fr-CA"/>
        </w:rPr>
        <w:footnoteReference w:id="319"/>
      </w:r>
      <w:r w:rsidRPr="00217EFC">
        <w:rPr>
          <w:sz w:val="22"/>
          <w:szCs w:val="22"/>
          <w:lang w:val="fr-CA"/>
        </w:rPr>
        <w:t xml:space="preserve">. </w:t>
      </w:r>
      <w:r>
        <w:rPr>
          <w:sz w:val="22"/>
          <w:szCs w:val="22"/>
          <w:lang w:val="fr-CA"/>
        </w:rPr>
        <w:t>Ainsi, u</w:t>
      </w:r>
      <w:r w:rsidRPr="00217EFC">
        <w:rPr>
          <w:sz w:val="22"/>
          <w:szCs w:val="22"/>
          <w:lang w:val="fr-CA"/>
        </w:rPr>
        <w:t>n drapeau de 250 étoiles est hissé devant 5</w:t>
      </w:r>
      <w:r w:rsidR="00DB5D0B">
        <w:rPr>
          <w:sz w:val="22"/>
          <w:szCs w:val="22"/>
          <w:lang w:val="fr-CA"/>
        </w:rPr>
        <w:t> </w:t>
      </w:r>
      <w:r w:rsidRPr="00217EFC">
        <w:rPr>
          <w:sz w:val="22"/>
          <w:szCs w:val="22"/>
          <w:lang w:val="fr-CA"/>
        </w:rPr>
        <w:t>000 paroissiens au-dessus de la porte principale de l’église de Saint-Georges</w:t>
      </w:r>
      <w:r w:rsidRPr="00217EFC">
        <w:rPr>
          <w:rStyle w:val="FootnoteReference"/>
          <w:sz w:val="22"/>
          <w:szCs w:val="22"/>
          <w:lang w:val="fr-CA"/>
        </w:rPr>
        <w:footnoteReference w:id="320"/>
      </w:r>
      <w:r w:rsidRPr="00217EFC">
        <w:rPr>
          <w:sz w:val="22"/>
          <w:szCs w:val="22"/>
          <w:lang w:val="fr-CA"/>
        </w:rPr>
        <w:t>.</w:t>
      </w:r>
      <w:r>
        <w:rPr>
          <w:sz w:val="22"/>
          <w:szCs w:val="22"/>
          <w:lang w:val="fr-CA"/>
        </w:rPr>
        <w:t xml:space="preserve"> L</w:t>
      </w:r>
      <w:r w:rsidRPr="00217EFC">
        <w:rPr>
          <w:sz w:val="22"/>
          <w:szCs w:val="22"/>
          <w:lang w:val="fr-CA"/>
        </w:rPr>
        <w:t xml:space="preserve">a paroisse de Saint-Augustin est </w:t>
      </w:r>
      <w:r>
        <w:rPr>
          <w:sz w:val="22"/>
          <w:szCs w:val="22"/>
          <w:lang w:val="fr-CA"/>
        </w:rPr>
        <w:t xml:space="preserve">également </w:t>
      </w:r>
      <w:r w:rsidRPr="00217EFC">
        <w:rPr>
          <w:sz w:val="22"/>
          <w:szCs w:val="22"/>
          <w:lang w:val="fr-CA"/>
        </w:rPr>
        <w:t>fière de</w:t>
      </w:r>
      <w:r>
        <w:rPr>
          <w:sz w:val="22"/>
          <w:szCs w:val="22"/>
          <w:lang w:val="fr-CA"/>
        </w:rPr>
        <w:t>s</w:t>
      </w:r>
      <w:r w:rsidRPr="00217EFC">
        <w:rPr>
          <w:sz w:val="22"/>
          <w:szCs w:val="22"/>
          <w:lang w:val="fr-CA"/>
        </w:rPr>
        <w:t xml:space="preserve"> 200 étoiles qui figurent sur son drapeau</w:t>
      </w:r>
      <w:r w:rsidRPr="00217EFC">
        <w:rPr>
          <w:rStyle w:val="FootnoteReference"/>
          <w:sz w:val="22"/>
          <w:szCs w:val="22"/>
          <w:lang w:val="fr-CA"/>
        </w:rPr>
        <w:footnoteReference w:id="321"/>
      </w:r>
      <w:r w:rsidRPr="00217EFC">
        <w:rPr>
          <w:sz w:val="22"/>
          <w:szCs w:val="22"/>
          <w:lang w:val="fr-CA"/>
        </w:rPr>
        <w:t xml:space="preserve">, comme celle de Sainte-Marie qui </w:t>
      </w:r>
      <w:r>
        <w:rPr>
          <w:sz w:val="22"/>
          <w:szCs w:val="22"/>
          <w:lang w:val="fr-CA"/>
        </w:rPr>
        <w:t xml:space="preserve">orne </w:t>
      </w:r>
      <w:r w:rsidRPr="00217EFC">
        <w:rPr>
          <w:sz w:val="22"/>
          <w:szCs w:val="22"/>
          <w:lang w:val="fr-CA"/>
        </w:rPr>
        <w:t>son drapeau de 320 étoiles, le 30 juin 1918</w:t>
      </w:r>
      <w:r w:rsidRPr="00217EFC">
        <w:rPr>
          <w:rStyle w:val="FootnoteReference"/>
          <w:sz w:val="22"/>
          <w:szCs w:val="22"/>
          <w:lang w:val="fr-CA"/>
        </w:rPr>
        <w:footnoteReference w:id="322"/>
      </w:r>
      <w:r w:rsidRPr="00217EFC">
        <w:rPr>
          <w:sz w:val="22"/>
          <w:szCs w:val="22"/>
          <w:lang w:val="fr-CA"/>
        </w:rPr>
        <w:t>.</w:t>
      </w:r>
      <w:r w:rsidRPr="00F864F4">
        <w:rPr>
          <w:sz w:val="22"/>
          <w:szCs w:val="22"/>
          <w:lang w:val="fr-CA"/>
        </w:rPr>
        <w:t xml:space="preserve"> </w:t>
      </w:r>
    </w:p>
    <w:p w14:paraId="6B54BEAE" w14:textId="77777777" w:rsidR="000264D6"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Quant à la Garde Nationale du New Hampshire, </w:t>
      </w:r>
      <w:r>
        <w:rPr>
          <w:sz w:val="22"/>
          <w:szCs w:val="22"/>
          <w:lang w:val="fr-CA"/>
        </w:rPr>
        <w:t xml:space="preserve">qui inclut </w:t>
      </w:r>
      <w:r w:rsidRPr="00217EFC">
        <w:rPr>
          <w:sz w:val="22"/>
          <w:szCs w:val="22"/>
          <w:lang w:val="fr-CA"/>
        </w:rPr>
        <w:t>la Garde Lafayette</w:t>
      </w:r>
      <w:r>
        <w:rPr>
          <w:sz w:val="22"/>
          <w:szCs w:val="22"/>
          <w:lang w:val="fr-CA"/>
        </w:rPr>
        <w:t xml:space="preserve">, elle </w:t>
      </w:r>
      <w:r w:rsidRPr="00217EFC">
        <w:rPr>
          <w:sz w:val="22"/>
          <w:szCs w:val="22"/>
          <w:lang w:val="fr-CA"/>
        </w:rPr>
        <w:t xml:space="preserve">reçoit la directive </w:t>
      </w:r>
      <w:r>
        <w:rPr>
          <w:sz w:val="22"/>
          <w:szCs w:val="22"/>
          <w:lang w:val="fr-CA"/>
        </w:rPr>
        <w:t xml:space="preserve">de se mobiliser </w:t>
      </w:r>
      <w:r w:rsidRPr="00217EFC">
        <w:rPr>
          <w:sz w:val="22"/>
          <w:szCs w:val="22"/>
          <w:lang w:val="fr-CA"/>
        </w:rPr>
        <w:t>en avril 1917</w:t>
      </w:r>
      <w:r>
        <w:rPr>
          <w:sz w:val="22"/>
          <w:szCs w:val="22"/>
          <w:lang w:val="fr-CA"/>
        </w:rPr>
        <w:t xml:space="preserve"> et l</w:t>
      </w:r>
      <w:r w:rsidRPr="00217EFC">
        <w:rPr>
          <w:sz w:val="22"/>
          <w:szCs w:val="22"/>
          <w:lang w:val="fr-CA"/>
        </w:rPr>
        <w:t xml:space="preserve">es nouvelles recrues auront des contrats </w:t>
      </w:r>
      <w:r w:rsidRPr="00A20A12">
        <w:rPr>
          <w:sz w:val="22"/>
          <w:lang w:val="fr-CA"/>
        </w:rPr>
        <w:t xml:space="preserve">qui </w:t>
      </w:r>
      <w:r w:rsidRPr="00217EFC">
        <w:rPr>
          <w:sz w:val="22"/>
          <w:szCs w:val="22"/>
          <w:lang w:val="fr-CA"/>
        </w:rPr>
        <w:t xml:space="preserve">dureront </w:t>
      </w:r>
      <w:r>
        <w:rPr>
          <w:sz w:val="22"/>
          <w:szCs w:val="22"/>
          <w:lang w:val="fr-CA"/>
        </w:rPr>
        <w:t xml:space="preserve">pendant tout le </w:t>
      </w:r>
      <w:r w:rsidRPr="00217EFC">
        <w:rPr>
          <w:sz w:val="22"/>
          <w:szCs w:val="22"/>
          <w:lang w:val="fr-CA"/>
        </w:rPr>
        <w:t>conflit</w:t>
      </w:r>
      <w:r w:rsidRPr="00217EFC">
        <w:rPr>
          <w:rStyle w:val="FootnoteReference"/>
          <w:sz w:val="22"/>
          <w:szCs w:val="22"/>
          <w:lang w:val="fr-CA"/>
        </w:rPr>
        <w:footnoteReference w:id="323"/>
      </w:r>
      <w:r w:rsidRPr="00217EFC">
        <w:rPr>
          <w:sz w:val="22"/>
          <w:szCs w:val="22"/>
          <w:lang w:val="fr-CA"/>
        </w:rPr>
        <w:t xml:space="preserve">. </w:t>
      </w:r>
      <w:r w:rsidRPr="00F864F4">
        <w:rPr>
          <w:sz w:val="22"/>
          <w:szCs w:val="22"/>
          <w:lang w:val="fr-CA"/>
        </w:rPr>
        <w:t>L</w:t>
      </w:r>
      <w:r w:rsidRPr="00217EFC">
        <w:rPr>
          <w:sz w:val="22"/>
          <w:szCs w:val="22"/>
          <w:lang w:val="fr-CA"/>
        </w:rPr>
        <w:t xml:space="preserve">es effectifs autorisés </w:t>
      </w:r>
      <w:r>
        <w:rPr>
          <w:sz w:val="22"/>
          <w:szCs w:val="22"/>
          <w:lang w:val="fr-CA"/>
        </w:rPr>
        <w:t xml:space="preserve">des </w:t>
      </w:r>
      <w:r w:rsidRPr="00023B22">
        <w:rPr>
          <w:sz w:val="22"/>
          <w:szCs w:val="22"/>
          <w:lang w:val="fr-CA"/>
        </w:rPr>
        <w:t>compagnies</w:t>
      </w:r>
      <w:r>
        <w:rPr>
          <w:sz w:val="22"/>
          <w:szCs w:val="22"/>
          <w:lang w:val="fr-CA"/>
        </w:rPr>
        <w:t xml:space="preserve"> </w:t>
      </w:r>
      <w:r w:rsidRPr="00217EFC">
        <w:rPr>
          <w:sz w:val="22"/>
          <w:szCs w:val="22"/>
          <w:lang w:val="fr-CA"/>
        </w:rPr>
        <w:t xml:space="preserve">passent </w:t>
      </w:r>
      <w:r>
        <w:rPr>
          <w:sz w:val="22"/>
          <w:szCs w:val="22"/>
          <w:lang w:val="fr-CA"/>
        </w:rPr>
        <w:t xml:space="preserve">de 100 </w:t>
      </w:r>
      <w:r w:rsidRPr="00217EFC">
        <w:rPr>
          <w:sz w:val="22"/>
          <w:szCs w:val="22"/>
          <w:lang w:val="fr-CA"/>
        </w:rPr>
        <w:t xml:space="preserve">à 150 hommes et le plein effectif </w:t>
      </w:r>
      <w:r w:rsidRPr="00023B22">
        <w:rPr>
          <w:sz w:val="22"/>
          <w:szCs w:val="22"/>
          <w:lang w:val="fr-CA"/>
        </w:rPr>
        <w:t>de la Garde Lafayette sera</w:t>
      </w:r>
      <w:r w:rsidRPr="00217EFC">
        <w:rPr>
          <w:sz w:val="22"/>
          <w:szCs w:val="22"/>
          <w:lang w:val="fr-CA"/>
        </w:rPr>
        <w:t xml:space="preserve"> atteint vers la mi-juin</w:t>
      </w:r>
      <w:r>
        <w:rPr>
          <w:sz w:val="22"/>
          <w:szCs w:val="22"/>
          <w:lang w:val="fr-CA"/>
        </w:rPr>
        <w:t>. L</w:t>
      </w:r>
      <w:r w:rsidRPr="00A20A12">
        <w:rPr>
          <w:sz w:val="22"/>
          <w:lang w:val="fr-CA"/>
        </w:rPr>
        <w:t xml:space="preserve">es autres volontaires francophones </w:t>
      </w:r>
      <w:r>
        <w:rPr>
          <w:sz w:val="22"/>
          <w:lang w:val="fr-CA"/>
        </w:rPr>
        <w:t xml:space="preserve">qui </w:t>
      </w:r>
      <w:r w:rsidRPr="00A20A12">
        <w:rPr>
          <w:sz w:val="22"/>
          <w:lang w:val="fr-CA"/>
        </w:rPr>
        <w:t>souhaitent joindre les rangs de la Garde Nationale</w:t>
      </w:r>
      <w:r w:rsidRPr="00217EFC">
        <w:rPr>
          <w:sz w:val="22"/>
          <w:szCs w:val="22"/>
          <w:lang w:val="fr-CA"/>
        </w:rPr>
        <w:t xml:space="preserve"> devront </w:t>
      </w:r>
      <w:r w:rsidRPr="009D3D8A">
        <w:rPr>
          <w:sz w:val="22"/>
          <w:szCs w:val="22"/>
          <w:lang w:val="fr-CA"/>
        </w:rPr>
        <w:t>dé</w:t>
      </w:r>
      <w:r>
        <w:rPr>
          <w:sz w:val="22"/>
          <w:szCs w:val="22"/>
          <w:lang w:val="fr-CA"/>
        </w:rPr>
        <w:t xml:space="preserve">sormais </w:t>
      </w:r>
      <w:r w:rsidRPr="00217EFC">
        <w:rPr>
          <w:sz w:val="22"/>
          <w:szCs w:val="22"/>
          <w:lang w:val="fr-CA"/>
        </w:rPr>
        <w:t>servir au sein des compagnies mixtes</w:t>
      </w:r>
      <w:r>
        <w:rPr>
          <w:sz w:val="22"/>
          <w:szCs w:val="22"/>
          <w:lang w:val="fr-CA"/>
        </w:rPr>
        <w:t xml:space="preserve"> du 1</w:t>
      </w:r>
      <w:r w:rsidRPr="00421063">
        <w:rPr>
          <w:sz w:val="22"/>
          <w:szCs w:val="22"/>
          <w:vertAlign w:val="superscript"/>
          <w:lang w:val="fr-CA"/>
        </w:rPr>
        <w:t>er</w:t>
      </w:r>
      <w:r>
        <w:rPr>
          <w:sz w:val="22"/>
          <w:szCs w:val="22"/>
          <w:lang w:val="fr-CA"/>
        </w:rPr>
        <w:t xml:space="preserve"> Régiment (compagnies B, K et F)</w:t>
      </w:r>
      <w:r w:rsidRPr="00217EFC">
        <w:rPr>
          <w:sz w:val="22"/>
          <w:szCs w:val="22"/>
          <w:lang w:val="fr-CA"/>
        </w:rPr>
        <w:t>.</w:t>
      </w:r>
      <w:r>
        <w:rPr>
          <w:sz w:val="22"/>
          <w:szCs w:val="22"/>
          <w:lang w:val="fr-CA"/>
        </w:rPr>
        <w:t xml:space="preserve"> D’ailleurs, l</w:t>
      </w:r>
      <w:r w:rsidRPr="00217EFC">
        <w:rPr>
          <w:sz w:val="22"/>
          <w:szCs w:val="22"/>
          <w:lang w:val="fr-CA"/>
        </w:rPr>
        <w:t xml:space="preserve">es activités de la </w:t>
      </w:r>
      <w:r w:rsidRPr="00217EFC">
        <w:rPr>
          <w:sz w:val="22"/>
          <w:szCs w:val="22"/>
          <w:lang w:val="fr-CA"/>
        </w:rPr>
        <w:lastRenderedPageBreak/>
        <w:t xml:space="preserve">Garde Lafayette sont scrupuleusement </w:t>
      </w:r>
      <w:r w:rsidRPr="00A20A12">
        <w:rPr>
          <w:sz w:val="22"/>
          <w:lang w:val="fr-CA"/>
        </w:rPr>
        <w:t>décrites</w:t>
      </w:r>
      <w:r w:rsidRPr="00217EFC">
        <w:rPr>
          <w:sz w:val="22"/>
          <w:szCs w:val="22"/>
          <w:lang w:val="fr-CA"/>
        </w:rPr>
        <w:t xml:space="preserve"> par l’équipe de </w:t>
      </w:r>
      <w:r w:rsidRPr="00217EFC">
        <w:rPr>
          <w:i/>
          <w:iCs/>
          <w:sz w:val="22"/>
          <w:szCs w:val="22"/>
          <w:lang w:val="fr-CA"/>
        </w:rPr>
        <w:t>L’Avenir National</w:t>
      </w:r>
      <w:r w:rsidR="00F602DC">
        <w:rPr>
          <w:sz w:val="22"/>
          <w:szCs w:val="22"/>
          <w:lang w:val="fr-CA"/>
        </w:rPr>
        <w:t>, car c</w:t>
      </w:r>
      <w:r w:rsidRPr="00217EFC">
        <w:rPr>
          <w:sz w:val="22"/>
          <w:szCs w:val="22"/>
          <w:lang w:val="fr-CA"/>
        </w:rPr>
        <w:t xml:space="preserve">ette année, </w:t>
      </w:r>
      <w:r>
        <w:rPr>
          <w:sz w:val="22"/>
          <w:szCs w:val="22"/>
          <w:lang w:val="fr-CA"/>
        </w:rPr>
        <w:t>le 1</w:t>
      </w:r>
      <w:r w:rsidRPr="00872BEC">
        <w:rPr>
          <w:sz w:val="22"/>
          <w:szCs w:val="22"/>
          <w:vertAlign w:val="superscript"/>
          <w:lang w:val="fr-CA"/>
        </w:rPr>
        <w:t>er</w:t>
      </w:r>
      <w:r>
        <w:rPr>
          <w:sz w:val="22"/>
          <w:szCs w:val="22"/>
          <w:lang w:val="fr-CA"/>
        </w:rPr>
        <w:t xml:space="preserve"> Régiment est mobilisé. Certes les manœuvres annuelles ont toujours lieu, mais </w:t>
      </w:r>
      <w:r w:rsidRPr="00217EFC">
        <w:rPr>
          <w:sz w:val="22"/>
          <w:szCs w:val="22"/>
          <w:lang w:val="fr-CA"/>
        </w:rPr>
        <w:t xml:space="preserve">l’entrainement est coordonné </w:t>
      </w:r>
      <w:r>
        <w:rPr>
          <w:sz w:val="22"/>
          <w:szCs w:val="22"/>
          <w:lang w:val="fr-CA"/>
        </w:rPr>
        <w:t xml:space="preserve">afin </w:t>
      </w:r>
      <w:r w:rsidRPr="00217EFC">
        <w:rPr>
          <w:sz w:val="22"/>
          <w:szCs w:val="22"/>
          <w:lang w:val="fr-CA"/>
        </w:rPr>
        <w:t xml:space="preserve">que l’unité soit </w:t>
      </w:r>
      <w:r>
        <w:rPr>
          <w:sz w:val="22"/>
          <w:szCs w:val="22"/>
          <w:lang w:val="fr-CA"/>
        </w:rPr>
        <w:t xml:space="preserve">ensuite </w:t>
      </w:r>
      <w:r w:rsidRPr="00217EFC">
        <w:rPr>
          <w:sz w:val="22"/>
          <w:szCs w:val="22"/>
          <w:lang w:val="fr-CA"/>
        </w:rPr>
        <w:t xml:space="preserve">prête </w:t>
      </w:r>
      <w:r>
        <w:rPr>
          <w:sz w:val="22"/>
          <w:szCs w:val="22"/>
          <w:lang w:val="fr-CA"/>
        </w:rPr>
        <w:t xml:space="preserve">à </w:t>
      </w:r>
      <w:r w:rsidRPr="00217EFC">
        <w:rPr>
          <w:sz w:val="22"/>
          <w:szCs w:val="22"/>
          <w:lang w:val="fr-CA"/>
        </w:rPr>
        <w:t>servir en Europe</w:t>
      </w:r>
      <w:r>
        <w:rPr>
          <w:sz w:val="22"/>
          <w:szCs w:val="22"/>
          <w:lang w:val="fr-CA"/>
        </w:rPr>
        <w:t>.</w:t>
      </w:r>
    </w:p>
    <w:p w14:paraId="2D240928" w14:textId="77777777" w:rsidR="000264D6" w:rsidRDefault="000264D6" w:rsidP="002B5319">
      <w:pPr>
        <w:spacing w:before="100" w:beforeAutospacing="1" w:after="100" w:afterAutospacing="1"/>
        <w:ind w:firstLine="360"/>
        <w:jc w:val="both"/>
        <w:rPr>
          <w:sz w:val="22"/>
          <w:szCs w:val="22"/>
          <w:lang w:val="fr-CA"/>
        </w:rPr>
      </w:pPr>
      <w:r>
        <w:rPr>
          <w:sz w:val="22"/>
          <w:szCs w:val="22"/>
          <w:lang w:val="fr-CA"/>
        </w:rPr>
        <w:t>Par ailleurs, l’</w:t>
      </w:r>
      <w:r w:rsidRPr="00217EFC">
        <w:rPr>
          <w:sz w:val="22"/>
          <w:szCs w:val="22"/>
          <w:lang w:val="fr-CA"/>
        </w:rPr>
        <w:t>atmosphère lors du départ était plus sérieu</w:t>
      </w:r>
      <w:r>
        <w:rPr>
          <w:sz w:val="22"/>
          <w:szCs w:val="22"/>
          <w:lang w:val="fr-CA"/>
        </w:rPr>
        <w:t>se</w:t>
      </w:r>
      <w:r w:rsidR="00B80D25">
        <w:rPr>
          <w:sz w:val="22"/>
          <w:szCs w:val="22"/>
          <w:lang w:val="fr-CA"/>
        </w:rPr>
        <w:t xml:space="preserve"> et solennelle</w:t>
      </w:r>
      <w:r w:rsidRPr="00217EFC">
        <w:rPr>
          <w:sz w:val="22"/>
          <w:szCs w:val="22"/>
          <w:lang w:val="fr-CA"/>
        </w:rPr>
        <w:t xml:space="preserve"> que lors des années précédentes</w:t>
      </w:r>
      <w:r w:rsidRPr="00217EFC">
        <w:rPr>
          <w:rStyle w:val="FootnoteReference"/>
          <w:sz w:val="22"/>
          <w:szCs w:val="22"/>
          <w:lang w:val="fr-CA"/>
        </w:rPr>
        <w:footnoteReference w:id="324"/>
      </w:r>
      <w:r w:rsidRPr="00217EFC">
        <w:rPr>
          <w:sz w:val="22"/>
          <w:szCs w:val="22"/>
          <w:lang w:val="fr-CA"/>
        </w:rPr>
        <w:t xml:space="preserve">. </w:t>
      </w:r>
      <w:r>
        <w:rPr>
          <w:sz w:val="22"/>
          <w:szCs w:val="22"/>
          <w:lang w:val="fr-CA"/>
        </w:rPr>
        <w:t>En effet, a</w:t>
      </w:r>
      <w:r w:rsidRPr="00217EFC">
        <w:rPr>
          <w:sz w:val="22"/>
          <w:szCs w:val="22"/>
          <w:lang w:val="fr-CA"/>
        </w:rPr>
        <w:t xml:space="preserve">vant le départ </w:t>
      </w:r>
      <w:r>
        <w:rPr>
          <w:sz w:val="22"/>
          <w:szCs w:val="22"/>
          <w:lang w:val="fr-CA"/>
        </w:rPr>
        <w:t xml:space="preserve">de la Garde Nationale </w:t>
      </w:r>
      <w:r w:rsidRPr="00217EFC">
        <w:rPr>
          <w:sz w:val="22"/>
          <w:szCs w:val="22"/>
          <w:lang w:val="fr-CA"/>
        </w:rPr>
        <w:t xml:space="preserve">pour </w:t>
      </w:r>
      <w:r>
        <w:rPr>
          <w:sz w:val="22"/>
          <w:szCs w:val="22"/>
          <w:lang w:val="fr-CA"/>
        </w:rPr>
        <w:t>les manœuvres annuelles</w:t>
      </w:r>
      <w:r w:rsidRPr="00217EFC">
        <w:rPr>
          <w:sz w:val="22"/>
          <w:szCs w:val="22"/>
          <w:lang w:val="fr-CA"/>
        </w:rPr>
        <w:t xml:space="preserve">, Mgr Guertin tient une messe </w:t>
      </w:r>
      <w:r>
        <w:rPr>
          <w:sz w:val="22"/>
          <w:szCs w:val="22"/>
          <w:lang w:val="fr-CA"/>
        </w:rPr>
        <w:t xml:space="preserve">spéciale </w:t>
      </w:r>
      <w:r w:rsidRPr="00217EFC">
        <w:rPr>
          <w:sz w:val="22"/>
          <w:szCs w:val="22"/>
          <w:lang w:val="fr-CA"/>
        </w:rPr>
        <w:t>et s’adresse aux soldats catholiques de la Garde Nationale, dont les 150 membres de la Gardes Lafayette</w:t>
      </w:r>
      <w:r w:rsidRPr="00217EFC">
        <w:rPr>
          <w:rStyle w:val="FootnoteReference"/>
          <w:sz w:val="22"/>
          <w:szCs w:val="22"/>
          <w:lang w:val="fr-CA"/>
        </w:rPr>
        <w:footnoteReference w:id="325"/>
      </w:r>
      <w:r w:rsidRPr="00217EFC">
        <w:rPr>
          <w:sz w:val="22"/>
          <w:szCs w:val="22"/>
          <w:lang w:val="fr-CA"/>
        </w:rPr>
        <w:t>.</w:t>
      </w:r>
      <w:r>
        <w:rPr>
          <w:sz w:val="22"/>
          <w:szCs w:val="22"/>
          <w:lang w:val="fr-CA"/>
        </w:rPr>
        <w:t xml:space="preserve"> L</w:t>
      </w:r>
      <w:r w:rsidRPr="00217EFC">
        <w:rPr>
          <w:sz w:val="22"/>
          <w:szCs w:val="22"/>
          <w:lang w:val="fr-CA"/>
        </w:rPr>
        <w:t>e</w:t>
      </w:r>
      <w:r>
        <w:rPr>
          <w:sz w:val="22"/>
          <w:szCs w:val="22"/>
          <w:lang w:val="fr-CA"/>
        </w:rPr>
        <w:t xml:space="preserve">s autorités </w:t>
      </w:r>
      <w:r w:rsidRPr="00217EFC">
        <w:rPr>
          <w:sz w:val="22"/>
          <w:szCs w:val="22"/>
          <w:lang w:val="fr-CA"/>
        </w:rPr>
        <w:t>des compagnies de Manchester</w:t>
      </w:r>
      <w:r>
        <w:rPr>
          <w:sz w:val="22"/>
          <w:szCs w:val="22"/>
          <w:lang w:val="fr-CA"/>
        </w:rPr>
        <w:t>, de leur côté,</w:t>
      </w:r>
      <w:r w:rsidRPr="00217EFC">
        <w:rPr>
          <w:sz w:val="22"/>
          <w:szCs w:val="22"/>
          <w:lang w:val="fr-CA"/>
        </w:rPr>
        <w:t xml:space="preserve"> </w:t>
      </w:r>
      <w:r>
        <w:rPr>
          <w:sz w:val="22"/>
          <w:szCs w:val="22"/>
          <w:lang w:val="fr-CA"/>
        </w:rPr>
        <w:t xml:space="preserve">donnent </w:t>
      </w:r>
      <w:r w:rsidRPr="00217EFC">
        <w:rPr>
          <w:sz w:val="22"/>
          <w:szCs w:val="22"/>
          <w:lang w:val="fr-CA"/>
        </w:rPr>
        <w:t>des consignes à leurs soldats</w:t>
      </w:r>
      <w:r>
        <w:rPr>
          <w:sz w:val="22"/>
          <w:szCs w:val="22"/>
          <w:lang w:val="fr-CA"/>
        </w:rPr>
        <w:t xml:space="preserve"> et </w:t>
      </w:r>
      <w:r w:rsidRPr="00217EFC">
        <w:rPr>
          <w:sz w:val="22"/>
          <w:szCs w:val="22"/>
          <w:lang w:val="fr-CA"/>
        </w:rPr>
        <w:t>les incite</w:t>
      </w:r>
      <w:r>
        <w:rPr>
          <w:sz w:val="22"/>
          <w:szCs w:val="22"/>
          <w:lang w:val="fr-CA"/>
        </w:rPr>
        <w:t>nt</w:t>
      </w:r>
      <w:r w:rsidRPr="00217EFC">
        <w:rPr>
          <w:sz w:val="22"/>
          <w:szCs w:val="22"/>
          <w:lang w:val="fr-CA"/>
        </w:rPr>
        <w:t xml:space="preserve"> à se conduire de façon à faire honneur à leur régiment</w:t>
      </w:r>
      <w:r>
        <w:rPr>
          <w:sz w:val="22"/>
          <w:szCs w:val="22"/>
          <w:lang w:val="fr-CA"/>
        </w:rPr>
        <w:t>. De plus, elles défendent</w:t>
      </w:r>
      <w:r w:rsidRPr="00217EFC">
        <w:rPr>
          <w:sz w:val="22"/>
          <w:szCs w:val="22"/>
          <w:lang w:val="fr-CA"/>
        </w:rPr>
        <w:t xml:space="preserve"> aux commerçant</w:t>
      </w:r>
      <w:r>
        <w:rPr>
          <w:sz w:val="22"/>
          <w:szCs w:val="22"/>
          <w:lang w:val="fr-CA"/>
        </w:rPr>
        <w:t>s</w:t>
      </w:r>
      <w:r w:rsidRPr="00217EFC">
        <w:rPr>
          <w:sz w:val="22"/>
          <w:szCs w:val="22"/>
          <w:lang w:val="fr-CA"/>
        </w:rPr>
        <w:t xml:space="preserve"> (buvetiers) de vendre des produits alcoolisés aux soldats</w:t>
      </w:r>
      <w:r w:rsidRPr="00217EFC">
        <w:rPr>
          <w:rStyle w:val="FootnoteReference"/>
          <w:sz w:val="22"/>
          <w:szCs w:val="22"/>
          <w:lang w:val="fr-CA"/>
        </w:rPr>
        <w:footnoteReference w:id="326"/>
      </w:r>
      <w:r w:rsidRPr="00217EFC">
        <w:rPr>
          <w:sz w:val="22"/>
          <w:szCs w:val="22"/>
          <w:lang w:val="fr-CA"/>
        </w:rPr>
        <w:t>.</w:t>
      </w:r>
      <w:r>
        <w:rPr>
          <w:sz w:val="22"/>
          <w:szCs w:val="22"/>
          <w:lang w:val="fr-CA"/>
        </w:rPr>
        <w:t xml:space="preserve"> </w:t>
      </w:r>
      <w:r w:rsidRPr="00217EFC">
        <w:rPr>
          <w:sz w:val="22"/>
          <w:szCs w:val="22"/>
          <w:lang w:val="fr-CA"/>
        </w:rPr>
        <w:t>Cette année, le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sz w:val="22"/>
          <w:szCs w:val="22"/>
          <w:lang w:val="fr-CA"/>
        </w:rPr>
        <w:t xml:space="preserve"> compte 2</w:t>
      </w:r>
      <w:r w:rsidR="00DB5D0B">
        <w:rPr>
          <w:sz w:val="22"/>
          <w:szCs w:val="22"/>
          <w:lang w:val="fr-CA"/>
        </w:rPr>
        <w:t> </w:t>
      </w:r>
      <w:r w:rsidRPr="00217EFC">
        <w:rPr>
          <w:sz w:val="22"/>
          <w:szCs w:val="22"/>
          <w:lang w:val="fr-CA"/>
        </w:rPr>
        <w:t>270 membres au Camp Keyes</w:t>
      </w:r>
      <w:r>
        <w:rPr>
          <w:sz w:val="22"/>
          <w:szCs w:val="22"/>
          <w:lang w:val="fr-CA"/>
        </w:rPr>
        <w:t xml:space="preserve"> à Concord</w:t>
      </w:r>
      <w:r w:rsidRPr="00217EFC">
        <w:rPr>
          <w:rStyle w:val="FootnoteReference"/>
          <w:sz w:val="22"/>
          <w:szCs w:val="22"/>
          <w:lang w:val="fr-CA"/>
        </w:rPr>
        <w:footnoteReference w:id="327"/>
      </w:r>
      <w:r w:rsidRPr="00217EFC">
        <w:rPr>
          <w:sz w:val="22"/>
          <w:szCs w:val="22"/>
          <w:lang w:val="fr-CA"/>
        </w:rPr>
        <w:t>. Lors de cet entrainement militaire</w:t>
      </w:r>
      <w:r>
        <w:rPr>
          <w:sz w:val="22"/>
          <w:szCs w:val="22"/>
          <w:lang w:val="fr-CA"/>
        </w:rPr>
        <w:t xml:space="preserve"> avant la mobilisation du 1</w:t>
      </w:r>
      <w:r w:rsidRPr="00B321BD">
        <w:rPr>
          <w:sz w:val="22"/>
          <w:szCs w:val="22"/>
          <w:vertAlign w:val="superscript"/>
          <w:lang w:val="fr-CA"/>
        </w:rPr>
        <w:t>er</w:t>
      </w:r>
      <w:r>
        <w:rPr>
          <w:sz w:val="22"/>
          <w:szCs w:val="22"/>
          <w:lang w:val="fr-CA"/>
        </w:rPr>
        <w:t xml:space="preserve"> Régiment pour le service fédéral, </w:t>
      </w:r>
      <w:r w:rsidRPr="00217EFC">
        <w:rPr>
          <w:sz w:val="22"/>
          <w:szCs w:val="22"/>
          <w:lang w:val="fr-CA"/>
        </w:rPr>
        <w:t>tous les officiers et soldats de la compagnie A, sauf quatorze, ont réussi leur évaluation</w:t>
      </w:r>
      <w:r w:rsidRPr="00217EFC">
        <w:rPr>
          <w:rStyle w:val="FootnoteReference"/>
          <w:sz w:val="22"/>
          <w:szCs w:val="22"/>
          <w:lang w:val="fr-CA"/>
        </w:rPr>
        <w:footnoteReference w:id="328"/>
      </w:r>
      <w:r w:rsidRPr="00217EFC">
        <w:rPr>
          <w:sz w:val="22"/>
          <w:szCs w:val="22"/>
          <w:lang w:val="fr-CA"/>
        </w:rPr>
        <w:t xml:space="preserve">. Lorsque l’entrainement </w:t>
      </w:r>
      <w:r>
        <w:rPr>
          <w:sz w:val="22"/>
          <w:szCs w:val="22"/>
          <w:lang w:val="fr-CA"/>
        </w:rPr>
        <w:t>s</w:t>
      </w:r>
      <w:r w:rsidRPr="00217EFC">
        <w:rPr>
          <w:sz w:val="22"/>
          <w:szCs w:val="22"/>
          <w:lang w:val="fr-CA"/>
        </w:rPr>
        <w:t>e</w:t>
      </w:r>
      <w:r>
        <w:rPr>
          <w:sz w:val="22"/>
          <w:szCs w:val="22"/>
          <w:lang w:val="fr-CA"/>
        </w:rPr>
        <w:t xml:space="preserve"> </w:t>
      </w:r>
      <w:r w:rsidRPr="00217EFC">
        <w:rPr>
          <w:sz w:val="22"/>
          <w:szCs w:val="22"/>
          <w:lang w:val="fr-CA"/>
        </w:rPr>
        <w:t>termin</w:t>
      </w:r>
      <w:r>
        <w:rPr>
          <w:sz w:val="22"/>
          <w:szCs w:val="22"/>
          <w:lang w:val="fr-CA"/>
        </w:rPr>
        <w:t>e,</w:t>
      </w:r>
      <w:r w:rsidRPr="00217EFC">
        <w:rPr>
          <w:sz w:val="22"/>
          <w:szCs w:val="22"/>
          <w:lang w:val="fr-CA"/>
        </w:rPr>
        <w:t xml:space="preserve"> le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sz w:val="22"/>
          <w:szCs w:val="22"/>
          <w:lang w:val="fr-CA"/>
        </w:rPr>
        <w:t xml:space="preserve"> reçoit l’ordre de se rendre au </w:t>
      </w:r>
      <w:r w:rsidR="00B06928">
        <w:rPr>
          <w:sz w:val="22"/>
          <w:szCs w:val="22"/>
          <w:lang w:val="fr-CA"/>
        </w:rPr>
        <w:t>C</w:t>
      </w:r>
      <w:r w:rsidRPr="00217EFC">
        <w:rPr>
          <w:sz w:val="22"/>
          <w:szCs w:val="22"/>
          <w:lang w:val="fr-CA"/>
        </w:rPr>
        <w:t>amp Bartlett de Westfield, Massachusetts, afin de se préparer pour se rendre sous peu en France</w:t>
      </w:r>
      <w:r w:rsidRPr="00217EFC">
        <w:rPr>
          <w:rStyle w:val="FootnoteReference"/>
          <w:sz w:val="22"/>
          <w:szCs w:val="22"/>
          <w:lang w:val="fr-CA"/>
        </w:rPr>
        <w:footnoteReference w:id="329"/>
      </w:r>
      <w:r w:rsidRPr="00217EFC">
        <w:rPr>
          <w:sz w:val="22"/>
          <w:szCs w:val="22"/>
          <w:lang w:val="fr-CA"/>
        </w:rPr>
        <w:t>.</w:t>
      </w:r>
      <w:r>
        <w:rPr>
          <w:sz w:val="22"/>
          <w:szCs w:val="22"/>
          <w:lang w:val="fr-CA"/>
        </w:rPr>
        <w:t xml:space="preserve"> </w:t>
      </w:r>
    </w:p>
    <w:p w14:paraId="5A800564" w14:textId="77777777" w:rsidR="000264D6" w:rsidRDefault="000264D6" w:rsidP="002B5319">
      <w:pPr>
        <w:spacing w:before="100" w:beforeAutospacing="1" w:after="100" w:afterAutospacing="1"/>
        <w:ind w:firstLine="360"/>
        <w:jc w:val="both"/>
        <w:rPr>
          <w:sz w:val="22"/>
          <w:szCs w:val="22"/>
          <w:lang w:val="fr-CA"/>
        </w:rPr>
      </w:pPr>
      <w:r>
        <w:rPr>
          <w:sz w:val="22"/>
          <w:szCs w:val="22"/>
          <w:lang w:val="fr-CA"/>
        </w:rPr>
        <w:t>Le</w:t>
      </w:r>
      <w:r w:rsidRPr="0035794E">
        <w:rPr>
          <w:sz w:val="22"/>
          <w:lang w:val="fr-CA"/>
        </w:rPr>
        <w:t xml:space="preserve"> 1</w:t>
      </w:r>
      <w:r w:rsidRPr="0035794E">
        <w:rPr>
          <w:sz w:val="22"/>
          <w:vertAlign w:val="superscript"/>
          <w:lang w:val="fr-CA"/>
        </w:rPr>
        <w:t>er</w:t>
      </w:r>
      <w:r w:rsidRPr="0035794E">
        <w:rPr>
          <w:sz w:val="22"/>
          <w:lang w:val="fr-CA"/>
        </w:rPr>
        <w:t xml:space="preserve"> Régiment est démembré</w:t>
      </w:r>
      <w:r>
        <w:rPr>
          <w:sz w:val="22"/>
          <w:szCs w:val="22"/>
          <w:lang w:val="fr-CA"/>
        </w:rPr>
        <w:t xml:space="preserve"> dès son arrivée à Westfield et </w:t>
      </w:r>
      <w:r w:rsidRPr="00217EFC">
        <w:rPr>
          <w:sz w:val="22"/>
          <w:szCs w:val="22"/>
          <w:lang w:val="fr-CA"/>
        </w:rPr>
        <w:t xml:space="preserve">la compagnie A </w:t>
      </w:r>
      <w:r>
        <w:rPr>
          <w:sz w:val="22"/>
          <w:szCs w:val="22"/>
          <w:lang w:val="fr-CA"/>
        </w:rPr>
        <w:t xml:space="preserve">sera </w:t>
      </w:r>
      <w:r w:rsidRPr="00217EFC">
        <w:rPr>
          <w:sz w:val="22"/>
          <w:szCs w:val="22"/>
          <w:lang w:val="fr-CA"/>
        </w:rPr>
        <w:t>affectée au 103</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xml:space="preserve"> de la 26</w:t>
      </w:r>
      <w:r w:rsidRPr="00217EFC">
        <w:rPr>
          <w:sz w:val="22"/>
          <w:szCs w:val="22"/>
          <w:vertAlign w:val="superscript"/>
          <w:lang w:val="fr-CA"/>
        </w:rPr>
        <w:t>e</w:t>
      </w:r>
      <w:r w:rsidRPr="00217EFC">
        <w:rPr>
          <w:sz w:val="22"/>
          <w:szCs w:val="22"/>
          <w:lang w:val="fr-CA"/>
        </w:rPr>
        <w:t xml:space="preserve"> </w:t>
      </w:r>
      <w:r>
        <w:rPr>
          <w:sz w:val="22"/>
          <w:szCs w:val="22"/>
          <w:lang w:val="fr-CA"/>
        </w:rPr>
        <w:t>D</w:t>
      </w:r>
      <w:r w:rsidRPr="00217EFC">
        <w:rPr>
          <w:sz w:val="22"/>
          <w:szCs w:val="22"/>
          <w:lang w:val="fr-CA"/>
        </w:rPr>
        <w:t>ivision d’</w:t>
      </w:r>
      <w:r>
        <w:rPr>
          <w:sz w:val="22"/>
          <w:szCs w:val="22"/>
          <w:lang w:val="fr-CA"/>
        </w:rPr>
        <w:t>I</w:t>
      </w:r>
      <w:r w:rsidRPr="00217EFC">
        <w:rPr>
          <w:sz w:val="22"/>
          <w:szCs w:val="22"/>
          <w:lang w:val="fr-CA"/>
        </w:rPr>
        <w:t>nfanterie de l’</w:t>
      </w:r>
      <w:r>
        <w:rPr>
          <w:sz w:val="22"/>
          <w:szCs w:val="22"/>
          <w:lang w:val="fr-CA"/>
        </w:rPr>
        <w:t>A</w:t>
      </w:r>
      <w:r w:rsidRPr="00217EFC">
        <w:rPr>
          <w:sz w:val="22"/>
          <w:szCs w:val="22"/>
          <w:lang w:val="fr-CA"/>
        </w:rPr>
        <w:t>rmée fédérale</w:t>
      </w:r>
      <w:r w:rsidRPr="00217EFC">
        <w:rPr>
          <w:rStyle w:val="FootnoteReference"/>
          <w:sz w:val="22"/>
          <w:szCs w:val="22"/>
          <w:lang w:val="fr-CA"/>
        </w:rPr>
        <w:footnoteReference w:id="330"/>
      </w:r>
      <w:r w:rsidRPr="00217EFC">
        <w:rPr>
          <w:sz w:val="22"/>
          <w:szCs w:val="22"/>
          <w:lang w:val="fr-CA"/>
        </w:rPr>
        <w:t xml:space="preserve">. </w:t>
      </w:r>
      <w:r w:rsidRPr="00A5117E">
        <w:rPr>
          <w:i/>
          <w:iCs/>
          <w:sz w:val="22"/>
          <w:szCs w:val="22"/>
          <w:lang w:val="fr-CA"/>
        </w:rPr>
        <w:t>L’Avenir National</w:t>
      </w:r>
      <w:r w:rsidRPr="0035794E">
        <w:rPr>
          <w:sz w:val="22"/>
          <w:lang w:val="fr-CA"/>
        </w:rPr>
        <w:t xml:space="preserve"> </w:t>
      </w:r>
      <w:r>
        <w:rPr>
          <w:sz w:val="22"/>
          <w:szCs w:val="22"/>
          <w:lang w:val="fr-CA"/>
        </w:rPr>
        <w:t>commence à recevoir des informations d’Europe</w:t>
      </w:r>
      <w:r w:rsidR="00DA0FF1" w:rsidRPr="00DA0FF1">
        <w:rPr>
          <w:sz w:val="22"/>
          <w:szCs w:val="22"/>
          <w:lang w:val="fr-CA"/>
        </w:rPr>
        <w:t xml:space="preserve"> </w:t>
      </w:r>
      <w:r w:rsidR="00DA0FF1">
        <w:rPr>
          <w:sz w:val="22"/>
          <w:szCs w:val="22"/>
          <w:lang w:val="fr-CA"/>
        </w:rPr>
        <w:t>lorsque l</w:t>
      </w:r>
      <w:r w:rsidR="00DA0FF1" w:rsidRPr="00A5117E">
        <w:rPr>
          <w:sz w:val="22"/>
          <w:szCs w:val="22"/>
          <w:lang w:val="fr-CA"/>
        </w:rPr>
        <w:t>a division arrive en France, le 14 octobre 1917</w:t>
      </w:r>
      <w:r w:rsidR="00DA0FF1" w:rsidRPr="00A5117E">
        <w:rPr>
          <w:rStyle w:val="FootnoteReference"/>
          <w:sz w:val="22"/>
          <w:szCs w:val="22"/>
          <w:lang w:val="fr-CA"/>
        </w:rPr>
        <w:footnoteReference w:id="331"/>
      </w:r>
      <w:r w:rsidRPr="00217EFC">
        <w:rPr>
          <w:sz w:val="22"/>
          <w:szCs w:val="22"/>
          <w:lang w:val="fr-CA"/>
        </w:rPr>
        <w:t xml:space="preserve">. En décembre 1917, le soldat Doré </w:t>
      </w:r>
      <w:r>
        <w:rPr>
          <w:sz w:val="22"/>
          <w:szCs w:val="22"/>
          <w:lang w:val="fr-CA"/>
        </w:rPr>
        <w:t xml:space="preserve">écrit dans une lettre à ses amis de Manchester </w:t>
      </w:r>
      <w:r w:rsidRPr="00217EFC">
        <w:rPr>
          <w:sz w:val="22"/>
          <w:szCs w:val="22"/>
          <w:lang w:val="fr-CA"/>
        </w:rPr>
        <w:t>qu’il est aide-de-camp pour un officier supérieur</w:t>
      </w:r>
      <w:r>
        <w:rPr>
          <w:sz w:val="22"/>
          <w:szCs w:val="22"/>
          <w:lang w:val="fr-CA"/>
        </w:rPr>
        <w:t xml:space="preserve"> et que s</w:t>
      </w:r>
      <w:r w:rsidRPr="00217EFC">
        <w:rPr>
          <w:sz w:val="22"/>
          <w:szCs w:val="22"/>
          <w:lang w:val="fr-CA"/>
        </w:rPr>
        <w:t>on unité est toujours à l’entrainement</w:t>
      </w:r>
      <w:r>
        <w:rPr>
          <w:sz w:val="22"/>
          <w:szCs w:val="22"/>
          <w:lang w:val="fr-CA"/>
        </w:rPr>
        <w:t>. L</w:t>
      </w:r>
      <w:r w:rsidRPr="00217EFC">
        <w:rPr>
          <w:sz w:val="22"/>
          <w:szCs w:val="22"/>
          <w:lang w:val="fr-CA"/>
        </w:rPr>
        <w:t xml:space="preserve">eurs officiers subalternes sont pour la plupart déployés pendant cinq semaines </w:t>
      </w:r>
      <w:r>
        <w:rPr>
          <w:sz w:val="22"/>
          <w:szCs w:val="22"/>
          <w:lang w:val="fr-CA"/>
        </w:rPr>
        <w:t>dans</w:t>
      </w:r>
      <w:r w:rsidRPr="00217EFC">
        <w:rPr>
          <w:sz w:val="22"/>
          <w:szCs w:val="22"/>
          <w:lang w:val="fr-CA"/>
        </w:rPr>
        <w:t xml:space="preserve"> une école militaire afin de parfaire leur entrainement</w:t>
      </w:r>
      <w:r w:rsidRPr="00217EFC">
        <w:rPr>
          <w:rStyle w:val="FootnoteReference"/>
          <w:sz w:val="22"/>
          <w:szCs w:val="22"/>
          <w:lang w:val="fr-CA"/>
        </w:rPr>
        <w:footnoteReference w:id="332"/>
      </w:r>
      <w:r w:rsidRPr="00217EFC">
        <w:rPr>
          <w:sz w:val="22"/>
          <w:szCs w:val="22"/>
          <w:lang w:val="fr-CA"/>
        </w:rPr>
        <w:t xml:space="preserve">. </w:t>
      </w:r>
      <w:r>
        <w:rPr>
          <w:sz w:val="22"/>
          <w:szCs w:val="22"/>
          <w:lang w:val="fr-CA"/>
        </w:rPr>
        <w:t>De plus, l</w:t>
      </w:r>
      <w:r w:rsidRPr="00217EFC">
        <w:rPr>
          <w:sz w:val="22"/>
          <w:szCs w:val="22"/>
          <w:lang w:val="fr-CA"/>
        </w:rPr>
        <w:t>e soldat Alfred Tremblay mentionne dans une lettre que le 103</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xml:space="preserve"> </w:t>
      </w:r>
      <w:r>
        <w:rPr>
          <w:sz w:val="22"/>
          <w:szCs w:val="22"/>
          <w:lang w:val="fr-CA"/>
        </w:rPr>
        <w:t>a</w:t>
      </w:r>
      <w:r w:rsidRPr="00217EFC">
        <w:rPr>
          <w:sz w:val="22"/>
          <w:szCs w:val="22"/>
          <w:lang w:val="fr-CA"/>
        </w:rPr>
        <w:t xml:space="preserve"> ses quartiers dans des granges</w:t>
      </w:r>
      <w:r>
        <w:rPr>
          <w:sz w:val="22"/>
          <w:szCs w:val="22"/>
          <w:lang w:val="fr-CA"/>
        </w:rPr>
        <w:t xml:space="preserve">, </w:t>
      </w:r>
      <w:r w:rsidRPr="0035794E">
        <w:rPr>
          <w:sz w:val="22"/>
          <w:lang w:val="fr-CA"/>
        </w:rPr>
        <w:t>et</w:t>
      </w:r>
      <w:r>
        <w:rPr>
          <w:sz w:val="22"/>
          <w:szCs w:val="22"/>
          <w:lang w:val="fr-CA"/>
        </w:rPr>
        <w:t xml:space="preserve"> c</w:t>
      </w:r>
      <w:r w:rsidRPr="00217EFC">
        <w:rPr>
          <w:sz w:val="22"/>
          <w:szCs w:val="22"/>
          <w:lang w:val="fr-CA"/>
        </w:rPr>
        <w:t xml:space="preserve">omme quartier-maitre, il se rend </w:t>
      </w:r>
      <w:r>
        <w:rPr>
          <w:sz w:val="22"/>
          <w:szCs w:val="22"/>
          <w:lang w:val="fr-CA"/>
        </w:rPr>
        <w:t xml:space="preserve">occasionnellement </w:t>
      </w:r>
      <w:r w:rsidRPr="00217EFC">
        <w:rPr>
          <w:sz w:val="22"/>
          <w:szCs w:val="22"/>
          <w:lang w:val="fr-CA"/>
        </w:rPr>
        <w:t xml:space="preserve">à Paris et </w:t>
      </w:r>
      <w:r>
        <w:rPr>
          <w:sz w:val="22"/>
          <w:szCs w:val="22"/>
          <w:lang w:val="fr-CA"/>
        </w:rPr>
        <w:t xml:space="preserve">où il voit </w:t>
      </w:r>
      <w:r w:rsidRPr="00217EFC">
        <w:rPr>
          <w:sz w:val="22"/>
          <w:szCs w:val="22"/>
          <w:lang w:val="fr-CA"/>
        </w:rPr>
        <w:t>«</w:t>
      </w:r>
      <w:r w:rsidR="00DB5D0B">
        <w:rPr>
          <w:sz w:val="22"/>
          <w:szCs w:val="22"/>
          <w:lang w:val="fr-CA"/>
        </w:rPr>
        <w:t> </w:t>
      </w:r>
      <w:r w:rsidRPr="00217EFC">
        <w:rPr>
          <w:sz w:val="22"/>
          <w:szCs w:val="22"/>
          <w:lang w:val="fr-CA"/>
        </w:rPr>
        <w:t>un grand nombre de femmes remplissant des fonctions d’hommes</w:t>
      </w:r>
      <w:r w:rsidR="00DB5D0B">
        <w:rPr>
          <w:sz w:val="22"/>
          <w:szCs w:val="22"/>
          <w:lang w:val="fr-CA"/>
        </w:rPr>
        <w:t> </w:t>
      </w:r>
      <w:r w:rsidRPr="00217EFC">
        <w:rPr>
          <w:sz w:val="22"/>
          <w:szCs w:val="22"/>
          <w:lang w:val="fr-CA"/>
        </w:rPr>
        <w:t>»</w:t>
      </w:r>
      <w:r w:rsidRPr="00217EFC">
        <w:rPr>
          <w:rStyle w:val="FootnoteReference"/>
          <w:sz w:val="22"/>
          <w:szCs w:val="22"/>
          <w:lang w:val="fr-CA"/>
        </w:rPr>
        <w:footnoteReference w:id="333"/>
      </w:r>
      <w:r w:rsidRPr="00217EFC">
        <w:rPr>
          <w:sz w:val="22"/>
          <w:szCs w:val="22"/>
          <w:lang w:val="fr-CA"/>
        </w:rPr>
        <w:t xml:space="preserve">. Le lieutenant Jutras </w:t>
      </w:r>
      <w:r>
        <w:rPr>
          <w:sz w:val="22"/>
          <w:szCs w:val="22"/>
          <w:lang w:val="fr-CA"/>
        </w:rPr>
        <w:t xml:space="preserve">a </w:t>
      </w:r>
      <w:r w:rsidRPr="00217EFC">
        <w:rPr>
          <w:sz w:val="22"/>
          <w:szCs w:val="22"/>
          <w:lang w:val="fr-CA"/>
        </w:rPr>
        <w:t>rejoint le 103</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xml:space="preserve">, en mars 1918. Dans sa missive, il </w:t>
      </w:r>
      <w:r>
        <w:rPr>
          <w:sz w:val="22"/>
          <w:szCs w:val="22"/>
          <w:lang w:val="fr-CA"/>
        </w:rPr>
        <w:t xml:space="preserve">indique </w:t>
      </w:r>
      <w:r w:rsidRPr="00217EFC">
        <w:rPr>
          <w:sz w:val="22"/>
          <w:szCs w:val="22"/>
          <w:lang w:val="fr-CA"/>
        </w:rPr>
        <w:t xml:space="preserve">que, malgré la neige, tous </w:t>
      </w:r>
      <w:r>
        <w:rPr>
          <w:sz w:val="22"/>
          <w:szCs w:val="22"/>
          <w:lang w:val="fr-CA"/>
        </w:rPr>
        <w:t xml:space="preserve">ses compagnons </w:t>
      </w:r>
      <w:r w:rsidRPr="00217EFC">
        <w:rPr>
          <w:sz w:val="22"/>
          <w:szCs w:val="22"/>
          <w:lang w:val="fr-CA"/>
        </w:rPr>
        <w:t>se portent à merveille</w:t>
      </w:r>
      <w:r w:rsidRPr="00217EFC">
        <w:rPr>
          <w:rStyle w:val="FootnoteReference"/>
          <w:sz w:val="22"/>
          <w:szCs w:val="22"/>
          <w:lang w:val="fr-CA"/>
        </w:rPr>
        <w:footnoteReference w:id="334"/>
      </w:r>
      <w:r w:rsidRPr="00217EFC">
        <w:rPr>
          <w:sz w:val="22"/>
          <w:szCs w:val="22"/>
          <w:lang w:val="fr-CA"/>
        </w:rPr>
        <w:t>.</w:t>
      </w:r>
    </w:p>
    <w:p w14:paraId="7C5BC091" w14:textId="77777777" w:rsidR="000264D6" w:rsidRPr="00217EFC" w:rsidRDefault="000264D6" w:rsidP="002B5319">
      <w:pPr>
        <w:spacing w:before="100" w:beforeAutospacing="1" w:after="100" w:afterAutospacing="1"/>
        <w:ind w:firstLine="360"/>
        <w:jc w:val="both"/>
        <w:rPr>
          <w:sz w:val="22"/>
          <w:szCs w:val="22"/>
          <w:lang w:val="fr-CA"/>
        </w:rPr>
      </w:pPr>
      <w:r>
        <w:rPr>
          <w:sz w:val="22"/>
          <w:szCs w:val="22"/>
          <w:lang w:val="fr-CA"/>
        </w:rPr>
        <w:t xml:space="preserve">Quant aux éléments </w:t>
      </w:r>
      <w:r w:rsidRPr="00217EFC">
        <w:rPr>
          <w:sz w:val="22"/>
          <w:szCs w:val="22"/>
          <w:lang w:val="fr-CA"/>
        </w:rPr>
        <w:t>du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sz w:val="22"/>
          <w:szCs w:val="22"/>
          <w:lang w:val="fr-CA"/>
        </w:rPr>
        <w:t xml:space="preserve"> qui n</w:t>
      </w:r>
      <w:r w:rsidRPr="003B21C3">
        <w:rPr>
          <w:sz w:val="22"/>
          <w:szCs w:val="22"/>
          <w:lang w:val="fr-CA"/>
        </w:rPr>
        <w:t>’</w:t>
      </w:r>
      <w:r>
        <w:rPr>
          <w:sz w:val="22"/>
          <w:szCs w:val="22"/>
          <w:lang w:val="fr-CA"/>
        </w:rPr>
        <w:t xml:space="preserve">ont </w:t>
      </w:r>
      <w:r w:rsidRPr="00217EFC">
        <w:rPr>
          <w:sz w:val="22"/>
          <w:szCs w:val="22"/>
          <w:lang w:val="fr-CA"/>
        </w:rPr>
        <w:t xml:space="preserve">pas </w:t>
      </w:r>
      <w:r>
        <w:rPr>
          <w:sz w:val="22"/>
          <w:szCs w:val="22"/>
          <w:lang w:val="fr-CA"/>
        </w:rPr>
        <w:t xml:space="preserve">été transférés </w:t>
      </w:r>
      <w:r w:rsidRPr="00217EFC">
        <w:rPr>
          <w:sz w:val="22"/>
          <w:szCs w:val="22"/>
          <w:lang w:val="fr-CA"/>
        </w:rPr>
        <w:t>au 103</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xml:space="preserve"> </w:t>
      </w:r>
      <w:r>
        <w:rPr>
          <w:sz w:val="22"/>
          <w:szCs w:val="22"/>
          <w:lang w:val="fr-CA"/>
        </w:rPr>
        <w:t xml:space="preserve">ils sont envoyés </w:t>
      </w:r>
      <w:r w:rsidRPr="00217EFC">
        <w:rPr>
          <w:sz w:val="22"/>
          <w:szCs w:val="22"/>
          <w:lang w:val="fr-CA"/>
        </w:rPr>
        <w:t>au Camp Greene, en Caroline du Nord</w:t>
      </w:r>
      <w:r>
        <w:rPr>
          <w:sz w:val="22"/>
          <w:szCs w:val="22"/>
          <w:lang w:val="fr-CA"/>
        </w:rPr>
        <w:t xml:space="preserve">, où ils </w:t>
      </w:r>
      <w:r w:rsidRPr="00217EFC">
        <w:rPr>
          <w:sz w:val="22"/>
          <w:szCs w:val="22"/>
          <w:lang w:val="fr-CA"/>
        </w:rPr>
        <w:t>ser</w:t>
      </w:r>
      <w:r>
        <w:rPr>
          <w:sz w:val="22"/>
          <w:szCs w:val="22"/>
          <w:lang w:val="fr-CA"/>
        </w:rPr>
        <w:t xml:space="preserve">ont </w:t>
      </w:r>
      <w:r w:rsidRPr="00217EFC">
        <w:rPr>
          <w:sz w:val="22"/>
          <w:szCs w:val="22"/>
          <w:lang w:val="fr-CA"/>
        </w:rPr>
        <w:t>converti</w:t>
      </w:r>
      <w:r>
        <w:rPr>
          <w:sz w:val="22"/>
          <w:szCs w:val="22"/>
          <w:lang w:val="fr-CA"/>
        </w:rPr>
        <w:t>s</w:t>
      </w:r>
      <w:r w:rsidRPr="00217EFC">
        <w:rPr>
          <w:sz w:val="22"/>
          <w:szCs w:val="22"/>
          <w:lang w:val="fr-CA"/>
        </w:rPr>
        <w:t xml:space="preserve"> en une unité de police militaire</w:t>
      </w:r>
      <w:r>
        <w:rPr>
          <w:sz w:val="22"/>
          <w:szCs w:val="22"/>
          <w:lang w:val="fr-CA"/>
        </w:rPr>
        <w:t xml:space="preserve">. Or, </w:t>
      </w:r>
      <w:r w:rsidRPr="00217EFC">
        <w:rPr>
          <w:sz w:val="22"/>
          <w:szCs w:val="22"/>
          <w:lang w:val="fr-CA"/>
        </w:rPr>
        <w:t xml:space="preserve">le </w:t>
      </w:r>
      <w:r>
        <w:rPr>
          <w:sz w:val="22"/>
          <w:szCs w:val="22"/>
          <w:lang w:val="fr-CA"/>
        </w:rPr>
        <w:t>Régiment</w:t>
      </w:r>
      <w:r w:rsidRPr="00217EFC">
        <w:rPr>
          <w:sz w:val="22"/>
          <w:szCs w:val="22"/>
          <w:lang w:val="fr-CA"/>
        </w:rPr>
        <w:t xml:space="preserve"> des </w:t>
      </w:r>
      <w:r>
        <w:rPr>
          <w:sz w:val="22"/>
          <w:szCs w:val="22"/>
          <w:lang w:val="fr-CA"/>
        </w:rPr>
        <w:t>Q</w:t>
      </w:r>
      <w:r w:rsidRPr="00217EFC">
        <w:rPr>
          <w:sz w:val="22"/>
          <w:szCs w:val="22"/>
          <w:lang w:val="fr-CA"/>
        </w:rPr>
        <w:t>uartiers-</w:t>
      </w:r>
      <w:r>
        <w:rPr>
          <w:sz w:val="22"/>
          <w:szCs w:val="22"/>
          <w:lang w:val="fr-CA"/>
        </w:rPr>
        <w:t>G</w:t>
      </w:r>
      <w:r w:rsidRPr="00217EFC">
        <w:rPr>
          <w:sz w:val="22"/>
          <w:szCs w:val="22"/>
          <w:lang w:val="fr-CA"/>
        </w:rPr>
        <w:t xml:space="preserve">énéraux de la Première Armée </w:t>
      </w:r>
      <w:r>
        <w:rPr>
          <w:sz w:val="22"/>
          <w:szCs w:val="22"/>
          <w:lang w:val="fr-CA"/>
        </w:rPr>
        <w:t>a</w:t>
      </w:r>
      <w:r w:rsidRPr="00217EFC">
        <w:rPr>
          <w:sz w:val="22"/>
          <w:szCs w:val="22"/>
          <w:lang w:val="fr-CA"/>
        </w:rPr>
        <w:t>méricaine</w:t>
      </w:r>
      <w:r>
        <w:rPr>
          <w:sz w:val="22"/>
          <w:szCs w:val="22"/>
          <w:lang w:val="fr-CA"/>
        </w:rPr>
        <w:t xml:space="preserve"> </w:t>
      </w:r>
      <w:r w:rsidRPr="00217EFC">
        <w:rPr>
          <w:sz w:val="22"/>
          <w:szCs w:val="22"/>
          <w:lang w:val="fr-CA"/>
        </w:rPr>
        <w:t xml:space="preserve">sera responsable de la sécurité des états-majors, des services de garde rapprochée du général </w:t>
      </w:r>
      <w:r w:rsidRPr="00217EFC">
        <w:rPr>
          <w:sz w:val="22"/>
          <w:szCs w:val="22"/>
          <w:lang w:val="fr-CA"/>
        </w:rPr>
        <w:lastRenderedPageBreak/>
        <w:t xml:space="preserve">commandant des forces expéditionnaires </w:t>
      </w:r>
      <w:r>
        <w:rPr>
          <w:sz w:val="22"/>
          <w:szCs w:val="22"/>
          <w:lang w:val="fr-CA"/>
        </w:rPr>
        <w:t xml:space="preserve">américaines </w:t>
      </w:r>
      <w:r w:rsidRPr="00217EFC">
        <w:rPr>
          <w:sz w:val="22"/>
          <w:szCs w:val="22"/>
          <w:lang w:val="fr-CA"/>
        </w:rPr>
        <w:t>et du contrôle des</w:t>
      </w:r>
      <w:r>
        <w:rPr>
          <w:sz w:val="22"/>
          <w:szCs w:val="22"/>
          <w:lang w:val="fr-CA"/>
        </w:rPr>
        <w:t xml:space="preserve"> </w:t>
      </w:r>
      <w:r w:rsidRPr="003B21C3">
        <w:rPr>
          <w:sz w:val="22"/>
          <w:szCs w:val="22"/>
          <w:lang w:val="fr-CA"/>
        </w:rPr>
        <w:t>lignes</w:t>
      </w:r>
      <w:r>
        <w:rPr>
          <w:sz w:val="22"/>
          <w:szCs w:val="22"/>
          <w:lang w:val="fr-CA"/>
        </w:rPr>
        <w:t xml:space="preserve"> </w:t>
      </w:r>
      <w:r w:rsidRPr="00217EFC">
        <w:rPr>
          <w:sz w:val="22"/>
          <w:szCs w:val="22"/>
          <w:lang w:val="fr-CA"/>
        </w:rPr>
        <w:t>de communication</w:t>
      </w:r>
      <w:r>
        <w:rPr>
          <w:sz w:val="22"/>
          <w:szCs w:val="22"/>
          <w:lang w:val="fr-CA"/>
        </w:rPr>
        <w:t xml:space="preserve"> (routes)</w:t>
      </w:r>
      <w:r w:rsidRPr="00217EFC">
        <w:rPr>
          <w:sz w:val="22"/>
          <w:szCs w:val="22"/>
          <w:lang w:val="fr-CA"/>
        </w:rPr>
        <w:t xml:space="preserve"> entre le front et la zone arrière</w:t>
      </w:r>
      <w:r w:rsidRPr="00217EFC">
        <w:rPr>
          <w:rStyle w:val="FootnoteReference"/>
          <w:sz w:val="22"/>
          <w:szCs w:val="22"/>
          <w:lang w:val="fr-CA"/>
        </w:rPr>
        <w:footnoteReference w:id="335"/>
      </w:r>
      <w:r w:rsidRPr="00217EFC">
        <w:rPr>
          <w:sz w:val="22"/>
          <w:szCs w:val="22"/>
          <w:lang w:val="fr-CA"/>
        </w:rPr>
        <w:t>. À l’image du 103</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xml:space="preserve">, qui est le résultat de </w:t>
      </w:r>
      <w:r>
        <w:rPr>
          <w:sz w:val="22"/>
          <w:szCs w:val="22"/>
          <w:lang w:val="fr-CA"/>
        </w:rPr>
        <w:t xml:space="preserve">l’amalgame </w:t>
      </w:r>
      <w:r w:rsidRPr="00217EFC">
        <w:rPr>
          <w:sz w:val="22"/>
          <w:szCs w:val="22"/>
          <w:lang w:val="fr-CA"/>
        </w:rPr>
        <w:t>de la compagnie A du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sz w:val="22"/>
          <w:szCs w:val="22"/>
          <w:lang w:val="fr-CA"/>
        </w:rPr>
        <w:t xml:space="preserve"> du New Hampshire et du </w:t>
      </w:r>
      <w:r>
        <w:rPr>
          <w:sz w:val="22"/>
          <w:szCs w:val="22"/>
          <w:lang w:val="fr-CA"/>
        </w:rPr>
        <w:t>2</w:t>
      </w:r>
      <w:r w:rsidRPr="00412BB1">
        <w:rPr>
          <w:sz w:val="22"/>
          <w:szCs w:val="22"/>
          <w:vertAlign w:val="superscript"/>
          <w:lang w:val="fr-CA"/>
        </w:rPr>
        <w:t>e</w:t>
      </w:r>
      <w:r>
        <w:rPr>
          <w:sz w:val="22"/>
          <w:szCs w:val="22"/>
          <w:lang w:val="fr-CA"/>
        </w:rPr>
        <w:t xml:space="preserve"> Régiment </w:t>
      </w:r>
      <w:r w:rsidRPr="00217EFC">
        <w:rPr>
          <w:sz w:val="22"/>
          <w:szCs w:val="22"/>
          <w:lang w:val="fr-CA"/>
        </w:rPr>
        <w:t>d’</w:t>
      </w:r>
      <w:r>
        <w:rPr>
          <w:sz w:val="22"/>
          <w:szCs w:val="22"/>
          <w:lang w:val="fr-CA"/>
        </w:rPr>
        <w:t>I</w:t>
      </w:r>
      <w:r w:rsidRPr="00217EFC">
        <w:rPr>
          <w:sz w:val="22"/>
          <w:szCs w:val="22"/>
          <w:lang w:val="fr-CA"/>
        </w:rPr>
        <w:t xml:space="preserve">nfanterie du Maine, le </w:t>
      </w:r>
      <w:r>
        <w:rPr>
          <w:sz w:val="22"/>
          <w:szCs w:val="22"/>
          <w:lang w:val="fr-CA"/>
        </w:rPr>
        <w:t>Régiment</w:t>
      </w:r>
      <w:r w:rsidRPr="00217EFC">
        <w:rPr>
          <w:sz w:val="22"/>
          <w:szCs w:val="22"/>
          <w:lang w:val="fr-CA"/>
        </w:rPr>
        <w:t xml:space="preserve"> des </w:t>
      </w:r>
      <w:r>
        <w:rPr>
          <w:sz w:val="22"/>
          <w:szCs w:val="22"/>
          <w:lang w:val="fr-CA"/>
        </w:rPr>
        <w:t>Q</w:t>
      </w:r>
      <w:r w:rsidRPr="00217EFC">
        <w:rPr>
          <w:sz w:val="22"/>
          <w:szCs w:val="22"/>
          <w:lang w:val="fr-CA"/>
        </w:rPr>
        <w:t>uartiers-</w:t>
      </w:r>
      <w:r>
        <w:rPr>
          <w:sz w:val="22"/>
          <w:szCs w:val="22"/>
          <w:lang w:val="fr-CA"/>
        </w:rPr>
        <w:t>G</w:t>
      </w:r>
      <w:r w:rsidRPr="00217EFC">
        <w:rPr>
          <w:sz w:val="22"/>
          <w:szCs w:val="22"/>
          <w:lang w:val="fr-CA"/>
        </w:rPr>
        <w:t xml:space="preserve">énéraux de la Première Armée </w:t>
      </w:r>
      <w:r>
        <w:rPr>
          <w:sz w:val="22"/>
          <w:szCs w:val="22"/>
          <w:lang w:val="fr-CA"/>
        </w:rPr>
        <w:t>a</w:t>
      </w:r>
      <w:r w:rsidRPr="00217EFC">
        <w:rPr>
          <w:sz w:val="22"/>
          <w:szCs w:val="22"/>
          <w:lang w:val="fr-CA"/>
        </w:rPr>
        <w:t xml:space="preserve">méricaine est issue de </w:t>
      </w:r>
      <w:r>
        <w:rPr>
          <w:sz w:val="22"/>
          <w:szCs w:val="22"/>
          <w:lang w:val="fr-CA"/>
        </w:rPr>
        <w:t xml:space="preserve">la fusion </w:t>
      </w:r>
      <w:r w:rsidRPr="00217EFC">
        <w:rPr>
          <w:sz w:val="22"/>
          <w:szCs w:val="22"/>
          <w:lang w:val="fr-CA"/>
        </w:rPr>
        <w:t>d’éléments du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sz w:val="22"/>
          <w:szCs w:val="22"/>
          <w:lang w:val="fr-CA"/>
        </w:rPr>
        <w:t xml:space="preserve"> et d’une unité franco-</w:t>
      </w:r>
      <w:r>
        <w:rPr>
          <w:sz w:val="22"/>
          <w:szCs w:val="22"/>
          <w:lang w:val="fr-CA"/>
        </w:rPr>
        <w:t>a</w:t>
      </w:r>
      <w:r w:rsidRPr="00217EFC">
        <w:rPr>
          <w:sz w:val="22"/>
          <w:szCs w:val="22"/>
          <w:lang w:val="fr-CA"/>
        </w:rPr>
        <w:t xml:space="preserve">méricaine de la Garde Nationale du nord de la Louisiane. </w:t>
      </w:r>
      <w:r w:rsidRPr="0035794E">
        <w:rPr>
          <w:sz w:val="22"/>
          <w:lang w:val="fr-CA"/>
        </w:rPr>
        <w:t>Malgré cette amalgamation,</w:t>
      </w:r>
      <w:r>
        <w:rPr>
          <w:sz w:val="22"/>
          <w:szCs w:val="22"/>
          <w:lang w:val="fr-CA"/>
        </w:rPr>
        <w:t xml:space="preserve"> </w:t>
      </w:r>
      <w:r w:rsidRPr="00217EFC">
        <w:rPr>
          <w:sz w:val="22"/>
          <w:szCs w:val="22"/>
          <w:lang w:val="fr-CA"/>
        </w:rPr>
        <w:t>l</w:t>
      </w:r>
      <w:r>
        <w:rPr>
          <w:sz w:val="22"/>
          <w:szCs w:val="22"/>
          <w:lang w:val="fr-CA"/>
        </w:rPr>
        <w:t>e Régiment</w:t>
      </w:r>
      <w:r w:rsidRPr="00217EFC">
        <w:rPr>
          <w:sz w:val="22"/>
          <w:szCs w:val="22"/>
          <w:lang w:val="fr-CA"/>
        </w:rPr>
        <w:t xml:space="preserve"> des </w:t>
      </w:r>
      <w:r>
        <w:rPr>
          <w:sz w:val="22"/>
          <w:szCs w:val="22"/>
          <w:lang w:val="fr-CA"/>
        </w:rPr>
        <w:t>Q</w:t>
      </w:r>
      <w:r w:rsidRPr="00217EFC">
        <w:rPr>
          <w:sz w:val="22"/>
          <w:szCs w:val="22"/>
          <w:lang w:val="fr-CA"/>
        </w:rPr>
        <w:t>uartiers-</w:t>
      </w:r>
      <w:r>
        <w:rPr>
          <w:sz w:val="22"/>
          <w:szCs w:val="22"/>
          <w:lang w:val="fr-CA"/>
        </w:rPr>
        <w:t>G</w:t>
      </w:r>
      <w:r w:rsidRPr="00217EFC">
        <w:rPr>
          <w:sz w:val="22"/>
          <w:szCs w:val="22"/>
          <w:lang w:val="fr-CA"/>
        </w:rPr>
        <w:t xml:space="preserve">énéraux de la Première Armée </w:t>
      </w:r>
      <w:r w:rsidR="00DB5D0B">
        <w:rPr>
          <w:sz w:val="22"/>
          <w:szCs w:val="22"/>
          <w:lang w:val="fr-CA"/>
        </w:rPr>
        <w:t>A</w:t>
      </w:r>
      <w:r w:rsidRPr="00217EFC">
        <w:rPr>
          <w:sz w:val="22"/>
          <w:szCs w:val="22"/>
          <w:lang w:val="fr-CA"/>
        </w:rPr>
        <w:t xml:space="preserve">méricaine </w:t>
      </w:r>
      <w:r>
        <w:rPr>
          <w:sz w:val="22"/>
          <w:szCs w:val="22"/>
          <w:lang w:val="fr-CA"/>
        </w:rPr>
        <w:t xml:space="preserve">a maintenu </w:t>
      </w:r>
      <w:r w:rsidRPr="00217EFC">
        <w:rPr>
          <w:sz w:val="22"/>
          <w:szCs w:val="22"/>
          <w:lang w:val="fr-CA"/>
        </w:rPr>
        <w:t>un noyau de personnel francophone</w:t>
      </w:r>
      <w:r w:rsidRPr="00FC284E">
        <w:rPr>
          <w:sz w:val="22"/>
          <w:szCs w:val="22"/>
          <w:lang w:val="fr-CA"/>
        </w:rPr>
        <w:t xml:space="preserve"> </w:t>
      </w:r>
      <w:r>
        <w:rPr>
          <w:sz w:val="22"/>
          <w:szCs w:val="22"/>
          <w:lang w:val="fr-CA"/>
        </w:rPr>
        <w:t xml:space="preserve">pour servir, dès son arrivée en </w:t>
      </w:r>
      <w:r w:rsidRPr="00217EFC">
        <w:rPr>
          <w:sz w:val="22"/>
          <w:szCs w:val="22"/>
          <w:lang w:val="fr-CA"/>
        </w:rPr>
        <w:t>avril 1918</w:t>
      </w:r>
      <w:r>
        <w:rPr>
          <w:sz w:val="22"/>
          <w:szCs w:val="22"/>
          <w:lang w:val="fr-CA"/>
        </w:rPr>
        <w:t>, en France</w:t>
      </w:r>
      <w:r w:rsidRPr="00217EFC">
        <w:rPr>
          <w:rStyle w:val="FootnoteReference"/>
          <w:sz w:val="22"/>
          <w:szCs w:val="22"/>
          <w:lang w:val="fr-CA"/>
        </w:rPr>
        <w:footnoteReference w:id="336"/>
      </w:r>
      <w:r w:rsidRPr="00217EFC">
        <w:rPr>
          <w:sz w:val="22"/>
          <w:szCs w:val="22"/>
          <w:lang w:val="fr-CA"/>
        </w:rPr>
        <w:t>.</w:t>
      </w:r>
    </w:p>
    <w:p w14:paraId="66F76273" w14:textId="77777777" w:rsidR="000264D6" w:rsidRPr="00217EFC" w:rsidRDefault="00F40687" w:rsidP="002B5319">
      <w:pPr>
        <w:spacing w:before="100" w:beforeAutospacing="1" w:after="100" w:afterAutospacing="1"/>
        <w:ind w:firstLine="360"/>
        <w:jc w:val="both"/>
        <w:rPr>
          <w:sz w:val="22"/>
          <w:szCs w:val="22"/>
          <w:lang w:val="fr-CA"/>
        </w:rPr>
      </w:pPr>
      <w:r>
        <w:rPr>
          <w:sz w:val="22"/>
          <w:szCs w:val="22"/>
          <w:lang w:val="fr-CA"/>
        </w:rPr>
        <w:t xml:space="preserve">Au </w:t>
      </w:r>
      <w:r w:rsidR="000264D6" w:rsidRPr="00217EFC">
        <w:rPr>
          <w:sz w:val="22"/>
          <w:szCs w:val="22"/>
          <w:lang w:val="fr-CA"/>
        </w:rPr>
        <w:t>New Hampshire</w:t>
      </w:r>
      <w:r w:rsidR="000264D6">
        <w:rPr>
          <w:sz w:val="22"/>
          <w:szCs w:val="22"/>
          <w:lang w:val="fr-CA"/>
        </w:rPr>
        <w:t>,</w:t>
      </w:r>
      <w:r w:rsidR="000264D6" w:rsidRPr="00217EFC">
        <w:rPr>
          <w:sz w:val="22"/>
          <w:szCs w:val="22"/>
          <w:lang w:val="fr-CA"/>
        </w:rPr>
        <w:t xml:space="preserve"> une nouvelle compagnie du 1</w:t>
      </w:r>
      <w:r w:rsidR="000264D6" w:rsidRPr="00217EFC">
        <w:rPr>
          <w:sz w:val="22"/>
          <w:szCs w:val="22"/>
          <w:vertAlign w:val="superscript"/>
          <w:lang w:val="fr-CA"/>
        </w:rPr>
        <w:t>er</w:t>
      </w:r>
      <w:r w:rsidR="000264D6" w:rsidRPr="00217EFC">
        <w:rPr>
          <w:sz w:val="22"/>
          <w:szCs w:val="22"/>
          <w:lang w:val="fr-CA"/>
        </w:rPr>
        <w:t xml:space="preserve"> </w:t>
      </w:r>
      <w:r w:rsidR="000264D6">
        <w:rPr>
          <w:sz w:val="22"/>
          <w:szCs w:val="22"/>
          <w:lang w:val="fr-CA"/>
        </w:rPr>
        <w:t>Régiment</w:t>
      </w:r>
      <w:r w:rsidR="000264D6" w:rsidRPr="00217EFC">
        <w:rPr>
          <w:sz w:val="22"/>
          <w:szCs w:val="22"/>
          <w:lang w:val="fr-CA"/>
        </w:rPr>
        <w:t xml:space="preserve"> </w:t>
      </w:r>
      <w:r w:rsidR="000264D6">
        <w:rPr>
          <w:sz w:val="22"/>
          <w:szCs w:val="22"/>
          <w:lang w:val="fr-CA"/>
        </w:rPr>
        <w:t xml:space="preserve">est </w:t>
      </w:r>
      <w:r w:rsidR="000264D6" w:rsidRPr="00884876">
        <w:rPr>
          <w:sz w:val="22"/>
          <w:szCs w:val="22"/>
          <w:lang w:val="fr-CA"/>
        </w:rPr>
        <w:t>é</w:t>
      </w:r>
      <w:r w:rsidR="000264D6">
        <w:rPr>
          <w:sz w:val="22"/>
          <w:szCs w:val="22"/>
          <w:lang w:val="fr-CA"/>
        </w:rPr>
        <w:t xml:space="preserve">tablie pour être activée </w:t>
      </w:r>
      <w:r w:rsidR="000264D6" w:rsidRPr="00217EFC">
        <w:rPr>
          <w:sz w:val="22"/>
          <w:szCs w:val="22"/>
          <w:lang w:val="fr-CA"/>
        </w:rPr>
        <w:t xml:space="preserve">seulement en cas de trouble civil comme </w:t>
      </w:r>
      <w:r w:rsidR="000264D6">
        <w:rPr>
          <w:sz w:val="22"/>
          <w:szCs w:val="22"/>
          <w:lang w:val="fr-CA"/>
        </w:rPr>
        <w:t>d</w:t>
      </w:r>
      <w:r w:rsidR="000264D6" w:rsidRPr="00217EFC">
        <w:rPr>
          <w:sz w:val="22"/>
          <w:szCs w:val="22"/>
          <w:lang w:val="fr-CA"/>
        </w:rPr>
        <w:t>es grèves. La compagnie C (</w:t>
      </w:r>
      <w:r w:rsidR="000264D6" w:rsidRPr="00217EFC">
        <w:rPr>
          <w:i/>
          <w:iCs/>
          <w:sz w:val="22"/>
          <w:szCs w:val="22"/>
          <w:lang w:val="fr-CA"/>
        </w:rPr>
        <w:t>Home Guard</w:t>
      </w:r>
      <w:r w:rsidR="000264D6" w:rsidRPr="00217EFC">
        <w:rPr>
          <w:sz w:val="22"/>
          <w:szCs w:val="22"/>
          <w:lang w:val="fr-CA"/>
        </w:rPr>
        <w:t>) sera commandée par le capitaine Ubald Hebert</w:t>
      </w:r>
      <w:r w:rsidR="00DB1BCF">
        <w:rPr>
          <w:sz w:val="22"/>
          <w:szCs w:val="22"/>
          <w:lang w:val="fr-CA"/>
        </w:rPr>
        <w:t xml:space="preserve"> et, ce dernier mentionne, que </w:t>
      </w:r>
      <w:r w:rsidR="000264D6">
        <w:rPr>
          <w:sz w:val="22"/>
          <w:szCs w:val="22"/>
          <w:lang w:val="fr-CA"/>
        </w:rPr>
        <w:t xml:space="preserve">la compagnie </w:t>
      </w:r>
      <w:r w:rsidR="00DB1BCF">
        <w:rPr>
          <w:sz w:val="22"/>
          <w:szCs w:val="22"/>
          <w:lang w:val="fr-CA"/>
        </w:rPr>
        <w:t xml:space="preserve">est </w:t>
      </w:r>
      <w:r w:rsidR="000264D6" w:rsidRPr="00217EFC">
        <w:rPr>
          <w:sz w:val="22"/>
          <w:szCs w:val="22"/>
          <w:lang w:val="fr-CA"/>
        </w:rPr>
        <w:t>constituée de personnes marié</w:t>
      </w:r>
      <w:r w:rsidR="00DB5D0B">
        <w:rPr>
          <w:sz w:val="22"/>
          <w:szCs w:val="22"/>
          <w:lang w:val="fr-CA"/>
        </w:rPr>
        <w:t>e</w:t>
      </w:r>
      <w:r w:rsidR="000264D6" w:rsidRPr="00217EFC">
        <w:rPr>
          <w:sz w:val="22"/>
          <w:szCs w:val="22"/>
          <w:lang w:val="fr-CA"/>
        </w:rPr>
        <w:t xml:space="preserve">s, tempérantes et </w:t>
      </w:r>
      <w:r w:rsidR="000264D6">
        <w:rPr>
          <w:sz w:val="22"/>
          <w:szCs w:val="22"/>
          <w:lang w:val="fr-CA"/>
        </w:rPr>
        <w:t xml:space="preserve">ayant </w:t>
      </w:r>
      <w:r w:rsidR="000264D6" w:rsidRPr="00217EFC">
        <w:rPr>
          <w:sz w:val="22"/>
          <w:szCs w:val="22"/>
          <w:lang w:val="fr-CA"/>
        </w:rPr>
        <w:t>«</w:t>
      </w:r>
      <w:r w:rsidR="00DB5D0B">
        <w:rPr>
          <w:sz w:val="22"/>
          <w:szCs w:val="22"/>
          <w:lang w:val="fr-CA"/>
        </w:rPr>
        <w:t> </w:t>
      </w:r>
      <w:r w:rsidR="000264D6" w:rsidRPr="00217EFC">
        <w:rPr>
          <w:sz w:val="22"/>
          <w:szCs w:val="22"/>
          <w:lang w:val="fr-CA"/>
        </w:rPr>
        <w:t>d’excellentes habitudes</w:t>
      </w:r>
      <w:r w:rsidR="00DB5D0B">
        <w:rPr>
          <w:sz w:val="22"/>
          <w:szCs w:val="22"/>
          <w:lang w:val="fr-CA"/>
        </w:rPr>
        <w:t> </w:t>
      </w:r>
      <w:r w:rsidR="000264D6" w:rsidRPr="00217EFC">
        <w:rPr>
          <w:sz w:val="22"/>
          <w:szCs w:val="22"/>
          <w:lang w:val="fr-CA"/>
        </w:rPr>
        <w:t>»</w:t>
      </w:r>
      <w:r w:rsidR="000264D6" w:rsidRPr="00217EFC">
        <w:rPr>
          <w:rStyle w:val="FootnoteReference"/>
          <w:sz w:val="22"/>
          <w:szCs w:val="22"/>
          <w:lang w:val="fr-CA"/>
        </w:rPr>
        <w:footnoteReference w:id="337"/>
      </w:r>
      <w:r w:rsidR="000264D6" w:rsidRPr="00217EFC">
        <w:rPr>
          <w:sz w:val="22"/>
          <w:szCs w:val="22"/>
          <w:lang w:val="fr-CA"/>
        </w:rPr>
        <w:t xml:space="preserve">. Les </w:t>
      </w:r>
      <w:r w:rsidR="000264D6">
        <w:rPr>
          <w:sz w:val="22"/>
          <w:szCs w:val="22"/>
          <w:lang w:val="fr-CA"/>
        </w:rPr>
        <w:t>effectifs</w:t>
      </w:r>
      <w:r w:rsidR="000264D6" w:rsidRPr="00217EFC">
        <w:rPr>
          <w:sz w:val="22"/>
          <w:szCs w:val="22"/>
          <w:lang w:val="fr-CA"/>
        </w:rPr>
        <w:t xml:space="preserve"> de la compagnie passent rapidement de 40 à 61 personnes. Ils sont </w:t>
      </w:r>
      <w:r w:rsidR="000264D6">
        <w:rPr>
          <w:sz w:val="22"/>
          <w:szCs w:val="22"/>
          <w:lang w:val="fr-CA"/>
        </w:rPr>
        <w:t>tenus</w:t>
      </w:r>
      <w:r w:rsidR="000264D6" w:rsidRPr="00217EFC">
        <w:rPr>
          <w:sz w:val="22"/>
          <w:szCs w:val="22"/>
          <w:lang w:val="fr-CA"/>
        </w:rPr>
        <w:t xml:space="preserve"> par d</w:t>
      </w:r>
      <w:r w:rsidR="000264D6">
        <w:rPr>
          <w:sz w:val="22"/>
          <w:szCs w:val="22"/>
          <w:lang w:val="fr-CA"/>
        </w:rPr>
        <w:t>’</w:t>
      </w:r>
      <w:r w:rsidR="000264D6" w:rsidRPr="00217EFC">
        <w:rPr>
          <w:sz w:val="22"/>
          <w:szCs w:val="22"/>
          <w:lang w:val="fr-CA"/>
        </w:rPr>
        <w:t>anciens membres de la Garde Lafayette et ils s’entrainent les mercredis soir</w:t>
      </w:r>
      <w:r w:rsidR="000264D6">
        <w:rPr>
          <w:sz w:val="22"/>
          <w:szCs w:val="22"/>
          <w:lang w:val="fr-CA"/>
        </w:rPr>
        <w:t xml:space="preserve"> à Manchester</w:t>
      </w:r>
      <w:r w:rsidR="000264D6" w:rsidRPr="00217EFC">
        <w:rPr>
          <w:rStyle w:val="FootnoteReference"/>
          <w:sz w:val="22"/>
          <w:szCs w:val="22"/>
          <w:lang w:val="fr-CA"/>
        </w:rPr>
        <w:footnoteReference w:id="338"/>
      </w:r>
      <w:r w:rsidR="000264D6" w:rsidRPr="00217EFC">
        <w:rPr>
          <w:sz w:val="22"/>
          <w:szCs w:val="22"/>
          <w:lang w:val="fr-CA"/>
        </w:rPr>
        <w:t xml:space="preserve">. Les services de la compagnie </w:t>
      </w:r>
      <w:r w:rsidR="000264D6" w:rsidRPr="00766E1E">
        <w:rPr>
          <w:sz w:val="22"/>
          <w:lang w:val="fr-CA"/>
        </w:rPr>
        <w:t>sont requis</w:t>
      </w:r>
      <w:r w:rsidR="000264D6" w:rsidRPr="00217EFC">
        <w:rPr>
          <w:sz w:val="22"/>
          <w:szCs w:val="22"/>
          <w:lang w:val="fr-CA"/>
        </w:rPr>
        <w:t xml:space="preserve"> une seule fois pendant le conflit. </w:t>
      </w:r>
      <w:r w:rsidR="000264D6">
        <w:rPr>
          <w:sz w:val="22"/>
          <w:szCs w:val="22"/>
          <w:lang w:val="fr-CA"/>
        </w:rPr>
        <w:t>L</w:t>
      </w:r>
      <w:r w:rsidR="000264D6" w:rsidRPr="00217EFC">
        <w:rPr>
          <w:sz w:val="22"/>
          <w:szCs w:val="22"/>
          <w:lang w:val="fr-CA"/>
        </w:rPr>
        <w:t xml:space="preserve">e gouvernement de l’État </w:t>
      </w:r>
      <w:r w:rsidR="00EE09B8">
        <w:rPr>
          <w:sz w:val="22"/>
          <w:szCs w:val="22"/>
          <w:lang w:val="fr-CA"/>
        </w:rPr>
        <w:t xml:space="preserve">mobilise </w:t>
      </w:r>
      <w:r w:rsidR="000264D6">
        <w:rPr>
          <w:sz w:val="22"/>
          <w:szCs w:val="22"/>
          <w:lang w:val="fr-CA"/>
        </w:rPr>
        <w:t xml:space="preserve">la compagnie </w:t>
      </w:r>
      <w:r w:rsidR="00EE09B8">
        <w:rPr>
          <w:sz w:val="22"/>
          <w:szCs w:val="22"/>
          <w:lang w:val="fr-CA"/>
        </w:rPr>
        <w:t xml:space="preserve">pour qu’elle effectue </w:t>
      </w:r>
      <w:r w:rsidR="000264D6" w:rsidRPr="00217EFC">
        <w:rPr>
          <w:sz w:val="22"/>
          <w:szCs w:val="22"/>
          <w:lang w:val="fr-CA"/>
        </w:rPr>
        <w:t>«</w:t>
      </w:r>
      <w:r w:rsidR="00DB5D0B">
        <w:rPr>
          <w:sz w:val="22"/>
          <w:szCs w:val="22"/>
          <w:lang w:val="fr-CA"/>
        </w:rPr>
        <w:t> </w:t>
      </w:r>
      <w:r w:rsidR="000264D6" w:rsidRPr="00217EFC">
        <w:rPr>
          <w:sz w:val="22"/>
          <w:szCs w:val="22"/>
          <w:lang w:val="fr-CA"/>
        </w:rPr>
        <w:t>le service de patrouille</w:t>
      </w:r>
      <w:r w:rsidR="00DB5D0B">
        <w:rPr>
          <w:sz w:val="22"/>
          <w:szCs w:val="22"/>
          <w:lang w:val="fr-CA"/>
        </w:rPr>
        <w:t> </w:t>
      </w:r>
      <w:r w:rsidR="000264D6" w:rsidRPr="00217EFC">
        <w:rPr>
          <w:sz w:val="22"/>
          <w:szCs w:val="22"/>
          <w:lang w:val="fr-CA"/>
        </w:rPr>
        <w:t>»</w:t>
      </w:r>
      <w:r w:rsidR="000264D6" w:rsidRPr="00217EFC">
        <w:rPr>
          <w:rStyle w:val="FootnoteReference"/>
          <w:sz w:val="22"/>
          <w:szCs w:val="22"/>
          <w:lang w:val="fr-CA"/>
        </w:rPr>
        <w:footnoteReference w:id="339"/>
      </w:r>
      <w:r w:rsidR="000264D6">
        <w:rPr>
          <w:sz w:val="22"/>
          <w:szCs w:val="22"/>
          <w:lang w:val="fr-CA"/>
        </w:rPr>
        <w:t xml:space="preserve">, </w:t>
      </w:r>
      <w:r w:rsidR="000264D6" w:rsidRPr="00217EFC">
        <w:rPr>
          <w:sz w:val="22"/>
          <w:szCs w:val="22"/>
          <w:lang w:val="fr-CA"/>
        </w:rPr>
        <w:t>lorsque les polic</w:t>
      </w:r>
      <w:r w:rsidR="00DB5D0B">
        <w:rPr>
          <w:sz w:val="22"/>
          <w:szCs w:val="22"/>
          <w:lang w:val="fr-CA"/>
        </w:rPr>
        <w:t>i</w:t>
      </w:r>
      <w:r w:rsidR="000264D6" w:rsidRPr="00217EFC">
        <w:rPr>
          <w:sz w:val="22"/>
          <w:szCs w:val="22"/>
          <w:lang w:val="fr-CA"/>
        </w:rPr>
        <w:t>e</w:t>
      </w:r>
      <w:r w:rsidR="00DB5D0B">
        <w:rPr>
          <w:sz w:val="22"/>
          <w:szCs w:val="22"/>
          <w:lang w:val="fr-CA"/>
        </w:rPr>
        <w:t xml:space="preserve">rs </w:t>
      </w:r>
      <w:r w:rsidR="000264D6" w:rsidRPr="00217EFC">
        <w:rPr>
          <w:sz w:val="22"/>
          <w:szCs w:val="22"/>
          <w:lang w:val="fr-CA"/>
        </w:rPr>
        <w:t xml:space="preserve">de Nashua </w:t>
      </w:r>
      <w:r w:rsidR="000264D6">
        <w:rPr>
          <w:sz w:val="22"/>
          <w:szCs w:val="22"/>
          <w:lang w:val="fr-CA"/>
        </w:rPr>
        <w:t xml:space="preserve">décident de </w:t>
      </w:r>
      <w:r w:rsidR="000264D6" w:rsidRPr="00217EFC">
        <w:rPr>
          <w:sz w:val="22"/>
          <w:szCs w:val="22"/>
          <w:lang w:val="fr-CA"/>
        </w:rPr>
        <w:t>quitt</w:t>
      </w:r>
      <w:r w:rsidR="000264D6">
        <w:rPr>
          <w:sz w:val="22"/>
          <w:szCs w:val="22"/>
          <w:lang w:val="fr-CA"/>
        </w:rPr>
        <w:t>er</w:t>
      </w:r>
      <w:r w:rsidR="000264D6" w:rsidRPr="00217EFC">
        <w:rPr>
          <w:sz w:val="22"/>
          <w:szCs w:val="22"/>
          <w:lang w:val="fr-CA"/>
        </w:rPr>
        <w:t xml:space="preserve"> leur poste en masse</w:t>
      </w:r>
      <w:r w:rsidR="000264D6">
        <w:rPr>
          <w:sz w:val="22"/>
          <w:szCs w:val="22"/>
          <w:lang w:val="fr-CA"/>
        </w:rPr>
        <w:t xml:space="preserve"> lors d’une grève, l</w:t>
      </w:r>
      <w:r w:rsidR="000264D6" w:rsidRPr="00217EFC">
        <w:rPr>
          <w:sz w:val="22"/>
          <w:szCs w:val="22"/>
          <w:lang w:val="fr-CA"/>
        </w:rPr>
        <w:t>e 24 septembre 1918</w:t>
      </w:r>
      <w:r w:rsidR="000264D6">
        <w:rPr>
          <w:sz w:val="22"/>
          <w:szCs w:val="22"/>
          <w:lang w:val="fr-CA"/>
        </w:rPr>
        <w:t xml:space="preserve">. </w:t>
      </w:r>
    </w:p>
    <w:p w14:paraId="3B88C5A5" w14:textId="77777777" w:rsidR="000264D6" w:rsidRPr="005E7588" w:rsidRDefault="000264D6" w:rsidP="005E7588">
      <w:pPr>
        <w:spacing w:before="100" w:beforeAutospacing="1" w:after="100" w:afterAutospacing="1" w:line="480" w:lineRule="auto"/>
        <w:jc w:val="both"/>
        <w:rPr>
          <w:b/>
          <w:bCs/>
          <w:sz w:val="22"/>
          <w:szCs w:val="22"/>
          <w:lang w:val="fr-CA"/>
        </w:rPr>
      </w:pPr>
      <w:r w:rsidRPr="005E7588">
        <w:rPr>
          <w:b/>
          <w:bCs/>
          <w:sz w:val="22"/>
          <w:szCs w:val="22"/>
          <w:lang w:val="fr-CA"/>
        </w:rPr>
        <w:t>Le 103</w:t>
      </w:r>
      <w:r w:rsidRPr="005E7588">
        <w:rPr>
          <w:b/>
          <w:bCs/>
          <w:sz w:val="22"/>
          <w:szCs w:val="22"/>
          <w:vertAlign w:val="superscript"/>
          <w:lang w:val="fr-CA"/>
        </w:rPr>
        <w:t xml:space="preserve">e </w:t>
      </w:r>
      <w:r w:rsidRPr="005E7588">
        <w:rPr>
          <w:b/>
          <w:bCs/>
          <w:sz w:val="22"/>
          <w:szCs w:val="22"/>
          <w:lang w:val="fr-CA"/>
        </w:rPr>
        <w:t>Régiment au front</w:t>
      </w:r>
    </w:p>
    <w:p w14:paraId="09132C0D" w14:textId="77777777" w:rsidR="000264D6" w:rsidRPr="00217EFC" w:rsidRDefault="000264D6" w:rsidP="002B5319">
      <w:pPr>
        <w:spacing w:before="100" w:beforeAutospacing="1" w:after="100" w:afterAutospacing="1"/>
        <w:ind w:firstLine="360"/>
        <w:jc w:val="both"/>
        <w:rPr>
          <w:sz w:val="22"/>
          <w:szCs w:val="22"/>
          <w:lang w:val="fr-CA"/>
        </w:rPr>
      </w:pPr>
      <w:r w:rsidRPr="005E7588">
        <w:rPr>
          <w:sz w:val="22"/>
          <w:szCs w:val="22"/>
          <w:lang w:val="fr-CA"/>
        </w:rPr>
        <w:t>C’est pendant l’hiver</w:t>
      </w:r>
      <w:r w:rsidR="00523E8E">
        <w:rPr>
          <w:sz w:val="22"/>
          <w:szCs w:val="22"/>
          <w:lang w:val="fr-CA"/>
        </w:rPr>
        <w:t> </w:t>
      </w:r>
      <w:r w:rsidRPr="005E7588">
        <w:rPr>
          <w:sz w:val="22"/>
          <w:szCs w:val="22"/>
          <w:lang w:val="fr-CA"/>
        </w:rPr>
        <w:t>1918 que le 103</w:t>
      </w:r>
      <w:r w:rsidRPr="005E7588">
        <w:rPr>
          <w:sz w:val="22"/>
          <w:szCs w:val="22"/>
          <w:vertAlign w:val="superscript"/>
          <w:lang w:val="fr-CA"/>
        </w:rPr>
        <w:t>e</w:t>
      </w:r>
      <w:r w:rsidRPr="005E7588">
        <w:rPr>
          <w:sz w:val="22"/>
          <w:szCs w:val="22"/>
          <w:lang w:val="fr-CA"/>
        </w:rPr>
        <w:t xml:space="preserve"> Régiment est exposé aux rigueurs du combat</w:t>
      </w:r>
      <w:r>
        <w:rPr>
          <w:sz w:val="22"/>
          <w:szCs w:val="22"/>
          <w:lang w:val="fr-CA"/>
        </w:rPr>
        <w:t xml:space="preserve"> et </w:t>
      </w:r>
      <w:r w:rsidRPr="008B6199">
        <w:rPr>
          <w:i/>
          <w:iCs/>
          <w:sz w:val="22"/>
          <w:szCs w:val="22"/>
          <w:lang w:val="fr-CA"/>
        </w:rPr>
        <w:t>L’</w:t>
      </w:r>
      <w:r w:rsidR="002164A1">
        <w:rPr>
          <w:i/>
          <w:iCs/>
          <w:sz w:val="22"/>
          <w:szCs w:val="22"/>
          <w:lang w:val="fr-CA"/>
        </w:rPr>
        <w:t>A</w:t>
      </w:r>
      <w:r w:rsidRPr="008B6199">
        <w:rPr>
          <w:i/>
          <w:iCs/>
          <w:sz w:val="22"/>
          <w:szCs w:val="22"/>
          <w:lang w:val="fr-CA"/>
        </w:rPr>
        <w:t>venir National</w:t>
      </w:r>
      <w:r w:rsidRPr="005E7588">
        <w:rPr>
          <w:sz w:val="22"/>
          <w:szCs w:val="22"/>
          <w:lang w:val="fr-CA"/>
        </w:rPr>
        <w:t xml:space="preserve"> </w:t>
      </w:r>
      <w:r w:rsidRPr="00766E1E">
        <w:rPr>
          <w:sz w:val="22"/>
          <w:lang w:val="fr-CA"/>
        </w:rPr>
        <w:t xml:space="preserve">suivra </w:t>
      </w:r>
      <w:r w:rsidRPr="005E7588">
        <w:rPr>
          <w:sz w:val="22"/>
          <w:szCs w:val="22"/>
          <w:lang w:val="fr-CA"/>
        </w:rPr>
        <w:t>la correspondance de 22 Franco-Américains de Manchester.</w:t>
      </w:r>
      <w:r>
        <w:rPr>
          <w:sz w:val="22"/>
          <w:szCs w:val="22"/>
          <w:lang w:val="fr-CA"/>
        </w:rPr>
        <w:t xml:space="preserve"> Or, l</w:t>
      </w:r>
      <w:r w:rsidRPr="00217EFC">
        <w:rPr>
          <w:sz w:val="22"/>
          <w:szCs w:val="22"/>
          <w:lang w:val="fr-CA"/>
        </w:rPr>
        <w:t>a première victime franco-américaine du 103</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xml:space="preserve"> qui est résident de Manchester, est le soldat Émile Côté</w:t>
      </w:r>
      <w:r>
        <w:rPr>
          <w:sz w:val="22"/>
          <w:szCs w:val="22"/>
          <w:lang w:val="fr-CA"/>
        </w:rPr>
        <w:t xml:space="preserve"> qui </w:t>
      </w:r>
      <w:r w:rsidRPr="00217EFC">
        <w:rPr>
          <w:sz w:val="22"/>
          <w:szCs w:val="22"/>
          <w:lang w:val="fr-CA"/>
        </w:rPr>
        <w:t>était servant de mortier. Il est mort le 28 février 1918</w:t>
      </w:r>
      <w:r>
        <w:rPr>
          <w:sz w:val="22"/>
          <w:szCs w:val="22"/>
          <w:lang w:val="fr-CA"/>
        </w:rPr>
        <w:t>,</w:t>
      </w:r>
      <w:r w:rsidRPr="00217EFC">
        <w:rPr>
          <w:sz w:val="22"/>
          <w:szCs w:val="22"/>
          <w:lang w:val="fr-CA"/>
        </w:rPr>
        <w:t xml:space="preserve"> </w:t>
      </w:r>
      <w:r>
        <w:rPr>
          <w:sz w:val="22"/>
          <w:szCs w:val="22"/>
          <w:lang w:val="fr-CA"/>
        </w:rPr>
        <w:t>deux jours après avoir été blessé, lors d</w:t>
      </w:r>
      <w:r w:rsidRPr="006C1A1F">
        <w:rPr>
          <w:sz w:val="22"/>
          <w:szCs w:val="22"/>
          <w:lang w:val="fr-CA"/>
        </w:rPr>
        <w:t>’</w:t>
      </w:r>
      <w:r>
        <w:rPr>
          <w:sz w:val="22"/>
          <w:szCs w:val="22"/>
          <w:lang w:val="fr-CA"/>
        </w:rPr>
        <w:t>une attaque allemande</w:t>
      </w:r>
      <w:r w:rsidRPr="00217EFC">
        <w:rPr>
          <w:rStyle w:val="FootnoteReference"/>
          <w:sz w:val="22"/>
          <w:szCs w:val="22"/>
          <w:lang w:val="fr-CA"/>
        </w:rPr>
        <w:footnoteReference w:id="340"/>
      </w:r>
      <w:r w:rsidRPr="00217EFC">
        <w:rPr>
          <w:sz w:val="22"/>
          <w:szCs w:val="22"/>
          <w:lang w:val="fr-CA"/>
        </w:rPr>
        <w:t>.</w:t>
      </w:r>
      <w:r>
        <w:rPr>
          <w:sz w:val="22"/>
          <w:szCs w:val="22"/>
          <w:lang w:val="fr-CA"/>
        </w:rPr>
        <w:t xml:space="preserve"> O</w:t>
      </w:r>
      <w:r w:rsidRPr="00217EFC">
        <w:rPr>
          <w:sz w:val="22"/>
          <w:szCs w:val="22"/>
          <w:lang w:val="fr-CA"/>
        </w:rPr>
        <w:t>n annonce</w:t>
      </w:r>
      <w:r>
        <w:rPr>
          <w:sz w:val="22"/>
          <w:szCs w:val="22"/>
          <w:lang w:val="fr-CA"/>
        </w:rPr>
        <w:t xml:space="preserve"> aussi </w:t>
      </w:r>
      <w:r w:rsidRPr="00217EFC">
        <w:rPr>
          <w:sz w:val="22"/>
          <w:szCs w:val="22"/>
          <w:lang w:val="fr-CA"/>
        </w:rPr>
        <w:t>que le sergent Lacasse, un vétéran qui a servi huit mois à la frontière mexicaine, est blessé, le 16 mars 1918 à Claremont</w:t>
      </w:r>
      <w:r w:rsidRPr="00217EFC">
        <w:rPr>
          <w:rStyle w:val="FootnoteReference"/>
          <w:sz w:val="22"/>
          <w:szCs w:val="22"/>
          <w:lang w:val="fr-CA"/>
        </w:rPr>
        <w:footnoteReference w:id="341"/>
      </w:r>
      <w:r w:rsidRPr="00217EFC">
        <w:rPr>
          <w:sz w:val="22"/>
          <w:szCs w:val="22"/>
          <w:lang w:val="fr-CA"/>
        </w:rPr>
        <w:t>. Dès la mi-mars</w:t>
      </w:r>
      <w:r w:rsidR="00523E8E">
        <w:rPr>
          <w:sz w:val="22"/>
          <w:szCs w:val="22"/>
          <w:lang w:val="fr-CA"/>
        </w:rPr>
        <w:t> </w:t>
      </w:r>
      <w:r w:rsidRPr="00217EFC">
        <w:rPr>
          <w:sz w:val="22"/>
          <w:szCs w:val="22"/>
          <w:lang w:val="fr-CA"/>
        </w:rPr>
        <w:t xml:space="preserve">1918, </w:t>
      </w:r>
      <w:r w:rsidRPr="00217EFC">
        <w:rPr>
          <w:i/>
          <w:iCs/>
          <w:sz w:val="22"/>
          <w:szCs w:val="22"/>
          <w:lang w:val="fr-CA"/>
        </w:rPr>
        <w:t xml:space="preserve">L’Avenir National </w:t>
      </w:r>
      <w:r>
        <w:rPr>
          <w:sz w:val="22"/>
          <w:szCs w:val="22"/>
          <w:lang w:val="fr-CA"/>
        </w:rPr>
        <w:t xml:space="preserve">publie régulièrement </w:t>
      </w:r>
      <w:r w:rsidRPr="00217EFC">
        <w:rPr>
          <w:sz w:val="22"/>
          <w:szCs w:val="22"/>
          <w:lang w:val="fr-CA"/>
        </w:rPr>
        <w:t xml:space="preserve">le nom des blessés </w:t>
      </w:r>
      <w:r>
        <w:rPr>
          <w:sz w:val="22"/>
          <w:szCs w:val="22"/>
          <w:lang w:val="fr-CA"/>
        </w:rPr>
        <w:t xml:space="preserve">originaires </w:t>
      </w:r>
      <w:r w:rsidRPr="00217EFC">
        <w:rPr>
          <w:sz w:val="22"/>
          <w:szCs w:val="22"/>
          <w:lang w:val="fr-CA"/>
        </w:rPr>
        <w:t xml:space="preserve">de Manchester </w:t>
      </w:r>
      <w:r>
        <w:rPr>
          <w:sz w:val="22"/>
          <w:szCs w:val="22"/>
          <w:lang w:val="fr-CA"/>
        </w:rPr>
        <w:t xml:space="preserve">et </w:t>
      </w:r>
      <w:r w:rsidRPr="00217EFC">
        <w:rPr>
          <w:sz w:val="22"/>
          <w:szCs w:val="22"/>
          <w:lang w:val="fr-CA"/>
        </w:rPr>
        <w:t>des informations sur l</w:t>
      </w:r>
      <w:r>
        <w:rPr>
          <w:sz w:val="22"/>
          <w:szCs w:val="22"/>
          <w:lang w:val="fr-CA"/>
        </w:rPr>
        <w:t xml:space="preserve">a </w:t>
      </w:r>
      <w:r w:rsidRPr="00217EFC">
        <w:rPr>
          <w:sz w:val="22"/>
          <w:szCs w:val="22"/>
          <w:lang w:val="fr-CA"/>
        </w:rPr>
        <w:t xml:space="preserve">correspondance </w:t>
      </w:r>
      <w:r>
        <w:rPr>
          <w:sz w:val="22"/>
          <w:szCs w:val="22"/>
          <w:lang w:val="fr-CA"/>
        </w:rPr>
        <w:t xml:space="preserve">que les soldats franco-américains échangent avec leur parenté. Par exemple, le 26 mars on peut lire l’annonce de la blessure de </w:t>
      </w:r>
      <w:r w:rsidRPr="00217EFC">
        <w:rPr>
          <w:sz w:val="22"/>
          <w:szCs w:val="22"/>
          <w:lang w:val="fr-CA"/>
        </w:rPr>
        <w:t>Joseph Savoy</w:t>
      </w:r>
      <w:r w:rsidRPr="00217EFC">
        <w:rPr>
          <w:rStyle w:val="FootnoteReference"/>
          <w:sz w:val="22"/>
          <w:szCs w:val="22"/>
          <w:lang w:val="fr-CA"/>
        </w:rPr>
        <w:footnoteReference w:id="342"/>
      </w:r>
      <w:r>
        <w:rPr>
          <w:sz w:val="22"/>
          <w:szCs w:val="22"/>
          <w:lang w:val="fr-CA"/>
        </w:rPr>
        <w:t xml:space="preserve"> et aussi, celle </w:t>
      </w:r>
      <w:r>
        <w:rPr>
          <w:sz w:val="22"/>
          <w:szCs w:val="22"/>
          <w:lang w:val="fr-CA"/>
        </w:rPr>
        <w:lastRenderedPageBreak/>
        <w:t>d’</w:t>
      </w:r>
      <w:r w:rsidRPr="00217EFC">
        <w:rPr>
          <w:sz w:val="22"/>
          <w:szCs w:val="22"/>
          <w:lang w:val="fr-CA"/>
        </w:rPr>
        <w:t xml:space="preserve">Alfred Longchamp qui </w:t>
      </w:r>
      <w:r>
        <w:rPr>
          <w:sz w:val="22"/>
          <w:szCs w:val="22"/>
          <w:lang w:val="fr-CA"/>
        </w:rPr>
        <w:t xml:space="preserve">raconte </w:t>
      </w:r>
      <w:r w:rsidRPr="00217EFC">
        <w:rPr>
          <w:sz w:val="22"/>
          <w:szCs w:val="22"/>
          <w:lang w:val="fr-CA"/>
        </w:rPr>
        <w:t>se plai</w:t>
      </w:r>
      <w:r>
        <w:rPr>
          <w:sz w:val="22"/>
          <w:szCs w:val="22"/>
          <w:lang w:val="fr-CA"/>
        </w:rPr>
        <w:t>re</w:t>
      </w:r>
      <w:r w:rsidRPr="00217EFC">
        <w:rPr>
          <w:sz w:val="22"/>
          <w:szCs w:val="22"/>
          <w:lang w:val="fr-CA"/>
        </w:rPr>
        <w:t xml:space="preserve"> comme militaire</w:t>
      </w:r>
      <w:r w:rsidRPr="00EA28DD">
        <w:rPr>
          <w:sz w:val="22"/>
          <w:szCs w:val="22"/>
          <w:lang w:val="fr-CA"/>
        </w:rPr>
        <w:t xml:space="preserve"> </w:t>
      </w:r>
      <w:r w:rsidRPr="00217EFC">
        <w:rPr>
          <w:sz w:val="22"/>
          <w:szCs w:val="22"/>
          <w:lang w:val="fr-CA"/>
        </w:rPr>
        <w:t xml:space="preserve">malgré la pluie de balles </w:t>
      </w:r>
      <w:r>
        <w:rPr>
          <w:sz w:val="22"/>
          <w:szCs w:val="22"/>
          <w:lang w:val="fr-CA"/>
        </w:rPr>
        <w:t xml:space="preserve">qu’il reçoit </w:t>
      </w:r>
      <w:r w:rsidRPr="00217EFC">
        <w:rPr>
          <w:sz w:val="22"/>
          <w:szCs w:val="22"/>
          <w:lang w:val="fr-CA"/>
        </w:rPr>
        <w:t>sur sa position</w:t>
      </w:r>
      <w:r w:rsidRPr="00217EFC">
        <w:rPr>
          <w:rStyle w:val="FootnoteReference"/>
          <w:sz w:val="22"/>
          <w:szCs w:val="22"/>
          <w:lang w:val="fr-CA"/>
        </w:rPr>
        <w:footnoteReference w:id="343"/>
      </w:r>
      <w:r w:rsidRPr="00217EFC">
        <w:rPr>
          <w:sz w:val="22"/>
          <w:szCs w:val="22"/>
          <w:lang w:val="fr-CA"/>
        </w:rPr>
        <w:t>.</w:t>
      </w:r>
    </w:p>
    <w:p w14:paraId="3F8DB1C9"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Le caporal Janelle est employé comme interprète pour sa compagnie et</w:t>
      </w:r>
      <w:r>
        <w:rPr>
          <w:sz w:val="22"/>
          <w:szCs w:val="22"/>
          <w:lang w:val="fr-CA"/>
        </w:rPr>
        <w:t xml:space="preserve"> il se réjouit de la réception du </w:t>
      </w:r>
      <w:r w:rsidRPr="00217EFC">
        <w:rPr>
          <w:sz w:val="22"/>
          <w:szCs w:val="22"/>
          <w:lang w:val="fr-CA"/>
        </w:rPr>
        <w:t xml:space="preserve">premier colis </w:t>
      </w:r>
      <w:r>
        <w:rPr>
          <w:sz w:val="22"/>
          <w:szCs w:val="22"/>
          <w:lang w:val="fr-CA"/>
        </w:rPr>
        <w:t xml:space="preserve">envoyé par </w:t>
      </w:r>
      <w:r w:rsidRPr="00217EFC">
        <w:rPr>
          <w:sz w:val="22"/>
          <w:szCs w:val="22"/>
          <w:lang w:val="fr-CA"/>
        </w:rPr>
        <w:t>sa famille</w:t>
      </w:r>
      <w:r w:rsidRPr="00217EFC">
        <w:rPr>
          <w:rStyle w:val="FootnoteReference"/>
          <w:sz w:val="22"/>
          <w:szCs w:val="22"/>
          <w:lang w:val="fr-CA"/>
        </w:rPr>
        <w:footnoteReference w:id="344"/>
      </w:r>
      <w:r w:rsidRPr="00217EFC">
        <w:rPr>
          <w:sz w:val="22"/>
          <w:szCs w:val="22"/>
          <w:lang w:val="fr-CA"/>
        </w:rPr>
        <w:t xml:space="preserve">. En fait les colis </w:t>
      </w:r>
      <w:r>
        <w:rPr>
          <w:sz w:val="22"/>
          <w:szCs w:val="22"/>
          <w:lang w:val="fr-CA"/>
        </w:rPr>
        <w:t>s</w:t>
      </w:r>
      <w:r w:rsidRPr="00217EFC">
        <w:rPr>
          <w:sz w:val="22"/>
          <w:szCs w:val="22"/>
          <w:lang w:val="fr-CA"/>
        </w:rPr>
        <w:t xml:space="preserve">ont </w:t>
      </w:r>
      <w:r>
        <w:rPr>
          <w:sz w:val="22"/>
          <w:szCs w:val="22"/>
          <w:lang w:val="fr-CA"/>
        </w:rPr>
        <w:t xml:space="preserve">très appréciés par </w:t>
      </w:r>
      <w:r w:rsidRPr="00217EFC">
        <w:rPr>
          <w:sz w:val="22"/>
          <w:szCs w:val="22"/>
          <w:lang w:val="fr-CA"/>
        </w:rPr>
        <w:t xml:space="preserve">les soldats, car </w:t>
      </w:r>
      <w:r>
        <w:rPr>
          <w:sz w:val="22"/>
          <w:szCs w:val="22"/>
          <w:lang w:val="fr-CA"/>
        </w:rPr>
        <w:t>le prix des denrées en Europe est très élevé.</w:t>
      </w:r>
      <w:r w:rsidRPr="00217EFC">
        <w:rPr>
          <w:sz w:val="22"/>
          <w:szCs w:val="22"/>
          <w:lang w:val="fr-CA"/>
        </w:rPr>
        <w:t xml:space="preserve"> </w:t>
      </w:r>
      <w:r>
        <w:rPr>
          <w:sz w:val="22"/>
          <w:szCs w:val="22"/>
          <w:lang w:val="fr-CA"/>
        </w:rPr>
        <w:t>L</w:t>
      </w:r>
      <w:r w:rsidRPr="00217EFC">
        <w:rPr>
          <w:sz w:val="22"/>
          <w:szCs w:val="22"/>
          <w:lang w:val="fr-CA"/>
        </w:rPr>
        <w:t>e soldat Gagnon, rapporte dans une correspondance que le chocolat qui se ven</w:t>
      </w:r>
      <w:r w:rsidR="00523E8E">
        <w:rPr>
          <w:sz w:val="22"/>
          <w:szCs w:val="22"/>
          <w:lang w:val="fr-CA"/>
        </w:rPr>
        <w:t>d</w:t>
      </w:r>
      <w:r w:rsidRPr="00217EFC">
        <w:rPr>
          <w:sz w:val="22"/>
          <w:szCs w:val="22"/>
          <w:lang w:val="fr-CA"/>
        </w:rPr>
        <w:t xml:space="preserve"> 0</w:t>
      </w:r>
      <w:r>
        <w:rPr>
          <w:sz w:val="22"/>
          <w:szCs w:val="22"/>
          <w:lang w:val="fr-CA"/>
        </w:rPr>
        <w:t>,</w:t>
      </w:r>
      <w:r w:rsidRPr="00217EFC">
        <w:rPr>
          <w:sz w:val="22"/>
          <w:szCs w:val="22"/>
          <w:lang w:val="fr-CA"/>
        </w:rPr>
        <w:t>15</w:t>
      </w:r>
      <w:r>
        <w:rPr>
          <w:sz w:val="22"/>
          <w:szCs w:val="22"/>
          <w:lang w:val="fr-CA"/>
        </w:rPr>
        <w:t> </w:t>
      </w:r>
      <w:r w:rsidRPr="00217EFC">
        <w:rPr>
          <w:sz w:val="22"/>
          <w:szCs w:val="22"/>
          <w:lang w:val="fr-CA"/>
        </w:rPr>
        <w:t>$ l’unité aux États-Unis se vend à 2</w:t>
      </w:r>
      <w:r>
        <w:rPr>
          <w:sz w:val="22"/>
          <w:szCs w:val="22"/>
          <w:lang w:val="fr-CA"/>
        </w:rPr>
        <w:t>,</w:t>
      </w:r>
      <w:r w:rsidRPr="00217EFC">
        <w:rPr>
          <w:sz w:val="22"/>
          <w:szCs w:val="22"/>
          <w:lang w:val="fr-CA"/>
        </w:rPr>
        <w:t>00</w:t>
      </w:r>
      <w:r>
        <w:rPr>
          <w:sz w:val="22"/>
          <w:szCs w:val="22"/>
          <w:lang w:val="fr-CA"/>
        </w:rPr>
        <w:t> </w:t>
      </w:r>
      <w:r w:rsidRPr="00217EFC">
        <w:rPr>
          <w:sz w:val="22"/>
          <w:szCs w:val="22"/>
          <w:lang w:val="fr-CA"/>
        </w:rPr>
        <w:t>$ en France</w:t>
      </w:r>
      <w:r w:rsidRPr="00217EFC">
        <w:rPr>
          <w:rStyle w:val="FootnoteReference"/>
          <w:sz w:val="22"/>
          <w:szCs w:val="22"/>
          <w:lang w:val="fr-CA"/>
        </w:rPr>
        <w:footnoteReference w:id="345"/>
      </w:r>
      <w:r w:rsidRPr="00217EFC">
        <w:rPr>
          <w:sz w:val="22"/>
          <w:szCs w:val="22"/>
          <w:lang w:val="fr-CA"/>
        </w:rPr>
        <w:t>.</w:t>
      </w:r>
    </w:p>
    <w:p w14:paraId="39EA354D"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Le 27 mars 1918, </w:t>
      </w:r>
      <w:r>
        <w:rPr>
          <w:sz w:val="22"/>
          <w:szCs w:val="22"/>
          <w:lang w:val="fr-CA"/>
        </w:rPr>
        <w:t>c</w:t>
      </w:r>
      <w:r w:rsidRPr="00217EFC">
        <w:rPr>
          <w:sz w:val="22"/>
          <w:szCs w:val="22"/>
          <w:lang w:val="fr-CA"/>
        </w:rPr>
        <w:t>’est au tour du soldat Groux de donner des</w:t>
      </w:r>
      <w:r w:rsidRPr="00766E1E">
        <w:rPr>
          <w:sz w:val="22"/>
          <w:lang w:val="fr-CA"/>
        </w:rPr>
        <w:t xml:space="preserve"> nouvelles</w:t>
      </w:r>
      <w:r w:rsidRPr="00217EFC">
        <w:rPr>
          <w:sz w:val="22"/>
          <w:szCs w:val="22"/>
          <w:lang w:val="fr-CA"/>
        </w:rPr>
        <w:t xml:space="preserve">. Curieusement, sa lettre est la première qui démontre que </w:t>
      </w:r>
      <w:r>
        <w:rPr>
          <w:sz w:val="22"/>
          <w:szCs w:val="22"/>
          <w:lang w:val="fr-CA"/>
        </w:rPr>
        <w:t>la censure s’exerce sur le courrier du front.</w:t>
      </w:r>
      <w:r w:rsidRPr="00217EFC">
        <w:rPr>
          <w:sz w:val="22"/>
          <w:szCs w:val="22"/>
          <w:lang w:val="fr-CA"/>
        </w:rPr>
        <w:t xml:space="preserve"> Le journal indique</w:t>
      </w:r>
      <w:r w:rsidRPr="00375D8D">
        <w:rPr>
          <w:sz w:val="22"/>
          <w:szCs w:val="22"/>
          <w:lang w:val="fr-CA"/>
        </w:rPr>
        <w:t>, dans la transcription de la lettre,</w:t>
      </w:r>
      <w:r>
        <w:rPr>
          <w:sz w:val="22"/>
          <w:szCs w:val="22"/>
          <w:lang w:val="fr-CA"/>
        </w:rPr>
        <w:t xml:space="preserve"> </w:t>
      </w:r>
      <w:r w:rsidRPr="00217EFC">
        <w:rPr>
          <w:sz w:val="22"/>
          <w:szCs w:val="22"/>
          <w:lang w:val="fr-CA"/>
        </w:rPr>
        <w:t xml:space="preserve">comment les détails relatifs au décès d’un </w:t>
      </w:r>
      <w:r>
        <w:rPr>
          <w:sz w:val="22"/>
          <w:szCs w:val="22"/>
          <w:lang w:val="fr-CA"/>
        </w:rPr>
        <w:t>collègue</w:t>
      </w:r>
      <w:r w:rsidRPr="00217EFC">
        <w:rPr>
          <w:sz w:val="22"/>
          <w:szCs w:val="22"/>
          <w:lang w:val="fr-CA"/>
        </w:rPr>
        <w:t xml:space="preserve"> </w:t>
      </w:r>
      <w:r>
        <w:rPr>
          <w:sz w:val="22"/>
          <w:szCs w:val="22"/>
          <w:lang w:val="fr-CA"/>
        </w:rPr>
        <w:t>s</w:t>
      </w:r>
      <w:r w:rsidRPr="00217EFC">
        <w:rPr>
          <w:sz w:val="22"/>
          <w:szCs w:val="22"/>
          <w:lang w:val="fr-CA"/>
        </w:rPr>
        <w:t xml:space="preserve">ont </w:t>
      </w:r>
      <w:r>
        <w:rPr>
          <w:sz w:val="22"/>
          <w:szCs w:val="22"/>
          <w:lang w:val="fr-CA"/>
        </w:rPr>
        <w:t>supprimés dans la lettre de Groux</w:t>
      </w:r>
      <w:r w:rsidRPr="00217EFC">
        <w:rPr>
          <w:rStyle w:val="FootnoteReference"/>
          <w:sz w:val="22"/>
          <w:szCs w:val="22"/>
          <w:lang w:val="fr-CA"/>
        </w:rPr>
        <w:footnoteReference w:id="346"/>
      </w:r>
      <w:r w:rsidRPr="00217EFC">
        <w:rPr>
          <w:sz w:val="22"/>
          <w:szCs w:val="22"/>
          <w:lang w:val="fr-CA"/>
        </w:rPr>
        <w:t>. Plus tard au printemps</w:t>
      </w:r>
      <w:r w:rsidR="00523E8E">
        <w:rPr>
          <w:sz w:val="22"/>
          <w:szCs w:val="22"/>
          <w:lang w:val="fr-CA"/>
        </w:rPr>
        <w:t> </w:t>
      </w:r>
      <w:r w:rsidRPr="00217EFC">
        <w:rPr>
          <w:sz w:val="22"/>
          <w:szCs w:val="22"/>
          <w:lang w:val="fr-CA"/>
        </w:rPr>
        <w:t xml:space="preserve">1918, c’est Albert </w:t>
      </w:r>
      <w:r>
        <w:rPr>
          <w:sz w:val="22"/>
          <w:szCs w:val="22"/>
          <w:lang w:val="fr-CA"/>
        </w:rPr>
        <w:t>Dubrûle</w:t>
      </w:r>
      <w:r w:rsidRPr="00217EFC">
        <w:rPr>
          <w:sz w:val="22"/>
          <w:szCs w:val="22"/>
          <w:lang w:val="fr-CA"/>
        </w:rPr>
        <w:t xml:space="preserve"> </w:t>
      </w:r>
      <w:r>
        <w:rPr>
          <w:sz w:val="22"/>
          <w:szCs w:val="22"/>
          <w:lang w:val="fr-CA"/>
        </w:rPr>
        <w:t>du 22</w:t>
      </w:r>
      <w:r w:rsidRPr="008B6199">
        <w:rPr>
          <w:sz w:val="22"/>
          <w:szCs w:val="22"/>
          <w:vertAlign w:val="superscript"/>
          <w:lang w:val="fr-CA"/>
        </w:rPr>
        <w:t>e</w:t>
      </w:r>
      <w:r>
        <w:rPr>
          <w:sz w:val="22"/>
          <w:szCs w:val="22"/>
          <w:lang w:val="fr-CA"/>
        </w:rPr>
        <w:t xml:space="preserve"> Bataillon, </w:t>
      </w:r>
      <w:r w:rsidRPr="00217EFC">
        <w:rPr>
          <w:sz w:val="22"/>
          <w:szCs w:val="22"/>
          <w:lang w:val="fr-CA"/>
        </w:rPr>
        <w:t xml:space="preserve">qui rapporte que les responsables du bureau de censure </w:t>
      </w:r>
      <w:r>
        <w:rPr>
          <w:sz w:val="22"/>
          <w:szCs w:val="22"/>
          <w:lang w:val="fr-CA"/>
        </w:rPr>
        <w:t xml:space="preserve">s’opposent à son désir d’envoyer à sa famille </w:t>
      </w:r>
      <w:r w:rsidRPr="00217EFC">
        <w:rPr>
          <w:sz w:val="22"/>
          <w:szCs w:val="22"/>
          <w:lang w:val="fr-CA"/>
        </w:rPr>
        <w:t>d</w:t>
      </w:r>
      <w:r>
        <w:rPr>
          <w:sz w:val="22"/>
          <w:szCs w:val="22"/>
          <w:lang w:val="fr-CA"/>
        </w:rPr>
        <w:t xml:space="preserve">es </w:t>
      </w:r>
      <w:r w:rsidRPr="00217EFC">
        <w:rPr>
          <w:sz w:val="22"/>
          <w:szCs w:val="22"/>
          <w:lang w:val="fr-CA"/>
        </w:rPr>
        <w:t>habits sacerdotaux qu’il a trouvé</w:t>
      </w:r>
      <w:r>
        <w:rPr>
          <w:sz w:val="22"/>
          <w:szCs w:val="22"/>
          <w:lang w:val="fr-CA"/>
        </w:rPr>
        <w:t>s</w:t>
      </w:r>
      <w:r w:rsidRPr="00217EFC">
        <w:rPr>
          <w:sz w:val="22"/>
          <w:szCs w:val="22"/>
          <w:lang w:val="fr-CA"/>
        </w:rPr>
        <w:t xml:space="preserve"> dans les ruines d’une église</w:t>
      </w:r>
      <w:r w:rsidRPr="00217EFC">
        <w:rPr>
          <w:rStyle w:val="FootnoteReference"/>
          <w:sz w:val="22"/>
          <w:szCs w:val="22"/>
          <w:lang w:val="fr-CA"/>
        </w:rPr>
        <w:footnoteReference w:id="347"/>
      </w:r>
      <w:r w:rsidRPr="00217EFC">
        <w:rPr>
          <w:sz w:val="22"/>
          <w:szCs w:val="22"/>
          <w:lang w:val="fr-CA"/>
        </w:rPr>
        <w:t xml:space="preserve">. </w:t>
      </w:r>
      <w:r>
        <w:rPr>
          <w:sz w:val="22"/>
          <w:szCs w:val="22"/>
          <w:lang w:val="fr-CA"/>
        </w:rPr>
        <w:t>Étrangement</w:t>
      </w:r>
      <w:r w:rsidRPr="00217EFC">
        <w:rPr>
          <w:sz w:val="22"/>
          <w:szCs w:val="22"/>
          <w:lang w:val="fr-CA"/>
        </w:rPr>
        <w:t>, le soldat Lambert du 164</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xml:space="preserve"> d’infanterie </w:t>
      </w:r>
      <w:r>
        <w:rPr>
          <w:sz w:val="22"/>
          <w:szCs w:val="22"/>
          <w:lang w:val="fr-CA"/>
        </w:rPr>
        <w:t xml:space="preserve">a </w:t>
      </w:r>
      <w:r w:rsidRPr="00217EFC">
        <w:rPr>
          <w:sz w:val="22"/>
          <w:szCs w:val="22"/>
          <w:lang w:val="fr-CA"/>
        </w:rPr>
        <w:t>réussi à envoyer un obus explosé allemand de sept livres à sa mère qu</w:t>
      </w:r>
      <w:r>
        <w:rPr>
          <w:sz w:val="22"/>
          <w:szCs w:val="22"/>
          <w:lang w:val="fr-CA"/>
        </w:rPr>
        <w:t xml:space="preserve">’elle </w:t>
      </w:r>
      <w:r w:rsidRPr="00217EFC">
        <w:rPr>
          <w:sz w:val="22"/>
          <w:szCs w:val="22"/>
          <w:lang w:val="fr-CA"/>
        </w:rPr>
        <w:t>expose en retour dans la vitrine du magasin Warren</w:t>
      </w:r>
      <w:r>
        <w:rPr>
          <w:sz w:val="22"/>
          <w:szCs w:val="22"/>
          <w:lang w:val="fr-CA"/>
        </w:rPr>
        <w:t>, à Manchester</w:t>
      </w:r>
      <w:r w:rsidRPr="00217EFC">
        <w:rPr>
          <w:rStyle w:val="FootnoteReference"/>
          <w:sz w:val="22"/>
          <w:szCs w:val="22"/>
          <w:lang w:val="fr-CA"/>
        </w:rPr>
        <w:footnoteReference w:id="348"/>
      </w:r>
      <w:r w:rsidRPr="00217EFC">
        <w:rPr>
          <w:sz w:val="22"/>
          <w:szCs w:val="22"/>
          <w:lang w:val="fr-CA"/>
        </w:rPr>
        <w:t>.</w:t>
      </w:r>
    </w:p>
    <w:p w14:paraId="690B972C" w14:textId="77777777" w:rsidR="000264D6" w:rsidRPr="00217EFC" w:rsidRDefault="000264D6" w:rsidP="002B5319">
      <w:pPr>
        <w:spacing w:before="100" w:beforeAutospacing="1" w:after="100" w:afterAutospacing="1"/>
        <w:ind w:firstLine="360"/>
        <w:jc w:val="both"/>
        <w:rPr>
          <w:sz w:val="22"/>
          <w:szCs w:val="22"/>
          <w:lang w:val="fr-CA"/>
        </w:rPr>
      </w:pPr>
      <w:r>
        <w:rPr>
          <w:sz w:val="22"/>
          <w:szCs w:val="22"/>
          <w:lang w:val="fr-CA"/>
        </w:rPr>
        <w:t xml:space="preserve">Le </w:t>
      </w:r>
      <w:r w:rsidRPr="00217EFC">
        <w:rPr>
          <w:sz w:val="22"/>
          <w:szCs w:val="22"/>
          <w:lang w:val="fr-CA"/>
        </w:rPr>
        <w:t>24 août</w:t>
      </w:r>
      <w:r>
        <w:rPr>
          <w:sz w:val="22"/>
          <w:szCs w:val="22"/>
          <w:lang w:val="fr-CA"/>
        </w:rPr>
        <w:t xml:space="preserve"> 1918</w:t>
      </w:r>
      <w:r w:rsidRPr="00217EFC">
        <w:rPr>
          <w:sz w:val="22"/>
          <w:szCs w:val="22"/>
          <w:lang w:val="fr-CA"/>
        </w:rPr>
        <w:t xml:space="preserve">, une page complète </w:t>
      </w:r>
      <w:r>
        <w:rPr>
          <w:sz w:val="22"/>
          <w:szCs w:val="22"/>
          <w:lang w:val="fr-CA"/>
        </w:rPr>
        <w:t xml:space="preserve">de </w:t>
      </w:r>
      <w:r>
        <w:rPr>
          <w:i/>
          <w:iCs/>
          <w:sz w:val="22"/>
          <w:szCs w:val="22"/>
          <w:lang w:val="fr-CA"/>
        </w:rPr>
        <w:t>L</w:t>
      </w:r>
      <w:r w:rsidRPr="008B6199">
        <w:rPr>
          <w:i/>
          <w:iCs/>
          <w:sz w:val="22"/>
          <w:szCs w:val="22"/>
          <w:lang w:val="fr-CA"/>
        </w:rPr>
        <w:t>’Avenir National</w:t>
      </w:r>
      <w:r>
        <w:rPr>
          <w:sz w:val="22"/>
          <w:szCs w:val="22"/>
          <w:lang w:val="fr-CA"/>
        </w:rPr>
        <w:t xml:space="preserve"> </w:t>
      </w:r>
      <w:r w:rsidRPr="00217EFC">
        <w:rPr>
          <w:sz w:val="22"/>
          <w:szCs w:val="22"/>
          <w:lang w:val="fr-CA"/>
        </w:rPr>
        <w:t xml:space="preserve">est consacrée </w:t>
      </w:r>
      <w:r>
        <w:rPr>
          <w:sz w:val="22"/>
          <w:szCs w:val="22"/>
          <w:lang w:val="fr-CA"/>
        </w:rPr>
        <w:t xml:space="preserve">aux </w:t>
      </w:r>
      <w:r w:rsidRPr="00217EFC">
        <w:rPr>
          <w:sz w:val="22"/>
          <w:szCs w:val="22"/>
          <w:lang w:val="fr-CA"/>
        </w:rPr>
        <w:t>correspondances que les militaires du 103</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xml:space="preserve"> entretiennent avec leur famille. </w:t>
      </w:r>
      <w:r>
        <w:rPr>
          <w:sz w:val="22"/>
          <w:szCs w:val="22"/>
          <w:lang w:val="fr-CA"/>
        </w:rPr>
        <w:t>Dans l</w:t>
      </w:r>
      <w:r w:rsidRPr="00217EFC">
        <w:rPr>
          <w:sz w:val="22"/>
          <w:szCs w:val="22"/>
          <w:lang w:val="fr-CA"/>
        </w:rPr>
        <w:t>’une d’elle</w:t>
      </w:r>
      <w:r>
        <w:rPr>
          <w:sz w:val="22"/>
          <w:szCs w:val="22"/>
          <w:lang w:val="fr-CA"/>
        </w:rPr>
        <w:t xml:space="preserve">s, </w:t>
      </w:r>
      <w:r w:rsidRPr="00217EFC">
        <w:rPr>
          <w:sz w:val="22"/>
          <w:szCs w:val="22"/>
          <w:lang w:val="fr-CA"/>
        </w:rPr>
        <w:t>le caporal L’Heureux</w:t>
      </w:r>
      <w:r>
        <w:rPr>
          <w:sz w:val="22"/>
          <w:szCs w:val="22"/>
          <w:lang w:val="fr-CA"/>
        </w:rPr>
        <w:t xml:space="preserve"> </w:t>
      </w:r>
      <w:r w:rsidRPr="00217EFC">
        <w:rPr>
          <w:sz w:val="22"/>
          <w:szCs w:val="22"/>
          <w:lang w:val="fr-CA"/>
        </w:rPr>
        <w:t xml:space="preserve">écrit à la sœur </w:t>
      </w:r>
      <w:r>
        <w:rPr>
          <w:sz w:val="22"/>
          <w:szCs w:val="22"/>
          <w:lang w:val="fr-CA"/>
        </w:rPr>
        <w:t xml:space="preserve">de son grand ami, le </w:t>
      </w:r>
      <w:r w:rsidRPr="00217EFC">
        <w:rPr>
          <w:sz w:val="22"/>
          <w:szCs w:val="22"/>
          <w:lang w:val="fr-CA"/>
        </w:rPr>
        <w:t>caporal Ross</w:t>
      </w:r>
      <w:r>
        <w:rPr>
          <w:sz w:val="22"/>
          <w:szCs w:val="22"/>
          <w:lang w:val="fr-CA"/>
        </w:rPr>
        <w:t>,</w:t>
      </w:r>
      <w:r w:rsidRPr="00217EFC">
        <w:rPr>
          <w:sz w:val="22"/>
          <w:szCs w:val="22"/>
          <w:lang w:val="fr-CA"/>
        </w:rPr>
        <w:t xml:space="preserve"> </w:t>
      </w:r>
      <w:r>
        <w:rPr>
          <w:sz w:val="22"/>
          <w:szCs w:val="22"/>
          <w:lang w:val="fr-CA"/>
        </w:rPr>
        <w:t xml:space="preserve">et lui jure de </w:t>
      </w:r>
      <w:r w:rsidRPr="00217EFC">
        <w:rPr>
          <w:sz w:val="22"/>
          <w:szCs w:val="22"/>
          <w:lang w:val="fr-CA"/>
        </w:rPr>
        <w:t xml:space="preserve">venger </w:t>
      </w:r>
      <w:r>
        <w:rPr>
          <w:sz w:val="22"/>
          <w:szCs w:val="22"/>
          <w:lang w:val="fr-CA"/>
        </w:rPr>
        <w:t>l</w:t>
      </w:r>
      <w:r w:rsidRPr="00217EFC">
        <w:rPr>
          <w:sz w:val="22"/>
          <w:szCs w:val="22"/>
          <w:lang w:val="fr-CA"/>
        </w:rPr>
        <w:t>a mort</w:t>
      </w:r>
      <w:r>
        <w:rPr>
          <w:sz w:val="22"/>
          <w:szCs w:val="22"/>
          <w:lang w:val="fr-CA"/>
        </w:rPr>
        <w:t xml:space="preserve"> de ce dernier</w:t>
      </w:r>
      <w:r w:rsidRPr="00217EFC">
        <w:rPr>
          <w:sz w:val="22"/>
          <w:szCs w:val="22"/>
          <w:lang w:val="fr-CA"/>
        </w:rPr>
        <w:t xml:space="preserve">. Une autre </w:t>
      </w:r>
      <w:r>
        <w:rPr>
          <w:sz w:val="22"/>
          <w:szCs w:val="22"/>
          <w:lang w:val="fr-CA"/>
        </w:rPr>
        <w:t>lettre</w:t>
      </w:r>
      <w:r w:rsidRPr="00217EFC">
        <w:rPr>
          <w:sz w:val="22"/>
          <w:szCs w:val="22"/>
          <w:lang w:val="fr-CA"/>
        </w:rPr>
        <w:t xml:space="preserve"> </w:t>
      </w:r>
      <w:r>
        <w:rPr>
          <w:sz w:val="22"/>
          <w:szCs w:val="22"/>
          <w:lang w:val="fr-CA"/>
        </w:rPr>
        <w:t xml:space="preserve">révèle </w:t>
      </w:r>
      <w:r w:rsidRPr="00217EFC">
        <w:rPr>
          <w:sz w:val="22"/>
          <w:szCs w:val="22"/>
          <w:lang w:val="fr-CA"/>
        </w:rPr>
        <w:t>que les deux frères Boi</w:t>
      </w:r>
      <w:r>
        <w:rPr>
          <w:sz w:val="22"/>
          <w:szCs w:val="22"/>
          <w:lang w:val="fr-CA"/>
        </w:rPr>
        <w:t>s</w:t>
      </w:r>
      <w:r w:rsidRPr="00217EFC">
        <w:rPr>
          <w:sz w:val="22"/>
          <w:szCs w:val="22"/>
          <w:lang w:val="fr-CA"/>
        </w:rPr>
        <w:t>vert qui servent avec le 103</w:t>
      </w:r>
      <w:r w:rsidRPr="00217EFC">
        <w:rPr>
          <w:sz w:val="22"/>
          <w:szCs w:val="22"/>
          <w:vertAlign w:val="superscript"/>
          <w:lang w:val="fr-CA"/>
        </w:rPr>
        <w:t>e</w:t>
      </w:r>
      <w:r w:rsidRPr="00217EFC">
        <w:rPr>
          <w:sz w:val="22"/>
          <w:szCs w:val="22"/>
          <w:lang w:val="fr-CA"/>
        </w:rPr>
        <w:t xml:space="preserve"> </w:t>
      </w:r>
      <w:r>
        <w:rPr>
          <w:sz w:val="22"/>
          <w:szCs w:val="22"/>
          <w:lang w:val="fr-CA"/>
        </w:rPr>
        <w:t>Régiment</w:t>
      </w:r>
      <w:r w:rsidRPr="00217EFC">
        <w:rPr>
          <w:sz w:val="22"/>
          <w:szCs w:val="22"/>
          <w:lang w:val="fr-CA"/>
        </w:rPr>
        <w:t xml:space="preserve"> sont hospitalisés</w:t>
      </w:r>
      <w:r>
        <w:rPr>
          <w:sz w:val="22"/>
          <w:szCs w:val="22"/>
          <w:lang w:val="fr-CA"/>
        </w:rPr>
        <w:t>,</w:t>
      </w:r>
      <w:r w:rsidRPr="00217EFC">
        <w:rPr>
          <w:sz w:val="22"/>
          <w:szCs w:val="22"/>
          <w:lang w:val="fr-CA"/>
        </w:rPr>
        <w:t xml:space="preserve"> victime</w:t>
      </w:r>
      <w:r>
        <w:rPr>
          <w:sz w:val="22"/>
          <w:szCs w:val="22"/>
          <w:lang w:val="fr-CA"/>
        </w:rPr>
        <w:t>s</w:t>
      </w:r>
      <w:r w:rsidRPr="00217EFC">
        <w:rPr>
          <w:sz w:val="22"/>
          <w:szCs w:val="22"/>
          <w:lang w:val="fr-CA"/>
        </w:rPr>
        <w:t xml:space="preserve"> d’attaques aux gaz</w:t>
      </w:r>
      <w:r w:rsidRPr="00217EFC">
        <w:rPr>
          <w:rStyle w:val="FootnoteReference"/>
          <w:sz w:val="22"/>
          <w:szCs w:val="22"/>
          <w:lang w:val="fr-CA"/>
        </w:rPr>
        <w:footnoteReference w:id="349"/>
      </w:r>
      <w:r w:rsidRPr="00217EFC">
        <w:rPr>
          <w:sz w:val="22"/>
          <w:szCs w:val="22"/>
          <w:lang w:val="fr-CA"/>
        </w:rPr>
        <w:t xml:space="preserve">. </w:t>
      </w:r>
      <w:r>
        <w:rPr>
          <w:sz w:val="22"/>
          <w:szCs w:val="22"/>
          <w:lang w:val="fr-CA"/>
        </w:rPr>
        <w:t xml:space="preserve">Le journal décrit </w:t>
      </w:r>
      <w:r w:rsidRPr="00217EFC">
        <w:rPr>
          <w:sz w:val="22"/>
          <w:szCs w:val="22"/>
          <w:lang w:val="fr-CA"/>
        </w:rPr>
        <w:t xml:space="preserve">l’état grave du soldat Gagné </w:t>
      </w:r>
      <w:r>
        <w:rPr>
          <w:sz w:val="22"/>
          <w:szCs w:val="22"/>
          <w:lang w:val="fr-CA"/>
        </w:rPr>
        <w:t xml:space="preserve">dans l’édition du </w:t>
      </w:r>
      <w:r w:rsidRPr="00217EFC">
        <w:rPr>
          <w:sz w:val="22"/>
          <w:szCs w:val="22"/>
          <w:lang w:val="fr-CA"/>
        </w:rPr>
        <w:t>26 août 1918</w:t>
      </w:r>
      <w:r w:rsidRPr="00217EFC">
        <w:rPr>
          <w:rStyle w:val="FootnoteReference"/>
          <w:sz w:val="22"/>
          <w:szCs w:val="22"/>
          <w:lang w:val="fr-CA"/>
        </w:rPr>
        <w:footnoteReference w:id="350"/>
      </w:r>
      <w:r w:rsidRPr="00217EFC">
        <w:rPr>
          <w:sz w:val="22"/>
          <w:szCs w:val="22"/>
          <w:lang w:val="fr-CA"/>
        </w:rPr>
        <w:t xml:space="preserve">. </w:t>
      </w:r>
      <w:r>
        <w:rPr>
          <w:sz w:val="22"/>
          <w:szCs w:val="22"/>
          <w:lang w:val="fr-CA"/>
        </w:rPr>
        <w:t>Toute information quant aux individus qui servent avec le 103</w:t>
      </w:r>
      <w:r w:rsidRPr="00993851">
        <w:rPr>
          <w:sz w:val="22"/>
          <w:szCs w:val="22"/>
          <w:vertAlign w:val="superscript"/>
          <w:lang w:val="fr-CA"/>
        </w:rPr>
        <w:t>e</w:t>
      </w:r>
      <w:r>
        <w:rPr>
          <w:sz w:val="22"/>
          <w:szCs w:val="22"/>
          <w:lang w:val="fr-CA"/>
        </w:rPr>
        <w:t xml:space="preserve"> Régiment est mentionnée dans </w:t>
      </w:r>
      <w:r>
        <w:rPr>
          <w:i/>
          <w:iCs/>
          <w:sz w:val="22"/>
          <w:szCs w:val="22"/>
          <w:lang w:val="fr-CA"/>
        </w:rPr>
        <w:t>L’Avenir National</w:t>
      </w:r>
      <w:r>
        <w:rPr>
          <w:sz w:val="22"/>
          <w:szCs w:val="22"/>
          <w:lang w:val="fr-CA"/>
        </w:rPr>
        <w:t>, et n</w:t>
      </w:r>
      <w:r w:rsidRPr="00993851">
        <w:rPr>
          <w:sz w:val="22"/>
          <w:szCs w:val="22"/>
          <w:lang w:val="fr-CA"/>
        </w:rPr>
        <w:t>otamment</w:t>
      </w:r>
      <w:r>
        <w:rPr>
          <w:sz w:val="22"/>
          <w:szCs w:val="22"/>
          <w:lang w:val="fr-CA"/>
        </w:rPr>
        <w:t>,</w:t>
      </w:r>
      <w:r>
        <w:rPr>
          <w:i/>
          <w:iCs/>
          <w:sz w:val="22"/>
          <w:szCs w:val="22"/>
          <w:lang w:val="fr-CA"/>
        </w:rPr>
        <w:t xml:space="preserve"> </w:t>
      </w:r>
      <w:r>
        <w:rPr>
          <w:sz w:val="22"/>
          <w:szCs w:val="22"/>
          <w:lang w:val="fr-CA"/>
        </w:rPr>
        <w:t>lorsque</w:t>
      </w:r>
      <w:r w:rsidRPr="00217EFC">
        <w:rPr>
          <w:sz w:val="22"/>
          <w:szCs w:val="22"/>
          <w:lang w:val="fr-CA"/>
        </w:rPr>
        <w:t xml:space="preserve"> le lieutenant Burpée </w:t>
      </w:r>
      <w:r>
        <w:rPr>
          <w:sz w:val="22"/>
          <w:szCs w:val="22"/>
          <w:lang w:val="fr-CA"/>
        </w:rPr>
        <w:t xml:space="preserve">a </w:t>
      </w:r>
      <w:r w:rsidRPr="00217EFC">
        <w:rPr>
          <w:sz w:val="22"/>
          <w:szCs w:val="22"/>
          <w:lang w:val="fr-CA"/>
        </w:rPr>
        <w:t xml:space="preserve">l’infortune d’être fait prisonnier par les Allemands, le 26 mars 1918. Ses parents </w:t>
      </w:r>
      <w:r>
        <w:rPr>
          <w:sz w:val="22"/>
          <w:szCs w:val="22"/>
          <w:lang w:val="fr-CA"/>
        </w:rPr>
        <w:t xml:space="preserve">informent le journal de la nouvelle de ses graves blessures et de son évacuation prochaine vers les </w:t>
      </w:r>
      <w:r w:rsidRPr="00217EFC">
        <w:rPr>
          <w:sz w:val="22"/>
          <w:szCs w:val="22"/>
          <w:lang w:val="fr-CA"/>
        </w:rPr>
        <w:t>États-Unis</w:t>
      </w:r>
      <w:r w:rsidRPr="00217EFC">
        <w:rPr>
          <w:rStyle w:val="FootnoteReference"/>
          <w:sz w:val="22"/>
          <w:szCs w:val="22"/>
          <w:lang w:val="fr-CA"/>
        </w:rPr>
        <w:footnoteReference w:id="351"/>
      </w:r>
      <w:r w:rsidRPr="00217EFC">
        <w:rPr>
          <w:sz w:val="22"/>
          <w:szCs w:val="22"/>
          <w:lang w:val="fr-CA"/>
        </w:rPr>
        <w:t>.</w:t>
      </w:r>
    </w:p>
    <w:p w14:paraId="7CB368C5" w14:textId="77777777" w:rsidR="000264D6" w:rsidRDefault="002B5319" w:rsidP="003856D3">
      <w:pPr>
        <w:spacing w:before="100" w:beforeAutospacing="1" w:after="100" w:afterAutospacing="1" w:line="480" w:lineRule="auto"/>
        <w:jc w:val="both"/>
        <w:rPr>
          <w:b/>
          <w:bCs/>
          <w:sz w:val="22"/>
          <w:szCs w:val="22"/>
          <w:lang w:val="fr-CA"/>
        </w:rPr>
      </w:pPr>
      <w:r>
        <w:rPr>
          <w:b/>
          <w:bCs/>
          <w:sz w:val="22"/>
          <w:szCs w:val="22"/>
          <w:lang w:val="fr-CA"/>
        </w:rPr>
        <w:br w:type="page"/>
      </w:r>
      <w:r w:rsidR="000264D6" w:rsidRPr="00C62E2B">
        <w:rPr>
          <w:b/>
          <w:bCs/>
          <w:sz w:val="22"/>
          <w:szCs w:val="22"/>
          <w:lang w:val="fr-CA"/>
        </w:rPr>
        <w:lastRenderedPageBreak/>
        <w:t>Organisations et comités d’appui à la guerre</w:t>
      </w:r>
    </w:p>
    <w:p w14:paraId="09C73C17" w14:textId="77777777" w:rsidR="000264D6" w:rsidRDefault="000264D6" w:rsidP="002B5319">
      <w:pPr>
        <w:spacing w:before="100" w:beforeAutospacing="1" w:after="100" w:afterAutospacing="1"/>
        <w:ind w:firstLine="360"/>
        <w:jc w:val="both"/>
        <w:rPr>
          <w:sz w:val="22"/>
          <w:szCs w:val="22"/>
          <w:lang w:val="fr-CA"/>
        </w:rPr>
      </w:pPr>
      <w:r w:rsidRPr="00500AD8">
        <w:rPr>
          <w:sz w:val="22"/>
          <w:szCs w:val="22"/>
          <w:lang w:val="fr-CA"/>
        </w:rPr>
        <w:t xml:space="preserve">En août 1918, le journal publie encore des informations sur les enrôlements de volontaires et de conscrits. </w:t>
      </w:r>
      <w:r w:rsidRPr="00217EFC">
        <w:rPr>
          <w:sz w:val="22"/>
          <w:szCs w:val="22"/>
          <w:lang w:val="fr-CA"/>
        </w:rPr>
        <w:t xml:space="preserve">Un des objectifs de </w:t>
      </w:r>
      <w:r w:rsidRPr="00217EFC">
        <w:rPr>
          <w:i/>
          <w:iCs/>
          <w:sz w:val="22"/>
          <w:szCs w:val="22"/>
          <w:lang w:val="fr-CA"/>
        </w:rPr>
        <w:t xml:space="preserve">L’Avenir National </w:t>
      </w:r>
      <w:r w:rsidRPr="00217EFC">
        <w:rPr>
          <w:sz w:val="22"/>
          <w:szCs w:val="22"/>
          <w:lang w:val="fr-CA"/>
        </w:rPr>
        <w:t xml:space="preserve">est d’informer la population de la </w:t>
      </w:r>
      <w:r>
        <w:rPr>
          <w:sz w:val="22"/>
          <w:szCs w:val="22"/>
          <w:lang w:val="fr-CA"/>
        </w:rPr>
        <w:t xml:space="preserve">ville sur </w:t>
      </w:r>
      <w:r w:rsidRPr="00217EFC">
        <w:rPr>
          <w:sz w:val="22"/>
          <w:szCs w:val="22"/>
          <w:lang w:val="fr-CA"/>
        </w:rPr>
        <w:t xml:space="preserve">les activités </w:t>
      </w:r>
      <w:r>
        <w:rPr>
          <w:sz w:val="22"/>
          <w:szCs w:val="22"/>
          <w:lang w:val="fr-CA"/>
        </w:rPr>
        <w:t>de soutien d</w:t>
      </w:r>
      <w:r w:rsidRPr="00217EFC">
        <w:rPr>
          <w:sz w:val="22"/>
          <w:szCs w:val="22"/>
          <w:lang w:val="fr-CA"/>
        </w:rPr>
        <w:t xml:space="preserve">es soldats au front </w:t>
      </w:r>
      <w:r>
        <w:rPr>
          <w:sz w:val="22"/>
          <w:szCs w:val="22"/>
          <w:lang w:val="fr-CA"/>
        </w:rPr>
        <w:t xml:space="preserve">ou de </w:t>
      </w:r>
      <w:r w:rsidRPr="00217EFC">
        <w:rPr>
          <w:sz w:val="22"/>
          <w:szCs w:val="22"/>
          <w:lang w:val="fr-CA"/>
        </w:rPr>
        <w:t>contribu</w:t>
      </w:r>
      <w:r>
        <w:rPr>
          <w:sz w:val="22"/>
          <w:szCs w:val="22"/>
          <w:lang w:val="fr-CA"/>
        </w:rPr>
        <w:t xml:space="preserve">tion à </w:t>
      </w:r>
      <w:r w:rsidRPr="00217EFC">
        <w:rPr>
          <w:sz w:val="22"/>
          <w:szCs w:val="22"/>
          <w:lang w:val="fr-CA"/>
        </w:rPr>
        <w:t xml:space="preserve">l’effort de guerre. À cet égard, le journal annonce que l’Association </w:t>
      </w:r>
      <w:r w:rsidR="00D34D2E">
        <w:rPr>
          <w:sz w:val="22"/>
          <w:szCs w:val="22"/>
          <w:lang w:val="fr-CA"/>
        </w:rPr>
        <w:t>c</w:t>
      </w:r>
      <w:r w:rsidRPr="00217EFC">
        <w:rPr>
          <w:sz w:val="22"/>
          <w:szCs w:val="22"/>
          <w:lang w:val="fr-CA"/>
        </w:rPr>
        <w:t>anado-</w:t>
      </w:r>
      <w:r w:rsidR="00D34D2E">
        <w:rPr>
          <w:sz w:val="22"/>
          <w:szCs w:val="22"/>
          <w:lang w:val="fr-CA"/>
        </w:rPr>
        <w:t>a</w:t>
      </w:r>
      <w:r w:rsidRPr="00217EFC">
        <w:rPr>
          <w:sz w:val="22"/>
          <w:szCs w:val="22"/>
          <w:lang w:val="fr-CA"/>
        </w:rPr>
        <w:t xml:space="preserve">méricaine </w:t>
      </w:r>
      <w:r>
        <w:rPr>
          <w:sz w:val="22"/>
          <w:szCs w:val="22"/>
          <w:lang w:val="fr-CA"/>
        </w:rPr>
        <w:t xml:space="preserve">invite la population à assister, </w:t>
      </w:r>
      <w:r w:rsidRPr="00217EFC">
        <w:rPr>
          <w:sz w:val="22"/>
          <w:szCs w:val="22"/>
          <w:lang w:val="fr-CA"/>
        </w:rPr>
        <w:t xml:space="preserve">le 27 avril 1917, </w:t>
      </w:r>
      <w:r>
        <w:rPr>
          <w:sz w:val="22"/>
          <w:szCs w:val="22"/>
          <w:lang w:val="fr-CA"/>
        </w:rPr>
        <w:t xml:space="preserve">à </w:t>
      </w:r>
      <w:r w:rsidRPr="00217EFC">
        <w:rPr>
          <w:sz w:val="22"/>
          <w:szCs w:val="22"/>
          <w:lang w:val="fr-CA"/>
        </w:rPr>
        <w:t>une présentation</w:t>
      </w:r>
      <w:r>
        <w:rPr>
          <w:sz w:val="22"/>
          <w:szCs w:val="22"/>
          <w:lang w:val="fr-CA"/>
        </w:rPr>
        <w:t xml:space="preserve"> </w:t>
      </w:r>
      <w:r w:rsidRPr="00217EFC">
        <w:rPr>
          <w:sz w:val="22"/>
          <w:szCs w:val="22"/>
          <w:lang w:val="fr-CA"/>
        </w:rPr>
        <w:t>sur les efforts de la Croix-Rouge et de la reconstruction des églises</w:t>
      </w:r>
      <w:r>
        <w:rPr>
          <w:sz w:val="22"/>
          <w:szCs w:val="22"/>
          <w:lang w:val="fr-CA"/>
        </w:rPr>
        <w:t xml:space="preserve"> en France</w:t>
      </w:r>
      <w:r w:rsidRPr="00217EFC">
        <w:rPr>
          <w:sz w:val="22"/>
          <w:szCs w:val="22"/>
          <w:lang w:val="fr-CA"/>
        </w:rPr>
        <w:t xml:space="preserve">. </w:t>
      </w:r>
      <w:r>
        <w:rPr>
          <w:sz w:val="22"/>
          <w:szCs w:val="22"/>
          <w:lang w:val="fr-CA"/>
        </w:rPr>
        <w:t xml:space="preserve">Lors de cette soirée d’information, </w:t>
      </w:r>
      <w:r w:rsidRPr="00217EFC">
        <w:rPr>
          <w:sz w:val="22"/>
          <w:szCs w:val="22"/>
          <w:lang w:val="fr-CA"/>
        </w:rPr>
        <w:t>l’aumônier militaire français</w:t>
      </w:r>
      <w:r>
        <w:rPr>
          <w:sz w:val="22"/>
          <w:szCs w:val="22"/>
          <w:lang w:val="fr-CA"/>
        </w:rPr>
        <w:t>,</w:t>
      </w:r>
      <w:r w:rsidRPr="00217EFC">
        <w:rPr>
          <w:sz w:val="22"/>
          <w:szCs w:val="22"/>
          <w:lang w:val="fr-CA"/>
        </w:rPr>
        <w:t xml:space="preserve"> Tellier de Poncheville</w:t>
      </w:r>
      <w:r>
        <w:rPr>
          <w:sz w:val="22"/>
          <w:szCs w:val="22"/>
          <w:lang w:val="fr-CA"/>
        </w:rPr>
        <w:t>,</w:t>
      </w:r>
      <w:r>
        <w:rPr>
          <w:sz w:val="22"/>
          <w:lang w:val="fr-CA"/>
        </w:rPr>
        <w:t xml:space="preserve"> </w:t>
      </w:r>
      <w:r>
        <w:rPr>
          <w:sz w:val="22"/>
          <w:szCs w:val="22"/>
          <w:lang w:val="fr-CA"/>
        </w:rPr>
        <w:t xml:space="preserve">viendra commenter </w:t>
      </w:r>
      <w:r w:rsidRPr="00217EFC">
        <w:rPr>
          <w:sz w:val="22"/>
          <w:szCs w:val="22"/>
          <w:lang w:val="fr-CA"/>
        </w:rPr>
        <w:t xml:space="preserve">la vie dans les tranchées à Verdun. </w:t>
      </w:r>
      <w:r w:rsidRPr="00457385">
        <w:rPr>
          <w:sz w:val="22"/>
          <w:lang w:val="fr-CA"/>
        </w:rPr>
        <w:t xml:space="preserve">De plus, le journal </w:t>
      </w:r>
      <w:r>
        <w:rPr>
          <w:sz w:val="22"/>
          <w:szCs w:val="22"/>
          <w:lang w:val="fr-CA"/>
        </w:rPr>
        <w:t>rappelle</w:t>
      </w:r>
      <w:r w:rsidRPr="00457385">
        <w:rPr>
          <w:sz w:val="22"/>
          <w:lang w:val="fr-CA"/>
        </w:rPr>
        <w:t xml:space="preserve"> aux gens qu’ils ne peuvent pas aider directement </w:t>
      </w:r>
      <w:r>
        <w:rPr>
          <w:sz w:val="22"/>
          <w:szCs w:val="22"/>
          <w:lang w:val="fr-CA"/>
        </w:rPr>
        <w:t>la</w:t>
      </w:r>
      <w:r w:rsidRPr="00457385">
        <w:rPr>
          <w:sz w:val="22"/>
          <w:lang w:val="fr-CA"/>
        </w:rPr>
        <w:t xml:space="preserve"> France, mais qu’ils peuvent toujours contribuer en participant à cette soirée d’information</w:t>
      </w:r>
      <w:r w:rsidRPr="00457385">
        <w:rPr>
          <w:rStyle w:val="FootnoteReference"/>
          <w:sz w:val="22"/>
          <w:lang w:val="fr-CA"/>
        </w:rPr>
        <w:footnoteReference w:id="352"/>
      </w:r>
      <w:r w:rsidRPr="00457385">
        <w:rPr>
          <w:sz w:val="22"/>
          <w:lang w:val="fr-CA"/>
        </w:rPr>
        <w:t>.</w:t>
      </w:r>
      <w:r w:rsidRPr="00217EFC">
        <w:rPr>
          <w:sz w:val="22"/>
          <w:szCs w:val="22"/>
          <w:lang w:val="fr-CA"/>
        </w:rPr>
        <w:t xml:space="preserve"> </w:t>
      </w:r>
    </w:p>
    <w:p w14:paraId="3B58EED6"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Presque un an plus tard, c’est l’abbé Cabanel, </w:t>
      </w:r>
      <w:r>
        <w:rPr>
          <w:sz w:val="22"/>
          <w:szCs w:val="22"/>
          <w:lang w:val="fr-CA"/>
        </w:rPr>
        <w:t>a</w:t>
      </w:r>
      <w:r w:rsidRPr="00217EFC">
        <w:rPr>
          <w:sz w:val="22"/>
          <w:szCs w:val="22"/>
          <w:lang w:val="fr-CA"/>
        </w:rPr>
        <w:t>umônier-</w:t>
      </w:r>
      <w:r>
        <w:rPr>
          <w:sz w:val="22"/>
          <w:szCs w:val="22"/>
          <w:lang w:val="fr-CA"/>
        </w:rPr>
        <w:t>c</w:t>
      </w:r>
      <w:r w:rsidRPr="00217EFC">
        <w:rPr>
          <w:sz w:val="22"/>
          <w:szCs w:val="22"/>
          <w:lang w:val="fr-CA"/>
        </w:rPr>
        <w:t>hef de la 66</w:t>
      </w:r>
      <w:r w:rsidRPr="00217EFC">
        <w:rPr>
          <w:sz w:val="22"/>
          <w:szCs w:val="22"/>
          <w:vertAlign w:val="superscript"/>
          <w:lang w:val="fr-CA"/>
        </w:rPr>
        <w:t>e</w:t>
      </w:r>
      <w:r w:rsidRPr="00217EFC">
        <w:rPr>
          <w:sz w:val="22"/>
          <w:szCs w:val="22"/>
          <w:lang w:val="fr-CA"/>
        </w:rPr>
        <w:t xml:space="preserve"> </w:t>
      </w:r>
      <w:r>
        <w:rPr>
          <w:sz w:val="22"/>
          <w:szCs w:val="22"/>
          <w:lang w:val="fr-CA"/>
        </w:rPr>
        <w:t>D</w:t>
      </w:r>
      <w:r w:rsidRPr="00217EFC">
        <w:rPr>
          <w:sz w:val="22"/>
          <w:szCs w:val="22"/>
          <w:lang w:val="fr-CA"/>
        </w:rPr>
        <w:t xml:space="preserve">ivision de la </w:t>
      </w:r>
      <w:r>
        <w:rPr>
          <w:sz w:val="22"/>
          <w:szCs w:val="22"/>
          <w:lang w:val="fr-CA"/>
        </w:rPr>
        <w:t>S</w:t>
      </w:r>
      <w:r w:rsidRPr="00217EFC">
        <w:rPr>
          <w:sz w:val="22"/>
          <w:szCs w:val="22"/>
          <w:lang w:val="fr-CA"/>
        </w:rPr>
        <w:t xml:space="preserve">eptième </w:t>
      </w:r>
      <w:r>
        <w:rPr>
          <w:sz w:val="22"/>
          <w:szCs w:val="22"/>
          <w:lang w:val="fr-CA"/>
        </w:rPr>
        <w:t>A</w:t>
      </w:r>
      <w:r w:rsidRPr="00217EFC">
        <w:rPr>
          <w:sz w:val="22"/>
          <w:szCs w:val="22"/>
          <w:lang w:val="fr-CA"/>
        </w:rPr>
        <w:t xml:space="preserve">rmée française </w:t>
      </w:r>
      <w:r w:rsidRPr="003C0578">
        <w:rPr>
          <w:sz w:val="22"/>
          <w:lang w:val="fr-CA"/>
        </w:rPr>
        <w:t xml:space="preserve">qui </w:t>
      </w:r>
      <w:r>
        <w:rPr>
          <w:sz w:val="22"/>
          <w:szCs w:val="22"/>
          <w:lang w:val="fr-CA"/>
        </w:rPr>
        <w:t xml:space="preserve">vient </w:t>
      </w:r>
      <w:r w:rsidRPr="00217EFC">
        <w:rPr>
          <w:sz w:val="22"/>
          <w:szCs w:val="22"/>
          <w:lang w:val="fr-CA"/>
        </w:rPr>
        <w:t>s’adresse</w:t>
      </w:r>
      <w:r>
        <w:rPr>
          <w:sz w:val="22"/>
          <w:szCs w:val="22"/>
          <w:lang w:val="fr-CA"/>
        </w:rPr>
        <w:t>r</w:t>
      </w:r>
      <w:r w:rsidRPr="00217EFC">
        <w:rPr>
          <w:sz w:val="22"/>
          <w:szCs w:val="22"/>
          <w:lang w:val="fr-CA"/>
        </w:rPr>
        <w:t xml:space="preserve"> à la population de Manchester. Il est </w:t>
      </w:r>
      <w:r>
        <w:rPr>
          <w:sz w:val="22"/>
          <w:szCs w:val="22"/>
          <w:lang w:val="fr-CA"/>
        </w:rPr>
        <w:t xml:space="preserve">un </w:t>
      </w:r>
      <w:r w:rsidRPr="00217EFC">
        <w:rPr>
          <w:sz w:val="22"/>
          <w:szCs w:val="22"/>
          <w:lang w:val="fr-CA"/>
        </w:rPr>
        <w:t xml:space="preserve">témoin </w:t>
      </w:r>
      <w:r>
        <w:rPr>
          <w:sz w:val="22"/>
          <w:szCs w:val="22"/>
          <w:lang w:val="fr-CA"/>
        </w:rPr>
        <w:t xml:space="preserve">privilégié </w:t>
      </w:r>
      <w:r w:rsidRPr="00217EFC">
        <w:rPr>
          <w:sz w:val="22"/>
          <w:szCs w:val="22"/>
          <w:lang w:val="fr-CA"/>
        </w:rPr>
        <w:t xml:space="preserve">de la guerre </w:t>
      </w:r>
      <w:r>
        <w:rPr>
          <w:sz w:val="22"/>
          <w:szCs w:val="22"/>
          <w:lang w:val="fr-CA"/>
        </w:rPr>
        <w:t>en Europe et i</w:t>
      </w:r>
      <w:r w:rsidRPr="00217EFC">
        <w:rPr>
          <w:sz w:val="22"/>
          <w:szCs w:val="22"/>
          <w:lang w:val="fr-CA"/>
        </w:rPr>
        <w:t xml:space="preserve">l </w:t>
      </w:r>
      <w:r>
        <w:rPr>
          <w:sz w:val="22"/>
          <w:szCs w:val="22"/>
          <w:lang w:val="fr-CA"/>
        </w:rPr>
        <w:t xml:space="preserve">affirme que </w:t>
      </w:r>
      <w:r w:rsidRPr="00217EFC">
        <w:rPr>
          <w:sz w:val="22"/>
          <w:szCs w:val="22"/>
          <w:lang w:val="fr-CA"/>
        </w:rPr>
        <w:t>le général Foch</w:t>
      </w:r>
      <w:r w:rsidRPr="003C0578">
        <w:rPr>
          <w:sz w:val="22"/>
          <w:lang w:val="fr-CA"/>
        </w:rPr>
        <w:t xml:space="preserve"> se bat au front</w:t>
      </w:r>
      <w:r>
        <w:rPr>
          <w:sz w:val="22"/>
          <w:szCs w:val="22"/>
          <w:lang w:val="fr-CA"/>
        </w:rPr>
        <w:t xml:space="preserve"> comme </w:t>
      </w:r>
      <w:r w:rsidRPr="00217EFC">
        <w:rPr>
          <w:sz w:val="22"/>
          <w:szCs w:val="22"/>
          <w:lang w:val="fr-CA"/>
        </w:rPr>
        <w:t xml:space="preserve">un grand chrétien et </w:t>
      </w:r>
      <w:r w:rsidR="00733086">
        <w:rPr>
          <w:sz w:val="22"/>
          <w:szCs w:val="22"/>
          <w:lang w:val="fr-CA"/>
        </w:rPr>
        <w:t xml:space="preserve">il </w:t>
      </w:r>
      <w:r>
        <w:rPr>
          <w:sz w:val="22"/>
          <w:szCs w:val="22"/>
          <w:lang w:val="fr-CA"/>
        </w:rPr>
        <w:t xml:space="preserve">demande à </w:t>
      </w:r>
      <w:r w:rsidRPr="00217EFC">
        <w:rPr>
          <w:sz w:val="22"/>
          <w:szCs w:val="22"/>
          <w:lang w:val="fr-CA"/>
        </w:rPr>
        <w:t xml:space="preserve">l’audience </w:t>
      </w:r>
      <w:r>
        <w:rPr>
          <w:sz w:val="22"/>
          <w:szCs w:val="22"/>
          <w:lang w:val="fr-CA"/>
        </w:rPr>
        <w:t xml:space="preserve">de </w:t>
      </w:r>
      <w:r w:rsidRPr="00217EFC">
        <w:rPr>
          <w:sz w:val="22"/>
          <w:szCs w:val="22"/>
          <w:lang w:val="fr-CA"/>
        </w:rPr>
        <w:t>prier «</w:t>
      </w:r>
      <w:r w:rsidR="00523E8E">
        <w:rPr>
          <w:sz w:val="22"/>
          <w:szCs w:val="22"/>
          <w:lang w:val="fr-CA"/>
        </w:rPr>
        <w:t> </w:t>
      </w:r>
      <w:r w:rsidRPr="00217EFC">
        <w:rPr>
          <w:sz w:val="22"/>
          <w:szCs w:val="22"/>
          <w:lang w:val="fr-CA"/>
        </w:rPr>
        <w:t>avec ferveur pour que cesse le plus tôt possible l’effroyable fléau</w:t>
      </w:r>
      <w:r w:rsidR="00523E8E">
        <w:rPr>
          <w:sz w:val="22"/>
          <w:szCs w:val="22"/>
          <w:lang w:val="fr-CA"/>
        </w:rPr>
        <w:t> </w:t>
      </w:r>
      <w:r w:rsidRPr="00217EFC">
        <w:rPr>
          <w:sz w:val="22"/>
          <w:szCs w:val="22"/>
          <w:lang w:val="fr-CA"/>
        </w:rPr>
        <w:t>»</w:t>
      </w:r>
      <w:r w:rsidRPr="00217EFC">
        <w:rPr>
          <w:rStyle w:val="FootnoteReference"/>
          <w:sz w:val="22"/>
          <w:szCs w:val="22"/>
          <w:lang w:val="fr-CA"/>
        </w:rPr>
        <w:footnoteReference w:id="353"/>
      </w:r>
      <w:r w:rsidRPr="00217EFC">
        <w:rPr>
          <w:sz w:val="22"/>
          <w:szCs w:val="22"/>
          <w:lang w:val="fr-CA"/>
        </w:rPr>
        <w:t>.</w:t>
      </w:r>
    </w:p>
    <w:p w14:paraId="5DCF4F39" w14:textId="77777777" w:rsidR="000264D6" w:rsidRPr="00217EFC" w:rsidRDefault="000264D6" w:rsidP="002B5319">
      <w:pPr>
        <w:spacing w:before="100" w:beforeAutospacing="1" w:after="100" w:afterAutospacing="1"/>
        <w:ind w:firstLine="360"/>
        <w:jc w:val="both"/>
        <w:rPr>
          <w:sz w:val="22"/>
          <w:szCs w:val="22"/>
          <w:lang w:val="fr-CA"/>
        </w:rPr>
      </w:pPr>
      <w:bookmarkStart w:id="13" w:name="_Hlk23427914"/>
      <w:r w:rsidRPr="00217EFC">
        <w:rPr>
          <w:sz w:val="22"/>
          <w:szCs w:val="22"/>
          <w:lang w:val="fr-CA"/>
        </w:rPr>
        <w:t xml:space="preserve">Quant aux œuvres d’aide humanitaire, la Croix-Rouge </w:t>
      </w:r>
      <w:r>
        <w:rPr>
          <w:sz w:val="22"/>
          <w:szCs w:val="22"/>
          <w:lang w:val="fr-CA"/>
        </w:rPr>
        <w:t xml:space="preserve">lance </w:t>
      </w:r>
      <w:r w:rsidRPr="00217EFC">
        <w:rPr>
          <w:sz w:val="22"/>
          <w:szCs w:val="22"/>
          <w:lang w:val="fr-CA"/>
        </w:rPr>
        <w:t xml:space="preserve">dès </w:t>
      </w:r>
      <w:r>
        <w:rPr>
          <w:sz w:val="22"/>
          <w:szCs w:val="22"/>
          <w:lang w:val="fr-CA"/>
        </w:rPr>
        <w:t xml:space="preserve">le début de la guerre </w:t>
      </w:r>
      <w:r w:rsidRPr="00217EFC">
        <w:rPr>
          <w:sz w:val="22"/>
          <w:szCs w:val="22"/>
          <w:lang w:val="fr-CA"/>
        </w:rPr>
        <w:t xml:space="preserve">une </w:t>
      </w:r>
      <w:r w:rsidR="00523E8E">
        <w:rPr>
          <w:sz w:val="22"/>
          <w:szCs w:val="22"/>
          <w:lang w:val="fr-CA"/>
        </w:rPr>
        <w:t>collect</w:t>
      </w:r>
      <w:r w:rsidRPr="00217EFC">
        <w:rPr>
          <w:sz w:val="22"/>
          <w:szCs w:val="22"/>
          <w:lang w:val="fr-CA"/>
        </w:rPr>
        <w:t>e de fonds pour équiper un hôpital militaire</w:t>
      </w:r>
      <w:r>
        <w:rPr>
          <w:sz w:val="22"/>
          <w:szCs w:val="22"/>
          <w:lang w:val="fr-CA"/>
        </w:rPr>
        <w:t xml:space="preserve"> en Europe</w:t>
      </w:r>
      <w:r w:rsidRPr="00217EFC">
        <w:rPr>
          <w:rStyle w:val="FootnoteReference"/>
          <w:sz w:val="22"/>
          <w:szCs w:val="22"/>
          <w:lang w:val="fr-CA"/>
        </w:rPr>
        <w:footnoteReference w:id="354"/>
      </w:r>
      <w:r w:rsidRPr="00217EFC">
        <w:rPr>
          <w:sz w:val="22"/>
          <w:szCs w:val="22"/>
          <w:lang w:val="fr-CA"/>
        </w:rPr>
        <w:t xml:space="preserve"> et la Ligue d’Organisation Navale coordonne le travail de volontaires pour tricoter des chandails et </w:t>
      </w:r>
      <w:r>
        <w:rPr>
          <w:sz w:val="22"/>
          <w:szCs w:val="22"/>
          <w:lang w:val="fr-CA"/>
        </w:rPr>
        <w:t xml:space="preserve">des </w:t>
      </w:r>
      <w:r w:rsidRPr="00217EFC">
        <w:rPr>
          <w:sz w:val="22"/>
          <w:szCs w:val="22"/>
          <w:lang w:val="fr-CA"/>
        </w:rPr>
        <w:t>casquettes pour les patrouilleurs des côtes de la Nouvelle</w:t>
      </w:r>
      <w:r w:rsidR="00523E8E">
        <w:rPr>
          <w:sz w:val="22"/>
          <w:szCs w:val="22"/>
          <w:lang w:val="fr-CA"/>
        </w:rPr>
        <w:t>-</w:t>
      </w:r>
      <w:r w:rsidRPr="00217EFC">
        <w:rPr>
          <w:sz w:val="22"/>
          <w:szCs w:val="22"/>
          <w:lang w:val="fr-CA"/>
        </w:rPr>
        <w:t>Angleterre</w:t>
      </w:r>
      <w:r w:rsidRPr="00217EFC">
        <w:rPr>
          <w:rStyle w:val="FootnoteReference"/>
          <w:sz w:val="22"/>
          <w:szCs w:val="22"/>
          <w:lang w:val="fr-CA"/>
        </w:rPr>
        <w:footnoteReference w:id="355"/>
      </w:r>
      <w:r w:rsidRPr="00217EFC">
        <w:rPr>
          <w:sz w:val="22"/>
          <w:szCs w:val="22"/>
          <w:lang w:val="fr-CA"/>
        </w:rPr>
        <w:t xml:space="preserve">. En juin 1917, la </w:t>
      </w:r>
      <w:r>
        <w:rPr>
          <w:sz w:val="22"/>
          <w:szCs w:val="22"/>
          <w:lang w:val="fr-CA"/>
        </w:rPr>
        <w:t xml:space="preserve">première </w:t>
      </w:r>
      <w:r w:rsidRPr="00217EFC">
        <w:rPr>
          <w:sz w:val="22"/>
          <w:szCs w:val="22"/>
          <w:lang w:val="fr-CA"/>
        </w:rPr>
        <w:t xml:space="preserve">campagne nationale de la Croix-Rouge fixe </w:t>
      </w:r>
      <w:r>
        <w:rPr>
          <w:sz w:val="22"/>
          <w:szCs w:val="22"/>
          <w:lang w:val="fr-CA"/>
        </w:rPr>
        <w:t xml:space="preserve">l’objectif national </w:t>
      </w:r>
      <w:r w:rsidRPr="00217EFC">
        <w:rPr>
          <w:sz w:val="22"/>
          <w:szCs w:val="22"/>
          <w:lang w:val="fr-CA"/>
        </w:rPr>
        <w:t>à 100</w:t>
      </w:r>
      <w:r>
        <w:rPr>
          <w:sz w:val="22"/>
          <w:szCs w:val="22"/>
          <w:lang w:val="fr-CA"/>
        </w:rPr>
        <w:t> 000 </w:t>
      </w:r>
      <w:r w:rsidRPr="00217EFC">
        <w:rPr>
          <w:sz w:val="22"/>
          <w:szCs w:val="22"/>
          <w:lang w:val="fr-CA"/>
        </w:rPr>
        <w:t>000</w:t>
      </w:r>
      <w:r>
        <w:rPr>
          <w:sz w:val="22"/>
          <w:szCs w:val="22"/>
          <w:lang w:val="fr-CA"/>
        </w:rPr>
        <w:t> </w:t>
      </w:r>
      <w:r w:rsidRPr="00217EFC">
        <w:rPr>
          <w:sz w:val="22"/>
          <w:szCs w:val="22"/>
          <w:lang w:val="fr-CA"/>
        </w:rPr>
        <w:t>$</w:t>
      </w:r>
      <w:r w:rsidRPr="00217EFC">
        <w:rPr>
          <w:rStyle w:val="FootnoteReference"/>
          <w:sz w:val="22"/>
          <w:szCs w:val="22"/>
          <w:lang w:val="fr-CA"/>
        </w:rPr>
        <w:footnoteReference w:id="356"/>
      </w:r>
      <w:r>
        <w:rPr>
          <w:sz w:val="22"/>
          <w:szCs w:val="22"/>
          <w:lang w:val="fr-CA"/>
        </w:rPr>
        <w:t xml:space="preserve"> et l</w:t>
      </w:r>
      <w:r w:rsidRPr="00217EFC">
        <w:rPr>
          <w:sz w:val="22"/>
          <w:szCs w:val="22"/>
          <w:lang w:val="fr-CA"/>
        </w:rPr>
        <w:t xml:space="preserve">a contribution de Manchester est </w:t>
      </w:r>
      <w:r w:rsidRPr="008C6EDC">
        <w:rPr>
          <w:sz w:val="22"/>
          <w:szCs w:val="22"/>
          <w:lang w:val="fr-CA"/>
        </w:rPr>
        <w:t>fi</w:t>
      </w:r>
      <w:r>
        <w:rPr>
          <w:sz w:val="22"/>
          <w:szCs w:val="22"/>
          <w:lang w:val="fr-CA"/>
        </w:rPr>
        <w:t xml:space="preserve">xée à </w:t>
      </w:r>
      <w:r w:rsidRPr="00217EFC">
        <w:rPr>
          <w:sz w:val="22"/>
          <w:szCs w:val="22"/>
          <w:lang w:val="fr-CA"/>
        </w:rPr>
        <w:t>100</w:t>
      </w:r>
      <w:r>
        <w:rPr>
          <w:sz w:val="22"/>
          <w:szCs w:val="22"/>
          <w:lang w:val="fr-CA"/>
        </w:rPr>
        <w:t> </w:t>
      </w:r>
      <w:r w:rsidRPr="00217EFC">
        <w:rPr>
          <w:sz w:val="22"/>
          <w:szCs w:val="22"/>
          <w:lang w:val="fr-CA"/>
        </w:rPr>
        <w:t>000</w:t>
      </w:r>
      <w:r>
        <w:rPr>
          <w:sz w:val="22"/>
          <w:szCs w:val="22"/>
          <w:lang w:val="fr-CA"/>
        </w:rPr>
        <w:t> </w:t>
      </w:r>
      <w:r w:rsidRPr="00217EFC">
        <w:rPr>
          <w:sz w:val="22"/>
          <w:szCs w:val="22"/>
          <w:lang w:val="fr-CA"/>
        </w:rPr>
        <w:t>$</w:t>
      </w:r>
      <w:r w:rsidRPr="00217EFC">
        <w:rPr>
          <w:rStyle w:val="FootnoteReference"/>
          <w:sz w:val="22"/>
          <w:szCs w:val="22"/>
          <w:lang w:val="fr-CA"/>
        </w:rPr>
        <w:footnoteReference w:id="357"/>
      </w:r>
      <w:r w:rsidRPr="00217EFC">
        <w:rPr>
          <w:sz w:val="22"/>
          <w:szCs w:val="22"/>
          <w:lang w:val="fr-CA"/>
        </w:rPr>
        <w:t>. Le 22 juin 1917, pendant le diner des travailleurs de la Croix-Rouge, les équipes rapportent que la somme de 43</w:t>
      </w:r>
      <w:r>
        <w:rPr>
          <w:sz w:val="22"/>
          <w:szCs w:val="22"/>
          <w:lang w:val="fr-CA"/>
        </w:rPr>
        <w:t> </w:t>
      </w:r>
      <w:r w:rsidRPr="00217EFC">
        <w:rPr>
          <w:sz w:val="22"/>
          <w:szCs w:val="22"/>
          <w:lang w:val="fr-CA"/>
        </w:rPr>
        <w:t>338</w:t>
      </w:r>
      <w:r>
        <w:rPr>
          <w:sz w:val="22"/>
          <w:szCs w:val="22"/>
          <w:lang w:val="fr-CA"/>
        </w:rPr>
        <w:t> </w:t>
      </w:r>
      <w:r w:rsidRPr="00217EFC">
        <w:rPr>
          <w:sz w:val="22"/>
          <w:szCs w:val="22"/>
          <w:lang w:val="fr-CA"/>
        </w:rPr>
        <w:t>$</w:t>
      </w:r>
      <w:r>
        <w:rPr>
          <w:sz w:val="22"/>
          <w:szCs w:val="22"/>
          <w:lang w:val="fr-CA"/>
        </w:rPr>
        <w:t xml:space="preserve"> a</w:t>
      </w:r>
      <w:r w:rsidRPr="003C0578">
        <w:rPr>
          <w:sz w:val="22"/>
          <w:lang w:val="fr-CA"/>
        </w:rPr>
        <w:t xml:space="preserve"> déjà </w:t>
      </w:r>
      <w:r>
        <w:rPr>
          <w:sz w:val="22"/>
          <w:szCs w:val="22"/>
          <w:lang w:val="fr-CA"/>
        </w:rPr>
        <w:t xml:space="preserve">été </w:t>
      </w:r>
      <w:r w:rsidRPr="003C0578">
        <w:rPr>
          <w:sz w:val="22"/>
          <w:lang w:val="fr-CA"/>
        </w:rPr>
        <w:t>recueillie</w:t>
      </w:r>
      <w:r w:rsidRPr="00217EFC">
        <w:rPr>
          <w:rStyle w:val="FootnoteReference"/>
          <w:sz w:val="22"/>
          <w:szCs w:val="22"/>
          <w:lang w:val="fr-CA"/>
        </w:rPr>
        <w:footnoteReference w:id="358"/>
      </w:r>
      <w:r w:rsidRPr="00217EFC">
        <w:rPr>
          <w:sz w:val="22"/>
          <w:szCs w:val="22"/>
          <w:lang w:val="fr-CA"/>
        </w:rPr>
        <w:t>. Chaque paroisse contribue</w:t>
      </w:r>
      <w:r>
        <w:rPr>
          <w:sz w:val="22"/>
          <w:szCs w:val="22"/>
          <w:lang w:val="fr-CA"/>
        </w:rPr>
        <w:t>. P</w:t>
      </w:r>
      <w:r w:rsidRPr="00217EFC">
        <w:rPr>
          <w:sz w:val="22"/>
          <w:szCs w:val="22"/>
          <w:lang w:val="fr-CA"/>
        </w:rPr>
        <w:t>ar exemple</w:t>
      </w:r>
      <w:r>
        <w:rPr>
          <w:sz w:val="22"/>
          <w:szCs w:val="22"/>
          <w:lang w:val="fr-CA"/>
        </w:rPr>
        <w:t xml:space="preserve">, </w:t>
      </w:r>
      <w:r w:rsidRPr="00217EFC">
        <w:rPr>
          <w:sz w:val="22"/>
          <w:szCs w:val="22"/>
          <w:lang w:val="fr-CA"/>
        </w:rPr>
        <w:t>522</w:t>
      </w:r>
      <w:r>
        <w:rPr>
          <w:sz w:val="22"/>
          <w:szCs w:val="22"/>
          <w:lang w:val="fr-CA"/>
        </w:rPr>
        <w:t> </w:t>
      </w:r>
      <w:r w:rsidRPr="00217EFC">
        <w:rPr>
          <w:sz w:val="22"/>
          <w:szCs w:val="22"/>
          <w:lang w:val="fr-CA"/>
        </w:rPr>
        <w:t>$ sont recueillis par le comité de la paroisse Notre-Dame</w:t>
      </w:r>
      <w:r w:rsidRPr="00217EFC">
        <w:rPr>
          <w:rStyle w:val="FootnoteReference"/>
          <w:sz w:val="22"/>
          <w:szCs w:val="22"/>
          <w:lang w:val="fr-CA"/>
        </w:rPr>
        <w:footnoteReference w:id="359"/>
      </w:r>
      <w:r w:rsidRPr="00217EFC">
        <w:rPr>
          <w:sz w:val="22"/>
          <w:szCs w:val="22"/>
          <w:lang w:val="fr-CA"/>
        </w:rPr>
        <w:t>.</w:t>
      </w:r>
      <w:r>
        <w:rPr>
          <w:sz w:val="22"/>
          <w:szCs w:val="22"/>
          <w:lang w:val="fr-CA"/>
        </w:rPr>
        <w:t xml:space="preserve"> Ensuite, l</w:t>
      </w:r>
      <w:r w:rsidRPr="00217EFC">
        <w:rPr>
          <w:sz w:val="22"/>
          <w:szCs w:val="22"/>
          <w:lang w:val="fr-CA"/>
        </w:rPr>
        <w:t xml:space="preserve">es 10 et 11 juillet 1917, la Croix-Rouge </w:t>
      </w:r>
      <w:r>
        <w:rPr>
          <w:sz w:val="22"/>
          <w:szCs w:val="22"/>
          <w:lang w:val="fr-CA"/>
        </w:rPr>
        <w:t xml:space="preserve">de Manchester </w:t>
      </w:r>
      <w:r w:rsidRPr="00217EFC">
        <w:rPr>
          <w:sz w:val="22"/>
          <w:szCs w:val="22"/>
          <w:lang w:val="fr-CA"/>
        </w:rPr>
        <w:t>organise un gigantesque carnaval, et plusieurs activités sont au programme</w:t>
      </w:r>
      <w:r>
        <w:rPr>
          <w:sz w:val="22"/>
          <w:szCs w:val="22"/>
          <w:lang w:val="fr-CA"/>
        </w:rPr>
        <w:t xml:space="preserve"> dont des c</w:t>
      </w:r>
      <w:r w:rsidRPr="00217EFC">
        <w:rPr>
          <w:sz w:val="22"/>
          <w:szCs w:val="22"/>
          <w:lang w:val="fr-CA"/>
        </w:rPr>
        <w:t xml:space="preserve">oncerts de fanfare, </w:t>
      </w:r>
      <w:r>
        <w:rPr>
          <w:sz w:val="22"/>
          <w:szCs w:val="22"/>
          <w:lang w:val="fr-CA"/>
        </w:rPr>
        <w:t>la construction d</w:t>
      </w:r>
      <w:r w:rsidRPr="008C6EDC">
        <w:rPr>
          <w:sz w:val="22"/>
          <w:szCs w:val="22"/>
          <w:lang w:val="fr-CA"/>
        </w:rPr>
        <w:t>’</w:t>
      </w:r>
      <w:r w:rsidRPr="00217EFC">
        <w:rPr>
          <w:sz w:val="22"/>
          <w:szCs w:val="22"/>
          <w:lang w:val="fr-CA"/>
        </w:rPr>
        <w:t xml:space="preserve">un camp pour représenter la vie militaire, avec </w:t>
      </w:r>
      <w:r w:rsidRPr="00F5580D">
        <w:rPr>
          <w:sz w:val="22"/>
          <w:szCs w:val="22"/>
          <w:lang w:val="fr-CA"/>
        </w:rPr>
        <w:t>plusieurs</w:t>
      </w:r>
      <w:r>
        <w:rPr>
          <w:sz w:val="22"/>
          <w:szCs w:val="22"/>
          <w:lang w:val="fr-CA"/>
        </w:rPr>
        <w:t xml:space="preserve"> </w:t>
      </w:r>
      <w:r w:rsidRPr="00217EFC">
        <w:rPr>
          <w:sz w:val="22"/>
          <w:szCs w:val="22"/>
          <w:lang w:val="fr-CA"/>
        </w:rPr>
        <w:t>tentes et un service de cuisine. Cependant, la pluie abondante du 11 juillet</w:t>
      </w:r>
      <w:r>
        <w:rPr>
          <w:sz w:val="22"/>
          <w:szCs w:val="22"/>
          <w:lang w:val="fr-CA"/>
        </w:rPr>
        <w:t xml:space="preserve"> fait en sorte que </w:t>
      </w:r>
      <w:r w:rsidRPr="00217EFC">
        <w:rPr>
          <w:sz w:val="22"/>
          <w:szCs w:val="22"/>
          <w:lang w:val="fr-CA"/>
        </w:rPr>
        <w:t>l’év</w:t>
      </w:r>
      <w:r w:rsidR="00523E8E">
        <w:rPr>
          <w:sz w:val="22"/>
          <w:szCs w:val="22"/>
          <w:lang w:val="fr-CA"/>
        </w:rPr>
        <w:t>è</w:t>
      </w:r>
      <w:r w:rsidRPr="00217EFC">
        <w:rPr>
          <w:sz w:val="22"/>
          <w:szCs w:val="22"/>
          <w:lang w:val="fr-CA"/>
        </w:rPr>
        <w:t>nement est prolongé de deux jours</w:t>
      </w:r>
      <w:r w:rsidRPr="00217EFC">
        <w:rPr>
          <w:rStyle w:val="FootnoteReference"/>
          <w:sz w:val="22"/>
          <w:szCs w:val="22"/>
          <w:lang w:val="fr-CA"/>
        </w:rPr>
        <w:footnoteReference w:id="360"/>
      </w:r>
      <w:r w:rsidRPr="00217EFC">
        <w:rPr>
          <w:sz w:val="22"/>
          <w:szCs w:val="22"/>
          <w:lang w:val="fr-CA"/>
        </w:rPr>
        <w:t>. Le 12 juillet, sous la présidence d’honneur du gouverneur de l’État et de son état-major, la batterie du 1</w:t>
      </w:r>
      <w:r w:rsidRPr="00217EFC">
        <w:rPr>
          <w:sz w:val="22"/>
          <w:szCs w:val="22"/>
          <w:vertAlign w:val="superscript"/>
          <w:lang w:val="fr-CA"/>
        </w:rPr>
        <w:t>er</w:t>
      </w:r>
      <w:r w:rsidRPr="00217EFC">
        <w:rPr>
          <w:sz w:val="22"/>
          <w:szCs w:val="22"/>
          <w:lang w:val="fr-CA"/>
        </w:rPr>
        <w:t xml:space="preserve"> </w:t>
      </w:r>
      <w:r>
        <w:rPr>
          <w:sz w:val="22"/>
          <w:szCs w:val="22"/>
          <w:lang w:val="fr-CA"/>
        </w:rPr>
        <w:t>Régiment</w:t>
      </w:r>
      <w:r w:rsidRPr="00217EFC">
        <w:rPr>
          <w:sz w:val="22"/>
          <w:szCs w:val="22"/>
          <w:lang w:val="fr-CA"/>
        </w:rPr>
        <w:t xml:space="preserve"> effectue une démonstration de manœuvres de mise en batterie avec leurs chevaux</w:t>
      </w:r>
      <w:r w:rsidRPr="00217EFC">
        <w:rPr>
          <w:rStyle w:val="FootnoteReference"/>
          <w:sz w:val="22"/>
          <w:szCs w:val="22"/>
          <w:lang w:val="fr-CA"/>
        </w:rPr>
        <w:footnoteReference w:id="361"/>
      </w:r>
      <w:r w:rsidRPr="00217EFC">
        <w:rPr>
          <w:sz w:val="22"/>
          <w:szCs w:val="22"/>
          <w:lang w:val="fr-CA"/>
        </w:rPr>
        <w:t xml:space="preserve">. De plus, tout au long du </w:t>
      </w:r>
      <w:r w:rsidRPr="00217EFC">
        <w:rPr>
          <w:sz w:val="22"/>
          <w:szCs w:val="22"/>
          <w:lang w:val="fr-CA"/>
        </w:rPr>
        <w:lastRenderedPageBreak/>
        <w:t xml:space="preserve">carnaval un aviateur avec son biplan </w:t>
      </w:r>
      <w:r>
        <w:rPr>
          <w:sz w:val="22"/>
          <w:szCs w:val="22"/>
          <w:lang w:val="fr-CA"/>
        </w:rPr>
        <w:t xml:space="preserve">envoie du ciel des tracts invitant </w:t>
      </w:r>
      <w:r w:rsidRPr="008C6EDC">
        <w:rPr>
          <w:sz w:val="22"/>
          <w:szCs w:val="22"/>
          <w:lang w:val="fr-CA"/>
        </w:rPr>
        <w:t>la</w:t>
      </w:r>
      <w:r>
        <w:rPr>
          <w:sz w:val="22"/>
          <w:szCs w:val="22"/>
          <w:lang w:val="fr-CA"/>
        </w:rPr>
        <w:t xml:space="preserve"> population au carnaval, en </w:t>
      </w:r>
      <w:r w:rsidRPr="00217EFC">
        <w:rPr>
          <w:sz w:val="22"/>
          <w:szCs w:val="22"/>
          <w:lang w:val="fr-CA"/>
        </w:rPr>
        <w:t>simul</w:t>
      </w:r>
      <w:r>
        <w:rPr>
          <w:sz w:val="22"/>
          <w:szCs w:val="22"/>
          <w:lang w:val="fr-CA"/>
        </w:rPr>
        <w:t xml:space="preserve">ant </w:t>
      </w:r>
      <w:r w:rsidRPr="00217EFC">
        <w:rPr>
          <w:sz w:val="22"/>
          <w:szCs w:val="22"/>
          <w:lang w:val="fr-CA"/>
        </w:rPr>
        <w:t xml:space="preserve">des manœuvres de </w:t>
      </w:r>
      <w:r w:rsidRPr="00B1400E">
        <w:rPr>
          <w:sz w:val="22"/>
          <w:szCs w:val="22"/>
          <w:lang w:val="fr-CA"/>
        </w:rPr>
        <w:t>bombardement aérien de</w:t>
      </w:r>
      <w:r w:rsidRPr="00217EFC">
        <w:rPr>
          <w:sz w:val="22"/>
          <w:szCs w:val="22"/>
          <w:lang w:val="fr-CA"/>
        </w:rPr>
        <w:t xml:space="preserve"> la ville</w:t>
      </w:r>
      <w:r w:rsidRPr="00217EFC">
        <w:rPr>
          <w:rStyle w:val="FootnoteReference"/>
          <w:sz w:val="22"/>
          <w:szCs w:val="22"/>
          <w:lang w:val="fr-CA"/>
        </w:rPr>
        <w:footnoteReference w:id="362"/>
      </w:r>
      <w:r w:rsidRPr="00217EFC">
        <w:rPr>
          <w:sz w:val="22"/>
          <w:szCs w:val="22"/>
          <w:lang w:val="fr-CA"/>
        </w:rPr>
        <w:t>.</w:t>
      </w:r>
    </w:p>
    <w:p w14:paraId="751F227C" w14:textId="77777777" w:rsidR="000264D6" w:rsidRDefault="000264D6" w:rsidP="002B5319">
      <w:pPr>
        <w:spacing w:before="100" w:beforeAutospacing="1" w:after="100" w:afterAutospacing="1"/>
        <w:ind w:firstLine="360"/>
        <w:jc w:val="both"/>
        <w:rPr>
          <w:sz w:val="22"/>
          <w:szCs w:val="22"/>
          <w:lang w:val="fr-CA"/>
        </w:rPr>
      </w:pPr>
      <w:r w:rsidRPr="00217EFC">
        <w:rPr>
          <w:sz w:val="22"/>
          <w:szCs w:val="22"/>
          <w:lang w:val="fr-CA"/>
        </w:rPr>
        <w:t>Le 4 août 1917</w:t>
      </w:r>
      <w:r w:rsidR="00523E8E">
        <w:rPr>
          <w:sz w:val="22"/>
          <w:szCs w:val="22"/>
          <w:lang w:val="fr-CA"/>
        </w:rPr>
        <w:t>,</w:t>
      </w:r>
      <w:r w:rsidRPr="00217EFC">
        <w:rPr>
          <w:sz w:val="22"/>
          <w:szCs w:val="22"/>
          <w:lang w:val="fr-CA"/>
        </w:rPr>
        <w:t xml:space="preserve"> la Croix-Rouge fait part, dans son rapport, </w:t>
      </w:r>
      <w:r>
        <w:rPr>
          <w:sz w:val="22"/>
          <w:szCs w:val="22"/>
          <w:lang w:val="fr-CA"/>
        </w:rPr>
        <w:t xml:space="preserve">de l’aide en équipement </w:t>
      </w:r>
      <w:r w:rsidRPr="00217EFC">
        <w:rPr>
          <w:sz w:val="22"/>
          <w:szCs w:val="22"/>
          <w:lang w:val="fr-CA"/>
        </w:rPr>
        <w:t>qu’elle a préparée et transmise à la Croix-Rouge nationale. On mentionne la fabrication de 24</w:t>
      </w:r>
      <w:r w:rsidR="00F0664A">
        <w:rPr>
          <w:sz w:val="22"/>
          <w:szCs w:val="22"/>
          <w:lang w:val="fr-CA"/>
        </w:rPr>
        <w:t> </w:t>
      </w:r>
      <w:r w:rsidRPr="00217EFC">
        <w:rPr>
          <w:sz w:val="22"/>
          <w:szCs w:val="22"/>
          <w:lang w:val="fr-CA"/>
        </w:rPr>
        <w:t>000 différents types de gazes, de compresses</w:t>
      </w:r>
      <w:r>
        <w:rPr>
          <w:sz w:val="22"/>
          <w:szCs w:val="22"/>
          <w:lang w:val="fr-CA"/>
        </w:rPr>
        <w:t xml:space="preserve">, </w:t>
      </w:r>
      <w:r w:rsidRPr="00217EFC">
        <w:rPr>
          <w:sz w:val="22"/>
          <w:szCs w:val="22"/>
          <w:lang w:val="fr-CA"/>
        </w:rPr>
        <w:t xml:space="preserve">de pansements, et de biens </w:t>
      </w:r>
      <w:r>
        <w:rPr>
          <w:sz w:val="22"/>
          <w:szCs w:val="22"/>
          <w:lang w:val="fr-CA"/>
        </w:rPr>
        <w:t>à</w:t>
      </w:r>
      <w:r w:rsidRPr="00217EFC">
        <w:rPr>
          <w:sz w:val="22"/>
          <w:szCs w:val="22"/>
          <w:lang w:val="fr-CA"/>
        </w:rPr>
        <w:t xml:space="preserve"> distribuer aux soldats</w:t>
      </w:r>
      <w:r>
        <w:rPr>
          <w:sz w:val="22"/>
          <w:szCs w:val="22"/>
          <w:lang w:val="fr-CA"/>
        </w:rPr>
        <w:t>.</w:t>
      </w:r>
      <w:r w:rsidRPr="00217EFC">
        <w:rPr>
          <w:rStyle w:val="FootnoteReference"/>
          <w:sz w:val="22"/>
          <w:szCs w:val="22"/>
          <w:lang w:val="fr-CA"/>
        </w:rPr>
        <w:footnoteReference w:id="363"/>
      </w:r>
      <w:r w:rsidRPr="00217EFC">
        <w:rPr>
          <w:sz w:val="22"/>
          <w:szCs w:val="22"/>
          <w:lang w:val="fr-CA"/>
        </w:rPr>
        <w:t xml:space="preserve">. </w:t>
      </w:r>
    </w:p>
    <w:p w14:paraId="467AD4A6"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En janvier 1918, Manchester se classe 10</w:t>
      </w:r>
      <w:r w:rsidRPr="00217EFC">
        <w:rPr>
          <w:sz w:val="22"/>
          <w:szCs w:val="22"/>
          <w:vertAlign w:val="superscript"/>
          <w:lang w:val="fr-CA"/>
        </w:rPr>
        <w:t>e</w:t>
      </w:r>
      <w:r w:rsidRPr="00217EFC">
        <w:rPr>
          <w:sz w:val="22"/>
          <w:szCs w:val="22"/>
          <w:lang w:val="fr-CA"/>
        </w:rPr>
        <w:t xml:space="preserve"> sur les 72</w:t>
      </w:r>
      <w:r w:rsidRPr="00217EFC">
        <w:rPr>
          <w:sz w:val="22"/>
          <w:szCs w:val="22"/>
          <w:vertAlign w:val="superscript"/>
          <w:lang w:val="fr-CA"/>
        </w:rPr>
        <w:t xml:space="preserve"> </w:t>
      </w:r>
      <w:r w:rsidRPr="00217EFC">
        <w:rPr>
          <w:sz w:val="22"/>
          <w:szCs w:val="22"/>
          <w:lang w:val="fr-CA"/>
        </w:rPr>
        <w:t xml:space="preserve">succursales de la Nouvelle-Angleterre pour la production d’articles. Avec les conditions hivernales difficiles </w:t>
      </w:r>
      <w:r>
        <w:rPr>
          <w:sz w:val="22"/>
          <w:szCs w:val="22"/>
          <w:lang w:val="fr-CA"/>
        </w:rPr>
        <w:t>avec lesquelles</w:t>
      </w:r>
      <w:r w:rsidRPr="00217EFC">
        <w:rPr>
          <w:sz w:val="22"/>
          <w:szCs w:val="22"/>
          <w:lang w:val="fr-CA"/>
        </w:rPr>
        <w:t xml:space="preserve"> les soldats </w:t>
      </w:r>
      <w:r>
        <w:rPr>
          <w:sz w:val="22"/>
          <w:szCs w:val="22"/>
          <w:lang w:val="fr-CA"/>
        </w:rPr>
        <w:t>doivent composer</w:t>
      </w:r>
      <w:r w:rsidRPr="00217EFC">
        <w:rPr>
          <w:sz w:val="22"/>
          <w:szCs w:val="22"/>
          <w:lang w:val="fr-CA"/>
        </w:rPr>
        <w:t xml:space="preserve"> pendant l’hiver</w:t>
      </w:r>
      <w:r w:rsidR="00523E8E">
        <w:rPr>
          <w:sz w:val="22"/>
          <w:szCs w:val="22"/>
          <w:lang w:val="fr-CA"/>
        </w:rPr>
        <w:t> </w:t>
      </w:r>
      <w:r w:rsidRPr="00217EFC">
        <w:rPr>
          <w:sz w:val="22"/>
          <w:szCs w:val="22"/>
          <w:lang w:val="fr-CA"/>
        </w:rPr>
        <w:t>1918, le groupe est sollicité pour produire rapidement des items tricotés (3</w:t>
      </w:r>
      <w:r w:rsidR="00F0664A">
        <w:rPr>
          <w:sz w:val="22"/>
          <w:szCs w:val="22"/>
          <w:lang w:val="fr-CA"/>
        </w:rPr>
        <w:t> </w:t>
      </w:r>
      <w:r w:rsidRPr="00217EFC">
        <w:rPr>
          <w:sz w:val="22"/>
          <w:szCs w:val="22"/>
          <w:lang w:val="fr-CA"/>
        </w:rPr>
        <w:t>538) et de</w:t>
      </w:r>
      <w:r>
        <w:rPr>
          <w:sz w:val="22"/>
          <w:szCs w:val="22"/>
          <w:lang w:val="fr-CA"/>
        </w:rPr>
        <w:t>s</w:t>
      </w:r>
      <w:r w:rsidRPr="00217EFC">
        <w:rPr>
          <w:sz w:val="22"/>
          <w:szCs w:val="22"/>
          <w:lang w:val="fr-CA"/>
        </w:rPr>
        <w:t xml:space="preserve"> pansements </w:t>
      </w:r>
      <w:r>
        <w:rPr>
          <w:sz w:val="22"/>
          <w:szCs w:val="22"/>
          <w:lang w:val="fr-CA"/>
        </w:rPr>
        <w:t>(</w:t>
      </w:r>
      <w:r w:rsidRPr="00217EFC">
        <w:rPr>
          <w:sz w:val="22"/>
          <w:szCs w:val="22"/>
          <w:lang w:val="fr-CA"/>
        </w:rPr>
        <w:t>26</w:t>
      </w:r>
      <w:r w:rsidR="00F0664A">
        <w:rPr>
          <w:sz w:val="22"/>
          <w:szCs w:val="22"/>
          <w:lang w:val="fr-CA"/>
        </w:rPr>
        <w:t> </w:t>
      </w:r>
      <w:r w:rsidRPr="00217EFC">
        <w:rPr>
          <w:sz w:val="22"/>
          <w:szCs w:val="22"/>
          <w:lang w:val="fr-CA"/>
        </w:rPr>
        <w:t>970</w:t>
      </w:r>
      <w:r>
        <w:rPr>
          <w:sz w:val="22"/>
          <w:szCs w:val="22"/>
          <w:lang w:val="fr-CA"/>
        </w:rPr>
        <w:t>)</w:t>
      </w:r>
      <w:r w:rsidRPr="00217EFC">
        <w:rPr>
          <w:sz w:val="22"/>
          <w:szCs w:val="22"/>
          <w:lang w:val="fr-CA"/>
        </w:rPr>
        <w:t xml:space="preserve"> et</w:t>
      </w:r>
      <w:r>
        <w:rPr>
          <w:sz w:val="22"/>
          <w:szCs w:val="22"/>
          <w:lang w:val="fr-CA"/>
        </w:rPr>
        <w:t xml:space="preserve"> il </w:t>
      </w:r>
      <w:r w:rsidRPr="00217EFC">
        <w:rPr>
          <w:sz w:val="22"/>
          <w:szCs w:val="22"/>
          <w:lang w:val="fr-CA"/>
        </w:rPr>
        <w:t>fourni</w:t>
      </w:r>
      <w:r>
        <w:rPr>
          <w:sz w:val="22"/>
          <w:szCs w:val="22"/>
          <w:lang w:val="fr-CA"/>
        </w:rPr>
        <w:t>t</w:t>
      </w:r>
      <w:r w:rsidRPr="00217EFC">
        <w:rPr>
          <w:sz w:val="22"/>
          <w:szCs w:val="22"/>
          <w:lang w:val="fr-CA"/>
        </w:rPr>
        <w:t xml:space="preserve"> 1</w:t>
      </w:r>
      <w:r w:rsidR="00F0664A">
        <w:rPr>
          <w:sz w:val="22"/>
          <w:szCs w:val="22"/>
          <w:lang w:val="fr-CA"/>
        </w:rPr>
        <w:t> </w:t>
      </w:r>
      <w:r w:rsidRPr="00217EFC">
        <w:rPr>
          <w:sz w:val="22"/>
          <w:szCs w:val="22"/>
          <w:lang w:val="fr-CA"/>
        </w:rPr>
        <w:t>556 trousses d’hôpital</w:t>
      </w:r>
      <w:r w:rsidRPr="00217EFC">
        <w:rPr>
          <w:rStyle w:val="FootnoteReference"/>
          <w:sz w:val="22"/>
          <w:szCs w:val="22"/>
          <w:lang w:val="fr-CA"/>
        </w:rPr>
        <w:footnoteReference w:id="364"/>
      </w:r>
      <w:r w:rsidRPr="00217EFC">
        <w:rPr>
          <w:sz w:val="22"/>
          <w:szCs w:val="22"/>
          <w:lang w:val="fr-CA"/>
        </w:rPr>
        <w:t>. D’ailleurs</w:t>
      </w:r>
      <w:r>
        <w:rPr>
          <w:sz w:val="22"/>
          <w:szCs w:val="22"/>
          <w:lang w:val="fr-CA"/>
        </w:rPr>
        <w:t>,</w:t>
      </w:r>
      <w:r w:rsidRPr="00217EFC">
        <w:rPr>
          <w:sz w:val="22"/>
          <w:szCs w:val="22"/>
          <w:lang w:val="fr-CA"/>
        </w:rPr>
        <w:t xml:space="preserve"> la réponse à l’appel d’urgence pour </w:t>
      </w:r>
      <w:r>
        <w:rPr>
          <w:sz w:val="22"/>
          <w:szCs w:val="22"/>
          <w:lang w:val="fr-CA"/>
        </w:rPr>
        <w:t xml:space="preserve">tricoter </w:t>
      </w:r>
      <w:r w:rsidRPr="00217EFC">
        <w:rPr>
          <w:sz w:val="22"/>
          <w:szCs w:val="22"/>
          <w:lang w:val="fr-CA"/>
        </w:rPr>
        <w:t xml:space="preserve">220 foulards est </w:t>
      </w:r>
      <w:r>
        <w:rPr>
          <w:sz w:val="22"/>
          <w:szCs w:val="22"/>
          <w:lang w:val="fr-CA"/>
        </w:rPr>
        <w:t>dé</w:t>
      </w:r>
      <w:r w:rsidRPr="00217EFC">
        <w:rPr>
          <w:sz w:val="22"/>
          <w:szCs w:val="22"/>
          <w:lang w:val="fr-CA"/>
        </w:rPr>
        <w:t>passée de 30</w:t>
      </w:r>
      <w:r>
        <w:rPr>
          <w:sz w:val="22"/>
          <w:szCs w:val="22"/>
          <w:lang w:val="fr-CA"/>
        </w:rPr>
        <w:t xml:space="preserve"> unités et l</w:t>
      </w:r>
      <w:r w:rsidRPr="00217EFC">
        <w:rPr>
          <w:sz w:val="22"/>
          <w:szCs w:val="22"/>
          <w:lang w:val="fr-CA"/>
        </w:rPr>
        <w:t>es items sont produits en trois jours seulement. En février 1918, les membres du Cercle National sont toujours acti</w:t>
      </w:r>
      <w:r>
        <w:rPr>
          <w:sz w:val="22"/>
          <w:szCs w:val="22"/>
          <w:lang w:val="fr-CA"/>
        </w:rPr>
        <w:t>fs. E</w:t>
      </w:r>
      <w:r w:rsidRPr="00217EFC">
        <w:rPr>
          <w:sz w:val="22"/>
          <w:szCs w:val="22"/>
          <w:lang w:val="fr-CA"/>
        </w:rPr>
        <w:t>lles ont envoyé</w:t>
      </w:r>
      <w:r>
        <w:rPr>
          <w:sz w:val="22"/>
          <w:szCs w:val="22"/>
          <w:lang w:val="fr-CA"/>
        </w:rPr>
        <w:t xml:space="preserve"> </w:t>
      </w:r>
      <w:r w:rsidRPr="00217EFC">
        <w:rPr>
          <w:sz w:val="22"/>
          <w:szCs w:val="22"/>
          <w:lang w:val="fr-CA"/>
        </w:rPr>
        <w:t>400 compresses et trois douzaines de bandage</w:t>
      </w:r>
      <w:r>
        <w:rPr>
          <w:sz w:val="22"/>
          <w:szCs w:val="22"/>
          <w:lang w:val="fr-CA"/>
        </w:rPr>
        <w:t>s</w:t>
      </w:r>
      <w:r w:rsidRPr="00217EFC">
        <w:rPr>
          <w:sz w:val="22"/>
          <w:szCs w:val="22"/>
          <w:lang w:val="fr-CA"/>
        </w:rPr>
        <w:t xml:space="preserve"> pour la tête. De plus, lors des rencontres du comité, Mme</w:t>
      </w:r>
      <w:r w:rsidR="00F0664A">
        <w:rPr>
          <w:sz w:val="22"/>
          <w:szCs w:val="22"/>
          <w:lang w:val="fr-CA"/>
        </w:rPr>
        <w:t> </w:t>
      </w:r>
      <w:r w:rsidRPr="00217EFC">
        <w:rPr>
          <w:sz w:val="22"/>
          <w:szCs w:val="22"/>
          <w:lang w:val="fr-CA"/>
        </w:rPr>
        <w:t>Quirin informe ses amies des opérations d’évacuation des réfugiés et des conditions de vie qui affectent la population, comme les «</w:t>
      </w:r>
      <w:r w:rsidR="00523E8E">
        <w:rPr>
          <w:sz w:val="22"/>
          <w:szCs w:val="22"/>
          <w:lang w:val="fr-CA"/>
        </w:rPr>
        <w:t> </w:t>
      </w:r>
      <w:r w:rsidRPr="00217EFC">
        <w:rPr>
          <w:sz w:val="22"/>
          <w:szCs w:val="22"/>
          <w:lang w:val="fr-CA"/>
        </w:rPr>
        <w:t>restrictions de toutes sortes que le peuple doit s’imposer pour aider la guerre</w:t>
      </w:r>
      <w:r w:rsidR="00523E8E">
        <w:rPr>
          <w:sz w:val="22"/>
          <w:szCs w:val="22"/>
          <w:lang w:val="fr-CA"/>
        </w:rPr>
        <w:t> </w:t>
      </w:r>
      <w:r w:rsidRPr="00217EFC">
        <w:rPr>
          <w:sz w:val="22"/>
          <w:szCs w:val="22"/>
          <w:lang w:val="fr-CA"/>
        </w:rPr>
        <w:t>»</w:t>
      </w:r>
      <w:r w:rsidRPr="00217EFC">
        <w:rPr>
          <w:rStyle w:val="FootnoteReference"/>
          <w:sz w:val="22"/>
          <w:szCs w:val="22"/>
          <w:lang w:val="fr-CA"/>
        </w:rPr>
        <w:footnoteReference w:id="365"/>
      </w:r>
      <w:r w:rsidRPr="00217EFC">
        <w:rPr>
          <w:sz w:val="22"/>
          <w:szCs w:val="22"/>
          <w:lang w:val="fr-CA"/>
        </w:rPr>
        <w:t>. Plus tard, en juin 1918, le comité de la paroisse de Notre-Dame rapporte que 4</w:t>
      </w:r>
      <w:r w:rsidR="00F0664A">
        <w:rPr>
          <w:sz w:val="22"/>
          <w:szCs w:val="22"/>
          <w:lang w:val="fr-CA"/>
        </w:rPr>
        <w:t> </w:t>
      </w:r>
      <w:r w:rsidRPr="00217EFC">
        <w:rPr>
          <w:sz w:val="22"/>
          <w:szCs w:val="22"/>
          <w:lang w:val="fr-CA"/>
        </w:rPr>
        <w:t xml:space="preserve">000 </w:t>
      </w:r>
      <w:r>
        <w:rPr>
          <w:sz w:val="22"/>
          <w:szCs w:val="22"/>
          <w:lang w:val="fr-CA"/>
        </w:rPr>
        <w:t xml:space="preserve">paires de bas de laine ont </w:t>
      </w:r>
      <w:r w:rsidRPr="009845F9">
        <w:rPr>
          <w:sz w:val="22"/>
          <w:szCs w:val="22"/>
          <w:lang w:val="fr-CA"/>
        </w:rPr>
        <w:t>ét</w:t>
      </w:r>
      <w:r>
        <w:rPr>
          <w:sz w:val="22"/>
          <w:szCs w:val="22"/>
          <w:lang w:val="fr-CA"/>
        </w:rPr>
        <w:t xml:space="preserve">é produites en juin </w:t>
      </w:r>
      <w:r w:rsidRPr="00217EFC">
        <w:rPr>
          <w:sz w:val="22"/>
          <w:szCs w:val="22"/>
          <w:lang w:val="fr-CA"/>
        </w:rPr>
        <w:t>et que 3</w:t>
      </w:r>
      <w:r w:rsidR="00F0664A">
        <w:rPr>
          <w:sz w:val="22"/>
          <w:szCs w:val="22"/>
          <w:lang w:val="fr-CA"/>
        </w:rPr>
        <w:t> </w:t>
      </w:r>
      <w:r w:rsidRPr="00217EFC">
        <w:rPr>
          <w:sz w:val="22"/>
          <w:szCs w:val="22"/>
          <w:lang w:val="fr-CA"/>
        </w:rPr>
        <w:t xml:space="preserve">000 </w:t>
      </w:r>
      <w:r>
        <w:rPr>
          <w:sz w:val="22"/>
          <w:szCs w:val="22"/>
          <w:lang w:val="fr-CA"/>
        </w:rPr>
        <w:t>autre</w:t>
      </w:r>
      <w:r w:rsidR="00523E8E">
        <w:rPr>
          <w:sz w:val="22"/>
          <w:szCs w:val="22"/>
          <w:lang w:val="fr-CA"/>
        </w:rPr>
        <w:t>s</w:t>
      </w:r>
      <w:r>
        <w:rPr>
          <w:sz w:val="22"/>
          <w:szCs w:val="22"/>
          <w:lang w:val="fr-CA"/>
        </w:rPr>
        <w:t xml:space="preserve"> </w:t>
      </w:r>
      <w:r w:rsidRPr="00217EFC">
        <w:rPr>
          <w:sz w:val="22"/>
          <w:szCs w:val="22"/>
          <w:lang w:val="fr-CA"/>
        </w:rPr>
        <w:t>paires seront produit</w:t>
      </w:r>
      <w:r>
        <w:rPr>
          <w:sz w:val="22"/>
          <w:szCs w:val="22"/>
          <w:lang w:val="fr-CA"/>
        </w:rPr>
        <w:t>e</w:t>
      </w:r>
      <w:r w:rsidRPr="00217EFC">
        <w:rPr>
          <w:sz w:val="22"/>
          <w:szCs w:val="22"/>
          <w:lang w:val="fr-CA"/>
        </w:rPr>
        <w:t>s pour le mois de juillet</w:t>
      </w:r>
      <w:r w:rsidRPr="00217EFC">
        <w:rPr>
          <w:rStyle w:val="FootnoteReference"/>
          <w:sz w:val="22"/>
          <w:szCs w:val="22"/>
          <w:lang w:val="fr-CA"/>
        </w:rPr>
        <w:footnoteReference w:id="366"/>
      </w:r>
      <w:r w:rsidRPr="00217EFC">
        <w:rPr>
          <w:sz w:val="22"/>
          <w:szCs w:val="22"/>
          <w:lang w:val="fr-CA"/>
        </w:rPr>
        <w:t>. D</w:t>
      </w:r>
      <w:r>
        <w:rPr>
          <w:sz w:val="22"/>
          <w:szCs w:val="22"/>
          <w:lang w:val="fr-CA"/>
        </w:rPr>
        <w:t>e plus, d</w:t>
      </w:r>
      <w:r w:rsidRPr="00217EFC">
        <w:rPr>
          <w:sz w:val="22"/>
          <w:szCs w:val="22"/>
          <w:lang w:val="fr-CA"/>
        </w:rPr>
        <w:t xml:space="preserve">’autres organisations locales décideront d’aider la Croix-Rouge, comme l’Association </w:t>
      </w:r>
      <w:r w:rsidR="004B59F0">
        <w:rPr>
          <w:sz w:val="22"/>
          <w:szCs w:val="22"/>
          <w:lang w:val="fr-CA"/>
        </w:rPr>
        <w:t>m</w:t>
      </w:r>
      <w:r w:rsidRPr="00217EFC">
        <w:rPr>
          <w:sz w:val="22"/>
          <w:szCs w:val="22"/>
          <w:lang w:val="fr-CA"/>
        </w:rPr>
        <w:t>usicale de Manchester qui remettra les profits des quatre concerts de la saison</w:t>
      </w:r>
      <w:r w:rsidR="00523E8E">
        <w:rPr>
          <w:sz w:val="22"/>
          <w:szCs w:val="22"/>
          <w:lang w:val="fr-CA"/>
        </w:rPr>
        <w:t> </w:t>
      </w:r>
      <w:r w:rsidRPr="00217EFC">
        <w:rPr>
          <w:sz w:val="22"/>
          <w:szCs w:val="22"/>
          <w:lang w:val="fr-CA"/>
        </w:rPr>
        <w:t>1917-18 aux œuvres de la Croix-Rouge</w:t>
      </w:r>
      <w:r w:rsidRPr="00217EFC">
        <w:rPr>
          <w:rStyle w:val="FootnoteReference"/>
          <w:sz w:val="22"/>
          <w:szCs w:val="22"/>
          <w:lang w:val="fr-CA"/>
        </w:rPr>
        <w:footnoteReference w:id="367"/>
      </w:r>
      <w:r w:rsidRPr="00217EFC">
        <w:rPr>
          <w:sz w:val="22"/>
          <w:szCs w:val="22"/>
          <w:lang w:val="fr-CA"/>
        </w:rPr>
        <w:t>.</w:t>
      </w:r>
    </w:p>
    <w:p w14:paraId="713CC9D4" w14:textId="77777777" w:rsidR="000264D6" w:rsidRPr="00217EFC" w:rsidRDefault="000264D6" w:rsidP="002B5319">
      <w:pPr>
        <w:spacing w:before="100" w:beforeAutospacing="1" w:after="100" w:afterAutospacing="1"/>
        <w:ind w:firstLine="360"/>
        <w:jc w:val="both"/>
        <w:rPr>
          <w:sz w:val="22"/>
          <w:szCs w:val="22"/>
          <w:lang w:val="fr-CA"/>
        </w:rPr>
      </w:pPr>
      <w:r>
        <w:rPr>
          <w:sz w:val="22"/>
          <w:szCs w:val="22"/>
          <w:lang w:val="fr-CA"/>
        </w:rPr>
        <w:t>L</w:t>
      </w:r>
      <w:r w:rsidRPr="00217EFC">
        <w:rPr>
          <w:sz w:val="22"/>
          <w:szCs w:val="22"/>
          <w:lang w:val="fr-CA"/>
        </w:rPr>
        <w:t xml:space="preserve">a Croix-Rouge </w:t>
      </w:r>
      <w:r>
        <w:rPr>
          <w:sz w:val="22"/>
          <w:szCs w:val="22"/>
          <w:lang w:val="fr-CA"/>
        </w:rPr>
        <w:t>organise u</w:t>
      </w:r>
      <w:r w:rsidRPr="00217EFC">
        <w:rPr>
          <w:sz w:val="22"/>
          <w:szCs w:val="22"/>
          <w:lang w:val="fr-CA"/>
        </w:rPr>
        <w:t xml:space="preserve">ne </w:t>
      </w:r>
      <w:r>
        <w:rPr>
          <w:sz w:val="22"/>
          <w:szCs w:val="22"/>
          <w:lang w:val="fr-CA"/>
        </w:rPr>
        <w:t>deuxième collect</w:t>
      </w:r>
      <w:r w:rsidRPr="00217EFC">
        <w:rPr>
          <w:sz w:val="22"/>
          <w:szCs w:val="22"/>
          <w:lang w:val="fr-CA"/>
        </w:rPr>
        <w:t>e de fonds en mai 1918 et le montant visé pour Manchester est fixé à 75</w:t>
      </w:r>
      <w:r>
        <w:rPr>
          <w:sz w:val="22"/>
          <w:szCs w:val="22"/>
          <w:lang w:val="fr-CA"/>
        </w:rPr>
        <w:t> </w:t>
      </w:r>
      <w:r w:rsidRPr="00217EFC">
        <w:rPr>
          <w:sz w:val="22"/>
          <w:szCs w:val="22"/>
          <w:lang w:val="fr-CA"/>
        </w:rPr>
        <w:t>000</w:t>
      </w:r>
      <w:r>
        <w:rPr>
          <w:sz w:val="22"/>
          <w:szCs w:val="22"/>
          <w:lang w:val="fr-CA"/>
        </w:rPr>
        <w:t> </w:t>
      </w:r>
      <w:r w:rsidRPr="00217EFC">
        <w:rPr>
          <w:sz w:val="22"/>
          <w:szCs w:val="22"/>
          <w:lang w:val="fr-CA"/>
        </w:rPr>
        <w:t>$</w:t>
      </w:r>
      <w:r w:rsidRPr="00217EFC">
        <w:rPr>
          <w:rStyle w:val="FootnoteReference"/>
          <w:sz w:val="22"/>
          <w:szCs w:val="22"/>
          <w:lang w:val="fr-CA"/>
        </w:rPr>
        <w:footnoteReference w:id="368"/>
      </w:r>
      <w:r w:rsidRPr="00217EFC">
        <w:rPr>
          <w:sz w:val="22"/>
          <w:szCs w:val="22"/>
          <w:lang w:val="fr-CA"/>
        </w:rPr>
        <w:t>.</w:t>
      </w:r>
      <w:r>
        <w:rPr>
          <w:sz w:val="22"/>
          <w:szCs w:val="22"/>
          <w:lang w:val="fr-CA"/>
        </w:rPr>
        <w:t xml:space="preserve"> </w:t>
      </w:r>
      <w:r w:rsidRPr="00217EFC">
        <w:rPr>
          <w:sz w:val="22"/>
          <w:szCs w:val="22"/>
          <w:lang w:val="fr-CA"/>
        </w:rPr>
        <w:t>Dans les journées qui suivent cette annonce</w:t>
      </w:r>
      <w:r>
        <w:rPr>
          <w:sz w:val="22"/>
          <w:szCs w:val="22"/>
          <w:lang w:val="fr-CA"/>
        </w:rPr>
        <w:t>,</w:t>
      </w:r>
      <w:r w:rsidRPr="00217EFC">
        <w:rPr>
          <w:sz w:val="22"/>
          <w:szCs w:val="22"/>
          <w:lang w:val="fr-CA"/>
        </w:rPr>
        <w:t xml:space="preserve"> les membres des comités paroissiaux </w:t>
      </w:r>
      <w:r>
        <w:rPr>
          <w:sz w:val="22"/>
          <w:szCs w:val="22"/>
          <w:lang w:val="fr-CA"/>
        </w:rPr>
        <w:t xml:space="preserve">vont </w:t>
      </w:r>
      <w:r w:rsidRPr="00217EFC">
        <w:rPr>
          <w:sz w:val="22"/>
          <w:szCs w:val="22"/>
          <w:lang w:val="fr-CA"/>
        </w:rPr>
        <w:t>se rencontre</w:t>
      </w:r>
      <w:r>
        <w:rPr>
          <w:sz w:val="22"/>
          <w:szCs w:val="22"/>
          <w:lang w:val="fr-CA"/>
        </w:rPr>
        <w:t>r</w:t>
      </w:r>
      <w:r w:rsidRPr="00217EFC">
        <w:rPr>
          <w:sz w:val="22"/>
          <w:szCs w:val="22"/>
          <w:lang w:val="fr-CA"/>
        </w:rPr>
        <w:t xml:space="preserve"> afin de se préparer pour cet évènement</w:t>
      </w:r>
      <w:r>
        <w:rPr>
          <w:sz w:val="22"/>
          <w:szCs w:val="22"/>
          <w:lang w:val="fr-CA"/>
        </w:rPr>
        <w:t>. Certains comités feront preuve d’un enthousiasme marquant, c</w:t>
      </w:r>
      <w:r w:rsidRPr="00217EFC">
        <w:rPr>
          <w:sz w:val="22"/>
          <w:szCs w:val="22"/>
          <w:lang w:val="fr-CA"/>
        </w:rPr>
        <w:t>omme le groupe de la paroisse de Saint-Augustin qui changera son nom pour devenir les «</w:t>
      </w:r>
      <w:r w:rsidR="00523E8E">
        <w:rPr>
          <w:sz w:val="22"/>
          <w:szCs w:val="22"/>
          <w:lang w:val="fr-CA"/>
        </w:rPr>
        <w:t> </w:t>
      </w:r>
      <w:r w:rsidRPr="00217EFC">
        <w:rPr>
          <w:sz w:val="22"/>
          <w:szCs w:val="22"/>
          <w:lang w:val="fr-CA"/>
        </w:rPr>
        <w:t>Ouvrières de la Liberté de St-Augustin</w:t>
      </w:r>
      <w:r w:rsidR="00523E8E">
        <w:rPr>
          <w:sz w:val="22"/>
          <w:szCs w:val="22"/>
          <w:lang w:val="fr-CA"/>
        </w:rPr>
        <w:t> </w:t>
      </w:r>
      <w:r w:rsidRPr="00217EFC">
        <w:rPr>
          <w:sz w:val="22"/>
          <w:szCs w:val="22"/>
          <w:lang w:val="fr-CA"/>
        </w:rPr>
        <w:t>»</w:t>
      </w:r>
      <w:r w:rsidRPr="00217EFC">
        <w:rPr>
          <w:rStyle w:val="FootnoteReference"/>
          <w:sz w:val="22"/>
          <w:szCs w:val="22"/>
          <w:lang w:val="fr-CA"/>
        </w:rPr>
        <w:footnoteReference w:id="369"/>
      </w:r>
      <w:r w:rsidRPr="00217EFC">
        <w:rPr>
          <w:sz w:val="22"/>
          <w:szCs w:val="22"/>
          <w:lang w:val="fr-CA"/>
        </w:rPr>
        <w:t xml:space="preserve">. </w:t>
      </w:r>
      <w:r>
        <w:rPr>
          <w:sz w:val="22"/>
          <w:szCs w:val="22"/>
          <w:lang w:val="fr-CA"/>
        </w:rPr>
        <w:t xml:space="preserve">Le </w:t>
      </w:r>
      <w:r w:rsidRPr="00217EFC">
        <w:rPr>
          <w:sz w:val="22"/>
          <w:szCs w:val="22"/>
          <w:lang w:val="fr-CA"/>
        </w:rPr>
        <w:t>23 mai</w:t>
      </w:r>
      <w:r w:rsidR="00B54205">
        <w:rPr>
          <w:sz w:val="22"/>
          <w:szCs w:val="22"/>
          <w:lang w:val="fr-CA"/>
        </w:rPr>
        <w:t>,</w:t>
      </w:r>
      <w:r w:rsidRPr="003C0578">
        <w:rPr>
          <w:sz w:val="22"/>
          <w:lang w:val="fr-CA"/>
        </w:rPr>
        <w:t xml:space="preserve"> </w:t>
      </w:r>
      <w:r w:rsidRPr="00217EFC">
        <w:rPr>
          <w:sz w:val="22"/>
          <w:szCs w:val="22"/>
          <w:lang w:val="fr-CA"/>
        </w:rPr>
        <w:t xml:space="preserve">le journal annonce que la souscription de Manchester pour les fonds de guerre de la Croix-Rouge </w:t>
      </w:r>
      <w:r>
        <w:rPr>
          <w:sz w:val="22"/>
          <w:szCs w:val="22"/>
          <w:lang w:val="fr-CA"/>
        </w:rPr>
        <w:t xml:space="preserve">est </w:t>
      </w:r>
      <w:r w:rsidRPr="00217EFC">
        <w:rPr>
          <w:sz w:val="22"/>
          <w:szCs w:val="22"/>
          <w:lang w:val="fr-CA"/>
        </w:rPr>
        <w:t>de 75</w:t>
      </w:r>
      <w:r>
        <w:rPr>
          <w:sz w:val="22"/>
          <w:szCs w:val="22"/>
          <w:lang w:val="fr-CA"/>
        </w:rPr>
        <w:t> </w:t>
      </w:r>
      <w:r w:rsidRPr="00217EFC">
        <w:rPr>
          <w:sz w:val="22"/>
          <w:szCs w:val="22"/>
          <w:lang w:val="fr-CA"/>
        </w:rPr>
        <w:t>000</w:t>
      </w:r>
      <w:r>
        <w:rPr>
          <w:sz w:val="22"/>
          <w:szCs w:val="22"/>
          <w:lang w:val="fr-CA"/>
        </w:rPr>
        <w:t> </w:t>
      </w:r>
      <w:r w:rsidRPr="00217EFC">
        <w:rPr>
          <w:sz w:val="22"/>
          <w:szCs w:val="22"/>
          <w:lang w:val="fr-CA"/>
        </w:rPr>
        <w:t>$</w:t>
      </w:r>
      <w:r>
        <w:rPr>
          <w:sz w:val="22"/>
          <w:szCs w:val="22"/>
          <w:lang w:val="fr-CA"/>
        </w:rPr>
        <w:t xml:space="preserve"> et le </w:t>
      </w:r>
      <w:r w:rsidRPr="00217EFC">
        <w:rPr>
          <w:sz w:val="22"/>
          <w:szCs w:val="22"/>
          <w:lang w:val="fr-CA"/>
        </w:rPr>
        <w:t>comité de la ville rapporte qu</w:t>
      </w:r>
      <w:r>
        <w:rPr>
          <w:sz w:val="22"/>
          <w:szCs w:val="22"/>
          <w:lang w:val="fr-CA"/>
        </w:rPr>
        <w:t xml:space="preserve">’il a déjà accumulé </w:t>
      </w:r>
      <w:r w:rsidRPr="00217EFC">
        <w:rPr>
          <w:sz w:val="22"/>
          <w:szCs w:val="22"/>
          <w:lang w:val="fr-CA"/>
        </w:rPr>
        <w:t>53</w:t>
      </w:r>
      <w:r>
        <w:rPr>
          <w:sz w:val="22"/>
          <w:szCs w:val="22"/>
          <w:lang w:val="fr-CA"/>
        </w:rPr>
        <w:t> </w:t>
      </w:r>
      <w:r w:rsidRPr="00217EFC">
        <w:rPr>
          <w:sz w:val="22"/>
          <w:szCs w:val="22"/>
          <w:lang w:val="fr-CA"/>
        </w:rPr>
        <w:t>900</w:t>
      </w:r>
      <w:r>
        <w:rPr>
          <w:sz w:val="22"/>
          <w:szCs w:val="22"/>
          <w:lang w:val="fr-CA"/>
        </w:rPr>
        <w:t> </w:t>
      </w:r>
      <w:r w:rsidRPr="00217EFC">
        <w:rPr>
          <w:sz w:val="22"/>
          <w:szCs w:val="22"/>
          <w:lang w:val="fr-CA"/>
        </w:rPr>
        <w:t>$</w:t>
      </w:r>
      <w:r w:rsidRPr="00217EFC">
        <w:rPr>
          <w:rStyle w:val="FootnoteReference"/>
          <w:sz w:val="22"/>
          <w:szCs w:val="22"/>
          <w:lang w:val="fr-CA"/>
        </w:rPr>
        <w:footnoteReference w:id="370"/>
      </w:r>
      <w:r w:rsidRPr="00217EFC">
        <w:rPr>
          <w:sz w:val="22"/>
          <w:szCs w:val="22"/>
          <w:lang w:val="fr-CA"/>
        </w:rPr>
        <w:t xml:space="preserve">. </w:t>
      </w:r>
      <w:r>
        <w:rPr>
          <w:sz w:val="22"/>
          <w:szCs w:val="22"/>
          <w:lang w:val="fr-CA"/>
        </w:rPr>
        <w:t>L</w:t>
      </w:r>
      <w:r w:rsidRPr="00217EFC">
        <w:rPr>
          <w:sz w:val="22"/>
          <w:szCs w:val="22"/>
          <w:lang w:val="fr-CA"/>
        </w:rPr>
        <w:t xml:space="preserve">e montant </w:t>
      </w:r>
      <w:r>
        <w:rPr>
          <w:sz w:val="22"/>
          <w:szCs w:val="22"/>
          <w:lang w:val="fr-CA"/>
        </w:rPr>
        <w:t xml:space="preserve">total obtenu lors de cette campagne </w:t>
      </w:r>
      <w:r w:rsidRPr="00217EFC">
        <w:rPr>
          <w:sz w:val="22"/>
          <w:szCs w:val="22"/>
          <w:lang w:val="fr-CA"/>
        </w:rPr>
        <w:t>s’élève à 133</w:t>
      </w:r>
      <w:r>
        <w:rPr>
          <w:sz w:val="22"/>
          <w:szCs w:val="22"/>
          <w:lang w:val="fr-CA"/>
        </w:rPr>
        <w:t> </w:t>
      </w:r>
      <w:r w:rsidRPr="00217EFC">
        <w:rPr>
          <w:sz w:val="22"/>
          <w:szCs w:val="22"/>
          <w:lang w:val="fr-CA"/>
        </w:rPr>
        <w:t>225</w:t>
      </w:r>
      <w:r>
        <w:rPr>
          <w:sz w:val="22"/>
          <w:szCs w:val="22"/>
          <w:lang w:val="fr-CA"/>
        </w:rPr>
        <w:t> </w:t>
      </w:r>
      <w:r w:rsidRPr="00217EFC">
        <w:rPr>
          <w:sz w:val="22"/>
          <w:szCs w:val="22"/>
          <w:lang w:val="fr-CA"/>
        </w:rPr>
        <w:t>$</w:t>
      </w:r>
      <w:r>
        <w:rPr>
          <w:sz w:val="22"/>
          <w:szCs w:val="22"/>
          <w:lang w:val="fr-CA"/>
        </w:rPr>
        <w:t xml:space="preserve">. Il est digne de mention que </w:t>
      </w:r>
      <w:r w:rsidRPr="00217EFC">
        <w:rPr>
          <w:sz w:val="22"/>
          <w:szCs w:val="22"/>
          <w:lang w:val="fr-CA"/>
        </w:rPr>
        <w:t xml:space="preserve">la compagnie Amoskeag </w:t>
      </w:r>
      <w:r w:rsidR="00523E8E">
        <w:rPr>
          <w:sz w:val="22"/>
          <w:szCs w:val="22"/>
          <w:lang w:val="fr-CA"/>
        </w:rPr>
        <w:t xml:space="preserve">a fourni </w:t>
      </w:r>
      <w:r>
        <w:rPr>
          <w:sz w:val="22"/>
          <w:szCs w:val="22"/>
          <w:lang w:val="fr-CA"/>
        </w:rPr>
        <w:t>2</w:t>
      </w:r>
      <w:r w:rsidRPr="00217EFC">
        <w:rPr>
          <w:sz w:val="22"/>
          <w:szCs w:val="22"/>
          <w:lang w:val="fr-CA"/>
        </w:rPr>
        <w:t>5</w:t>
      </w:r>
      <w:r>
        <w:rPr>
          <w:sz w:val="22"/>
          <w:szCs w:val="22"/>
          <w:lang w:val="fr-CA"/>
        </w:rPr>
        <w:t> </w:t>
      </w:r>
      <w:r w:rsidRPr="00217EFC">
        <w:rPr>
          <w:sz w:val="22"/>
          <w:szCs w:val="22"/>
          <w:lang w:val="fr-CA"/>
        </w:rPr>
        <w:t>000</w:t>
      </w:r>
      <w:r>
        <w:rPr>
          <w:sz w:val="22"/>
          <w:szCs w:val="22"/>
          <w:lang w:val="fr-CA"/>
        </w:rPr>
        <w:t> </w:t>
      </w:r>
      <w:r w:rsidRPr="00217EFC">
        <w:rPr>
          <w:sz w:val="22"/>
          <w:szCs w:val="22"/>
          <w:lang w:val="fr-CA"/>
        </w:rPr>
        <w:t>$ en fin de campagne</w:t>
      </w:r>
      <w:r w:rsidRPr="00217EFC">
        <w:rPr>
          <w:rStyle w:val="FootnoteReference"/>
          <w:sz w:val="22"/>
          <w:szCs w:val="22"/>
          <w:lang w:val="fr-CA"/>
        </w:rPr>
        <w:footnoteReference w:id="371"/>
      </w:r>
      <w:r w:rsidRPr="00217EFC">
        <w:rPr>
          <w:sz w:val="22"/>
          <w:szCs w:val="22"/>
          <w:lang w:val="fr-CA"/>
        </w:rPr>
        <w:t>.</w:t>
      </w:r>
      <w:bookmarkEnd w:id="13"/>
    </w:p>
    <w:p w14:paraId="4417CEF0" w14:textId="7397ABAB" w:rsidR="000264D6" w:rsidRDefault="000264D6" w:rsidP="002B5319">
      <w:pPr>
        <w:spacing w:before="100" w:beforeAutospacing="1" w:after="100" w:afterAutospacing="1"/>
        <w:ind w:firstLine="360"/>
        <w:jc w:val="both"/>
        <w:rPr>
          <w:sz w:val="22"/>
          <w:szCs w:val="22"/>
          <w:lang w:val="fr-CA"/>
        </w:rPr>
      </w:pPr>
      <w:r>
        <w:rPr>
          <w:sz w:val="22"/>
          <w:szCs w:val="22"/>
          <w:lang w:val="fr-CA"/>
        </w:rPr>
        <w:lastRenderedPageBreak/>
        <w:t>Nous n’avons</w:t>
      </w:r>
      <w:r w:rsidRPr="00217EFC">
        <w:rPr>
          <w:sz w:val="22"/>
          <w:szCs w:val="22"/>
          <w:lang w:val="fr-CA"/>
        </w:rPr>
        <w:t xml:space="preserve"> pas</w:t>
      </w:r>
      <w:r>
        <w:rPr>
          <w:sz w:val="22"/>
          <w:szCs w:val="22"/>
          <w:lang w:val="fr-CA"/>
        </w:rPr>
        <w:t xml:space="preserve"> trouvé</w:t>
      </w:r>
      <w:r w:rsidRPr="00217EFC">
        <w:rPr>
          <w:sz w:val="22"/>
          <w:szCs w:val="22"/>
          <w:lang w:val="fr-CA"/>
        </w:rPr>
        <w:t xml:space="preserve"> de mention relative à la première campagne de bons de la Liberté dans </w:t>
      </w:r>
      <w:r w:rsidRPr="00217EFC">
        <w:rPr>
          <w:i/>
          <w:iCs/>
          <w:sz w:val="22"/>
          <w:szCs w:val="22"/>
          <w:lang w:val="fr-CA"/>
        </w:rPr>
        <w:t>L’Avenir National</w:t>
      </w:r>
      <w:r w:rsidRPr="00217EFC">
        <w:rPr>
          <w:sz w:val="22"/>
          <w:szCs w:val="22"/>
          <w:lang w:val="fr-CA"/>
        </w:rPr>
        <w:t xml:space="preserve">. Toutefois, </w:t>
      </w:r>
      <w:r>
        <w:rPr>
          <w:sz w:val="22"/>
          <w:szCs w:val="22"/>
          <w:lang w:val="fr-CA"/>
        </w:rPr>
        <w:t xml:space="preserve">la campagne de la Croix-Rouge </w:t>
      </w:r>
      <w:r w:rsidRPr="00B92E44">
        <w:rPr>
          <w:sz w:val="22"/>
          <w:lang w:val="fr-CA"/>
        </w:rPr>
        <w:t>a plutôt</w:t>
      </w:r>
      <w:r>
        <w:rPr>
          <w:sz w:val="22"/>
          <w:szCs w:val="22"/>
          <w:lang w:val="fr-CA"/>
        </w:rPr>
        <w:t xml:space="preserve"> re</w:t>
      </w:r>
      <w:r w:rsidRPr="008369CE">
        <w:rPr>
          <w:sz w:val="22"/>
          <w:szCs w:val="22"/>
          <w:lang w:val="fr-CA"/>
        </w:rPr>
        <w:t>çu</w:t>
      </w:r>
      <w:r>
        <w:rPr>
          <w:sz w:val="22"/>
          <w:szCs w:val="22"/>
          <w:lang w:val="fr-CA"/>
        </w:rPr>
        <w:t xml:space="preserve"> l’attention de </w:t>
      </w:r>
      <w:r>
        <w:rPr>
          <w:i/>
          <w:iCs/>
          <w:sz w:val="22"/>
          <w:szCs w:val="22"/>
          <w:lang w:val="fr-CA"/>
        </w:rPr>
        <w:t xml:space="preserve">L’Avenir </w:t>
      </w:r>
      <w:r w:rsidRPr="008369CE">
        <w:rPr>
          <w:sz w:val="22"/>
          <w:szCs w:val="22"/>
          <w:lang w:val="fr-CA"/>
        </w:rPr>
        <w:t>National</w:t>
      </w:r>
      <w:r>
        <w:rPr>
          <w:sz w:val="22"/>
          <w:szCs w:val="22"/>
          <w:lang w:val="fr-CA"/>
        </w:rPr>
        <w:t>. D</w:t>
      </w:r>
      <w:r w:rsidRPr="008369CE">
        <w:rPr>
          <w:sz w:val="22"/>
          <w:szCs w:val="22"/>
          <w:lang w:val="fr-CA"/>
        </w:rPr>
        <w:t>ès</w:t>
      </w:r>
      <w:r w:rsidRPr="00217EFC">
        <w:rPr>
          <w:sz w:val="22"/>
          <w:szCs w:val="22"/>
          <w:lang w:val="fr-CA"/>
        </w:rPr>
        <w:t xml:space="preserve"> octobre 1917</w:t>
      </w:r>
      <w:r w:rsidR="000E652B">
        <w:rPr>
          <w:sz w:val="22"/>
          <w:szCs w:val="22"/>
          <w:lang w:val="fr-CA"/>
        </w:rPr>
        <w:t>,</w:t>
      </w:r>
      <w:r>
        <w:rPr>
          <w:sz w:val="22"/>
          <w:szCs w:val="22"/>
          <w:lang w:val="fr-CA"/>
        </w:rPr>
        <w:t xml:space="preserve"> alors que</w:t>
      </w:r>
      <w:r w:rsidRPr="00217EFC">
        <w:rPr>
          <w:sz w:val="22"/>
          <w:szCs w:val="22"/>
          <w:lang w:val="fr-CA"/>
        </w:rPr>
        <w:t xml:space="preserve"> </w:t>
      </w:r>
      <w:r>
        <w:rPr>
          <w:sz w:val="22"/>
          <w:szCs w:val="22"/>
          <w:lang w:val="fr-CA"/>
        </w:rPr>
        <w:t xml:space="preserve">le journal </w:t>
      </w:r>
      <w:r w:rsidRPr="00217EFC">
        <w:rPr>
          <w:sz w:val="22"/>
          <w:szCs w:val="22"/>
          <w:lang w:val="fr-CA"/>
        </w:rPr>
        <w:t xml:space="preserve">annonce </w:t>
      </w:r>
      <w:r>
        <w:rPr>
          <w:sz w:val="22"/>
          <w:szCs w:val="22"/>
          <w:lang w:val="fr-CA"/>
        </w:rPr>
        <w:t xml:space="preserve">que </w:t>
      </w:r>
      <w:r w:rsidRPr="00217EFC">
        <w:rPr>
          <w:sz w:val="22"/>
          <w:szCs w:val="22"/>
          <w:lang w:val="fr-CA"/>
        </w:rPr>
        <w:t xml:space="preserve">le quota pour la deuxième campagne </w:t>
      </w:r>
      <w:r>
        <w:rPr>
          <w:sz w:val="22"/>
          <w:szCs w:val="22"/>
          <w:lang w:val="fr-CA"/>
        </w:rPr>
        <w:t>s’élèvera</w:t>
      </w:r>
      <w:r w:rsidRPr="00217EFC">
        <w:rPr>
          <w:sz w:val="22"/>
          <w:szCs w:val="22"/>
          <w:lang w:val="fr-CA"/>
        </w:rPr>
        <w:t xml:space="preserve"> entre 3</w:t>
      </w:r>
      <w:r>
        <w:rPr>
          <w:sz w:val="22"/>
          <w:szCs w:val="22"/>
          <w:lang w:val="fr-CA"/>
        </w:rPr>
        <w:t> 000 </w:t>
      </w:r>
      <w:r w:rsidRPr="00217EFC">
        <w:rPr>
          <w:sz w:val="22"/>
          <w:szCs w:val="22"/>
          <w:lang w:val="fr-CA"/>
        </w:rPr>
        <w:t>000</w:t>
      </w:r>
      <w:r>
        <w:rPr>
          <w:sz w:val="22"/>
          <w:szCs w:val="22"/>
          <w:lang w:val="fr-CA"/>
        </w:rPr>
        <w:t> </w:t>
      </w:r>
      <w:r w:rsidRPr="00217EFC">
        <w:rPr>
          <w:sz w:val="22"/>
          <w:szCs w:val="22"/>
          <w:lang w:val="fr-CA"/>
        </w:rPr>
        <w:t>$ et 5</w:t>
      </w:r>
      <w:r>
        <w:rPr>
          <w:sz w:val="22"/>
          <w:szCs w:val="22"/>
          <w:lang w:val="fr-CA"/>
        </w:rPr>
        <w:t> 000 </w:t>
      </w:r>
      <w:r w:rsidRPr="00217EFC">
        <w:rPr>
          <w:sz w:val="22"/>
          <w:szCs w:val="22"/>
          <w:lang w:val="fr-CA"/>
        </w:rPr>
        <w:t>000</w:t>
      </w:r>
      <w:r>
        <w:rPr>
          <w:sz w:val="22"/>
          <w:szCs w:val="22"/>
          <w:lang w:val="fr-CA"/>
        </w:rPr>
        <w:t> </w:t>
      </w:r>
      <w:r w:rsidRPr="00217EFC">
        <w:rPr>
          <w:sz w:val="22"/>
          <w:szCs w:val="22"/>
          <w:lang w:val="fr-CA"/>
        </w:rPr>
        <w:t>$ pour la nation</w:t>
      </w:r>
      <w:r w:rsidRPr="00217EFC">
        <w:rPr>
          <w:rStyle w:val="FootnoteReference"/>
          <w:sz w:val="22"/>
          <w:szCs w:val="22"/>
          <w:lang w:val="fr-CA"/>
        </w:rPr>
        <w:footnoteReference w:id="372"/>
      </w:r>
      <w:r w:rsidR="00144C29">
        <w:rPr>
          <w:sz w:val="22"/>
          <w:szCs w:val="22"/>
          <w:lang w:val="fr-CA"/>
        </w:rPr>
        <w:t>, l</w:t>
      </w:r>
      <w:r>
        <w:rPr>
          <w:sz w:val="22"/>
          <w:szCs w:val="22"/>
          <w:lang w:val="fr-CA"/>
        </w:rPr>
        <w:t xml:space="preserve">’équipe éditoriale de </w:t>
      </w:r>
      <w:r>
        <w:rPr>
          <w:i/>
          <w:iCs/>
          <w:sz w:val="22"/>
          <w:szCs w:val="22"/>
          <w:lang w:val="fr-CA"/>
        </w:rPr>
        <w:t xml:space="preserve">L’Avenir National </w:t>
      </w:r>
      <w:r>
        <w:rPr>
          <w:sz w:val="22"/>
          <w:szCs w:val="22"/>
          <w:lang w:val="fr-CA"/>
        </w:rPr>
        <w:t xml:space="preserve">signale l’importance de la contribution des gens. D’ailleurs, dans une </w:t>
      </w:r>
      <w:r w:rsidRPr="00217EFC">
        <w:rPr>
          <w:sz w:val="22"/>
          <w:szCs w:val="22"/>
          <w:lang w:val="fr-CA"/>
        </w:rPr>
        <w:t xml:space="preserve">publicité </w:t>
      </w:r>
      <w:r>
        <w:rPr>
          <w:sz w:val="22"/>
          <w:szCs w:val="22"/>
          <w:lang w:val="fr-CA"/>
        </w:rPr>
        <w:t xml:space="preserve">du journal, on compare </w:t>
      </w:r>
      <w:r w:rsidRPr="00217EFC">
        <w:rPr>
          <w:sz w:val="22"/>
          <w:szCs w:val="22"/>
          <w:lang w:val="fr-CA"/>
        </w:rPr>
        <w:t>l</w:t>
      </w:r>
      <w:r>
        <w:rPr>
          <w:sz w:val="22"/>
          <w:szCs w:val="22"/>
          <w:lang w:val="fr-CA"/>
        </w:rPr>
        <w:t xml:space="preserve">a puissance </w:t>
      </w:r>
      <w:r w:rsidRPr="00217EFC">
        <w:rPr>
          <w:sz w:val="22"/>
          <w:szCs w:val="22"/>
          <w:lang w:val="fr-CA"/>
        </w:rPr>
        <w:t xml:space="preserve">des bons </w:t>
      </w:r>
      <w:r>
        <w:rPr>
          <w:sz w:val="22"/>
          <w:szCs w:val="22"/>
          <w:lang w:val="fr-CA"/>
        </w:rPr>
        <w:t xml:space="preserve">à celle des </w:t>
      </w:r>
      <w:r w:rsidRPr="00217EFC">
        <w:rPr>
          <w:sz w:val="22"/>
          <w:szCs w:val="22"/>
          <w:lang w:val="fr-CA"/>
        </w:rPr>
        <w:t>fusils</w:t>
      </w:r>
      <w:r w:rsidRPr="00217EFC">
        <w:rPr>
          <w:rStyle w:val="FootnoteReference"/>
          <w:sz w:val="22"/>
          <w:szCs w:val="22"/>
          <w:lang w:val="fr-CA"/>
        </w:rPr>
        <w:footnoteReference w:id="373"/>
      </w:r>
      <w:r w:rsidRPr="00217EFC">
        <w:rPr>
          <w:sz w:val="22"/>
          <w:szCs w:val="22"/>
          <w:lang w:val="fr-CA"/>
        </w:rPr>
        <w:t xml:space="preserve">. </w:t>
      </w:r>
      <w:r>
        <w:rPr>
          <w:sz w:val="22"/>
          <w:szCs w:val="22"/>
          <w:lang w:val="fr-CA"/>
        </w:rPr>
        <w:t>À cet égard</w:t>
      </w:r>
      <w:r w:rsidRPr="00217EFC">
        <w:rPr>
          <w:sz w:val="22"/>
          <w:szCs w:val="22"/>
          <w:lang w:val="fr-CA"/>
        </w:rPr>
        <w:t>, les éditori</w:t>
      </w:r>
      <w:r>
        <w:rPr>
          <w:sz w:val="22"/>
          <w:szCs w:val="22"/>
          <w:lang w:val="fr-CA"/>
        </w:rPr>
        <w:t xml:space="preserve">alistes </w:t>
      </w:r>
      <w:r w:rsidRPr="00217EFC">
        <w:rPr>
          <w:sz w:val="22"/>
          <w:szCs w:val="22"/>
          <w:lang w:val="fr-CA"/>
        </w:rPr>
        <w:t xml:space="preserve">insistent </w:t>
      </w:r>
      <w:r>
        <w:rPr>
          <w:sz w:val="22"/>
          <w:szCs w:val="22"/>
          <w:lang w:val="fr-CA"/>
        </w:rPr>
        <w:t xml:space="preserve">pour que </w:t>
      </w:r>
      <w:r w:rsidRPr="00217EFC">
        <w:rPr>
          <w:sz w:val="22"/>
          <w:szCs w:val="22"/>
          <w:lang w:val="fr-CA"/>
        </w:rPr>
        <w:t>les gens contribue</w:t>
      </w:r>
      <w:r>
        <w:rPr>
          <w:sz w:val="22"/>
          <w:szCs w:val="22"/>
          <w:lang w:val="fr-CA"/>
        </w:rPr>
        <w:t xml:space="preserve">nt </w:t>
      </w:r>
      <w:r w:rsidRPr="00217EFC">
        <w:rPr>
          <w:sz w:val="22"/>
          <w:szCs w:val="22"/>
          <w:lang w:val="fr-CA"/>
        </w:rPr>
        <w:t>aux Emprunts de la Liberté (bons)</w:t>
      </w:r>
      <w:r>
        <w:rPr>
          <w:sz w:val="22"/>
          <w:szCs w:val="22"/>
          <w:lang w:val="fr-CA"/>
        </w:rPr>
        <w:t>,</w:t>
      </w:r>
      <w:r w:rsidRPr="00217EFC">
        <w:rPr>
          <w:sz w:val="22"/>
          <w:szCs w:val="22"/>
          <w:lang w:val="fr-CA"/>
        </w:rPr>
        <w:t xml:space="preserve"> avant le 27 octobre 1917</w:t>
      </w:r>
      <w:r>
        <w:rPr>
          <w:sz w:val="22"/>
          <w:szCs w:val="22"/>
          <w:lang w:val="fr-CA"/>
        </w:rPr>
        <w:t>,</w:t>
      </w:r>
      <w:r w:rsidRPr="00217EFC">
        <w:rPr>
          <w:sz w:val="22"/>
          <w:szCs w:val="22"/>
          <w:lang w:val="fr-CA"/>
        </w:rPr>
        <w:t xml:space="preserve"> et </w:t>
      </w:r>
      <w:r>
        <w:rPr>
          <w:sz w:val="22"/>
          <w:szCs w:val="22"/>
          <w:lang w:val="fr-CA"/>
        </w:rPr>
        <w:t xml:space="preserve">ils indiquent </w:t>
      </w:r>
      <w:r w:rsidRPr="00217EFC">
        <w:rPr>
          <w:sz w:val="22"/>
          <w:szCs w:val="22"/>
          <w:lang w:val="fr-CA"/>
        </w:rPr>
        <w:t xml:space="preserve">que </w:t>
      </w:r>
      <w:r>
        <w:rPr>
          <w:sz w:val="22"/>
          <w:szCs w:val="22"/>
          <w:lang w:val="fr-CA"/>
        </w:rPr>
        <w:t>c</w:t>
      </w:r>
      <w:r w:rsidRPr="00217EFC">
        <w:rPr>
          <w:sz w:val="22"/>
          <w:szCs w:val="22"/>
          <w:lang w:val="fr-CA"/>
        </w:rPr>
        <w:t xml:space="preserve">es souscriptions permettent aux soldats de vivre et </w:t>
      </w:r>
      <w:r>
        <w:rPr>
          <w:sz w:val="22"/>
          <w:szCs w:val="22"/>
          <w:lang w:val="fr-CA"/>
        </w:rPr>
        <w:t xml:space="preserve">de continuer leur lutte </w:t>
      </w:r>
      <w:r w:rsidRPr="00217EFC">
        <w:rPr>
          <w:sz w:val="22"/>
          <w:szCs w:val="22"/>
          <w:lang w:val="fr-CA"/>
        </w:rPr>
        <w:t>contre l’Allemagne</w:t>
      </w:r>
      <w:r w:rsidRPr="00217EFC">
        <w:rPr>
          <w:rStyle w:val="FootnoteReference"/>
          <w:sz w:val="22"/>
          <w:szCs w:val="22"/>
          <w:lang w:val="fr-CA"/>
        </w:rPr>
        <w:footnoteReference w:id="374"/>
      </w:r>
      <w:r w:rsidRPr="00217EFC">
        <w:rPr>
          <w:sz w:val="22"/>
          <w:szCs w:val="22"/>
          <w:lang w:val="fr-CA"/>
        </w:rPr>
        <w:t>.</w:t>
      </w:r>
    </w:p>
    <w:p w14:paraId="606AB004" w14:textId="77777777" w:rsidR="000264D6" w:rsidRDefault="000264D6" w:rsidP="002B5319">
      <w:pPr>
        <w:spacing w:before="100" w:beforeAutospacing="1" w:after="100" w:afterAutospacing="1"/>
        <w:ind w:firstLine="360"/>
        <w:jc w:val="both"/>
        <w:rPr>
          <w:sz w:val="22"/>
          <w:szCs w:val="22"/>
          <w:lang w:val="fr-CA"/>
        </w:rPr>
      </w:pPr>
      <w:r>
        <w:rPr>
          <w:sz w:val="22"/>
          <w:szCs w:val="22"/>
          <w:lang w:val="fr-CA"/>
        </w:rPr>
        <w:t>C’est seulement lorsque l’État indique</w:t>
      </w:r>
      <w:r w:rsidRPr="00421063">
        <w:rPr>
          <w:sz w:val="22"/>
          <w:szCs w:val="22"/>
          <w:lang w:val="fr-CA"/>
        </w:rPr>
        <w:t>,</w:t>
      </w:r>
      <w:r w:rsidRPr="00B92E44">
        <w:rPr>
          <w:sz w:val="22"/>
          <w:lang w:val="fr-CA"/>
        </w:rPr>
        <w:t xml:space="preserve"> le 26 mars 1918</w:t>
      </w:r>
      <w:r>
        <w:rPr>
          <w:sz w:val="22"/>
          <w:lang w:val="fr-CA"/>
        </w:rPr>
        <w:t>,</w:t>
      </w:r>
      <w:r>
        <w:rPr>
          <w:sz w:val="22"/>
          <w:szCs w:val="22"/>
          <w:lang w:val="fr-CA"/>
        </w:rPr>
        <w:t xml:space="preserve"> qu’il veut ramasser la somme </w:t>
      </w:r>
      <w:r w:rsidRPr="00217EFC">
        <w:rPr>
          <w:sz w:val="22"/>
          <w:szCs w:val="22"/>
          <w:lang w:val="fr-CA"/>
        </w:rPr>
        <w:t>de 8</w:t>
      </w:r>
      <w:r>
        <w:rPr>
          <w:sz w:val="22"/>
          <w:szCs w:val="22"/>
          <w:lang w:val="fr-CA"/>
        </w:rPr>
        <w:t> 166 </w:t>
      </w:r>
      <w:r w:rsidRPr="00217EFC">
        <w:rPr>
          <w:sz w:val="22"/>
          <w:szCs w:val="22"/>
          <w:lang w:val="fr-CA"/>
        </w:rPr>
        <w:t>000</w:t>
      </w:r>
      <w:r>
        <w:rPr>
          <w:sz w:val="22"/>
          <w:szCs w:val="22"/>
          <w:lang w:val="fr-CA"/>
        </w:rPr>
        <w:t> </w:t>
      </w:r>
      <w:r w:rsidRPr="00217EFC">
        <w:rPr>
          <w:sz w:val="22"/>
          <w:szCs w:val="22"/>
          <w:lang w:val="fr-CA"/>
        </w:rPr>
        <w:t>$</w:t>
      </w:r>
      <w:r w:rsidRPr="00217EFC">
        <w:rPr>
          <w:rStyle w:val="FootnoteReference"/>
          <w:sz w:val="22"/>
          <w:szCs w:val="22"/>
          <w:lang w:val="fr-CA"/>
        </w:rPr>
        <w:footnoteReference w:id="375"/>
      </w:r>
      <w:r>
        <w:rPr>
          <w:sz w:val="22"/>
          <w:szCs w:val="22"/>
          <w:lang w:val="fr-CA"/>
        </w:rPr>
        <w:t xml:space="preserve"> que </w:t>
      </w:r>
      <w:r>
        <w:rPr>
          <w:i/>
          <w:iCs/>
          <w:sz w:val="22"/>
          <w:szCs w:val="22"/>
          <w:lang w:val="fr-CA"/>
        </w:rPr>
        <w:t xml:space="preserve">L’Avenir National </w:t>
      </w:r>
      <w:r w:rsidRPr="00AD1E72">
        <w:rPr>
          <w:sz w:val="22"/>
          <w:szCs w:val="22"/>
          <w:lang w:val="fr-CA"/>
        </w:rPr>
        <w:t>couvre de nouveau les pr</w:t>
      </w:r>
      <w:r>
        <w:rPr>
          <w:sz w:val="22"/>
          <w:szCs w:val="22"/>
          <w:lang w:val="fr-CA"/>
        </w:rPr>
        <w:t>é</w:t>
      </w:r>
      <w:r w:rsidRPr="00AD1E72">
        <w:rPr>
          <w:sz w:val="22"/>
          <w:szCs w:val="22"/>
          <w:lang w:val="fr-CA"/>
        </w:rPr>
        <w:t>parati</w:t>
      </w:r>
      <w:r>
        <w:rPr>
          <w:sz w:val="22"/>
          <w:szCs w:val="22"/>
          <w:lang w:val="fr-CA"/>
        </w:rPr>
        <w:t>fs</w:t>
      </w:r>
      <w:r w:rsidRPr="00AD1E72">
        <w:rPr>
          <w:sz w:val="22"/>
          <w:szCs w:val="22"/>
          <w:lang w:val="fr-CA"/>
        </w:rPr>
        <w:t xml:space="preserve"> </w:t>
      </w:r>
      <w:r>
        <w:rPr>
          <w:sz w:val="22"/>
          <w:szCs w:val="22"/>
          <w:lang w:val="fr-CA"/>
        </w:rPr>
        <w:t xml:space="preserve">de la ville </w:t>
      </w:r>
      <w:r w:rsidRPr="00AD1E72">
        <w:rPr>
          <w:sz w:val="22"/>
          <w:szCs w:val="22"/>
          <w:lang w:val="fr-CA"/>
        </w:rPr>
        <w:t>pour</w:t>
      </w:r>
      <w:r>
        <w:rPr>
          <w:i/>
          <w:iCs/>
          <w:sz w:val="22"/>
          <w:szCs w:val="22"/>
          <w:lang w:val="fr-CA"/>
        </w:rPr>
        <w:t xml:space="preserve"> </w:t>
      </w:r>
      <w:r>
        <w:rPr>
          <w:sz w:val="22"/>
          <w:szCs w:val="22"/>
          <w:lang w:val="fr-CA"/>
        </w:rPr>
        <w:t>cette</w:t>
      </w:r>
      <w:r w:rsidRPr="00217EFC">
        <w:rPr>
          <w:sz w:val="22"/>
          <w:szCs w:val="22"/>
          <w:lang w:val="fr-CA"/>
        </w:rPr>
        <w:t xml:space="preserve"> troisième campagne d’emprunt</w:t>
      </w:r>
      <w:r w:rsidRPr="00217EFC">
        <w:rPr>
          <w:rStyle w:val="FootnoteReference"/>
          <w:sz w:val="22"/>
          <w:szCs w:val="22"/>
          <w:lang w:val="fr-CA"/>
        </w:rPr>
        <w:footnoteReference w:id="376"/>
      </w:r>
      <w:r w:rsidRPr="00217EFC">
        <w:rPr>
          <w:sz w:val="22"/>
          <w:szCs w:val="22"/>
          <w:lang w:val="fr-CA"/>
        </w:rPr>
        <w:t>.</w:t>
      </w:r>
      <w:r>
        <w:rPr>
          <w:sz w:val="22"/>
          <w:szCs w:val="22"/>
          <w:lang w:val="fr-CA"/>
        </w:rPr>
        <w:t xml:space="preserve"> </w:t>
      </w:r>
      <w:r>
        <w:rPr>
          <w:i/>
          <w:iCs/>
          <w:sz w:val="22"/>
          <w:szCs w:val="22"/>
          <w:lang w:val="fr-CA"/>
        </w:rPr>
        <w:t xml:space="preserve">L’Avenir National </w:t>
      </w:r>
      <w:r w:rsidRPr="00217EFC">
        <w:rPr>
          <w:sz w:val="22"/>
          <w:szCs w:val="22"/>
          <w:lang w:val="fr-CA"/>
        </w:rPr>
        <w:t xml:space="preserve">annonce que </w:t>
      </w:r>
      <w:r>
        <w:rPr>
          <w:sz w:val="22"/>
          <w:szCs w:val="22"/>
          <w:lang w:val="fr-CA"/>
        </w:rPr>
        <w:t xml:space="preserve">la ville de </w:t>
      </w:r>
      <w:r w:rsidRPr="00217EFC">
        <w:rPr>
          <w:sz w:val="22"/>
          <w:szCs w:val="22"/>
          <w:lang w:val="fr-CA"/>
        </w:rPr>
        <w:t xml:space="preserve">Manchester devra contribuer </w:t>
      </w:r>
      <w:r>
        <w:rPr>
          <w:sz w:val="22"/>
          <w:szCs w:val="22"/>
          <w:lang w:val="fr-CA"/>
        </w:rPr>
        <w:t xml:space="preserve">à hauteur de </w:t>
      </w:r>
      <w:r w:rsidRPr="00217EFC">
        <w:rPr>
          <w:sz w:val="22"/>
          <w:szCs w:val="22"/>
          <w:lang w:val="fr-CA"/>
        </w:rPr>
        <w:t>2</w:t>
      </w:r>
      <w:r w:rsidR="00F0664A">
        <w:rPr>
          <w:sz w:val="22"/>
          <w:szCs w:val="22"/>
          <w:lang w:val="fr-CA"/>
        </w:rPr>
        <w:t> 308 </w:t>
      </w:r>
      <w:r w:rsidRPr="00217EFC">
        <w:rPr>
          <w:sz w:val="22"/>
          <w:szCs w:val="22"/>
          <w:lang w:val="fr-CA"/>
        </w:rPr>
        <w:t>000</w:t>
      </w:r>
      <w:r>
        <w:rPr>
          <w:sz w:val="22"/>
          <w:szCs w:val="22"/>
          <w:lang w:val="fr-CA"/>
        </w:rPr>
        <w:t> </w:t>
      </w:r>
      <w:r w:rsidRPr="00217EFC">
        <w:rPr>
          <w:sz w:val="22"/>
          <w:szCs w:val="22"/>
          <w:lang w:val="fr-CA"/>
        </w:rPr>
        <w:t>$</w:t>
      </w:r>
      <w:r w:rsidRPr="00217EFC">
        <w:rPr>
          <w:rStyle w:val="FootnoteReference"/>
          <w:sz w:val="22"/>
          <w:szCs w:val="22"/>
          <w:lang w:val="fr-CA"/>
        </w:rPr>
        <w:footnoteReference w:id="377"/>
      </w:r>
      <w:r w:rsidRPr="00217EFC">
        <w:rPr>
          <w:sz w:val="22"/>
          <w:szCs w:val="22"/>
          <w:lang w:val="fr-CA"/>
        </w:rPr>
        <w:t xml:space="preserve">. La contribution </w:t>
      </w:r>
      <w:r>
        <w:rPr>
          <w:sz w:val="22"/>
          <w:szCs w:val="22"/>
          <w:lang w:val="fr-CA"/>
        </w:rPr>
        <w:t xml:space="preserve">de la ville est établie </w:t>
      </w:r>
      <w:r w:rsidRPr="00217EFC">
        <w:rPr>
          <w:sz w:val="22"/>
          <w:szCs w:val="22"/>
          <w:lang w:val="fr-CA"/>
        </w:rPr>
        <w:t>en fonction «</w:t>
      </w:r>
      <w:r>
        <w:rPr>
          <w:sz w:val="22"/>
          <w:szCs w:val="22"/>
          <w:lang w:val="fr-CA"/>
        </w:rPr>
        <w:t> </w:t>
      </w:r>
      <w:r w:rsidRPr="00217EFC">
        <w:rPr>
          <w:sz w:val="22"/>
          <w:szCs w:val="22"/>
          <w:lang w:val="fr-CA"/>
        </w:rPr>
        <w:t>de la population, le chiffre de ressources en banque et l’évaluation de la propriété</w:t>
      </w:r>
      <w:r>
        <w:rPr>
          <w:sz w:val="22"/>
          <w:szCs w:val="22"/>
          <w:lang w:val="fr-CA"/>
        </w:rPr>
        <w:t> </w:t>
      </w:r>
      <w:r w:rsidRPr="00217EFC">
        <w:rPr>
          <w:sz w:val="22"/>
          <w:szCs w:val="22"/>
          <w:lang w:val="fr-CA"/>
        </w:rPr>
        <w:t>»</w:t>
      </w:r>
      <w:r w:rsidRPr="00217EFC">
        <w:rPr>
          <w:rStyle w:val="FootnoteReference"/>
          <w:sz w:val="22"/>
          <w:szCs w:val="22"/>
          <w:lang w:val="fr-CA"/>
        </w:rPr>
        <w:footnoteReference w:id="378"/>
      </w:r>
      <w:r w:rsidRPr="00217EFC">
        <w:rPr>
          <w:sz w:val="22"/>
          <w:szCs w:val="22"/>
          <w:lang w:val="fr-CA"/>
        </w:rPr>
        <w:t xml:space="preserve">. </w:t>
      </w:r>
    </w:p>
    <w:p w14:paraId="77EF79B1" w14:textId="77777777" w:rsidR="000264D6" w:rsidRDefault="000264D6" w:rsidP="002B5319">
      <w:pPr>
        <w:spacing w:before="100" w:beforeAutospacing="1" w:after="100" w:afterAutospacing="1"/>
        <w:ind w:firstLine="360"/>
        <w:jc w:val="both"/>
        <w:rPr>
          <w:sz w:val="22"/>
          <w:szCs w:val="22"/>
          <w:lang w:val="fr-CA"/>
        </w:rPr>
      </w:pPr>
      <w:r>
        <w:rPr>
          <w:sz w:val="22"/>
          <w:szCs w:val="22"/>
          <w:lang w:val="fr-CA"/>
        </w:rPr>
        <w:t xml:space="preserve">C’est par </w:t>
      </w:r>
      <w:r w:rsidRPr="00217EFC">
        <w:rPr>
          <w:sz w:val="22"/>
          <w:szCs w:val="22"/>
          <w:lang w:val="fr-CA"/>
        </w:rPr>
        <w:t>un ralliement patriotique</w:t>
      </w:r>
      <w:r>
        <w:rPr>
          <w:sz w:val="22"/>
          <w:szCs w:val="22"/>
          <w:lang w:val="fr-CA"/>
        </w:rPr>
        <w:t xml:space="preserve"> qu’o</w:t>
      </w:r>
      <w:r w:rsidRPr="00217EFC">
        <w:rPr>
          <w:sz w:val="22"/>
          <w:szCs w:val="22"/>
          <w:lang w:val="fr-CA"/>
        </w:rPr>
        <w:t>n lance la campagne en sonnant les cloches des églises de la ville. D’ailleurs, M.</w:t>
      </w:r>
      <w:r>
        <w:rPr>
          <w:sz w:val="22"/>
          <w:szCs w:val="22"/>
          <w:lang w:val="fr-CA"/>
        </w:rPr>
        <w:t> </w:t>
      </w:r>
      <w:r w:rsidRPr="00217EFC">
        <w:rPr>
          <w:sz w:val="22"/>
          <w:szCs w:val="22"/>
          <w:lang w:val="fr-CA"/>
        </w:rPr>
        <w:t>Hamelin, le sous-secrétaire d</w:t>
      </w:r>
      <w:r>
        <w:rPr>
          <w:sz w:val="22"/>
          <w:szCs w:val="22"/>
          <w:lang w:val="fr-CA"/>
        </w:rPr>
        <w:t>u</w:t>
      </w:r>
      <w:r w:rsidRPr="00217EFC">
        <w:rPr>
          <w:sz w:val="22"/>
          <w:szCs w:val="22"/>
          <w:lang w:val="fr-CA"/>
        </w:rPr>
        <w:t xml:space="preserve"> Trésor pour le New Hampshire mentionne que les deux premières campagnes ont été des «</w:t>
      </w:r>
      <w:r>
        <w:rPr>
          <w:sz w:val="22"/>
          <w:szCs w:val="22"/>
          <w:lang w:val="fr-CA"/>
        </w:rPr>
        <w:t> </w:t>
      </w:r>
      <w:r w:rsidRPr="00217EFC">
        <w:rPr>
          <w:sz w:val="22"/>
          <w:szCs w:val="22"/>
          <w:lang w:val="fr-CA"/>
        </w:rPr>
        <w:t>magnifiques succès</w:t>
      </w:r>
      <w:r>
        <w:rPr>
          <w:sz w:val="22"/>
          <w:szCs w:val="22"/>
          <w:lang w:val="fr-CA"/>
        </w:rPr>
        <w:t> </w:t>
      </w:r>
      <w:r w:rsidRPr="00217EFC">
        <w:rPr>
          <w:sz w:val="22"/>
          <w:szCs w:val="22"/>
          <w:lang w:val="fr-CA"/>
        </w:rPr>
        <w:t>»</w:t>
      </w:r>
      <w:r w:rsidRPr="00217EFC">
        <w:rPr>
          <w:rStyle w:val="FootnoteReference"/>
          <w:sz w:val="22"/>
          <w:szCs w:val="22"/>
          <w:lang w:val="fr-CA"/>
        </w:rPr>
        <w:footnoteReference w:id="379"/>
      </w:r>
      <w:r w:rsidRPr="00217EFC">
        <w:rPr>
          <w:sz w:val="22"/>
          <w:szCs w:val="22"/>
          <w:lang w:val="fr-CA"/>
        </w:rPr>
        <w:t xml:space="preserve"> et que les 40 solliciteurs visitent les domiciles afin que deux pour</w:t>
      </w:r>
      <w:r>
        <w:rPr>
          <w:sz w:val="22"/>
          <w:szCs w:val="22"/>
          <w:lang w:val="fr-CA"/>
        </w:rPr>
        <w:t xml:space="preserve"> </w:t>
      </w:r>
      <w:r w:rsidRPr="00217EFC">
        <w:rPr>
          <w:sz w:val="22"/>
          <w:szCs w:val="22"/>
          <w:lang w:val="fr-CA"/>
        </w:rPr>
        <w:t>cent de la population de Manchester</w:t>
      </w:r>
      <w:r>
        <w:rPr>
          <w:sz w:val="22"/>
          <w:szCs w:val="22"/>
          <w:lang w:val="fr-CA"/>
        </w:rPr>
        <w:t xml:space="preserve"> participe à cette souscription</w:t>
      </w:r>
      <w:r w:rsidRPr="00217EFC">
        <w:rPr>
          <w:rStyle w:val="FootnoteReference"/>
          <w:sz w:val="22"/>
          <w:szCs w:val="22"/>
          <w:lang w:val="fr-CA"/>
        </w:rPr>
        <w:footnoteReference w:id="380"/>
      </w:r>
      <w:r w:rsidRPr="00217EFC">
        <w:rPr>
          <w:sz w:val="22"/>
          <w:szCs w:val="22"/>
          <w:lang w:val="fr-CA"/>
        </w:rPr>
        <w:t xml:space="preserve">. Une semaine </w:t>
      </w:r>
      <w:r>
        <w:rPr>
          <w:sz w:val="22"/>
          <w:szCs w:val="22"/>
          <w:lang w:val="fr-CA"/>
        </w:rPr>
        <w:t xml:space="preserve">seulement </w:t>
      </w:r>
      <w:r w:rsidRPr="00217EFC">
        <w:rPr>
          <w:sz w:val="22"/>
          <w:szCs w:val="22"/>
          <w:lang w:val="fr-CA"/>
        </w:rPr>
        <w:t>après le lancement de la campagne</w:t>
      </w:r>
      <w:r>
        <w:rPr>
          <w:sz w:val="22"/>
          <w:szCs w:val="22"/>
          <w:lang w:val="fr-CA"/>
        </w:rPr>
        <w:t>,</w:t>
      </w:r>
      <w:r w:rsidRPr="00217EFC">
        <w:rPr>
          <w:sz w:val="22"/>
          <w:szCs w:val="22"/>
          <w:lang w:val="fr-CA"/>
        </w:rPr>
        <w:t xml:space="preserve"> la ville a déjà atteint </w:t>
      </w:r>
      <w:r>
        <w:rPr>
          <w:sz w:val="22"/>
          <w:szCs w:val="22"/>
          <w:lang w:val="fr-CA"/>
        </w:rPr>
        <w:t xml:space="preserve">le </w:t>
      </w:r>
      <w:r w:rsidRPr="00217EFC">
        <w:rPr>
          <w:sz w:val="22"/>
          <w:szCs w:val="22"/>
          <w:lang w:val="fr-CA"/>
        </w:rPr>
        <w:t>sixième de son objectif</w:t>
      </w:r>
      <w:r>
        <w:rPr>
          <w:sz w:val="22"/>
          <w:szCs w:val="22"/>
          <w:lang w:val="fr-CA"/>
        </w:rPr>
        <w:t>,</w:t>
      </w:r>
      <w:r w:rsidRPr="00217EFC">
        <w:rPr>
          <w:sz w:val="22"/>
          <w:szCs w:val="22"/>
          <w:lang w:val="fr-CA"/>
        </w:rPr>
        <w:t xml:space="preserve"> soit 350</w:t>
      </w:r>
      <w:r w:rsidR="00F0664A">
        <w:rPr>
          <w:sz w:val="22"/>
          <w:szCs w:val="22"/>
          <w:lang w:val="fr-CA"/>
        </w:rPr>
        <w:t> </w:t>
      </w:r>
      <w:r w:rsidRPr="00217EFC">
        <w:rPr>
          <w:sz w:val="22"/>
          <w:szCs w:val="22"/>
          <w:lang w:val="fr-CA"/>
        </w:rPr>
        <w:t>000</w:t>
      </w:r>
      <w:r>
        <w:rPr>
          <w:sz w:val="22"/>
          <w:szCs w:val="22"/>
          <w:lang w:val="fr-CA"/>
        </w:rPr>
        <w:t> </w:t>
      </w:r>
      <w:r w:rsidRPr="00217EFC">
        <w:rPr>
          <w:sz w:val="22"/>
          <w:szCs w:val="22"/>
          <w:lang w:val="fr-CA"/>
        </w:rPr>
        <w:t>$</w:t>
      </w:r>
      <w:r w:rsidRPr="00217EFC">
        <w:rPr>
          <w:rStyle w:val="FootnoteReference"/>
          <w:sz w:val="22"/>
          <w:szCs w:val="22"/>
          <w:lang w:val="fr-CA"/>
        </w:rPr>
        <w:footnoteReference w:id="381"/>
      </w:r>
      <w:r w:rsidRPr="00217EFC">
        <w:rPr>
          <w:sz w:val="22"/>
          <w:szCs w:val="22"/>
          <w:lang w:val="fr-CA"/>
        </w:rPr>
        <w:t xml:space="preserve">. </w:t>
      </w:r>
    </w:p>
    <w:p w14:paraId="391C7F40"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Une nouvelle manifestation pour promouvoir les bons de la Liberté se tient le 17 avril 1918. </w:t>
      </w:r>
      <w:r>
        <w:rPr>
          <w:sz w:val="22"/>
          <w:szCs w:val="22"/>
          <w:lang w:val="fr-CA"/>
        </w:rPr>
        <w:t>Les résultats sont positifs, car e</w:t>
      </w:r>
      <w:r w:rsidRPr="00217EFC">
        <w:rPr>
          <w:sz w:val="22"/>
          <w:szCs w:val="22"/>
          <w:lang w:val="fr-CA"/>
        </w:rPr>
        <w:t>lle permet de rapporter</w:t>
      </w:r>
      <w:r>
        <w:rPr>
          <w:sz w:val="22"/>
          <w:szCs w:val="22"/>
          <w:lang w:val="fr-CA"/>
        </w:rPr>
        <w:t>,</w:t>
      </w:r>
      <w:r w:rsidRPr="00217EFC">
        <w:rPr>
          <w:sz w:val="22"/>
          <w:szCs w:val="22"/>
          <w:lang w:val="fr-CA"/>
        </w:rPr>
        <w:t xml:space="preserve"> pour le New Hampshire</w:t>
      </w:r>
      <w:r>
        <w:rPr>
          <w:sz w:val="22"/>
          <w:szCs w:val="22"/>
          <w:lang w:val="fr-CA"/>
        </w:rPr>
        <w:t>,</w:t>
      </w:r>
      <w:r w:rsidRPr="00217EFC">
        <w:rPr>
          <w:sz w:val="22"/>
          <w:szCs w:val="22"/>
          <w:lang w:val="fr-CA"/>
        </w:rPr>
        <w:t xml:space="preserve"> la somme de 457</w:t>
      </w:r>
      <w:r w:rsidR="00F0664A">
        <w:rPr>
          <w:sz w:val="22"/>
          <w:szCs w:val="22"/>
          <w:lang w:val="fr-CA"/>
        </w:rPr>
        <w:t> </w:t>
      </w:r>
      <w:r w:rsidRPr="00217EFC">
        <w:rPr>
          <w:sz w:val="22"/>
          <w:szCs w:val="22"/>
          <w:lang w:val="fr-CA"/>
        </w:rPr>
        <w:t>000</w:t>
      </w:r>
      <w:r>
        <w:rPr>
          <w:sz w:val="22"/>
          <w:szCs w:val="22"/>
          <w:lang w:val="fr-CA"/>
        </w:rPr>
        <w:t> </w:t>
      </w:r>
      <w:r w:rsidRPr="00217EFC">
        <w:rPr>
          <w:sz w:val="22"/>
          <w:szCs w:val="22"/>
          <w:lang w:val="fr-CA"/>
        </w:rPr>
        <w:t>$ en 24 heures</w:t>
      </w:r>
      <w:r w:rsidRPr="00217EFC">
        <w:rPr>
          <w:rStyle w:val="FootnoteReference"/>
          <w:sz w:val="22"/>
          <w:szCs w:val="22"/>
          <w:lang w:val="fr-CA"/>
        </w:rPr>
        <w:footnoteReference w:id="382"/>
      </w:r>
      <w:r>
        <w:rPr>
          <w:sz w:val="22"/>
          <w:szCs w:val="22"/>
          <w:lang w:val="fr-CA"/>
        </w:rPr>
        <w:t>. De plus, l</w:t>
      </w:r>
      <w:r w:rsidRPr="00217EFC">
        <w:rPr>
          <w:sz w:val="22"/>
          <w:szCs w:val="22"/>
          <w:lang w:val="fr-CA"/>
        </w:rPr>
        <w:t>e 20 avril 1918, 10</w:t>
      </w:r>
      <w:r w:rsidR="00F0664A">
        <w:rPr>
          <w:sz w:val="22"/>
          <w:szCs w:val="22"/>
          <w:lang w:val="fr-CA"/>
        </w:rPr>
        <w:t> </w:t>
      </w:r>
      <w:r w:rsidRPr="00217EFC">
        <w:rPr>
          <w:sz w:val="22"/>
          <w:szCs w:val="22"/>
          <w:lang w:val="fr-CA"/>
        </w:rPr>
        <w:t>000 personnes</w:t>
      </w:r>
      <w:r w:rsidRPr="004509C6">
        <w:rPr>
          <w:sz w:val="22"/>
          <w:szCs w:val="22"/>
          <w:lang w:val="fr-CA"/>
        </w:rPr>
        <w:t xml:space="preserve"> </w:t>
      </w:r>
      <w:r>
        <w:rPr>
          <w:sz w:val="22"/>
          <w:szCs w:val="22"/>
          <w:lang w:val="fr-CA"/>
        </w:rPr>
        <w:t xml:space="preserve">prennent part à une parade dans les rues de Manchester pour manifester en faveur des Emprunts de la Liberté. La parade rassemble </w:t>
      </w:r>
      <w:r w:rsidRPr="00217EFC">
        <w:rPr>
          <w:sz w:val="22"/>
          <w:szCs w:val="22"/>
          <w:lang w:val="fr-CA"/>
        </w:rPr>
        <w:t xml:space="preserve">vétérans, jeunes enfants, fanfares, miliciens de la Garde Nationale, membres de la Croix-Rouge et travailleurs de l’Emprunt de la Liberté. Il est estimé </w:t>
      </w:r>
      <w:r>
        <w:rPr>
          <w:sz w:val="22"/>
          <w:szCs w:val="22"/>
          <w:lang w:val="fr-CA"/>
        </w:rPr>
        <w:t xml:space="preserve">que </w:t>
      </w:r>
      <w:r w:rsidRPr="00217EFC">
        <w:rPr>
          <w:sz w:val="22"/>
          <w:szCs w:val="22"/>
          <w:lang w:val="fr-CA"/>
        </w:rPr>
        <w:t>plus de 50</w:t>
      </w:r>
      <w:r w:rsidR="00F0664A">
        <w:rPr>
          <w:sz w:val="22"/>
          <w:szCs w:val="22"/>
          <w:lang w:val="fr-CA"/>
        </w:rPr>
        <w:t> </w:t>
      </w:r>
      <w:r w:rsidRPr="00217EFC">
        <w:rPr>
          <w:sz w:val="22"/>
          <w:szCs w:val="22"/>
          <w:lang w:val="fr-CA"/>
        </w:rPr>
        <w:t xml:space="preserve">000 personnes </w:t>
      </w:r>
      <w:r>
        <w:rPr>
          <w:sz w:val="22"/>
          <w:szCs w:val="22"/>
          <w:lang w:val="fr-CA"/>
        </w:rPr>
        <w:t xml:space="preserve">ont </w:t>
      </w:r>
      <w:r w:rsidRPr="00217EFC">
        <w:rPr>
          <w:sz w:val="22"/>
          <w:szCs w:val="22"/>
          <w:lang w:val="fr-CA"/>
        </w:rPr>
        <w:t>assist</w:t>
      </w:r>
      <w:r>
        <w:rPr>
          <w:sz w:val="22"/>
          <w:szCs w:val="22"/>
          <w:lang w:val="fr-CA"/>
        </w:rPr>
        <w:t>é</w:t>
      </w:r>
      <w:r w:rsidRPr="00217EFC">
        <w:rPr>
          <w:sz w:val="22"/>
          <w:szCs w:val="22"/>
          <w:lang w:val="fr-CA"/>
        </w:rPr>
        <w:t xml:space="preserve"> à la parade </w:t>
      </w:r>
      <w:r>
        <w:rPr>
          <w:sz w:val="22"/>
          <w:szCs w:val="22"/>
          <w:lang w:val="fr-CA"/>
        </w:rPr>
        <w:t xml:space="preserve">qui était sous la présidence </w:t>
      </w:r>
      <w:r w:rsidRPr="00217EFC">
        <w:rPr>
          <w:sz w:val="22"/>
          <w:szCs w:val="22"/>
          <w:lang w:val="fr-CA"/>
        </w:rPr>
        <w:t>d’honneur du Gouverneur du New Hampshire et du Secrétaire de la Marine</w:t>
      </w:r>
      <w:r w:rsidRPr="00217EFC">
        <w:rPr>
          <w:rStyle w:val="FootnoteReference"/>
          <w:sz w:val="22"/>
          <w:szCs w:val="22"/>
          <w:lang w:val="fr-CA"/>
        </w:rPr>
        <w:footnoteReference w:id="383"/>
      </w:r>
      <w:r w:rsidRPr="00217EFC">
        <w:rPr>
          <w:sz w:val="22"/>
          <w:szCs w:val="22"/>
          <w:lang w:val="fr-CA"/>
        </w:rPr>
        <w:t>.</w:t>
      </w:r>
      <w:r>
        <w:rPr>
          <w:sz w:val="22"/>
          <w:szCs w:val="22"/>
          <w:lang w:val="fr-CA"/>
        </w:rPr>
        <w:t xml:space="preserve"> </w:t>
      </w:r>
      <w:r w:rsidRPr="00217EFC">
        <w:rPr>
          <w:sz w:val="22"/>
          <w:szCs w:val="22"/>
          <w:lang w:val="fr-CA"/>
        </w:rPr>
        <w:t>À l’instar des campagne</w:t>
      </w:r>
      <w:r w:rsidR="00523E8E">
        <w:rPr>
          <w:sz w:val="22"/>
          <w:szCs w:val="22"/>
          <w:lang w:val="fr-CA"/>
        </w:rPr>
        <w:t>s</w:t>
      </w:r>
      <w:r w:rsidRPr="00217EFC">
        <w:rPr>
          <w:sz w:val="22"/>
          <w:szCs w:val="22"/>
          <w:lang w:val="fr-CA"/>
        </w:rPr>
        <w:t xml:space="preserve"> précédentes, les parades permet</w:t>
      </w:r>
      <w:r>
        <w:rPr>
          <w:sz w:val="22"/>
          <w:szCs w:val="22"/>
          <w:lang w:val="fr-CA"/>
        </w:rPr>
        <w:t>tent</w:t>
      </w:r>
      <w:r w:rsidRPr="00217EFC">
        <w:rPr>
          <w:sz w:val="22"/>
          <w:szCs w:val="22"/>
          <w:lang w:val="fr-CA"/>
        </w:rPr>
        <w:t xml:space="preserve"> à la ville de rassembler la population et de ramasser</w:t>
      </w:r>
      <w:r>
        <w:rPr>
          <w:sz w:val="22"/>
          <w:szCs w:val="22"/>
          <w:lang w:val="fr-CA"/>
        </w:rPr>
        <w:t xml:space="preserve"> </w:t>
      </w:r>
      <w:r w:rsidRPr="00217EFC">
        <w:rPr>
          <w:sz w:val="22"/>
          <w:szCs w:val="22"/>
          <w:lang w:val="fr-CA"/>
        </w:rPr>
        <w:t>des fonds. Enfin, le 1</w:t>
      </w:r>
      <w:r w:rsidRPr="00217EFC">
        <w:rPr>
          <w:sz w:val="22"/>
          <w:szCs w:val="22"/>
          <w:vertAlign w:val="superscript"/>
          <w:lang w:val="fr-CA"/>
        </w:rPr>
        <w:t>er</w:t>
      </w:r>
      <w:r w:rsidRPr="00217EFC">
        <w:rPr>
          <w:sz w:val="22"/>
          <w:szCs w:val="22"/>
          <w:lang w:val="fr-CA"/>
        </w:rPr>
        <w:t xml:space="preserve"> mai 1918, le montant de </w:t>
      </w:r>
      <w:r w:rsidRPr="00217EFC">
        <w:rPr>
          <w:sz w:val="22"/>
          <w:szCs w:val="22"/>
          <w:lang w:val="fr-CA"/>
        </w:rPr>
        <w:lastRenderedPageBreak/>
        <w:t>souscription pour Manchester s’élève à 3</w:t>
      </w:r>
      <w:r w:rsidR="00F0664A">
        <w:rPr>
          <w:sz w:val="22"/>
          <w:szCs w:val="22"/>
          <w:lang w:val="fr-CA"/>
        </w:rPr>
        <w:t> 330 </w:t>
      </w:r>
      <w:r w:rsidRPr="00217EFC">
        <w:rPr>
          <w:sz w:val="22"/>
          <w:szCs w:val="22"/>
          <w:lang w:val="fr-CA"/>
        </w:rPr>
        <w:t>400</w:t>
      </w:r>
      <w:r>
        <w:rPr>
          <w:sz w:val="22"/>
          <w:szCs w:val="22"/>
          <w:lang w:val="fr-CA"/>
        </w:rPr>
        <w:t> </w:t>
      </w:r>
      <w:r w:rsidRPr="00217EFC">
        <w:rPr>
          <w:sz w:val="22"/>
          <w:szCs w:val="22"/>
          <w:lang w:val="fr-CA"/>
        </w:rPr>
        <w:t>$ et elle reçoit le drapeau d’honneur du troisième emprunt</w:t>
      </w:r>
      <w:r w:rsidRPr="00217EFC">
        <w:rPr>
          <w:rStyle w:val="FootnoteReference"/>
          <w:sz w:val="22"/>
          <w:szCs w:val="22"/>
          <w:lang w:val="fr-CA"/>
        </w:rPr>
        <w:footnoteReference w:id="384"/>
      </w:r>
      <w:r w:rsidRPr="00217EFC">
        <w:rPr>
          <w:sz w:val="22"/>
          <w:szCs w:val="22"/>
          <w:lang w:val="fr-CA"/>
        </w:rPr>
        <w:t>.</w:t>
      </w:r>
    </w:p>
    <w:p w14:paraId="154A8F26" w14:textId="77777777" w:rsidR="000264D6" w:rsidRDefault="000264D6" w:rsidP="002B5319">
      <w:pPr>
        <w:spacing w:before="100" w:beforeAutospacing="1" w:after="100" w:afterAutospacing="1"/>
        <w:ind w:firstLine="360"/>
        <w:jc w:val="both"/>
        <w:rPr>
          <w:sz w:val="22"/>
          <w:szCs w:val="22"/>
          <w:lang w:val="fr-CA"/>
        </w:rPr>
      </w:pPr>
      <w:r w:rsidRPr="00217EFC">
        <w:rPr>
          <w:sz w:val="22"/>
          <w:szCs w:val="22"/>
          <w:lang w:val="fr-CA"/>
        </w:rPr>
        <w:t>Quant à la quatrième campagne d’emprunt, les préparatifs débutent dès la mi-septembre</w:t>
      </w:r>
      <w:r>
        <w:rPr>
          <w:sz w:val="22"/>
          <w:szCs w:val="22"/>
          <w:lang w:val="fr-CA"/>
        </w:rPr>
        <w:t> </w:t>
      </w:r>
      <w:r w:rsidRPr="00217EFC">
        <w:rPr>
          <w:sz w:val="22"/>
          <w:szCs w:val="22"/>
          <w:lang w:val="fr-CA"/>
        </w:rPr>
        <w:t xml:space="preserve">1918 afin </w:t>
      </w:r>
      <w:r>
        <w:rPr>
          <w:sz w:val="22"/>
          <w:szCs w:val="22"/>
          <w:lang w:val="fr-CA"/>
        </w:rPr>
        <w:t xml:space="preserve">que tout soit </w:t>
      </w:r>
      <w:r w:rsidRPr="00217EFC">
        <w:rPr>
          <w:sz w:val="22"/>
          <w:szCs w:val="22"/>
          <w:lang w:val="fr-CA"/>
        </w:rPr>
        <w:t xml:space="preserve">prêt </w:t>
      </w:r>
      <w:r w:rsidRPr="000967C2">
        <w:rPr>
          <w:sz w:val="22"/>
          <w:szCs w:val="22"/>
          <w:lang w:val="fr-CA"/>
        </w:rPr>
        <w:t>p</w:t>
      </w:r>
      <w:r>
        <w:rPr>
          <w:sz w:val="22"/>
          <w:szCs w:val="22"/>
          <w:lang w:val="fr-CA"/>
        </w:rPr>
        <w:t xml:space="preserve">our </w:t>
      </w:r>
      <w:r w:rsidRPr="00217EFC">
        <w:rPr>
          <w:sz w:val="22"/>
          <w:szCs w:val="22"/>
          <w:lang w:val="fr-CA"/>
        </w:rPr>
        <w:t xml:space="preserve">le lancement </w:t>
      </w:r>
      <w:r>
        <w:rPr>
          <w:sz w:val="22"/>
          <w:szCs w:val="22"/>
          <w:lang w:val="fr-CA"/>
        </w:rPr>
        <w:t xml:space="preserve">officiel </w:t>
      </w:r>
      <w:r w:rsidRPr="00217EFC">
        <w:rPr>
          <w:sz w:val="22"/>
          <w:szCs w:val="22"/>
          <w:lang w:val="fr-CA"/>
        </w:rPr>
        <w:t>de la campagne, le 30 septembre</w:t>
      </w:r>
      <w:r w:rsidRPr="00217EFC">
        <w:rPr>
          <w:rStyle w:val="FootnoteReference"/>
          <w:sz w:val="22"/>
          <w:szCs w:val="22"/>
          <w:lang w:val="fr-CA"/>
        </w:rPr>
        <w:footnoteReference w:id="385"/>
      </w:r>
      <w:r w:rsidRPr="00217EFC">
        <w:rPr>
          <w:sz w:val="22"/>
          <w:szCs w:val="22"/>
          <w:lang w:val="fr-CA"/>
        </w:rPr>
        <w:t xml:space="preserve">. </w:t>
      </w:r>
      <w:r>
        <w:rPr>
          <w:sz w:val="22"/>
          <w:szCs w:val="22"/>
          <w:lang w:val="fr-CA"/>
        </w:rPr>
        <w:t>L</w:t>
      </w:r>
      <w:r w:rsidRPr="00217EFC">
        <w:rPr>
          <w:sz w:val="22"/>
          <w:szCs w:val="22"/>
          <w:lang w:val="fr-CA"/>
        </w:rPr>
        <w:t xml:space="preserve">a campagne ne se déroule pas aussi bien que prévu, car plusieurs </w:t>
      </w:r>
      <w:r>
        <w:rPr>
          <w:sz w:val="22"/>
          <w:szCs w:val="22"/>
          <w:lang w:val="fr-CA"/>
        </w:rPr>
        <w:t>personnes de la communauté</w:t>
      </w:r>
      <w:r w:rsidRPr="00217EFC">
        <w:rPr>
          <w:sz w:val="22"/>
          <w:szCs w:val="22"/>
          <w:lang w:val="fr-CA"/>
        </w:rPr>
        <w:t xml:space="preserve"> sont affectées par l’épidémie d’influenza.</w:t>
      </w:r>
      <w:r>
        <w:rPr>
          <w:sz w:val="22"/>
          <w:szCs w:val="22"/>
          <w:lang w:val="fr-CA"/>
        </w:rPr>
        <w:t xml:space="preserve"> L</w:t>
      </w:r>
      <w:r w:rsidRPr="00217EFC">
        <w:rPr>
          <w:sz w:val="22"/>
          <w:szCs w:val="22"/>
          <w:lang w:val="fr-CA"/>
        </w:rPr>
        <w:t>e 13 octobre</w:t>
      </w:r>
      <w:r>
        <w:rPr>
          <w:sz w:val="22"/>
          <w:szCs w:val="22"/>
          <w:lang w:val="fr-CA"/>
        </w:rPr>
        <w:t>,</w:t>
      </w:r>
      <w:r w:rsidRPr="00217EFC">
        <w:rPr>
          <w:sz w:val="22"/>
          <w:szCs w:val="22"/>
          <w:lang w:val="fr-CA"/>
        </w:rPr>
        <w:t xml:space="preserve"> </w:t>
      </w:r>
      <w:r>
        <w:rPr>
          <w:sz w:val="22"/>
          <w:szCs w:val="22"/>
          <w:lang w:val="fr-CA"/>
        </w:rPr>
        <w:t xml:space="preserve">il manque à </w:t>
      </w:r>
      <w:r w:rsidRPr="00217EFC">
        <w:rPr>
          <w:sz w:val="22"/>
          <w:szCs w:val="22"/>
          <w:lang w:val="fr-CA"/>
        </w:rPr>
        <w:t>700</w:t>
      </w:r>
      <w:r w:rsidR="00F0664A">
        <w:rPr>
          <w:sz w:val="22"/>
          <w:szCs w:val="22"/>
          <w:lang w:val="fr-CA"/>
        </w:rPr>
        <w:t> </w:t>
      </w:r>
      <w:r w:rsidRPr="00217EFC">
        <w:rPr>
          <w:sz w:val="22"/>
          <w:szCs w:val="22"/>
          <w:lang w:val="fr-CA"/>
        </w:rPr>
        <w:t>000</w:t>
      </w:r>
      <w:r>
        <w:rPr>
          <w:sz w:val="22"/>
          <w:szCs w:val="22"/>
          <w:lang w:val="fr-CA"/>
        </w:rPr>
        <w:t> </w:t>
      </w:r>
      <w:r w:rsidRPr="00217EFC">
        <w:rPr>
          <w:sz w:val="22"/>
          <w:szCs w:val="22"/>
          <w:lang w:val="fr-CA"/>
        </w:rPr>
        <w:t xml:space="preserve">$ </w:t>
      </w:r>
      <w:r>
        <w:rPr>
          <w:sz w:val="22"/>
          <w:szCs w:val="22"/>
          <w:lang w:val="fr-CA"/>
        </w:rPr>
        <w:t xml:space="preserve">à la ville </w:t>
      </w:r>
      <w:r w:rsidRPr="00217EFC">
        <w:rPr>
          <w:sz w:val="22"/>
          <w:szCs w:val="22"/>
          <w:lang w:val="fr-CA"/>
        </w:rPr>
        <w:t>pour atteindre s</w:t>
      </w:r>
      <w:r>
        <w:rPr>
          <w:sz w:val="22"/>
          <w:szCs w:val="22"/>
          <w:lang w:val="fr-CA"/>
        </w:rPr>
        <w:t xml:space="preserve">a quote-part, mais </w:t>
      </w:r>
      <w:r w:rsidRPr="00217EFC">
        <w:rPr>
          <w:sz w:val="22"/>
          <w:szCs w:val="22"/>
          <w:lang w:val="fr-CA"/>
        </w:rPr>
        <w:t xml:space="preserve">en </w:t>
      </w:r>
      <w:r>
        <w:rPr>
          <w:sz w:val="22"/>
          <w:szCs w:val="22"/>
          <w:lang w:val="fr-CA"/>
        </w:rPr>
        <w:t xml:space="preserve">clôture </w:t>
      </w:r>
      <w:r w:rsidRPr="00217EFC">
        <w:rPr>
          <w:sz w:val="22"/>
          <w:szCs w:val="22"/>
          <w:lang w:val="fr-CA"/>
        </w:rPr>
        <w:t xml:space="preserve">de campagne, le 19 octobre 1918, </w:t>
      </w:r>
      <w:r w:rsidRPr="00B92E44">
        <w:rPr>
          <w:sz w:val="22"/>
          <w:lang w:val="fr-CA"/>
        </w:rPr>
        <w:t xml:space="preserve">Manchester </w:t>
      </w:r>
      <w:r w:rsidRPr="00217EFC">
        <w:rPr>
          <w:sz w:val="22"/>
          <w:szCs w:val="22"/>
          <w:lang w:val="fr-CA"/>
        </w:rPr>
        <w:t>réussi</w:t>
      </w:r>
      <w:r>
        <w:rPr>
          <w:sz w:val="22"/>
          <w:szCs w:val="22"/>
          <w:lang w:val="fr-CA"/>
        </w:rPr>
        <w:t>t</w:t>
      </w:r>
      <w:r w:rsidRPr="00217EFC">
        <w:rPr>
          <w:sz w:val="22"/>
          <w:szCs w:val="22"/>
          <w:lang w:val="fr-CA"/>
        </w:rPr>
        <w:t xml:space="preserve"> à dépasser son objectif de 60</w:t>
      </w:r>
      <w:r>
        <w:rPr>
          <w:sz w:val="22"/>
          <w:szCs w:val="22"/>
          <w:lang w:val="fr-CA"/>
        </w:rPr>
        <w:t> %</w:t>
      </w:r>
      <w:r w:rsidRPr="00217EFC">
        <w:rPr>
          <w:sz w:val="22"/>
          <w:szCs w:val="22"/>
          <w:lang w:val="fr-CA"/>
        </w:rPr>
        <w:t xml:space="preserve">. </w:t>
      </w:r>
      <w:r>
        <w:rPr>
          <w:sz w:val="22"/>
          <w:szCs w:val="22"/>
          <w:lang w:val="fr-CA"/>
        </w:rPr>
        <w:t>L</w:t>
      </w:r>
      <w:r w:rsidRPr="00217EFC">
        <w:rPr>
          <w:sz w:val="22"/>
          <w:szCs w:val="22"/>
          <w:lang w:val="fr-CA"/>
        </w:rPr>
        <w:t>a somme de 7</w:t>
      </w:r>
      <w:r w:rsidR="00F0664A">
        <w:rPr>
          <w:sz w:val="22"/>
          <w:szCs w:val="22"/>
          <w:lang w:val="fr-CA"/>
        </w:rPr>
        <w:t> 576 </w:t>
      </w:r>
      <w:r w:rsidRPr="00217EFC">
        <w:rPr>
          <w:sz w:val="22"/>
          <w:szCs w:val="22"/>
          <w:lang w:val="fr-CA"/>
        </w:rPr>
        <w:t>350</w:t>
      </w:r>
      <w:r>
        <w:rPr>
          <w:sz w:val="22"/>
          <w:szCs w:val="22"/>
          <w:lang w:val="fr-CA"/>
        </w:rPr>
        <w:t> </w:t>
      </w:r>
      <w:r w:rsidRPr="00217EFC">
        <w:rPr>
          <w:sz w:val="22"/>
          <w:szCs w:val="22"/>
          <w:lang w:val="fr-CA"/>
        </w:rPr>
        <w:t>$</w:t>
      </w:r>
      <w:r>
        <w:rPr>
          <w:sz w:val="22"/>
          <w:szCs w:val="22"/>
          <w:lang w:val="fr-CA"/>
        </w:rPr>
        <w:t xml:space="preserve"> est finalement recueillie</w:t>
      </w:r>
      <w:r w:rsidRPr="00217EFC">
        <w:rPr>
          <w:rStyle w:val="FootnoteReference"/>
          <w:sz w:val="22"/>
          <w:szCs w:val="22"/>
          <w:lang w:val="fr-CA"/>
        </w:rPr>
        <w:footnoteReference w:id="386"/>
      </w:r>
      <w:r w:rsidRPr="00217EFC">
        <w:rPr>
          <w:sz w:val="22"/>
          <w:szCs w:val="22"/>
          <w:lang w:val="fr-CA"/>
        </w:rPr>
        <w:t xml:space="preserve">. En fait, ce sont </w:t>
      </w:r>
      <w:r w:rsidRPr="00B92E44">
        <w:rPr>
          <w:sz w:val="22"/>
          <w:lang w:val="fr-CA"/>
        </w:rPr>
        <w:t xml:space="preserve">les banques </w:t>
      </w:r>
      <w:r w:rsidRPr="00217EFC">
        <w:rPr>
          <w:sz w:val="22"/>
          <w:szCs w:val="22"/>
          <w:lang w:val="fr-CA"/>
        </w:rPr>
        <w:t xml:space="preserve">qui </w:t>
      </w:r>
      <w:r w:rsidRPr="00B92E44">
        <w:rPr>
          <w:sz w:val="22"/>
          <w:lang w:val="fr-CA"/>
        </w:rPr>
        <w:t>contribuent</w:t>
      </w:r>
      <w:r w:rsidRPr="00217EFC">
        <w:rPr>
          <w:sz w:val="22"/>
          <w:szCs w:val="22"/>
          <w:lang w:val="fr-CA"/>
        </w:rPr>
        <w:t xml:space="preserve"> </w:t>
      </w:r>
      <w:r>
        <w:rPr>
          <w:sz w:val="22"/>
          <w:szCs w:val="22"/>
          <w:lang w:val="fr-CA"/>
        </w:rPr>
        <w:t xml:space="preserve">avec </w:t>
      </w:r>
      <w:r w:rsidRPr="00217EFC">
        <w:rPr>
          <w:sz w:val="22"/>
          <w:szCs w:val="22"/>
          <w:lang w:val="fr-CA"/>
        </w:rPr>
        <w:t>de grandes sommes afin de faire</w:t>
      </w:r>
      <w:r>
        <w:rPr>
          <w:sz w:val="22"/>
          <w:szCs w:val="22"/>
          <w:lang w:val="fr-CA"/>
        </w:rPr>
        <w:t xml:space="preserve"> </w:t>
      </w:r>
      <w:r w:rsidRPr="00217EFC">
        <w:rPr>
          <w:sz w:val="22"/>
          <w:szCs w:val="22"/>
          <w:lang w:val="fr-CA"/>
        </w:rPr>
        <w:t>passer la souscription de la ville de 15 à 60</w:t>
      </w:r>
      <w:r>
        <w:rPr>
          <w:sz w:val="22"/>
          <w:szCs w:val="22"/>
          <w:lang w:val="fr-CA"/>
        </w:rPr>
        <w:t xml:space="preserve"> % </w:t>
      </w:r>
      <w:r w:rsidRPr="00217EFC">
        <w:rPr>
          <w:sz w:val="22"/>
          <w:szCs w:val="22"/>
          <w:lang w:val="fr-CA"/>
        </w:rPr>
        <w:t>de plus que la quote-part initialement demandée</w:t>
      </w:r>
      <w:r w:rsidRPr="00217EFC">
        <w:rPr>
          <w:rStyle w:val="FootnoteReference"/>
          <w:sz w:val="22"/>
          <w:szCs w:val="22"/>
          <w:lang w:val="fr-CA"/>
        </w:rPr>
        <w:footnoteReference w:id="387"/>
      </w:r>
      <w:r w:rsidRPr="00217EFC">
        <w:rPr>
          <w:sz w:val="22"/>
          <w:szCs w:val="22"/>
          <w:lang w:val="fr-CA"/>
        </w:rPr>
        <w:t>.</w:t>
      </w:r>
    </w:p>
    <w:p w14:paraId="68625090"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Les timbres de guerre sont une autre façon de financer l’effort de guerre américain </w:t>
      </w:r>
      <w:r>
        <w:rPr>
          <w:sz w:val="22"/>
          <w:szCs w:val="22"/>
          <w:lang w:val="fr-CA"/>
        </w:rPr>
        <w:t>par la contribution directe de la population</w:t>
      </w:r>
      <w:r w:rsidRPr="00217EFC">
        <w:rPr>
          <w:sz w:val="22"/>
          <w:szCs w:val="22"/>
          <w:lang w:val="fr-CA"/>
        </w:rPr>
        <w:t>. Au début juin 1918, les travailleurs du comité pour les timbres de guerre se rencontre</w:t>
      </w:r>
      <w:r>
        <w:rPr>
          <w:sz w:val="22"/>
          <w:szCs w:val="22"/>
          <w:lang w:val="fr-CA"/>
        </w:rPr>
        <w:t>nt</w:t>
      </w:r>
      <w:r w:rsidRPr="00217EFC">
        <w:rPr>
          <w:sz w:val="22"/>
          <w:szCs w:val="22"/>
          <w:lang w:val="fr-CA"/>
        </w:rPr>
        <w:t xml:space="preserve"> pour planifier leur campagne</w:t>
      </w:r>
      <w:r w:rsidRPr="008A6762">
        <w:rPr>
          <w:sz w:val="22"/>
          <w:szCs w:val="22"/>
          <w:lang w:val="fr-CA"/>
        </w:rPr>
        <w:t xml:space="preserve"> </w:t>
      </w:r>
      <w:r w:rsidRPr="00217EFC">
        <w:rPr>
          <w:sz w:val="22"/>
          <w:szCs w:val="22"/>
          <w:lang w:val="fr-CA"/>
        </w:rPr>
        <w:t>et la quote-part pour Manchester est de 1</w:t>
      </w:r>
      <w:r w:rsidR="00F0664A">
        <w:rPr>
          <w:sz w:val="22"/>
          <w:szCs w:val="22"/>
          <w:lang w:val="fr-CA"/>
        </w:rPr>
        <w:t> 250 </w:t>
      </w:r>
      <w:r w:rsidRPr="00217EFC">
        <w:rPr>
          <w:sz w:val="22"/>
          <w:szCs w:val="22"/>
          <w:lang w:val="fr-CA"/>
        </w:rPr>
        <w:t>000</w:t>
      </w:r>
      <w:r>
        <w:rPr>
          <w:sz w:val="22"/>
          <w:szCs w:val="22"/>
          <w:lang w:val="fr-CA"/>
        </w:rPr>
        <w:t> </w:t>
      </w:r>
      <w:r w:rsidRPr="00217EFC">
        <w:rPr>
          <w:sz w:val="22"/>
          <w:szCs w:val="22"/>
          <w:lang w:val="fr-CA"/>
        </w:rPr>
        <w:t xml:space="preserve">$. Ce n’est que quelques jours </w:t>
      </w:r>
      <w:r>
        <w:rPr>
          <w:sz w:val="22"/>
          <w:szCs w:val="22"/>
          <w:lang w:val="fr-CA"/>
        </w:rPr>
        <w:t xml:space="preserve">après </w:t>
      </w:r>
      <w:r w:rsidRPr="00217EFC">
        <w:rPr>
          <w:sz w:val="22"/>
          <w:szCs w:val="22"/>
          <w:lang w:val="fr-CA"/>
        </w:rPr>
        <w:t>la clôture de la campagne, le 28 juin 1918, que l’on apprend que Manchester a contribué</w:t>
      </w:r>
      <w:r>
        <w:rPr>
          <w:sz w:val="22"/>
          <w:szCs w:val="22"/>
          <w:lang w:val="fr-CA"/>
        </w:rPr>
        <w:t xml:space="preserve"> pour un </w:t>
      </w:r>
      <w:r w:rsidRPr="00217EFC">
        <w:rPr>
          <w:sz w:val="22"/>
          <w:szCs w:val="22"/>
          <w:lang w:val="fr-CA"/>
        </w:rPr>
        <w:t xml:space="preserve">montant de </w:t>
      </w:r>
      <w:r w:rsidRPr="008A6762">
        <w:rPr>
          <w:sz w:val="22"/>
          <w:szCs w:val="22"/>
          <w:lang w:val="fr-CA"/>
        </w:rPr>
        <w:t>501</w:t>
      </w:r>
      <w:r w:rsidR="00F0664A">
        <w:rPr>
          <w:sz w:val="22"/>
          <w:szCs w:val="22"/>
          <w:lang w:val="fr-CA"/>
        </w:rPr>
        <w:t> </w:t>
      </w:r>
      <w:r w:rsidRPr="008A6762">
        <w:rPr>
          <w:sz w:val="22"/>
          <w:szCs w:val="22"/>
          <w:lang w:val="fr-CA"/>
        </w:rPr>
        <w:t>619</w:t>
      </w:r>
      <w:r>
        <w:rPr>
          <w:sz w:val="22"/>
          <w:szCs w:val="22"/>
          <w:lang w:val="fr-CA"/>
        </w:rPr>
        <w:t> </w:t>
      </w:r>
      <w:r w:rsidRPr="00217EFC">
        <w:rPr>
          <w:sz w:val="22"/>
          <w:szCs w:val="22"/>
          <w:lang w:val="fr-CA"/>
        </w:rPr>
        <w:t>$</w:t>
      </w:r>
      <w:r w:rsidRPr="00217EFC">
        <w:rPr>
          <w:rStyle w:val="FootnoteReference"/>
          <w:sz w:val="22"/>
          <w:szCs w:val="22"/>
          <w:lang w:val="fr-CA"/>
        </w:rPr>
        <w:footnoteReference w:id="388"/>
      </w:r>
      <w:r w:rsidRPr="00217EFC">
        <w:rPr>
          <w:sz w:val="22"/>
          <w:szCs w:val="22"/>
          <w:lang w:val="fr-CA"/>
        </w:rPr>
        <w:t>.</w:t>
      </w:r>
    </w:p>
    <w:p w14:paraId="1EB98127" w14:textId="77777777" w:rsidR="000264D6" w:rsidRPr="00B92E44" w:rsidRDefault="000264D6" w:rsidP="007B51C0">
      <w:pPr>
        <w:spacing w:before="100" w:beforeAutospacing="1" w:after="100" w:afterAutospacing="1" w:line="480" w:lineRule="auto"/>
        <w:jc w:val="both"/>
        <w:rPr>
          <w:b/>
          <w:bCs/>
          <w:sz w:val="22"/>
          <w:szCs w:val="22"/>
          <w:u w:val="single"/>
          <w:lang w:val="fr-CA"/>
        </w:rPr>
      </w:pPr>
      <w:r>
        <w:rPr>
          <w:b/>
          <w:bCs/>
          <w:sz w:val="22"/>
          <w:szCs w:val="22"/>
          <w:u w:val="single"/>
          <w:lang w:val="fr-CA"/>
        </w:rPr>
        <w:br w:type="page"/>
      </w:r>
      <w:r w:rsidRPr="00C76336">
        <w:rPr>
          <w:b/>
          <w:bCs/>
          <w:sz w:val="22"/>
          <w:szCs w:val="22"/>
          <w:u w:val="single"/>
          <w:lang w:val="fr-CA"/>
        </w:rPr>
        <w:lastRenderedPageBreak/>
        <w:t>Quatrième chapitre</w:t>
      </w:r>
      <w:r>
        <w:rPr>
          <w:b/>
          <w:bCs/>
          <w:sz w:val="22"/>
          <w:szCs w:val="22"/>
          <w:u w:val="single"/>
          <w:lang w:val="fr-CA"/>
        </w:rPr>
        <w:t xml:space="preserve"> : </w:t>
      </w:r>
      <w:r w:rsidRPr="00B92E44">
        <w:rPr>
          <w:b/>
          <w:bCs/>
          <w:sz w:val="22"/>
          <w:szCs w:val="22"/>
          <w:u w:val="single"/>
          <w:lang w:val="fr-CA"/>
        </w:rPr>
        <w:t>Comparaison entre les communautés de Manchester et de Woonsocket</w:t>
      </w:r>
    </w:p>
    <w:p w14:paraId="4D9C6AAB" w14:textId="3E79D86C" w:rsidR="000264D6" w:rsidRPr="00217EFC" w:rsidRDefault="000264D6" w:rsidP="002B5319">
      <w:pPr>
        <w:spacing w:before="100" w:beforeAutospacing="1" w:after="100" w:afterAutospacing="1"/>
        <w:ind w:firstLine="360"/>
        <w:jc w:val="both"/>
        <w:rPr>
          <w:sz w:val="22"/>
          <w:szCs w:val="22"/>
          <w:lang w:val="fr-CA"/>
        </w:rPr>
      </w:pPr>
      <w:r w:rsidRPr="00A036E5">
        <w:rPr>
          <w:sz w:val="22"/>
          <w:szCs w:val="22"/>
          <w:lang w:val="fr-CA"/>
        </w:rPr>
        <w:t>À première vue,</w:t>
      </w:r>
      <w:r>
        <w:rPr>
          <w:sz w:val="22"/>
          <w:szCs w:val="22"/>
          <w:lang w:val="fr-CA"/>
        </w:rPr>
        <w:t xml:space="preserve"> lorsque nous </w:t>
      </w:r>
      <w:r w:rsidRPr="00217EFC">
        <w:rPr>
          <w:sz w:val="22"/>
          <w:szCs w:val="22"/>
          <w:lang w:val="fr-CA"/>
        </w:rPr>
        <w:t>compar</w:t>
      </w:r>
      <w:r>
        <w:rPr>
          <w:sz w:val="22"/>
          <w:szCs w:val="22"/>
          <w:lang w:val="fr-CA"/>
        </w:rPr>
        <w:t xml:space="preserve">ons </w:t>
      </w:r>
      <w:r w:rsidRPr="00217EFC">
        <w:rPr>
          <w:sz w:val="22"/>
          <w:szCs w:val="22"/>
          <w:lang w:val="fr-CA"/>
        </w:rPr>
        <w:t xml:space="preserve">la </w:t>
      </w:r>
      <w:r>
        <w:rPr>
          <w:sz w:val="22"/>
          <w:szCs w:val="22"/>
          <w:lang w:val="fr-CA"/>
        </w:rPr>
        <w:t>contribution</w:t>
      </w:r>
      <w:r w:rsidRPr="00217EFC">
        <w:rPr>
          <w:sz w:val="22"/>
          <w:szCs w:val="22"/>
          <w:lang w:val="fr-CA"/>
        </w:rPr>
        <w:t xml:space="preserve"> de Manchester</w:t>
      </w:r>
      <w:r>
        <w:rPr>
          <w:sz w:val="22"/>
          <w:szCs w:val="22"/>
          <w:lang w:val="fr-CA"/>
        </w:rPr>
        <w:t xml:space="preserve"> à celle de Woonsocket, </w:t>
      </w:r>
      <w:r w:rsidRPr="00217EFC">
        <w:rPr>
          <w:sz w:val="22"/>
          <w:szCs w:val="22"/>
          <w:lang w:val="fr-CA"/>
        </w:rPr>
        <w:t xml:space="preserve">nous </w:t>
      </w:r>
      <w:r>
        <w:rPr>
          <w:sz w:val="22"/>
          <w:szCs w:val="22"/>
          <w:lang w:val="fr-CA"/>
        </w:rPr>
        <w:t xml:space="preserve">réalisons </w:t>
      </w:r>
      <w:r w:rsidRPr="00217EFC">
        <w:rPr>
          <w:sz w:val="22"/>
          <w:szCs w:val="22"/>
          <w:lang w:val="fr-CA"/>
        </w:rPr>
        <w:t>rapidement que les préoccupations de la population de</w:t>
      </w:r>
      <w:r>
        <w:rPr>
          <w:sz w:val="22"/>
          <w:szCs w:val="22"/>
          <w:lang w:val="fr-CA"/>
        </w:rPr>
        <w:t>s deux villes</w:t>
      </w:r>
      <w:r w:rsidRPr="00217EFC">
        <w:rPr>
          <w:sz w:val="22"/>
          <w:szCs w:val="22"/>
          <w:lang w:val="fr-CA"/>
        </w:rPr>
        <w:t xml:space="preserve"> sont très similaires. D’ailleurs, les thèmes couverts par les deux quotidiens </w:t>
      </w:r>
      <w:r>
        <w:rPr>
          <w:sz w:val="22"/>
          <w:szCs w:val="22"/>
          <w:lang w:val="fr-CA"/>
        </w:rPr>
        <w:t>de</w:t>
      </w:r>
      <w:r w:rsidR="00C1468D">
        <w:rPr>
          <w:sz w:val="22"/>
          <w:szCs w:val="22"/>
          <w:lang w:val="fr-CA"/>
        </w:rPr>
        <w:t xml:space="preserve"> ces</w:t>
      </w:r>
      <w:r>
        <w:rPr>
          <w:sz w:val="22"/>
          <w:szCs w:val="22"/>
          <w:lang w:val="fr-CA"/>
        </w:rPr>
        <w:t xml:space="preserve"> communautés </w:t>
      </w:r>
      <w:r w:rsidRPr="00217EFC">
        <w:rPr>
          <w:sz w:val="22"/>
          <w:szCs w:val="22"/>
          <w:lang w:val="fr-CA"/>
        </w:rPr>
        <w:t xml:space="preserve">sont </w:t>
      </w:r>
      <w:r>
        <w:rPr>
          <w:sz w:val="22"/>
          <w:szCs w:val="22"/>
          <w:lang w:val="fr-CA"/>
        </w:rPr>
        <w:t xml:space="preserve">semblables tout au long </w:t>
      </w:r>
      <w:r w:rsidRPr="00217EFC">
        <w:rPr>
          <w:sz w:val="22"/>
          <w:szCs w:val="22"/>
          <w:lang w:val="fr-CA"/>
        </w:rPr>
        <w:t xml:space="preserve">du conflit, que ce soit pendant la phase de neutralité </w:t>
      </w:r>
      <w:r>
        <w:rPr>
          <w:sz w:val="22"/>
          <w:szCs w:val="22"/>
          <w:lang w:val="fr-CA"/>
        </w:rPr>
        <w:t>ou pendant celle de l’implication des</w:t>
      </w:r>
      <w:r w:rsidRPr="00217EFC">
        <w:rPr>
          <w:sz w:val="22"/>
          <w:szCs w:val="22"/>
          <w:lang w:val="fr-CA"/>
        </w:rPr>
        <w:t xml:space="preserve"> États-Unis </w:t>
      </w:r>
      <w:r>
        <w:rPr>
          <w:sz w:val="22"/>
          <w:szCs w:val="22"/>
          <w:lang w:val="fr-CA"/>
        </w:rPr>
        <w:t>dans la guerre</w:t>
      </w:r>
      <w:r w:rsidRPr="00217EFC">
        <w:rPr>
          <w:sz w:val="22"/>
          <w:szCs w:val="22"/>
          <w:lang w:val="fr-CA"/>
        </w:rPr>
        <w:t xml:space="preserve">. </w:t>
      </w:r>
    </w:p>
    <w:p w14:paraId="04B4F020" w14:textId="09A6BD85" w:rsidR="000264D6" w:rsidRDefault="000264D6" w:rsidP="002B5319">
      <w:pPr>
        <w:spacing w:before="100" w:beforeAutospacing="1" w:after="100" w:afterAutospacing="1"/>
        <w:ind w:firstLine="360"/>
        <w:jc w:val="both"/>
        <w:rPr>
          <w:sz w:val="22"/>
          <w:szCs w:val="22"/>
          <w:lang w:val="fr-CA"/>
        </w:rPr>
      </w:pPr>
      <w:r>
        <w:rPr>
          <w:sz w:val="22"/>
          <w:szCs w:val="22"/>
          <w:lang w:val="fr-CA"/>
        </w:rPr>
        <w:t xml:space="preserve">Pour comparer </w:t>
      </w:r>
      <w:r w:rsidRPr="00217EFC">
        <w:rPr>
          <w:sz w:val="22"/>
          <w:szCs w:val="22"/>
          <w:lang w:val="fr-CA"/>
        </w:rPr>
        <w:t xml:space="preserve">la contribution à l’effort de guerre des communautés de Manchester et </w:t>
      </w:r>
      <w:r>
        <w:rPr>
          <w:sz w:val="22"/>
          <w:szCs w:val="22"/>
          <w:lang w:val="fr-CA"/>
        </w:rPr>
        <w:t xml:space="preserve">de </w:t>
      </w:r>
      <w:r w:rsidRPr="00217EFC">
        <w:rPr>
          <w:sz w:val="22"/>
          <w:szCs w:val="22"/>
          <w:lang w:val="fr-CA"/>
        </w:rPr>
        <w:t>Woonsocket, nous devons premièrement</w:t>
      </w:r>
      <w:r>
        <w:rPr>
          <w:sz w:val="22"/>
          <w:szCs w:val="22"/>
          <w:lang w:val="fr-CA"/>
        </w:rPr>
        <w:t xml:space="preserve"> </w:t>
      </w:r>
      <w:r w:rsidRPr="00217EFC">
        <w:rPr>
          <w:sz w:val="22"/>
          <w:szCs w:val="22"/>
          <w:lang w:val="fr-CA"/>
        </w:rPr>
        <w:t xml:space="preserve">tenir compte des statistiques démographiques sur ces villes. Or, selon la </w:t>
      </w:r>
      <w:r w:rsidRPr="00217EFC">
        <w:rPr>
          <w:i/>
          <w:iCs/>
          <w:sz w:val="22"/>
          <w:szCs w:val="22"/>
          <w:lang w:val="fr-CA"/>
        </w:rPr>
        <w:t>Tribune</w:t>
      </w:r>
      <w:r w:rsidRPr="00217EFC">
        <w:rPr>
          <w:sz w:val="22"/>
          <w:szCs w:val="22"/>
          <w:lang w:val="fr-CA"/>
        </w:rPr>
        <w:t>, en 1914, Woonsocket a une population totale de 40</w:t>
      </w:r>
      <w:r w:rsidR="005720F3">
        <w:rPr>
          <w:sz w:val="22"/>
          <w:szCs w:val="22"/>
          <w:lang w:val="fr-CA"/>
        </w:rPr>
        <w:t> </w:t>
      </w:r>
      <w:r w:rsidRPr="00217EFC">
        <w:rPr>
          <w:sz w:val="22"/>
          <w:szCs w:val="22"/>
          <w:lang w:val="fr-CA"/>
        </w:rPr>
        <w:t xml:space="preserve">000 résidents </w:t>
      </w:r>
      <w:r>
        <w:rPr>
          <w:sz w:val="22"/>
          <w:szCs w:val="22"/>
          <w:lang w:val="fr-CA"/>
        </w:rPr>
        <w:t xml:space="preserve">et </w:t>
      </w:r>
      <w:r w:rsidRPr="00217EFC">
        <w:rPr>
          <w:sz w:val="22"/>
          <w:szCs w:val="22"/>
          <w:lang w:val="fr-CA"/>
        </w:rPr>
        <w:t xml:space="preserve">les données provenant des recensements de 1910 et </w:t>
      </w:r>
      <w:r>
        <w:rPr>
          <w:sz w:val="22"/>
          <w:szCs w:val="22"/>
          <w:lang w:val="fr-CA"/>
        </w:rPr>
        <w:t xml:space="preserve">de </w:t>
      </w:r>
      <w:r w:rsidRPr="00217EFC">
        <w:rPr>
          <w:sz w:val="22"/>
          <w:szCs w:val="22"/>
          <w:lang w:val="fr-CA"/>
        </w:rPr>
        <w:t>1920 indiquent que la population était respectivement de 38</w:t>
      </w:r>
      <w:r w:rsidR="005720F3">
        <w:rPr>
          <w:sz w:val="22"/>
          <w:szCs w:val="22"/>
          <w:lang w:val="fr-CA"/>
        </w:rPr>
        <w:t> </w:t>
      </w:r>
      <w:r w:rsidRPr="00217EFC">
        <w:rPr>
          <w:sz w:val="22"/>
          <w:szCs w:val="22"/>
          <w:lang w:val="fr-CA"/>
        </w:rPr>
        <w:t xml:space="preserve">125 et </w:t>
      </w:r>
      <w:r>
        <w:rPr>
          <w:sz w:val="22"/>
          <w:szCs w:val="22"/>
          <w:lang w:val="fr-CA"/>
        </w:rPr>
        <w:t xml:space="preserve">de </w:t>
      </w:r>
      <w:r w:rsidRPr="00217EFC">
        <w:rPr>
          <w:sz w:val="22"/>
          <w:szCs w:val="22"/>
          <w:lang w:val="fr-CA"/>
        </w:rPr>
        <w:t>43</w:t>
      </w:r>
      <w:r w:rsidR="005720F3">
        <w:rPr>
          <w:sz w:val="22"/>
          <w:szCs w:val="22"/>
          <w:lang w:val="fr-CA"/>
        </w:rPr>
        <w:t> </w:t>
      </w:r>
      <w:r w:rsidRPr="00217EFC">
        <w:rPr>
          <w:sz w:val="22"/>
          <w:szCs w:val="22"/>
          <w:lang w:val="fr-CA"/>
        </w:rPr>
        <w:t>496 pour ces années</w:t>
      </w:r>
      <w:r w:rsidRPr="00217EFC">
        <w:rPr>
          <w:rStyle w:val="FootnoteReference"/>
          <w:sz w:val="22"/>
          <w:szCs w:val="22"/>
          <w:lang w:val="fr-CA"/>
        </w:rPr>
        <w:footnoteReference w:id="389"/>
      </w:r>
      <w:r w:rsidRPr="00217EFC">
        <w:rPr>
          <w:sz w:val="22"/>
          <w:szCs w:val="22"/>
          <w:lang w:val="fr-CA"/>
        </w:rPr>
        <w:t xml:space="preserve">. </w:t>
      </w:r>
      <w:r>
        <w:rPr>
          <w:sz w:val="22"/>
          <w:szCs w:val="22"/>
          <w:lang w:val="fr-CA"/>
        </w:rPr>
        <w:t xml:space="preserve">Donc, nous pouvons affirmer avec confiance que le premier </w:t>
      </w:r>
      <w:r w:rsidRPr="00B54205">
        <w:rPr>
          <w:sz w:val="22"/>
          <w:szCs w:val="22"/>
          <w:lang w:val="fr-CA"/>
        </w:rPr>
        <w:t>chiffre émi</w:t>
      </w:r>
      <w:r w:rsidR="00A20827">
        <w:rPr>
          <w:sz w:val="22"/>
          <w:szCs w:val="22"/>
          <w:lang w:val="fr-CA"/>
        </w:rPr>
        <w:t>s</w:t>
      </w:r>
      <w:r w:rsidRPr="00B54205">
        <w:rPr>
          <w:sz w:val="22"/>
          <w:szCs w:val="22"/>
          <w:lang w:val="fr-CA"/>
        </w:rPr>
        <w:t xml:space="preserve"> par la </w:t>
      </w:r>
      <w:r w:rsidRPr="00B54205">
        <w:rPr>
          <w:i/>
          <w:iCs/>
          <w:sz w:val="22"/>
          <w:szCs w:val="22"/>
          <w:lang w:val="fr-CA"/>
        </w:rPr>
        <w:t>Tribune</w:t>
      </w:r>
      <w:r w:rsidRPr="00B54205">
        <w:rPr>
          <w:sz w:val="22"/>
          <w:lang w:val="fr-CA"/>
        </w:rPr>
        <w:t xml:space="preserve"> </w:t>
      </w:r>
      <w:r w:rsidRPr="00B54205">
        <w:rPr>
          <w:sz w:val="22"/>
          <w:szCs w:val="22"/>
          <w:lang w:val="fr-CA"/>
        </w:rPr>
        <w:t>est vraisemblable</w:t>
      </w:r>
      <w:r>
        <w:rPr>
          <w:sz w:val="22"/>
          <w:szCs w:val="22"/>
          <w:lang w:val="fr-CA"/>
        </w:rPr>
        <w:t xml:space="preserve">. </w:t>
      </w:r>
      <w:r w:rsidRPr="00217EFC">
        <w:rPr>
          <w:sz w:val="22"/>
          <w:szCs w:val="22"/>
          <w:lang w:val="fr-CA"/>
        </w:rPr>
        <w:t xml:space="preserve">Toujours selon la </w:t>
      </w:r>
      <w:r w:rsidRPr="00217EFC">
        <w:rPr>
          <w:i/>
          <w:iCs/>
          <w:sz w:val="22"/>
          <w:szCs w:val="22"/>
          <w:lang w:val="fr-CA"/>
        </w:rPr>
        <w:t>Tribune</w:t>
      </w:r>
      <w:r w:rsidRPr="00217EFC">
        <w:rPr>
          <w:sz w:val="22"/>
          <w:szCs w:val="22"/>
          <w:lang w:val="fr-CA"/>
        </w:rPr>
        <w:t>, la population franco-américaine, au début de la guerre, est estimée entre 25</w:t>
      </w:r>
      <w:r w:rsidR="005720F3">
        <w:rPr>
          <w:sz w:val="22"/>
          <w:szCs w:val="22"/>
          <w:lang w:val="fr-CA"/>
        </w:rPr>
        <w:t> </w:t>
      </w:r>
      <w:r w:rsidRPr="00217EFC">
        <w:rPr>
          <w:sz w:val="22"/>
          <w:szCs w:val="22"/>
          <w:lang w:val="fr-CA"/>
        </w:rPr>
        <w:t>000 et 28</w:t>
      </w:r>
      <w:r w:rsidR="005720F3">
        <w:rPr>
          <w:sz w:val="22"/>
          <w:szCs w:val="22"/>
          <w:lang w:val="fr-CA"/>
        </w:rPr>
        <w:t> </w:t>
      </w:r>
      <w:r w:rsidRPr="00217EFC">
        <w:rPr>
          <w:sz w:val="22"/>
          <w:szCs w:val="22"/>
          <w:lang w:val="fr-CA"/>
        </w:rPr>
        <w:t>000 habitants</w:t>
      </w:r>
      <w:r w:rsidRPr="00217EFC">
        <w:rPr>
          <w:rStyle w:val="FootnoteReference"/>
          <w:sz w:val="22"/>
          <w:szCs w:val="22"/>
          <w:lang w:val="fr-CA"/>
        </w:rPr>
        <w:footnoteReference w:id="390"/>
      </w:r>
      <w:r w:rsidRPr="00217EFC">
        <w:rPr>
          <w:sz w:val="22"/>
          <w:szCs w:val="22"/>
          <w:lang w:val="fr-CA"/>
        </w:rPr>
        <w:t xml:space="preserve">, </w:t>
      </w:r>
      <w:r w:rsidRPr="008354D8">
        <w:rPr>
          <w:sz w:val="22"/>
          <w:lang w:val="fr-CA"/>
        </w:rPr>
        <w:t>soit</w:t>
      </w:r>
      <w:r w:rsidRPr="00217EFC">
        <w:rPr>
          <w:sz w:val="22"/>
          <w:szCs w:val="22"/>
          <w:lang w:val="fr-CA"/>
        </w:rPr>
        <w:t xml:space="preserve"> une proportion variant entre 63 et 70</w:t>
      </w:r>
      <w:r w:rsidR="005720F3">
        <w:rPr>
          <w:sz w:val="22"/>
          <w:szCs w:val="22"/>
          <w:lang w:val="fr-CA"/>
        </w:rPr>
        <w:t> </w:t>
      </w:r>
      <w:r>
        <w:rPr>
          <w:sz w:val="22"/>
          <w:szCs w:val="22"/>
          <w:lang w:val="fr-CA"/>
        </w:rPr>
        <w:t xml:space="preserve">% </w:t>
      </w:r>
      <w:r w:rsidRPr="00217EFC">
        <w:rPr>
          <w:sz w:val="22"/>
          <w:szCs w:val="22"/>
          <w:lang w:val="fr-CA"/>
        </w:rPr>
        <w:t xml:space="preserve">de la population de la ville. De plus, les données paroissiales qu’Albert Bélanger </w:t>
      </w:r>
      <w:r>
        <w:rPr>
          <w:sz w:val="22"/>
          <w:szCs w:val="22"/>
          <w:lang w:val="fr-CA"/>
        </w:rPr>
        <w:t xml:space="preserve">publie </w:t>
      </w:r>
      <w:r w:rsidRPr="00217EFC">
        <w:rPr>
          <w:sz w:val="22"/>
          <w:szCs w:val="22"/>
          <w:lang w:val="fr-CA"/>
        </w:rPr>
        <w:t xml:space="preserve">dans le </w:t>
      </w:r>
      <w:r w:rsidRPr="00217EFC">
        <w:rPr>
          <w:i/>
          <w:iCs/>
          <w:sz w:val="22"/>
          <w:szCs w:val="22"/>
          <w:lang w:val="fr-CA"/>
        </w:rPr>
        <w:t xml:space="preserve">Guide des Franco-Américains </w:t>
      </w:r>
      <w:r w:rsidRPr="007E7A40">
        <w:rPr>
          <w:sz w:val="22"/>
          <w:szCs w:val="22"/>
          <w:lang w:val="fr-CA"/>
        </w:rPr>
        <w:t>(1921)</w:t>
      </w:r>
      <w:r w:rsidRPr="00217EFC">
        <w:rPr>
          <w:sz w:val="22"/>
          <w:szCs w:val="22"/>
          <w:lang w:val="fr-CA"/>
        </w:rPr>
        <w:t xml:space="preserve"> indique</w:t>
      </w:r>
      <w:r>
        <w:rPr>
          <w:sz w:val="22"/>
          <w:szCs w:val="22"/>
          <w:lang w:val="fr-CA"/>
        </w:rPr>
        <w:t>nt</w:t>
      </w:r>
      <w:r w:rsidRPr="00217EFC">
        <w:rPr>
          <w:sz w:val="22"/>
          <w:szCs w:val="22"/>
          <w:lang w:val="fr-CA"/>
        </w:rPr>
        <w:t xml:space="preserve"> que les Franco-américains de Woonsocket seraient au nombre de 31</w:t>
      </w:r>
      <w:r w:rsidR="005720F3">
        <w:rPr>
          <w:sz w:val="22"/>
          <w:szCs w:val="22"/>
          <w:lang w:val="fr-CA"/>
        </w:rPr>
        <w:t> </w:t>
      </w:r>
      <w:r w:rsidRPr="00217EFC">
        <w:rPr>
          <w:sz w:val="22"/>
          <w:szCs w:val="22"/>
          <w:lang w:val="fr-CA"/>
        </w:rPr>
        <w:t>575</w:t>
      </w:r>
      <w:r w:rsidRPr="00217EFC">
        <w:rPr>
          <w:rStyle w:val="FootnoteReference"/>
          <w:sz w:val="22"/>
          <w:szCs w:val="22"/>
          <w:lang w:val="fr-CA"/>
        </w:rPr>
        <w:footnoteReference w:id="391"/>
      </w:r>
      <w:r>
        <w:rPr>
          <w:sz w:val="22"/>
          <w:szCs w:val="22"/>
          <w:lang w:val="fr-CA"/>
        </w:rPr>
        <w:t>, soit 72</w:t>
      </w:r>
      <w:r w:rsidR="005720F3">
        <w:rPr>
          <w:sz w:val="22"/>
          <w:szCs w:val="22"/>
          <w:lang w:val="fr-CA"/>
        </w:rPr>
        <w:t>,</w:t>
      </w:r>
      <w:r>
        <w:rPr>
          <w:sz w:val="22"/>
          <w:szCs w:val="22"/>
          <w:lang w:val="fr-CA"/>
        </w:rPr>
        <w:t>6</w:t>
      </w:r>
      <w:r w:rsidR="005720F3">
        <w:rPr>
          <w:sz w:val="22"/>
          <w:szCs w:val="22"/>
          <w:lang w:val="fr-CA"/>
        </w:rPr>
        <w:t> </w:t>
      </w:r>
      <w:r>
        <w:rPr>
          <w:sz w:val="22"/>
          <w:szCs w:val="22"/>
          <w:lang w:val="fr-CA"/>
        </w:rPr>
        <w:t>% de la population de cette ville</w:t>
      </w:r>
      <w:r>
        <w:rPr>
          <w:rStyle w:val="FootnoteReference"/>
          <w:sz w:val="22"/>
          <w:szCs w:val="22"/>
          <w:lang w:val="fr-CA"/>
        </w:rPr>
        <w:footnoteReference w:id="392"/>
      </w:r>
      <w:r w:rsidRPr="00217EFC">
        <w:rPr>
          <w:sz w:val="22"/>
          <w:szCs w:val="22"/>
          <w:lang w:val="fr-CA"/>
        </w:rPr>
        <w:t xml:space="preserve">. </w:t>
      </w:r>
    </w:p>
    <w:p w14:paraId="2C6CB279" w14:textId="21A0B8B9" w:rsidR="000264D6" w:rsidRDefault="000264D6" w:rsidP="002B5319">
      <w:pPr>
        <w:spacing w:before="100" w:beforeAutospacing="1" w:after="100" w:afterAutospacing="1"/>
        <w:ind w:firstLine="360"/>
        <w:jc w:val="both"/>
        <w:rPr>
          <w:sz w:val="22"/>
          <w:szCs w:val="22"/>
          <w:lang w:val="fr-CA"/>
        </w:rPr>
      </w:pPr>
      <w:r w:rsidRPr="00217EFC">
        <w:rPr>
          <w:sz w:val="22"/>
          <w:szCs w:val="22"/>
          <w:lang w:val="fr-CA"/>
        </w:rPr>
        <w:t>Quant à Manchester, la population totale pour la décennie</w:t>
      </w:r>
      <w:r w:rsidR="005720F3">
        <w:rPr>
          <w:sz w:val="22"/>
          <w:szCs w:val="22"/>
          <w:lang w:val="fr-CA"/>
        </w:rPr>
        <w:t> </w:t>
      </w:r>
      <w:r w:rsidRPr="00217EFC">
        <w:rPr>
          <w:sz w:val="22"/>
          <w:szCs w:val="22"/>
          <w:lang w:val="fr-CA"/>
        </w:rPr>
        <w:t>1910-1920 passe de 70</w:t>
      </w:r>
      <w:r w:rsidR="005720F3">
        <w:rPr>
          <w:sz w:val="22"/>
          <w:szCs w:val="22"/>
          <w:lang w:val="fr-CA"/>
        </w:rPr>
        <w:t> </w:t>
      </w:r>
      <w:r w:rsidRPr="00217EFC">
        <w:rPr>
          <w:sz w:val="22"/>
          <w:szCs w:val="22"/>
          <w:lang w:val="fr-CA"/>
        </w:rPr>
        <w:t>063 à 78 384 résidents et on estime que 40</w:t>
      </w:r>
      <w:r w:rsidR="005720F3">
        <w:rPr>
          <w:sz w:val="22"/>
          <w:szCs w:val="22"/>
          <w:lang w:val="fr-CA"/>
        </w:rPr>
        <w:t> </w:t>
      </w:r>
      <w:r w:rsidRPr="00217EFC">
        <w:rPr>
          <w:sz w:val="22"/>
          <w:szCs w:val="22"/>
          <w:lang w:val="fr-CA"/>
        </w:rPr>
        <w:t>% de la population totale de la ville est Franco-américaine</w:t>
      </w:r>
      <w:r w:rsidRPr="00217EFC">
        <w:rPr>
          <w:rStyle w:val="FootnoteReference"/>
          <w:sz w:val="22"/>
          <w:szCs w:val="22"/>
          <w:lang w:val="fr-CA"/>
        </w:rPr>
        <w:footnoteReference w:id="393"/>
      </w:r>
      <w:r w:rsidRPr="00217EFC">
        <w:rPr>
          <w:sz w:val="22"/>
          <w:szCs w:val="22"/>
          <w:lang w:val="fr-CA"/>
        </w:rPr>
        <w:t xml:space="preserve">, </w:t>
      </w:r>
      <w:r w:rsidRPr="008354D8">
        <w:rPr>
          <w:sz w:val="22"/>
          <w:lang w:val="fr-CA"/>
        </w:rPr>
        <w:t>soit</w:t>
      </w:r>
      <w:r w:rsidRPr="00217EFC">
        <w:rPr>
          <w:sz w:val="22"/>
          <w:szCs w:val="22"/>
          <w:lang w:val="fr-CA"/>
        </w:rPr>
        <w:t xml:space="preserve"> environ 28</w:t>
      </w:r>
      <w:r w:rsidR="005720F3">
        <w:rPr>
          <w:sz w:val="22"/>
          <w:szCs w:val="22"/>
          <w:lang w:val="fr-CA"/>
        </w:rPr>
        <w:t> </w:t>
      </w:r>
      <w:r w:rsidRPr="00217EFC">
        <w:rPr>
          <w:sz w:val="22"/>
          <w:szCs w:val="22"/>
          <w:lang w:val="fr-CA"/>
        </w:rPr>
        <w:t>000 à 31</w:t>
      </w:r>
      <w:r w:rsidR="005720F3">
        <w:rPr>
          <w:sz w:val="22"/>
          <w:szCs w:val="22"/>
          <w:lang w:val="fr-CA"/>
        </w:rPr>
        <w:t> </w:t>
      </w:r>
      <w:r w:rsidRPr="00217EFC">
        <w:rPr>
          <w:sz w:val="22"/>
          <w:szCs w:val="22"/>
          <w:lang w:val="fr-CA"/>
        </w:rPr>
        <w:t xml:space="preserve">000 habitants. </w:t>
      </w:r>
      <w:r>
        <w:rPr>
          <w:sz w:val="22"/>
          <w:szCs w:val="22"/>
          <w:lang w:val="fr-CA"/>
        </w:rPr>
        <w:t>S</w:t>
      </w:r>
      <w:r w:rsidRPr="00217EFC">
        <w:rPr>
          <w:sz w:val="22"/>
          <w:szCs w:val="22"/>
          <w:lang w:val="fr-CA"/>
        </w:rPr>
        <w:t xml:space="preserve">elon </w:t>
      </w:r>
      <w:r w:rsidRPr="00217EFC">
        <w:rPr>
          <w:i/>
          <w:iCs/>
          <w:sz w:val="22"/>
          <w:szCs w:val="22"/>
          <w:lang w:val="fr-CA"/>
        </w:rPr>
        <w:t>Le Guide des Franco-Américains</w:t>
      </w:r>
      <w:r w:rsidRPr="00217EFC">
        <w:rPr>
          <w:sz w:val="22"/>
          <w:szCs w:val="22"/>
          <w:lang w:val="fr-CA"/>
        </w:rPr>
        <w:t>, en 1921, la population des paroisses francophones catholiques de Manchester est de 30</w:t>
      </w:r>
      <w:r w:rsidR="005720F3">
        <w:rPr>
          <w:sz w:val="22"/>
          <w:szCs w:val="22"/>
          <w:lang w:val="fr-CA"/>
        </w:rPr>
        <w:t> </w:t>
      </w:r>
      <w:r w:rsidRPr="00217EFC">
        <w:rPr>
          <w:sz w:val="22"/>
          <w:szCs w:val="22"/>
          <w:lang w:val="fr-CA"/>
        </w:rPr>
        <w:t>818 personnes</w:t>
      </w:r>
      <w:r w:rsidRPr="00217EFC">
        <w:rPr>
          <w:rStyle w:val="FootnoteReference"/>
          <w:sz w:val="22"/>
          <w:szCs w:val="22"/>
          <w:lang w:val="fr-CA"/>
        </w:rPr>
        <w:footnoteReference w:id="394"/>
      </w:r>
      <w:r>
        <w:rPr>
          <w:sz w:val="22"/>
          <w:szCs w:val="22"/>
          <w:lang w:val="fr-CA"/>
        </w:rPr>
        <w:t xml:space="preserve">, </w:t>
      </w:r>
      <w:r w:rsidRPr="008354D8">
        <w:rPr>
          <w:sz w:val="22"/>
          <w:lang w:val="fr-CA"/>
        </w:rPr>
        <w:t>soit</w:t>
      </w:r>
      <w:r>
        <w:rPr>
          <w:sz w:val="22"/>
          <w:szCs w:val="22"/>
          <w:lang w:val="fr-CA"/>
        </w:rPr>
        <w:t xml:space="preserve"> 39</w:t>
      </w:r>
      <w:r w:rsidR="005720F3">
        <w:rPr>
          <w:sz w:val="22"/>
          <w:szCs w:val="22"/>
          <w:lang w:val="fr-CA"/>
        </w:rPr>
        <w:t>,</w:t>
      </w:r>
      <w:r>
        <w:rPr>
          <w:sz w:val="22"/>
          <w:szCs w:val="22"/>
          <w:lang w:val="fr-CA"/>
        </w:rPr>
        <w:t>3</w:t>
      </w:r>
      <w:r w:rsidR="005720F3">
        <w:rPr>
          <w:sz w:val="22"/>
          <w:szCs w:val="22"/>
          <w:lang w:val="fr-CA"/>
        </w:rPr>
        <w:t> </w:t>
      </w:r>
      <w:r>
        <w:rPr>
          <w:sz w:val="22"/>
          <w:szCs w:val="22"/>
          <w:lang w:val="fr-CA"/>
        </w:rPr>
        <w:t>% de la population de Manchester</w:t>
      </w:r>
      <w:r>
        <w:rPr>
          <w:rStyle w:val="FootnoteReference"/>
          <w:sz w:val="22"/>
          <w:szCs w:val="22"/>
          <w:lang w:val="fr-CA"/>
        </w:rPr>
        <w:footnoteReference w:id="395"/>
      </w:r>
      <w:r w:rsidRPr="00217EFC">
        <w:rPr>
          <w:sz w:val="22"/>
          <w:szCs w:val="22"/>
          <w:lang w:val="fr-CA"/>
        </w:rPr>
        <w:t>. Donc, pendant la guerre</w:t>
      </w:r>
      <w:r>
        <w:rPr>
          <w:sz w:val="22"/>
          <w:szCs w:val="22"/>
          <w:lang w:val="fr-CA"/>
        </w:rPr>
        <w:t xml:space="preserve">, </w:t>
      </w:r>
      <w:r w:rsidRPr="00217EFC">
        <w:rPr>
          <w:sz w:val="22"/>
          <w:szCs w:val="22"/>
          <w:lang w:val="fr-CA"/>
        </w:rPr>
        <w:t xml:space="preserve">la communauté franco-américaine de Woonsocket est </w:t>
      </w:r>
      <w:r>
        <w:rPr>
          <w:sz w:val="22"/>
          <w:szCs w:val="22"/>
          <w:lang w:val="fr-CA"/>
        </w:rPr>
        <w:t xml:space="preserve">moins populeuse </w:t>
      </w:r>
      <w:r w:rsidRPr="00217EFC">
        <w:rPr>
          <w:sz w:val="22"/>
          <w:szCs w:val="22"/>
          <w:lang w:val="fr-CA"/>
        </w:rPr>
        <w:t>que celle de Manchester</w:t>
      </w:r>
      <w:r>
        <w:rPr>
          <w:sz w:val="22"/>
          <w:szCs w:val="22"/>
          <w:lang w:val="fr-CA"/>
        </w:rPr>
        <w:t xml:space="preserve">. Toutefois, </w:t>
      </w:r>
      <w:r w:rsidRPr="00217EFC">
        <w:rPr>
          <w:sz w:val="22"/>
          <w:szCs w:val="22"/>
          <w:lang w:val="fr-CA"/>
        </w:rPr>
        <w:t>l’écart maximum de 6</w:t>
      </w:r>
      <w:r w:rsidR="005720F3">
        <w:rPr>
          <w:sz w:val="22"/>
          <w:szCs w:val="22"/>
          <w:lang w:val="fr-CA"/>
        </w:rPr>
        <w:t> </w:t>
      </w:r>
      <w:r w:rsidRPr="00217EFC">
        <w:rPr>
          <w:sz w:val="22"/>
          <w:szCs w:val="22"/>
          <w:lang w:val="fr-CA"/>
        </w:rPr>
        <w:t>000 personnes</w:t>
      </w:r>
      <w:r>
        <w:rPr>
          <w:sz w:val="22"/>
          <w:szCs w:val="22"/>
          <w:lang w:val="fr-CA"/>
        </w:rPr>
        <w:t xml:space="preserve"> entre les </w:t>
      </w:r>
      <w:r w:rsidRPr="00217EFC">
        <w:rPr>
          <w:sz w:val="22"/>
          <w:szCs w:val="22"/>
          <w:lang w:val="fr-CA"/>
        </w:rPr>
        <w:t xml:space="preserve">populations francophones </w:t>
      </w:r>
      <w:r>
        <w:rPr>
          <w:sz w:val="22"/>
          <w:szCs w:val="22"/>
          <w:lang w:val="fr-CA"/>
        </w:rPr>
        <w:t xml:space="preserve">des </w:t>
      </w:r>
      <w:r w:rsidRPr="00217EFC">
        <w:rPr>
          <w:sz w:val="22"/>
          <w:szCs w:val="22"/>
          <w:lang w:val="fr-CA"/>
        </w:rPr>
        <w:t>deux communautés aurait toujours diminué pendant le conflit</w:t>
      </w:r>
      <w:r>
        <w:rPr>
          <w:sz w:val="22"/>
          <w:szCs w:val="22"/>
          <w:lang w:val="fr-CA"/>
        </w:rPr>
        <w:t>, car la communauté francophone de Woonsocket a crû.</w:t>
      </w:r>
      <w:r w:rsidRPr="00217EFC">
        <w:rPr>
          <w:sz w:val="22"/>
          <w:szCs w:val="22"/>
          <w:lang w:val="fr-CA"/>
        </w:rPr>
        <w:t xml:space="preserve"> De plus, </w:t>
      </w:r>
      <w:r>
        <w:rPr>
          <w:sz w:val="22"/>
          <w:szCs w:val="22"/>
          <w:lang w:val="fr-CA"/>
        </w:rPr>
        <w:t xml:space="preserve">en nous référant à l’étude de Bélanger, </w:t>
      </w:r>
      <w:r w:rsidRPr="00217EFC">
        <w:rPr>
          <w:sz w:val="22"/>
          <w:szCs w:val="22"/>
          <w:lang w:val="fr-CA"/>
        </w:rPr>
        <w:t>la population franco-américaine de Woonsocket dépasse celle de Manchester, d’environ 757 résidents, en 1921.</w:t>
      </w:r>
    </w:p>
    <w:p w14:paraId="6107A44C" w14:textId="77777777" w:rsidR="000264D6" w:rsidRPr="008354D8" w:rsidRDefault="000264D6" w:rsidP="007F2EEB">
      <w:pPr>
        <w:pStyle w:val="BodyText"/>
        <w:rPr>
          <w:lang w:val="fr-CA"/>
        </w:rPr>
      </w:pPr>
      <w:r>
        <w:rPr>
          <w:lang w:val="fr-CA"/>
        </w:rPr>
        <w:br w:type="page"/>
      </w:r>
    </w:p>
    <w:tbl>
      <w:tblPr>
        <w:tblW w:w="5019" w:type="pct"/>
        <w:tblLayout w:type="fixed"/>
        <w:tblLook w:val="04A0" w:firstRow="1" w:lastRow="0" w:firstColumn="1" w:lastColumn="0" w:noHBand="0" w:noVBand="1"/>
      </w:tblPr>
      <w:tblGrid>
        <w:gridCol w:w="807"/>
        <w:gridCol w:w="1169"/>
        <w:gridCol w:w="900"/>
        <w:gridCol w:w="900"/>
        <w:gridCol w:w="915"/>
        <w:gridCol w:w="910"/>
        <w:gridCol w:w="865"/>
        <w:gridCol w:w="824"/>
        <w:gridCol w:w="1345"/>
      </w:tblGrid>
      <w:tr w:rsidR="000264D6" w:rsidRPr="00A20827" w14:paraId="3BF1103C" w14:textId="77777777" w:rsidTr="000545B4">
        <w:trPr>
          <w:trHeight w:val="181"/>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7D36D75D" w14:textId="77777777" w:rsidR="000264D6" w:rsidRPr="00E44A09" w:rsidRDefault="000264D6" w:rsidP="006E5DFB">
            <w:pPr>
              <w:spacing w:before="120" w:after="120"/>
              <w:jc w:val="center"/>
              <w:rPr>
                <w:b/>
                <w:bCs/>
                <w:sz w:val="22"/>
                <w:szCs w:val="22"/>
                <w:lang w:val="fr-CA"/>
              </w:rPr>
            </w:pPr>
            <w:r w:rsidRPr="00E44A09">
              <w:rPr>
                <w:b/>
                <w:bCs/>
                <w:sz w:val="22"/>
                <w:szCs w:val="22"/>
                <w:lang w:val="fr-CA"/>
              </w:rPr>
              <w:lastRenderedPageBreak/>
              <w:t>Tableau comparatif des populations de Manchester et Woonsocket</w:t>
            </w:r>
          </w:p>
        </w:tc>
      </w:tr>
      <w:tr w:rsidR="000264D6" w:rsidRPr="00217EFC" w14:paraId="74F14647" w14:textId="77777777" w:rsidTr="000545B4">
        <w:trPr>
          <w:trHeight w:val="181"/>
        </w:trPr>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8949B" w14:textId="77777777" w:rsidR="000264D6" w:rsidRPr="007B51C0" w:rsidRDefault="000264D6" w:rsidP="003C57D5">
            <w:pPr>
              <w:spacing w:before="100" w:beforeAutospacing="1" w:after="100" w:afterAutospacing="1" w:line="480" w:lineRule="auto"/>
              <w:jc w:val="both"/>
              <w:rPr>
                <w:color w:val="000000"/>
                <w:sz w:val="18"/>
                <w:szCs w:val="18"/>
                <w:lang w:val="fr-CA"/>
              </w:rPr>
            </w:pPr>
            <w:r w:rsidRPr="007B51C0">
              <w:rPr>
                <w:color w:val="000000"/>
                <w:sz w:val="18"/>
                <w:szCs w:val="18"/>
                <w:lang w:val="fr-CA"/>
              </w:rPr>
              <w:t> </w:t>
            </w:r>
          </w:p>
        </w:tc>
        <w:tc>
          <w:tcPr>
            <w:tcW w:w="2249"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639CABD" w14:textId="77777777" w:rsidR="000264D6" w:rsidRPr="007B51C0" w:rsidRDefault="000264D6" w:rsidP="003C57D5">
            <w:pPr>
              <w:spacing w:before="100" w:beforeAutospacing="1" w:after="100" w:afterAutospacing="1" w:line="480" w:lineRule="auto"/>
              <w:jc w:val="both"/>
              <w:rPr>
                <w:color w:val="000000"/>
                <w:sz w:val="18"/>
                <w:szCs w:val="18"/>
                <w:lang w:val="fr-CA"/>
              </w:rPr>
            </w:pPr>
            <w:r w:rsidRPr="007B51C0">
              <w:rPr>
                <w:color w:val="000000"/>
                <w:sz w:val="18"/>
                <w:szCs w:val="18"/>
                <w:lang w:val="fr-CA"/>
              </w:rPr>
              <w:t>Population franco-américaine</w:t>
            </w:r>
          </w:p>
        </w:tc>
        <w:tc>
          <w:tcPr>
            <w:tcW w:w="2284"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22372A1" w14:textId="77777777" w:rsidR="000264D6" w:rsidRPr="007B51C0" w:rsidRDefault="000264D6" w:rsidP="003C57D5">
            <w:pPr>
              <w:spacing w:before="100" w:beforeAutospacing="1" w:after="100" w:afterAutospacing="1" w:line="480" w:lineRule="auto"/>
              <w:jc w:val="both"/>
              <w:rPr>
                <w:color w:val="000000"/>
                <w:sz w:val="18"/>
                <w:szCs w:val="18"/>
                <w:lang w:val="fr-CA"/>
              </w:rPr>
            </w:pPr>
            <w:r w:rsidRPr="007B51C0">
              <w:rPr>
                <w:color w:val="000000"/>
                <w:sz w:val="18"/>
                <w:szCs w:val="18"/>
                <w:lang w:val="fr-CA"/>
              </w:rPr>
              <w:t>Population totale</w:t>
            </w:r>
          </w:p>
        </w:tc>
      </w:tr>
      <w:tr w:rsidR="005720F3" w:rsidRPr="00217EFC" w14:paraId="0546887B" w14:textId="77777777" w:rsidTr="000545B4">
        <w:trPr>
          <w:trHeight w:val="181"/>
        </w:trPr>
        <w:tc>
          <w:tcPr>
            <w:tcW w:w="467" w:type="pct"/>
            <w:tcBorders>
              <w:top w:val="nil"/>
              <w:left w:val="single" w:sz="4" w:space="0" w:color="auto"/>
              <w:bottom w:val="single" w:sz="4" w:space="0" w:color="auto"/>
              <w:right w:val="single" w:sz="4" w:space="0" w:color="auto"/>
            </w:tcBorders>
            <w:shd w:val="clear" w:color="auto" w:fill="D5DCE4"/>
            <w:noWrap/>
            <w:vAlign w:val="bottom"/>
            <w:hideMark/>
          </w:tcPr>
          <w:p w14:paraId="6722100C" w14:textId="77777777" w:rsidR="000264D6" w:rsidRPr="007B51C0" w:rsidRDefault="000264D6" w:rsidP="003C57D5">
            <w:pPr>
              <w:spacing w:before="100" w:beforeAutospacing="1" w:after="100" w:afterAutospacing="1" w:line="480" w:lineRule="auto"/>
              <w:jc w:val="both"/>
              <w:rPr>
                <w:color w:val="000000"/>
                <w:sz w:val="16"/>
                <w:szCs w:val="16"/>
                <w:lang w:val="fr-CA"/>
              </w:rPr>
            </w:pPr>
            <w:r w:rsidRPr="007B51C0">
              <w:rPr>
                <w:color w:val="000000"/>
                <w:sz w:val="16"/>
                <w:szCs w:val="16"/>
                <w:lang w:val="fr-CA"/>
              </w:rPr>
              <w:t>Source</w:t>
            </w:r>
          </w:p>
        </w:tc>
        <w:tc>
          <w:tcPr>
            <w:tcW w:w="677" w:type="pct"/>
            <w:tcBorders>
              <w:top w:val="nil"/>
              <w:left w:val="nil"/>
              <w:bottom w:val="single" w:sz="4" w:space="0" w:color="auto"/>
              <w:right w:val="single" w:sz="4" w:space="0" w:color="auto"/>
            </w:tcBorders>
            <w:shd w:val="clear" w:color="auto" w:fill="D5DCE4"/>
            <w:noWrap/>
            <w:vAlign w:val="bottom"/>
            <w:hideMark/>
          </w:tcPr>
          <w:p w14:paraId="20CE78C0" w14:textId="77777777" w:rsidR="000264D6" w:rsidRPr="007B51C0" w:rsidRDefault="000264D6" w:rsidP="003C57D5">
            <w:pPr>
              <w:spacing w:before="100" w:beforeAutospacing="1" w:after="100" w:afterAutospacing="1" w:line="480" w:lineRule="auto"/>
              <w:jc w:val="both"/>
              <w:rPr>
                <w:color w:val="000000"/>
                <w:sz w:val="16"/>
                <w:szCs w:val="16"/>
                <w:lang w:val="fr-CA"/>
              </w:rPr>
            </w:pPr>
            <w:r w:rsidRPr="007B51C0">
              <w:rPr>
                <w:color w:val="000000"/>
                <w:sz w:val="16"/>
                <w:szCs w:val="16"/>
                <w:lang w:val="fr-CA"/>
              </w:rPr>
              <w:t>Tribune</w:t>
            </w:r>
          </w:p>
        </w:tc>
        <w:tc>
          <w:tcPr>
            <w:tcW w:w="521" w:type="pct"/>
            <w:tcBorders>
              <w:top w:val="nil"/>
              <w:left w:val="nil"/>
              <w:bottom w:val="single" w:sz="4" w:space="0" w:color="auto"/>
              <w:right w:val="single" w:sz="4" w:space="0" w:color="auto"/>
            </w:tcBorders>
            <w:shd w:val="clear" w:color="auto" w:fill="D5DCE4"/>
            <w:noWrap/>
            <w:vAlign w:val="bottom"/>
            <w:hideMark/>
          </w:tcPr>
          <w:p w14:paraId="2BFB0FCE" w14:textId="77777777" w:rsidR="000264D6" w:rsidRPr="007B51C0" w:rsidRDefault="000264D6" w:rsidP="003C57D5">
            <w:pPr>
              <w:spacing w:before="100" w:beforeAutospacing="1" w:after="100" w:afterAutospacing="1" w:line="480" w:lineRule="auto"/>
              <w:jc w:val="both"/>
              <w:rPr>
                <w:color w:val="000000"/>
                <w:sz w:val="16"/>
                <w:szCs w:val="16"/>
                <w:lang w:val="fr-CA"/>
              </w:rPr>
            </w:pPr>
            <w:r w:rsidRPr="007B51C0">
              <w:rPr>
                <w:color w:val="000000"/>
                <w:sz w:val="16"/>
                <w:szCs w:val="16"/>
                <w:lang w:val="fr-CA"/>
              </w:rPr>
              <w:t>L</w:t>
            </w:r>
            <w:r w:rsidR="005720F3">
              <w:rPr>
                <w:color w:val="000000"/>
                <w:sz w:val="16"/>
                <w:szCs w:val="16"/>
                <w:lang w:val="fr-CA"/>
              </w:rPr>
              <w:t>’</w:t>
            </w:r>
            <w:r w:rsidRPr="007B51C0">
              <w:rPr>
                <w:color w:val="000000"/>
                <w:sz w:val="16"/>
                <w:szCs w:val="16"/>
                <w:lang w:val="fr-CA"/>
              </w:rPr>
              <w:t>Avenir National</w:t>
            </w:r>
          </w:p>
        </w:tc>
        <w:tc>
          <w:tcPr>
            <w:tcW w:w="1051" w:type="pct"/>
            <w:gridSpan w:val="2"/>
            <w:tcBorders>
              <w:top w:val="single" w:sz="4" w:space="0" w:color="auto"/>
              <w:left w:val="nil"/>
              <w:bottom w:val="single" w:sz="4" w:space="0" w:color="auto"/>
              <w:right w:val="single" w:sz="4" w:space="0" w:color="auto"/>
            </w:tcBorders>
            <w:shd w:val="clear" w:color="auto" w:fill="D5DCE4"/>
            <w:noWrap/>
            <w:vAlign w:val="bottom"/>
            <w:hideMark/>
          </w:tcPr>
          <w:p w14:paraId="599A1233" w14:textId="77777777" w:rsidR="000264D6" w:rsidRPr="007B51C0" w:rsidRDefault="000264D6" w:rsidP="003C57D5">
            <w:pPr>
              <w:spacing w:before="100" w:beforeAutospacing="1" w:after="100" w:afterAutospacing="1" w:line="480" w:lineRule="auto"/>
              <w:jc w:val="both"/>
              <w:rPr>
                <w:color w:val="000000"/>
                <w:sz w:val="16"/>
                <w:szCs w:val="16"/>
                <w:lang w:val="fr-CA"/>
              </w:rPr>
            </w:pPr>
            <w:r w:rsidRPr="007B51C0">
              <w:rPr>
                <w:color w:val="000000"/>
                <w:sz w:val="16"/>
                <w:szCs w:val="16"/>
                <w:lang w:val="fr-CA"/>
              </w:rPr>
              <w:t>Belanger</w:t>
            </w:r>
          </w:p>
        </w:tc>
        <w:tc>
          <w:tcPr>
            <w:tcW w:w="1028" w:type="pct"/>
            <w:gridSpan w:val="2"/>
            <w:tcBorders>
              <w:top w:val="single" w:sz="4" w:space="0" w:color="auto"/>
              <w:left w:val="nil"/>
              <w:bottom w:val="single" w:sz="4" w:space="0" w:color="auto"/>
              <w:right w:val="single" w:sz="4" w:space="0" w:color="auto"/>
            </w:tcBorders>
            <w:shd w:val="clear" w:color="auto" w:fill="D5DCE4"/>
            <w:noWrap/>
            <w:vAlign w:val="bottom"/>
            <w:hideMark/>
          </w:tcPr>
          <w:p w14:paraId="06B9097E" w14:textId="77777777" w:rsidR="000264D6" w:rsidRPr="007B51C0" w:rsidRDefault="000264D6" w:rsidP="007B51C0">
            <w:pPr>
              <w:spacing w:before="100" w:beforeAutospacing="1" w:after="100" w:afterAutospacing="1" w:line="480" w:lineRule="auto"/>
              <w:jc w:val="both"/>
              <w:rPr>
                <w:color w:val="000000"/>
                <w:sz w:val="16"/>
                <w:szCs w:val="16"/>
                <w:lang w:val="fr-CA"/>
              </w:rPr>
            </w:pPr>
            <w:r w:rsidRPr="007B51C0">
              <w:rPr>
                <w:color w:val="000000"/>
                <w:sz w:val="16"/>
                <w:szCs w:val="16"/>
                <w:lang w:val="fr-CA"/>
              </w:rPr>
              <w:t>Recensements américains</w:t>
            </w:r>
          </w:p>
        </w:tc>
        <w:tc>
          <w:tcPr>
            <w:tcW w:w="477" w:type="pct"/>
            <w:tcBorders>
              <w:top w:val="nil"/>
              <w:left w:val="nil"/>
              <w:bottom w:val="single" w:sz="4" w:space="0" w:color="auto"/>
              <w:right w:val="single" w:sz="4" w:space="0" w:color="auto"/>
            </w:tcBorders>
            <w:shd w:val="clear" w:color="auto" w:fill="D5DCE4"/>
            <w:noWrap/>
            <w:vAlign w:val="bottom"/>
            <w:hideMark/>
          </w:tcPr>
          <w:p w14:paraId="03ADEDE2" w14:textId="77777777" w:rsidR="000264D6" w:rsidRPr="007B51C0" w:rsidRDefault="000264D6" w:rsidP="003C57D5">
            <w:pPr>
              <w:spacing w:before="100" w:beforeAutospacing="1" w:after="100" w:afterAutospacing="1" w:line="480" w:lineRule="auto"/>
              <w:jc w:val="both"/>
              <w:rPr>
                <w:color w:val="000000"/>
                <w:sz w:val="16"/>
                <w:szCs w:val="16"/>
                <w:lang w:val="fr-CA"/>
              </w:rPr>
            </w:pPr>
            <w:r w:rsidRPr="007B51C0">
              <w:rPr>
                <w:color w:val="000000"/>
                <w:sz w:val="16"/>
                <w:szCs w:val="16"/>
                <w:lang w:val="fr-CA"/>
              </w:rPr>
              <w:t>Tribune</w:t>
            </w:r>
          </w:p>
        </w:tc>
        <w:tc>
          <w:tcPr>
            <w:tcW w:w="779" w:type="pct"/>
            <w:tcBorders>
              <w:top w:val="nil"/>
              <w:left w:val="nil"/>
              <w:bottom w:val="single" w:sz="4" w:space="0" w:color="auto"/>
              <w:right w:val="single" w:sz="4" w:space="0" w:color="auto"/>
            </w:tcBorders>
            <w:shd w:val="clear" w:color="auto" w:fill="D5DCE4"/>
            <w:noWrap/>
            <w:vAlign w:val="bottom"/>
            <w:hideMark/>
          </w:tcPr>
          <w:p w14:paraId="428BB90A" w14:textId="77777777" w:rsidR="000264D6" w:rsidRPr="007B51C0" w:rsidRDefault="000264D6" w:rsidP="003C57D5">
            <w:pPr>
              <w:spacing w:before="100" w:beforeAutospacing="1" w:after="100" w:afterAutospacing="1" w:line="480" w:lineRule="auto"/>
              <w:jc w:val="both"/>
              <w:rPr>
                <w:color w:val="000000"/>
                <w:sz w:val="16"/>
                <w:szCs w:val="16"/>
                <w:lang w:val="fr-CA"/>
              </w:rPr>
            </w:pPr>
            <w:r w:rsidRPr="007B51C0">
              <w:rPr>
                <w:color w:val="000000"/>
                <w:sz w:val="16"/>
                <w:szCs w:val="16"/>
                <w:lang w:val="fr-CA"/>
              </w:rPr>
              <w:t>L</w:t>
            </w:r>
            <w:r w:rsidR="005720F3">
              <w:rPr>
                <w:color w:val="000000"/>
                <w:sz w:val="16"/>
                <w:szCs w:val="16"/>
                <w:lang w:val="fr-CA"/>
              </w:rPr>
              <w:t>’</w:t>
            </w:r>
            <w:r w:rsidRPr="007B51C0">
              <w:rPr>
                <w:color w:val="000000"/>
                <w:sz w:val="16"/>
                <w:szCs w:val="16"/>
                <w:lang w:val="fr-CA"/>
              </w:rPr>
              <w:t>Avenir National </w:t>
            </w:r>
          </w:p>
        </w:tc>
      </w:tr>
      <w:tr w:rsidR="000545B4" w:rsidRPr="00217EFC" w14:paraId="29FCDE84" w14:textId="77777777" w:rsidTr="000545B4">
        <w:trPr>
          <w:trHeight w:val="181"/>
        </w:trPr>
        <w:tc>
          <w:tcPr>
            <w:tcW w:w="467" w:type="pct"/>
            <w:tcBorders>
              <w:top w:val="nil"/>
              <w:left w:val="single" w:sz="4" w:space="0" w:color="auto"/>
              <w:bottom w:val="single" w:sz="4" w:space="0" w:color="auto"/>
              <w:right w:val="single" w:sz="4" w:space="0" w:color="auto"/>
            </w:tcBorders>
            <w:shd w:val="clear" w:color="auto" w:fill="A6A6A6"/>
            <w:noWrap/>
            <w:vAlign w:val="bottom"/>
            <w:hideMark/>
          </w:tcPr>
          <w:p w14:paraId="7DEE93F9" w14:textId="77777777" w:rsidR="000264D6" w:rsidRPr="007B51C0" w:rsidRDefault="000264D6" w:rsidP="003C57D5">
            <w:pPr>
              <w:spacing w:before="100" w:beforeAutospacing="1" w:after="100" w:afterAutospacing="1" w:line="480" w:lineRule="auto"/>
              <w:jc w:val="both"/>
              <w:rPr>
                <w:color w:val="000000"/>
                <w:sz w:val="18"/>
                <w:szCs w:val="18"/>
                <w:lang w:val="fr-CA"/>
              </w:rPr>
            </w:pPr>
            <w:r w:rsidRPr="007B51C0">
              <w:rPr>
                <w:color w:val="000000"/>
                <w:sz w:val="18"/>
                <w:szCs w:val="18"/>
                <w:lang w:val="fr-CA"/>
              </w:rPr>
              <w:t>Année</w:t>
            </w:r>
          </w:p>
        </w:tc>
        <w:tc>
          <w:tcPr>
            <w:tcW w:w="677" w:type="pct"/>
            <w:tcBorders>
              <w:top w:val="nil"/>
              <w:left w:val="nil"/>
              <w:bottom w:val="single" w:sz="4" w:space="0" w:color="auto"/>
              <w:right w:val="single" w:sz="4" w:space="0" w:color="auto"/>
            </w:tcBorders>
            <w:shd w:val="clear" w:color="auto" w:fill="auto"/>
            <w:noWrap/>
            <w:vAlign w:val="center"/>
            <w:hideMark/>
          </w:tcPr>
          <w:p w14:paraId="44AFA7A0" w14:textId="77777777" w:rsidR="000264D6" w:rsidRPr="007B51C0" w:rsidRDefault="000264D6" w:rsidP="00157A78">
            <w:pPr>
              <w:spacing w:before="100" w:beforeAutospacing="1" w:after="100" w:afterAutospacing="1" w:line="480" w:lineRule="auto"/>
              <w:jc w:val="center"/>
              <w:rPr>
                <w:color w:val="000000"/>
                <w:sz w:val="18"/>
                <w:szCs w:val="18"/>
                <w:lang w:val="fr-CA"/>
              </w:rPr>
            </w:pPr>
            <w:r>
              <w:rPr>
                <w:color w:val="000000"/>
                <w:sz w:val="18"/>
                <w:szCs w:val="18"/>
                <w:lang w:val="fr-CA"/>
              </w:rPr>
              <w:t>Woon</w:t>
            </w:r>
          </w:p>
        </w:tc>
        <w:tc>
          <w:tcPr>
            <w:tcW w:w="521" w:type="pct"/>
            <w:tcBorders>
              <w:top w:val="nil"/>
              <w:left w:val="nil"/>
              <w:bottom w:val="single" w:sz="4" w:space="0" w:color="auto"/>
              <w:right w:val="single" w:sz="4" w:space="0" w:color="auto"/>
            </w:tcBorders>
            <w:shd w:val="clear" w:color="auto" w:fill="auto"/>
            <w:noWrap/>
            <w:vAlign w:val="center"/>
            <w:hideMark/>
          </w:tcPr>
          <w:p w14:paraId="21BE7BD2" w14:textId="77777777" w:rsidR="000264D6" w:rsidRPr="007B51C0" w:rsidRDefault="000264D6" w:rsidP="00157A78">
            <w:pPr>
              <w:spacing w:before="100" w:beforeAutospacing="1" w:after="100" w:afterAutospacing="1" w:line="480" w:lineRule="auto"/>
              <w:jc w:val="center"/>
              <w:rPr>
                <w:color w:val="000000"/>
                <w:sz w:val="18"/>
                <w:szCs w:val="18"/>
                <w:lang w:val="fr-CA"/>
              </w:rPr>
            </w:pPr>
            <w:r>
              <w:rPr>
                <w:color w:val="000000"/>
                <w:sz w:val="18"/>
                <w:szCs w:val="18"/>
                <w:lang w:val="fr-CA"/>
              </w:rPr>
              <w:t>Man</w:t>
            </w:r>
          </w:p>
        </w:tc>
        <w:tc>
          <w:tcPr>
            <w:tcW w:w="521" w:type="pct"/>
            <w:tcBorders>
              <w:top w:val="nil"/>
              <w:left w:val="nil"/>
              <w:bottom w:val="single" w:sz="4" w:space="0" w:color="auto"/>
              <w:right w:val="single" w:sz="4" w:space="0" w:color="auto"/>
            </w:tcBorders>
            <w:shd w:val="clear" w:color="auto" w:fill="auto"/>
            <w:noWrap/>
            <w:vAlign w:val="center"/>
            <w:hideMark/>
          </w:tcPr>
          <w:p w14:paraId="23A0E0D6"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W</w:t>
            </w:r>
            <w:r>
              <w:rPr>
                <w:color w:val="000000"/>
                <w:sz w:val="18"/>
                <w:szCs w:val="18"/>
                <w:lang w:val="fr-CA"/>
              </w:rPr>
              <w:t>oon</w:t>
            </w:r>
          </w:p>
        </w:tc>
        <w:tc>
          <w:tcPr>
            <w:tcW w:w="530" w:type="pct"/>
            <w:tcBorders>
              <w:top w:val="nil"/>
              <w:left w:val="nil"/>
              <w:bottom w:val="single" w:sz="4" w:space="0" w:color="auto"/>
              <w:right w:val="single" w:sz="4" w:space="0" w:color="auto"/>
            </w:tcBorders>
            <w:shd w:val="clear" w:color="auto" w:fill="auto"/>
            <w:noWrap/>
            <w:vAlign w:val="center"/>
            <w:hideMark/>
          </w:tcPr>
          <w:p w14:paraId="6DDE3866"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M</w:t>
            </w:r>
            <w:r>
              <w:rPr>
                <w:color w:val="000000"/>
                <w:sz w:val="18"/>
                <w:szCs w:val="18"/>
                <w:lang w:val="fr-CA"/>
              </w:rPr>
              <w:t>an</w:t>
            </w:r>
          </w:p>
        </w:tc>
        <w:tc>
          <w:tcPr>
            <w:tcW w:w="527" w:type="pct"/>
            <w:tcBorders>
              <w:top w:val="nil"/>
              <w:left w:val="nil"/>
              <w:bottom w:val="single" w:sz="4" w:space="0" w:color="auto"/>
              <w:right w:val="single" w:sz="4" w:space="0" w:color="auto"/>
            </w:tcBorders>
            <w:shd w:val="clear" w:color="auto" w:fill="auto"/>
            <w:noWrap/>
            <w:vAlign w:val="center"/>
            <w:hideMark/>
          </w:tcPr>
          <w:p w14:paraId="012685EA" w14:textId="77777777" w:rsidR="000264D6" w:rsidRPr="00157A78" w:rsidRDefault="000264D6" w:rsidP="00157A78">
            <w:pPr>
              <w:spacing w:before="100" w:beforeAutospacing="1" w:after="100" w:afterAutospacing="1" w:line="480" w:lineRule="auto"/>
              <w:jc w:val="center"/>
              <w:rPr>
                <w:color w:val="000000"/>
                <w:sz w:val="18"/>
                <w:szCs w:val="18"/>
                <w:vertAlign w:val="superscript"/>
                <w:lang w:val="fr-CA"/>
              </w:rPr>
            </w:pPr>
            <w:r w:rsidRPr="007B51C0">
              <w:rPr>
                <w:color w:val="000000"/>
                <w:sz w:val="18"/>
                <w:szCs w:val="18"/>
                <w:lang w:val="fr-CA"/>
              </w:rPr>
              <w:t>W</w:t>
            </w:r>
            <w:r>
              <w:rPr>
                <w:color w:val="000000"/>
                <w:sz w:val="18"/>
                <w:szCs w:val="18"/>
                <w:lang w:val="fr-CA"/>
              </w:rPr>
              <w:t>oon</w:t>
            </w:r>
            <w:r>
              <w:rPr>
                <w:color w:val="000000"/>
                <w:sz w:val="18"/>
                <w:szCs w:val="18"/>
                <w:vertAlign w:val="superscript"/>
                <w:lang w:val="fr-CA"/>
              </w:rPr>
              <w:t>1</w:t>
            </w:r>
          </w:p>
        </w:tc>
        <w:tc>
          <w:tcPr>
            <w:tcW w:w="501" w:type="pct"/>
            <w:tcBorders>
              <w:top w:val="nil"/>
              <w:left w:val="nil"/>
              <w:bottom w:val="single" w:sz="4" w:space="0" w:color="auto"/>
              <w:right w:val="single" w:sz="4" w:space="0" w:color="auto"/>
            </w:tcBorders>
            <w:shd w:val="clear" w:color="auto" w:fill="auto"/>
            <w:noWrap/>
            <w:vAlign w:val="center"/>
            <w:hideMark/>
          </w:tcPr>
          <w:p w14:paraId="3DEC0201"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M</w:t>
            </w:r>
            <w:r>
              <w:rPr>
                <w:color w:val="000000"/>
                <w:sz w:val="18"/>
                <w:szCs w:val="18"/>
                <w:lang w:val="fr-CA"/>
              </w:rPr>
              <w:t>an</w:t>
            </w:r>
            <w:r>
              <w:rPr>
                <w:color w:val="000000"/>
                <w:sz w:val="18"/>
                <w:szCs w:val="18"/>
                <w:vertAlign w:val="superscript"/>
                <w:lang w:val="fr-CA"/>
              </w:rPr>
              <w:t>2</w:t>
            </w:r>
          </w:p>
        </w:tc>
        <w:tc>
          <w:tcPr>
            <w:tcW w:w="477" w:type="pct"/>
            <w:tcBorders>
              <w:top w:val="nil"/>
              <w:left w:val="nil"/>
              <w:bottom w:val="single" w:sz="4" w:space="0" w:color="auto"/>
              <w:right w:val="single" w:sz="4" w:space="0" w:color="auto"/>
            </w:tcBorders>
            <w:shd w:val="clear" w:color="auto" w:fill="auto"/>
            <w:noWrap/>
            <w:vAlign w:val="center"/>
            <w:hideMark/>
          </w:tcPr>
          <w:p w14:paraId="2215A959"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W</w:t>
            </w:r>
            <w:r>
              <w:rPr>
                <w:color w:val="000000"/>
                <w:sz w:val="18"/>
                <w:szCs w:val="18"/>
                <w:lang w:val="fr-CA"/>
              </w:rPr>
              <w:t>oon</w:t>
            </w:r>
          </w:p>
        </w:tc>
        <w:tc>
          <w:tcPr>
            <w:tcW w:w="779" w:type="pct"/>
            <w:tcBorders>
              <w:top w:val="nil"/>
              <w:left w:val="nil"/>
              <w:bottom w:val="single" w:sz="4" w:space="0" w:color="auto"/>
              <w:right w:val="single" w:sz="4" w:space="0" w:color="auto"/>
            </w:tcBorders>
            <w:shd w:val="clear" w:color="auto" w:fill="auto"/>
            <w:noWrap/>
            <w:vAlign w:val="center"/>
            <w:hideMark/>
          </w:tcPr>
          <w:p w14:paraId="340E7720"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M</w:t>
            </w:r>
            <w:r>
              <w:rPr>
                <w:color w:val="000000"/>
                <w:sz w:val="18"/>
                <w:szCs w:val="18"/>
                <w:lang w:val="fr-CA"/>
              </w:rPr>
              <w:t>an</w:t>
            </w:r>
          </w:p>
        </w:tc>
      </w:tr>
      <w:tr w:rsidR="000545B4" w:rsidRPr="00217EFC" w14:paraId="49E740A2" w14:textId="77777777" w:rsidTr="000545B4">
        <w:trPr>
          <w:trHeight w:val="191"/>
        </w:trPr>
        <w:tc>
          <w:tcPr>
            <w:tcW w:w="467" w:type="pct"/>
            <w:tcBorders>
              <w:top w:val="nil"/>
              <w:left w:val="single" w:sz="4" w:space="0" w:color="auto"/>
              <w:bottom w:val="single" w:sz="4" w:space="0" w:color="auto"/>
              <w:right w:val="single" w:sz="4" w:space="0" w:color="auto"/>
            </w:tcBorders>
            <w:shd w:val="clear" w:color="auto" w:fill="A6A6A6"/>
            <w:noWrap/>
            <w:vAlign w:val="bottom"/>
            <w:hideMark/>
          </w:tcPr>
          <w:p w14:paraId="64F14A43" w14:textId="77777777" w:rsidR="000264D6" w:rsidRPr="007B51C0" w:rsidRDefault="000264D6" w:rsidP="003C57D5">
            <w:pPr>
              <w:spacing w:before="100" w:beforeAutospacing="1" w:after="100" w:afterAutospacing="1" w:line="480" w:lineRule="auto"/>
              <w:jc w:val="both"/>
              <w:rPr>
                <w:color w:val="000000"/>
                <w:sz w:val="18"/>
                <w:szCs w:val="18"/>
                <w:lang w:val="fr-CA"/>
              </w:rPr>
            </w:pPr>
            <w:r w:rsidRPr="007B51C0">
              <w:rPr>
                <w:color w:val="000000"/>
                <w:sz w:val="18"/>
                <w:szCs w:val="18"/>
                <w:lang w:val="fr-CA"/>
              </w:rPr>
              <w:t>1910</w:t>
            </w:r>
          </w:p>
        </w:tc>
        <w:tc>
          <w:tcPr>
            <w:tcW w:w="677" w:type="pct"/>
            <w:tcBorders>
              <w:top w:val="nil"/>
              <w:left w:val="nil"/>
              <w:bottom w:val="single" w:sz="4" w:space="0" w:color="auto"/>
              <w:right w:val="single" w:sz="4" w:space="0" w:color="auto"/>
            </w:tcBorders>
            <w:shd w:val="clear" w:color="auto" w:fill="E7E6E6"/>
            <w:noWrap/>
            <w:vAlign w:val="center"/>
            <w:hideMark/>
          </w:tcPr>
          <w:p w14:paraId="17BAE427"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1" w:type="pct"/>
            <w:tcBorders>
              <w:top w:val="nil"/>
              <w:left w:val="nil"/>
              <w:bottom w:val="single" w:sz="4" w:space="0" w:color="auto"/>
              <w:right w:val="single" w:sz="4" w:space="0" w:color="auto"/>
            </w:tcBorders>
            <w:shd w:val="clear" w:color="auto" w:fill="E7E6E6"/>
            <w:noWrap/>
            <w:vAlign w:val="center"/>
            <w:hideMark/>
          </w:tcPr>
          <w:p w14:paraId="77CF70A6"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1" w:type="pct"/>
            <w:tcBorders>
              <w:top w:val="nil"/>
              <w:left w:val="nil"/>
              <w:bottom w:val="single" w:sz="4" w:space="0" w:color="auto"/>
              <w:right w:val="single" w:sz="4" w:space="0" w:color="auto"/>
            </w:tcBorders>
            <w:shd w:val="clear" w:color="auto" w:fill="E7E6E6"/>
            <w:noWrap/>
            <w:vAlign w:val="center"/>
            <w:hideMark/>
          </w:tcPr>
          <w:p w14:paraId="6C219141"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30" w:type="pct"/>
            <w:tcBorders>
              <w:top w:val="nil"/>
              <w:left w:val="nil"/>
              <w:bottom w:val="single" w:sz="4" w:space="0" w:color="auto"/>
              <w:right w:val="single" w:sz="4" w:space="0" w:color="auto"/>
            </w:tcBorders>
            <w:shd w:val="clear" w:color="auto" w:fill="E7E6E6"/>
            <w:noWrap/>
            <w:vAlign w:val="center"/>
            <w:hideMark/>
          </w:tcPr>
          <w:p w14:paraId="5ECE5BAE"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7" w:type="pct"/>
            <w:tcBorders>
              <w:top w:val="nil"/>
              <w:left w:val="nil"/>
              <w:bottom w:val="single" w:sz="4" w:space="0" w:color="auto"/>
              <w:right w:val="single" w:sz="4" w:space="0" w:color="auto"/>
            </w:tcBorders>
            <w:shd w:val="clear" w:color="auto" w:fill="auto"/>
            <w:noWrap/>
            <w:vAlign w:val="center"/>
            <w:hideMark/>
          </w:tcPr>
          <w:p w14:paraId="2D9FFFCC"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38</w:t>
            </w:r>
            <w:r w:rsidR="005720F3">
              <w:rPr>
                <w:color w:val="000000"/>
                <w:sz w:val="18"/>
                <w:szCs w:val="18"/>
                <w:lang w:val="fr-CA"/>
              </w:rPr>
              <w:t>,</w:t>
            </w:r>
            <w:r w:rsidRPr="007B51C0">
              <w:rPr>
                <w:color w:val="000000"/>
                <w:sz w:val="18"/>
                <w:szCs w:val="18"/>
                <w:lang w:val="fr-CA"/>
              </w:rPr>
              <w:t>125</w:t>
            </w:r>
          </w:p>
        </w:tc>
        <w:tc>
          <w:tcPr>
            <w:tcW w:w="501" w:type="pct"/>
            <w:tcBorders>
              <w:top w:val="nil"/>
              <w:left w:val="nil"/>
              <w:bottom w:val="single" w:sz="4" w:space="0" w:color="auto"/>
              <w:right w:val="single" w:sz="4" w:space="0" w:color="auto"/>
            </w:tcBorders>
            <w:shd w:val="clear" w:color="auto" w:fill="auto"/>
            <w:noWrap/>
            <w:vAlign w:val="center"/>
            <w:hideMark/>
          </w:tcPr>
          <w:p w14:paraId="6E2509ED"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70</w:t>
            </w:r>
            <w:r w:rsidR="005720F3">
              <w:rPr>
                <w:color w:val="000000"/>
                <w:sz w:val="18"/>
                <w:szCs w:val="18"/>
                <w:lang w:val="fr-CA"/>
              </w:rPr>
              <w:t>,</w:t>
            </w:r>
            <w:r w:rsidRPr="007B51C0">
              <w:rPr>
                <w:color w:val="000000"/>
                <w:sz w:val="18"/>
                <w:szCs w:val="18"/>
                <w:lang w:val="fr-CA"/>
              </w:rPr>
              <w:t>063</w:t>
            </w:r>
          </w:p>
        </w:tc>
        <w:tc>
          <w:tcPr>
            <w:tcW w:w="477" w:type="pct"/>
            <w:tcBorders>
              <w:top w:val="nil"/>
              <w:left w:val="nil"/>
              <w:bottom w:val="single" w:sz="4" w:space="0" w:color="auto"/>
              <w:right w:val="single" w:sz="4" w:space="0" w:color="auto"/>
            </w:tcBorders>
            <w:shd w:val="clear" w:color="auto" w:fill="E7E6E6"/>
            <w:noWrap/>
            <w:vAlign w:val="center"/>
            <w:hideMark/>
          </w:tcPr>
          <w:p w14:paraId="1DFABA9E"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779" w:type="pct"/>
            <w:tcBorders>
              <w:top w:val="nil"/>
              <w:left w:val="nil"/>
              <w:bottom w:val="single" w:sz="4" w:space="0" w:color="auto"/>
              <w:right w:val="single" w:sz="4" w:space="0" w:color="auto"/>
            </w:tcBorders>
            <w:shd w:val="clear" w:color="auto" w:fill="E7E6E6"/>
            <w:noWrap/>
            <w:vAlign w:val="center"/>
            <w:hideMark/>
          </w:tcPr>
          <w:p w14:paraId="36D5FA11"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r>
      <w:tr w:rsidR="000545B4" w:rsidRPr="00217EFC" w14:paraId="5C2ACC7D" w14:textId="77777777" w:rsidTr="000545B4">
        <w:trPr>
          <w:trHeight w:val="181"/>
        </w:trPr>
        <w:tc>
          <w:tcPr>
            <w:tcW w:w="467" w:type="pct"/>
            <w:tcBorders>
              <w:top w:val="nil"/>
              <w:left w:val="single" w:sz="4" w:space="0" w:color="auto"/>
              <w:bottom w:val="single" w:sz="4" w:space="0" w:color="auto"/>
              <w:right w:val="single" w:sz="4" w:space="0" w:color="auto"/>
            </w:tcBorders>
            <w:shd w:val="clear" w:color="auto" w:fill="A6A6A6"/>
            <w:noWrap/>
            <w:vAlign w:val="bottom"/>
            <w:hideMark/>
          </w:tcPr>
          <w:p w14:paraId="47A75441" w14:textId="77777777" w:rsidR="000264D6" w:rsidRPr="007B51C0" w:rsidRDefault="000264D6" w:rsidP="003C57D5">
            <w:pPr>
              <w:spacing w:before="100" w:beforeAutospacing="1" w:after="100" w:afterAutospacing="1" w:line="480" w:lineRule="auto"/>
              <w:jc w:val="both"/>
              <w:rPr>
                <w:color w:val="000000"/>
                <w:sz w:val="18"/>
                <w:szCs w:val="18"/>
                <w:lang w:val="fr-CA"/>
              </w:rPr>
            </w:pPr>
            <w:r w:rsidRPr="007B51C0">
              <w:rPr>
                <w:color w:val="000000"/>
                <w:sz w:val="18"/>
                <w:szCs w:val="18"/>
                <w:lang w:val="fr-CA"/>
              </w:rPr>
              <w:t>1914</w:t>
            </w:r>
          </w:p>
        </w:tc>
        <w:tc>
          <w:tcPr>
            <w:tcW w:w="677" w:type="pct"/>
            <w:tcBorders>
              <w:top w:val="nil"/>
              <w:left w:val="nil"/>
              <w:bottom w:val="single" w:sz="4" w:space="0" w:color="auto"/>
              <w:right w:val="single" w:sz="4" w:space="0" w:color="auto"/>
            </w:tcBorders>
            <w:shd w:val="clear" w:color="auto" w:fill="auto"/>
            <w:noWrap/>
            <w:vAlign w:val="center"/>
            <w:hideMark/>
          </w:tcPr>
          <w:p w14:paraId="79580D70"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25</w:t>
            </w:r>
            <w:r w:rsidR="005720F3">
              <w:rPr>
                <w:color w:val="000000"/>
                <w:sz w:val="18"/>
                <w:szCs w:val="18"/>
                <w:lang w:val="fr-CA"/>
              </w:rPr>
              <w:t xml:space="preserve">–28, </w:t>
            </w:r>
            <w:r w:rsidRPr="007B51C0">
              <w:rPr>
                <w:color w:val="000000"/>
                <w:sz w:val="18"/>
                <w:szCs w:val="18"/>
                <w:lang w:val="fr-CA"/>
              </w:rPr>
              <w:t>000</w:t>
            </w:r>
            <w:r>
              <w:rPr>
                <w:color w:val="000000"/>
                <w:sz w:val="18"/>
                <w:szCs w:val="18"/>
                <w:vertAlign w:val="superscript"/>
                <w:lang w:val="fr-CA"/>
              </w:rPr>
              <w:t>3</w:t>
            </w:r>
          </w:p>
        </w:tc>
        <w:tc>
          <w:tcPr>
            <w:tcW w:w="521" w:type="pct"/>
            <w:tcBorders>
              <w:top w:val="nil"/>
              <w:left w:val="nil"/>
              <w:bottom w:val="single" w:sz="4" w:space="0" w:color="auto"/>
              <w:right w:val="single" w:sz="4" w:space="0" w:color="auto"/>
            </w:tcBorders>
            <w:shd w:val="clear" w:color="auto" w:fill="E7E6E6"/>
            <w:noWrap/>
            <w:vAlign w:val="center"/>
            <w:hideMark/>
          </w:tcPr>
          <w:p w14:paraId="42087AFF"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1" w:type="pct"/>
            <w:tcBorders>
              <w:top w:val="nil"/>
              <w:left w:val="nil"/>
              <w:bottom w:val="single" w:sz="4" w:space="0" w:color="auto"/>
              <w:right w:val="single" w:sz="4" w:space="0" w:color="auto"/>
            </w:tcBorders>
            <w:shd w:val="clear" w:color="auto" w:fill="E7E6E6"/>
            <w:noWrap/>
            <w:vAlign w:val="center"/>
            <w:hideMark/>
          </w:tcPr>
          <w:p w14:paraId="5A636579"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30" w:type="pct"/>
            <w:tcBorders>
              <w:top w:val="nil"/>
              <w:left w:val="nil"/>
              <w:bottom w:val="single" w:sz="4" w:space="0" w:color="auto"/>
              <w:right w:val="single" w:sz="4" w:space="0" w:color="auto"/>
            </w:tcBorders>
            <w:shd w:val="clear" w:color="auto" w:fill="E7E6E6"/>
            <w:noWrap/>
            <w:vAlign w:val="center"/>
            <w:hideMark/>
          </w:tcPr>
          <w:p w14:paraId="3238AED2"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7" w:type="pct"/>
            <w:tcBorders>
              <w:top w:val="nil"/>
              <w:left w:val="nil"/>
              <w:bottom w:val="single" w:sz="4" w:space="0" w:color="auto"/>
              <w:right w:val="single" w:sz="4" w:space="0" w:color="auto"/>
            </w:tcBorders>
            <w:shd w:val="clear" w:color="auto" w:fill="E7E6E6"/>
            <w:noWrap/>
            <w:vAlign w:val="center"/>
            <w:hideMark/>
          </w:tcPr>
          <w:p w14:paraId="43977C4A"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01" w:type="pct"/>
            <w:tcBorders>
              <w:top w:val="nil"/>
              <w:left w:val="nil"/>
              <w:bottom w:val="single" w:sz="4" w:space="0" w:color="auto"/>
              <w:right w:val="single" w:sz="4" w:space="0" w:color="auto"/>
            </w:tcBorders>
            <w:shd w:val="clear" w:color="auto" w:fill="E7E6E6"/>
            <w:noWrap/>
            <w:vAlign w:val="center"/>
            <w:hideMark/>
          </w:tcPr>
          <w:p w14:paraId="25880018"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477" w:type="pct"/>
            <w:tcBorders>
              <w:top w:val="nil"/>
              <w:left w:val="nil"/>
              <w:bottom w:val="single" w:sz="4" w:space="0" w:color="auto"/>
              <w:right w:val="single" w:sz="4" w:space="0" w:color="auto"/>
            </w:tcBorders>
            <w:shd w:val="clear" w:color="auto" w:fill="auto"/>
            <w:noWrap/>
            <w:vAlign w:val="center"/>
            <w:hideMark/>
          </w:tcPr>
          <w:p w14:paraId="6D78710F"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40</w:t>
            </w:r>
            <w:r w:rsidR="005720F3">
              <w:rPr>
                <w:color w:val="000000"/>
                <w:sz w:val="18"/>
                <w:szCs w:val="18"/>
                <w:lang w:val="fr-CA"/>
              </w:rPr>
              <w:t>,</w:t>
            </w:r>
            <w:r w:rsidRPr="007B51C0">
              <w:rPr>
                <w:color w:val="000000"/>
                <w:sz w:val="18"/>
                <w:szCs w:val="18"/>
                <w:lang w:val="fr-CA"/>
              </w:rPr>
              <w:t xml:space="preserve"> 000</w:t>
            </w:r>
            <w:r>
              <w:rPr>
                <w:color w:val="000000"/>
                <w:sz w:val="18"/>
                <w:szCs w:val="18"/>
                <w:vertAlign w:val="superscript"/>
                <w:lang w:val="fr-CA"/>
              </w:rPr>
              <w:t>4</w:t>
            </w:r>
          </w:p>
        </w:tc>
        <w:tc>
          <w:tcPr>
            <w:tcW w:w="779" w:type="pct"/>
            <w:tcBorders>
              <w:top w:val="nil"/>
              <w:left w:val="nil"/>
              <w:bottom w:val="single" w:sz="4" w:space="0" w:color="auto"/>
              <w:right w:val="single" w:sz="4" w:space="0" w:color="auto"/>
            </w:tcBorders>
            <w:shd w:val="clear" w:color="auto" w:fill="E7E6E6"/>
            <w:noWrap/>
            <w:vAlign w:val="center"/>
            <w:hideMark/>
          </w:tcPr>
          <w:p w14:paraId="40962C35"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r>
      <w:tr w:rsidR="000545B4" w:rsidRPr="00217EFC" w14:paraId="74EB710B" w14:textId="77777777" w:rsidTr="000545B4">
        <w:trPr>
          <w:trHeight w:val="191"/>
        </w:trPr>
        <w:tc>
          <w:tcPr>
            <w:tcW w:w="467" w:type="pct"/>
            <w:tcBorders>
              <w:top w:val="nil"/>
              <w:left w:val="single" w:sz="4" w:space="0" w:color="auto"/>
              <w:bottom w:val="single" w:sz="4" w:space="0" w:color="auto"/>
              <w:right w:val="single" w:sz="4" w:space="0" w:color="auto"/>
            </w:tcBorders>
            <w:shd w:val="clear" w:color="auto" w:fill="A6A6A6"/>
            <w:noWrap/>
            <w:vAlign w:val="bottom"/>
            <w:hideMark/>
          </w:tcPr>
          <w:p w14:paraId="70F3AC14" w14:textId="77777777" w:rsidR="000264D6" w:rsidRPr="007B51C0" w:rsidRDefault="000264D6" w:rsidP="003C57D5">
            <w:pPr>
              <w:spacing w:before="100" w:beforeAutospacing="1" w:after="100" w:afterAutospacing="1" w:line="480" w:lineRule="auto"/>
              <w:jc w:val="both"/>
              <w:rPr>
                <w:color w:val="000000"/>
                <w:sz w:val="18"/>
                <w:szCs w:val="18"/>
                <w:lang w:val="fr-CA"/>
              </w:rPr>
            </w:pPr>
            <w:r w:rsidRPr="007B51C0">
              <w:rPr>
                <w:color w:val="000000"/>
                <w:sz w:val="18"/>
                <w:szCs w:val="18"/>
                <w:lang w:val="fr-CA"/>
              </w:rPr>
              <w:t>1916</w:t>
            </w:r>
          </w:p>
        </w:tc>
        <w:tc>
          <w:tcPr>
            <w:tcW w:w="677" w:type="pct"/>
            <w:tcBorders>
              <w:top w:val="nil"/>
              <w:left w:val="nil"/>
              <w:bottom w:val="single" w:sz="4" w:space="0" w:color="auto"/>
              <w:right w:val="single" w:sz="4" w:space="0" w:color="auto"/>
            </w:tcBorders>
            <w:shd w:val="clear" w:color="auto" w:fill="E7E6E6"/>
            <w:noWrap/>
            <w:vAlign w:val="center"/>
            <w:hideMark/>
          </w:tcPr>
          <w:p w14:paraId="4F1D5ED8"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1" w:type="pct"/>
            <w:tcBorders>
              <w:top w:val="nil"/>
              <w:left w:val="nil"/>
              <w:bottom w:val="single" w:sz="4" w:space="0" w:color="auto"/>
              <w:right w:val="single" w:sz="4" w:space="0" w:color="auto"/>
            </w:tcBorders>
            <w:shd w:val="clear" w:color="auto" w:fill="auto"/>
            <w:noWrap/>
            <w:vAlign w:val="center"/>
            <w:hideMark/>
          </w:tcPr>
          <w:p w14:paraId="34CC6DBE" w14:textId="77777777" w:rsidR="000264D6" w:rsidRPr="007B51C0" w:rsidRDefault="000264D6" w:rsidP="00A00AE4">
            <w:pPr>
              <w:spacing w:before="100" w:beforeAutospacing="1" w:after="100" w:afterAutospacing="1" w:line="480" w:lineRule="auto"/>
              <w:jc w:val="center"/>
              <w:rPr>
                <w:color w:val="000000"/>
                <w:sz w:val="18"/>
                <w:szCs w:val="18"/>
                <w:lang w:val="fr-CA"/>
              </w:rPr>
            </w:pPr>
            <w:r>
              <w:rPr>
                <w:color w:val="000000"/>
                <w:sz w:val="18"/>
                <w:szCs w:val="18"/>
                <w:lang w:val="fr-CA"/>
              </w:rPr>
              <w:t>40</w:t>
            </w:r>
            <w:r w:rsidR="005720F3">
              <w:rPr>
                <w:color w:val="000000"/>
                <w:sz w:val="18"/>
                <w:szCs w:val="18"/>
                <w:lang w:val="fr-CA"/>
              </w:rPr>
              <w:t>,</w:t>
            </w:r>
            <w:r>
              <w:rPr>
                <w:color w:val="000000"/>
                <w:sz w:val="18"/>
                <w:szCs w:val="18"/>
                <w:lang w:val="fr-CA"/>
              </w:rPr>
              <w:t xml:space="preserve"> 000</w:t>
            </w:r>
            <w:r>
              <w:rPr>
                <w:color w:val="000000"/>
                <w:sz w:val="18"/>
                <w:szCs w:val="18"/>
                <w:vertAlign w:val="superscript"/>
                <w:lang w:val="fr-CA"/>
              </w:rPr>
              <w:t>5</w:t>
            </w:r>
          </w:p>
        </w:tc>
        <w:tc>
          <w:tcPr>
            <w:tcW w:w="521" w:type="pct"/>
            <w:tcBorders>
              <w:top w:val="nil"/>
              <w:left w:val="nil"/>
              <w:bottom w:val="single" w:sz="4" w:space="0" w:color="auto"/>
              <w:right w:val="single" w:sz="4" w:space="0" w:color="auto"/>
            </w:tcBorders>
            <w:shd w:val="clear" w:color="auto" w:fill="E7E6E6"/>
            <w:noWrap/>
            <w:vAlign w:val="center"/>
            <w:hideMark/>
          </w:tcPr>
          <w:p w14:paraId="219AF3BB"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30" w:type="pct"/>
            <w:tcBorders>
              <w:top w:val="nil"/>
              <w:left w:val="nil"/>
              <w:bottom w:val="single" w:sz="4" w:space="0" w:color="auto"/>
              <w:right w:val="single" w:sz="4" w:space="0" w:color="auto"/>
            </w:tcBorders>
            <w:shd w:val="clear" w:color="auto" w:fill="E7E6E6"/>
            <w:noWrap/>
            <w:vAlign w:val="center"/>
            <w:hideMark/>
          </w:tcPr>
          <w:p w14:paraId="50852161"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7" w:type="pct"/>
            <w:tcBorders>
              <w:top w:val="nil"/>
              <w:left w:val="nil"/>
              <w:bottom w:val="single" w:sz="4" w:space="0" w:color="auto"/>
              <w:right w:val="single" w:sz="4" w:space="0" w:color="auto"/>
            </w:tcBorders>
            <w:shd w:val="clear" w:color="auto" w:fill="E7E6E6"/>
            <w:noWrap/>
            <w:vAlign w:val="center"/>
            <w:hideMark/>
          </w:tcPr>
          <w:p w14:paraId="1E5E54EA"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01" w:type="pct"/>
            <w:tcBorders>
              <w:top w:val="nil"/>
              <w:left w:val="nil"/>
              <w:bottom w:val="single" w:sz="4" w:space="0" w:color="auto"/>
              <w:right w:val="single" w:sz="4" w:space="0" w:color="auto"/>
            </w:tcBorders>
            <w:shd w:val="clear" w:color="auto" w:fill="E7E6E6"/>
            <w:noWrap/>
            <w:vAlign w:val="center"/>
            <w:hideMark/>
          </w:tcPr>
          <w:p w14:paraId="23EC6436"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477" w:type="pct"/>
            <w:tcBorders>
              <w:top w:val="nil"/>
              <w:left w:val="nil"/>
              <w:bottom w:val="single" w:sz="4" w:space="0" w:color="auto"/>
              <w:right w:val="single" w:sz="4" w:space="0" w:color="auto"/>
            </w:tcBorders>
            <w:shd w:val="clear" w:color="auto" w:fill="E7E6E6"/>
            <w:noWrap/>
            <w:vAlign w:val="center"/>
            <w:hideMark/>
          </w:tcPr>
          <w:p w14:paraId="3ECD1EDE"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5E260DC7" w14:textId="77777777" w:rsidR="000264D6" w:rsidRPr="007B51C0" w:rsidRDefault="000264D6" w:rsidP="00157A78">
            <w:pPr>
              <w:spacing w:before="100" w:beforeAutospacing="1" w:after="100" w:afterAutospacing="1" w:line="480" w:lineRule="auto"/>
              <w:jc w:val="center"/>
              <w:rPr>
                <w:color w:val="000000"/>
                <w:sz w:val="18"/>
                <w:szCs w:val="18"/>
                <w:lang w:val="fr-CA"/>
              </w:rPr>
            </w:pPr>
            <w:r>
              <w:rPr>
                <w:color w:val="000000"/>
                <w:sz w:val="18"/>
                <w:szCs w:val="18"/>
                <w:lang w:val="fr-CA"/>
              </w:rPr>
              <w:t>80</w:t>
            </w:r>
            <w:r w:rsidR="005720F3">
              <w:rPr>
                <w:color w:val="000000"/>
                <w:sz w:val="18"/>
                <w:szCs w:val="18"/>
                <w:lang w:val="fr-CA"/>
              </w:rPr>
              <w:t>,</w:t>
            </w:r>
            <w:r>
              <w:rPr>
                <w:color w:val="000000"/>
                <w:sz w:val="18"/>
                <w:szCs w:val="18"/>
                <w:lang w:val="fr-CA"/>
              </w:rPr>
              <w:t xml:space="preserve"> 000</w:t>
            </w:r>
            <w:r>
              <w:rPr>
                <w:color w:val="000000"/>
                <w:sz w:val="18"/>
                <w:szCs w:val="18"/>
                <w:vertAlign w:val="superscript"/>
                <w:lang w:val="fr-CA"/>
              </w:rPr>
              <w:t>6</w:t>
            </w:r>
          </w:p>
        </w:tc>
      </w:tr>
      <w:tr w:rsidR="000545B4" w:rsidRPr="00217EFC" w14:paraId="0DA31981" w14:textId="77777777" w:rsidTr="000545B4">
        <w:trPr>
          <w:trHeight w:val="191"/>
        </w:trPr>
        <w:tc>
          <w:tcPr>
            <w:tcW w:w="467" w:type="pct"/>
            <w:tcBorders>
              <w:top w:val="nil"/>
              <w:left w:val="single" w:sz="4" w:space="0" w:color="auto"/>
              <w:bottom w:val="single" w:sz="4" w:space="0" w:color="auto"/>
              <w:right w:val="single" w:sz="4" w:space="0" w:color="auto"/>
            </w:tcBorders>
            <w:shd w:val="clear" w:color="auto" w:fill="A6A6A6"/>
            <w:noWrap/>
            <w:vAlign w:val="bottom"/>
            <w:hideMark/>
          </w:tcPr>
          <w:p w14:paraId="075CA677" w14:textId="77777777" w:rsidR="000264D6" w:rsidRPr="007B51C0" w:rsidRDefault="000264D6" w:rsidP="003C57D5">
            <w:pPr>
              <w:spacing w:before="100" w:beforeAutospacing="1" w:after="100" w:afterAutospacing="1" w:line="480" w:lineRule="auto"/>
              <w:jc w:val="both"/>
              <w:rPr>
                <w:color w:val="000000"/>
                <w:sz w:val="18"/>
                <w:szCs w:val="18"/>
                <w:lang w:val="fr-CA"/>
              </w:rPr>
            </w:pPr>
            <w:r w:rsidRPr="007B51C0">
              <w:rPr>
                <w:color w:val="000000"/>
                <w:sz w:val="18"/>
                <w:szCs w:val="18"/>
                <w:lang w:val="fr-CA"/>
              </w:rPr>
              <w:t>1920</w:t>
            </w:r>
          </w:p>
        </w:tc>
        <w:tc>
          <w:tcPr>
            <w:tcW w:w="677" w:type="pct"/>
            <w:tcBorders>
              <w:top w:val="nil"/>
              <w:left w:val="nil"/>
              <w:bottom w:val="single" w:sz="4" w:space="0" w:color="auto"/>
              <w:right w:val="single" w:sz="4" w:space="0" w:color="auto"/>
            </w:tcBorders>
            <w:shd w:val="clear" w:color="auto" w:fill="E7E6E6"/>
            <w:noWrap/>
            <w:vAlign w:val="center"/>
            <w:hideMark/>
          </w:tcPr>
          <w:p w14:paraId="086AD343"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1" w:type="pct"/>
            <w:tcBorders>
              <w:top w:val="nil"/>
              <w:left w:val="nil"/>
              <w:bottom w:val="single" w:sz="4" w:space="0" w:color="auto"/>
              <w:right w:val="single" w:sz="4" w:space="0" w:color="auto"/>
            </w:tcBorders>
            <w:shd w:val="clear" w:color="auto" w:fill="E7E6E6"/>
            <w:noWrap/>
            <w:vAlign w:val="center"/>
            <w:hideMark/>
          </w:tcPr>
          <w:p w14:paraId="05377561"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1" w:type="pct"/>
            <w:tcBorders>
              <w:top w:val="nil"/>
              <w:left w:val="nil"/>
              <w:bottom w:val="single" w:sz="4" w:space="0" w:color="auto"/>
              <w:right w:val="single" w:sz="4" w:space="0" w:color="auto"/>
            </w:tcBorders>
            <w:shd w:val="clear" w:color="auto" w:fill="E7E6E6"/>
            <w:noWrap/>
            <w:vAlign w:val="center"/>
            <w:hideMark/>
          </w:tcPr>
          <w:p w14:paraId="3B9EBB04"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30" w:type="pct"/>
            <w:tcBorders>
              <w:top w:val="nil"/>
              <w:left w:val="nil"/>
              <w:bottom w:val="single" w:sz="4" w:space="0" w:color="auto"/>
              <w:right w:val="single" w:sz="4" w:space="0" w:color="auto"/>
            </w:tcBorders>
            <w:shd w:val="clear" w:color="auto" w:fill="E7E6E6"/>
            <w:noWrap/>
            <w:vAlign w:val="center"/>
            <w:hideMark/>
          </w:tcPr>
          <w:p w14:paraId="53796BCF"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7" w:type="pct"/>
            <w:tcBorders>
              <w:top w:val="nil"/>
              <w:left w:val="nil"/>
              <w:bottom w:val="single" w:sz="4" w:space="0" w:color="auto"/>
              <w:right w:val="single" w:sz="4" w:space="0" w:color="auto"/>
            </w:tcBorders>
            <w:shd w:val="clear" w:color="auto" w:fill="auto"/>
            <w:noWrap/>
            <w:vAlign w:val="center"/>
            <w:hideMark/>
          </w:tcPr>
          <w:p w14:paraId="7429B87E"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43</w:t>
            </w:r>
            <w:r w:rsidR="005720F3">
              <w:rPr>
                <w:color w:val="000000"/>
                <w:sz w:val="18"/>
                <w:szCs w:val="18"/>
                <w:lang w:val="fr-CA"/>
              </w:rPr>
              <w:t>,</w:t>
            </w:r>
            <w:r w:rsidRPr="007B51C0">
              <w:rPr>
                <w:color w:val="000000"/>
                <w:sz w:val="18"/>
                <w:szCs w:val="18"/>
                <w:lang w:val="fr-CA"/>
              </w:rPr>
              <w:t>496</w:t>
            </w:r>
          </w:p>
        </w:tc>
        <w:tc>
          <w:tcPr>
            <w:tcW w:w="501" w:type="pct"/>
            <w:tcBorders>
              <w:top w:val="nil"/>
              <w:left w:val="nil"/>
              <w:bottom w:val="single" w:sz="4" w:space="0" w:color="auto"/>
              <w:right w:val="single" w:sz="4" w:space="0" w:color="auto"/>
            </w:tcBorders>
            <w:shd w:val="clear" w:color="auto" w:fill="auto"/>
            <w:noWrap/>
            <w:vAlign w:val="center"/>
            <w:hideMark/>
          </w:tcPr>
          <w:p w14:paraId="7F97A0DF"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78</w:t>
            </w:r>
            <w:r w:rsidR="005720F3">
              <w:rPr>
                <w:color w:val="000000"/>
                <w:sz w:val="18"/>
                <w:szCs w:val="18"/>
                <w:lang w:val="fr-CA"/>
              </w:rPr>
              <w:t>,</w:t>
            </w:r>
            <w:r w:rsidRPr="007B51C0">
              <w:rPr>
                <w:color w:val="000000"/>
                <w:sz w:val="18"/>
                <w:szCs w:val="18"/>
                <w:lang w:val="fr-CA"/>
              </w:rPr>
              <w:t>384</w:t>
            </w:r>
          </w:p>
        </w:tc>
        <w:tc>
          <w:tcPr>
            <w:tcW w:w="477" w:type="pct"/>
            <w:tcBorders>
              <w:top w:val="nil"/>
              <w:left w:val="nil"/>
              <w:bottom w:val="single" w:sz="4" w:space="0" w:color="auto"/>
              <w:right w:val="single" w:sz="4" w:space="0" w:color="auto"/>
            </w:tcBorders>
            <w:shd w:val="clear" w:color="auto" w:fill="E7E6E6"/>
            <w:noWrap/>
            <w:vAlign w:val="center"/>
            <w:hideMark/>
          </w:tcPr>
          <w:p w14:paraId="770388D0"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779" w:type="pct"/>
            <w:tcBorders>
              <w:top w:val="nil"/>
              <w:left w:val="nil"/>
              <w:bottom w:val="single" w:sz="4" w:space="0" w:color="auto"/>
              <w:right w:val="single" w:sz="4" w:space="0" w:color="auto"/>
            </w:tcBorders>
            <w:shd w:val="clear" w:color="auto" w:fill="E7E6E6"/>
            <w:noWrap/>
            <w:vAlign w:val="center"/>
            <w:hideMark/>
          </w:tcPr>
          <w:p w14:paraId="5DA492DD"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r>
      <w:tr w:rsidR="000545B4" w:rsidRPr="00217EFC" w14:paraId="3854D1E7" w14:textId="77777777" w:rsidTr="000545B4">
        <w:trPr>
          <w:trHeight w:val="191"/>
        </w:trPr>
        <w:tc>
          <w:tcPr>
            <w:tcW w:w="467" w:type="pct"/>
            <w:tcBorders>
              <w:top w:val="nil"/>
              <w:left w:val="single" w:sz="4" w:space="0" w:color="auto"/>
              <w:bottom w:val="single" w:sz="4" w:space="0" w:color="auto"/>
              <w:right w:val="single" w:sz="4" w:space="0" w:color="auto"/>
            </w:tcBorders>
            <w:shd w:val="clear" w:color="auto" w:fill="A6A6A6"/>
            <w:noWrap/>
            <w:vAlign w:val="bottom"/>
            <w:hideMark/>
          </w:tcPr>
          <w:p w14:paraId="45162EF2" w14:textId="77777777" w:rsidR="000264D6" w:rsidRPr="007B51C0" w:rsidRDefault="000264D6" w:rsidP="003C57D5">
            <w:pPr>
              <w:spacing w:before="100" w:beforeAutospacing="1" w:after="100" w:afterAutospacing="1" w:line="480" w:lineRule="auto"/>
              <w:jc w:val="both"/>
              <w:rPr>
                <w:color w:val="000000"/>
                <w:sz w:val="18"/>
                <w:szCs w:val="18"/>
                <w:lang w:val="fr-CA"/>
              </w:rPr>
            </w:pPr>
            <w:r w:rsidRPr="007B51C0">
              <w:rPr>
                <w:color w:val="000000"/>
                <w:sz w:val="18"/>
                <w:szCs w:val="18"/>
                <w:lang w:val="fr-CA"/>
              </w:rPr>
              <w:t>1921</w:t>
            </w:r>
          </w:p>
        </w:tc>
        <w:tc>
          <w:tcPr>
            <w:tcW w:w="677" w:type="pct"/>
            <w:tcBorders>
              <w:top w:val="nil"/>
              <w:left w:val="nil"/>
              <w:bottom w:val="single" w:sz="4" w:space="0" w:color="auto"/>
              <w:right w:val="single" w:sz="4" w:space="0" w:color="auto"/>
            </w:tcBorders>
            <w:shd w:val="clear" w:color="auto" w:fill="E7E6E6"/>
            <w:noWrap/>
            <w:vAlign w:val="center"/>
            <w:hideMark/>
          </w:tcPr>
          <w:p w14:paraId="7F13E5E2"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1" w:type="pct"/>
            <w:tcBorders>
              <w:top w:val="nil"/>
              <w:left w:val="nil"/>
              <w:bottom w:val="single" w:sz="4" w:space="0" w:color="auto"/>
              <w:right w:val="single" w:sz="4" w:space="0" w:color="auto"/>
            </w:tcBorders>
            <w:shd w:val="clear" w:color="auto" w:fill="E7E6E6"/>
            <w:noWrap/>
            <w:vAlign w:val="center"/>
            <w:hideMark/>
          </w:tcPr>
          <w:p w14:paraId="3967057D"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21" w:type="pct"/>
            <w:tcBorders>
              <w:top w:val="nil"/>
              <w:left w:val="nil"/>
              <w:bottom w:val="single" w:sz="4" w:space="0" w:color="auto"/>
              <w:right w:val="single" w:sz="4" w:space="0" w:color="auto"/>
            </w:tcBorders>
            <w:shd w:val="clear" w:color="auto" w:fill="auto"/>
            <w:noWrap/>
            <w:vAlign w:val="center"/>
            <w:hideMark/>
          </w:tcPr>
          <w:p w14:paraId="404A65F3"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31</w:t>
            </w:r>
            <w:r w:rsidR="005720F3">
              <w:rPr>
                <w:color w:val="000000"/>
                <w:sz w:val="18"/>
                <w:szCs w:val="18"/>
                <w:lang w:val="fr-CA"/>
              </w:rPr>
              <w:t>,</w:t>
            </w:r>
            <w:r w:rsidRPr="007B51C0">
              <w:rPr>
                <w:color w:val="000000"/>
                <w:sz w:val="18"/>
                <w:szCs w:val="18"/>
                <w:lang w:val="fr-CA"/>
              </w:rPr>
              <w:t xml:space="preserve"> 575</w:t>
            </w:r>
            <w:r>
              <w:rPr>
                <w:color w:val="000000"/>
                <w:sz w:val="18"/>
                <w:szCs w:val="18"/>
                <w:vertAlign w:val="superscript"/>
                <w:lang w:val="fr-CA"/>
              </w:rPr>
              <w:t>7</w:t>
            </w:r>
          </w:p>
        </w:tc>
        <w:tc>
          <w:tcPr>
            <w:tcW w:w="530" w:type="pct"/>
            <w:tcBorders>
              <w:top w:val="nil"/>
              <w:left w:val="nil"/>
              <w:bottom w:val="single" w:sz="4" w:space="0" w:color="auto"/>
              <w:right w:val="single" w:sz="4" w:space="0" w:color="auto"/>
            </w:tcBorders>
            <w:shd w:val="clear" w:color="auto" w:fill="auto"/>
            <w:noWrap/>
            <w:vAlign w:val="center"/>
            <w:hideMark/>
          </w:tcPr>
          <w:p w14:paraId="0135F771" w14:textId="77777777" w:rsidR="000264D6" w:rsidRPr="007B51C0" w:rsidRDefault="000264D6" w:rsidP="00157A78">
            <w:pPr>
              <w:spacing w:before="100" w:beforeAutospacing="1" w:after="100" w:afterAutospacing="1" w:line="480" w:lineRule="auto"/>
              <w:jc w:val="center"/>
              <w:rPr>
                <w:color w:val="000000"/>
                <w:sz w:val="18"/>
                <w:szCs w:val="18"/>
                <w:lang w:val="fr-CA"/>
              </w:rPr>
            </w:pPr>
            <w:r w:rsidRPr="007B51C0">
              <w:rPr>
                <w:color w:val="000000"/>
                <w:sz w:val="18"/>
                <w:szCs w:val="18"/>
                <w:lang w:val="fr-CA"/>
              </w:rPr>
              <w:t>30</w:t>
            </w:r>
            <w:r w:rsidR="005720F3">
              <w:rPr>
                <w:color w:val="000000"/>
                <w:sz w:val="18"/>
                <w:szCs w:val="18"/>
                <w:lang w:val="fr-CA"/>
              </w:rPr>
              <w:t>,</w:t>
            </w:r>
            <w:r w:rsidRPr="007B51C0">
              <w:rPr>
                <w:color w:val="000000"/>
                <w:sz w:val="18"/>
                <w:szCs w:val="18"/>
                <w:lang w:val="fr-CA"/>
              </w:rPr>
              <w:t xml:space="preserve"> 818</w:t>
            </w:r>
            <w:r>
              <w:rPr>
                <w:color w:val="000000"/>
                <w:sz w:val="18"/>
                <w:szCs w:val="18"/>
                <w:vertAlign w:val="superscript"/>
                <w:lang w:val="fr-CA"/>
              </w:rPr>
              <w:t>8</w:t>
            </w:r>
          </w:p>
        </w:tc>
        <w:tc>
          <w:tcPr>
            <w:tcW w:w="527" w:type="pct"/>
            <w:tcBorders>
              <w:top w:val="nil"/>
              <w:left w:val="nil"/>
              <w:bottom w:val="single" w:sz="4" w:space="0" w:color="auto"/>
              <w:right w:val="single" w:sz="4" w:space="0" w:color="auto"/>
            </w:tcBorders>
            <w:shd w:val="clear" w:color="auto" w:fill="E7E6E6"/>
            <w:noWrap/>
            <w:vAlign w:val="center"/>
            <w:hideMark/>
          </w:tcPr>
          <w:p w14:paraId="0E626D91"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501" w:type="pct"/>
            <w:tcBorders>
              <w:top w:val="nil"/>
              <w:left w:val="nil"/>
              <w:bottom w:val="single" w:sz="4" w:space="0" w:color="auto"/>
              <w:right w:val="single" w:sz="4" w:space="0" w:color="auto"/>
            </w:tcBorders>
            <w:shd w:val="clear" w:color="auto" w:fill="E7E6E6"/>
            <w:noWrap/>
            <w:vAlign w:val="center"/>
            <w:hideMark/>
          </w:tcPr>
          <w:p w14:paraId="7111FA0A"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477" w:type="pct"/>
            <w:tcBorders>
              <w:top w:val="nil"/>
              <w:left w:val="nil"/>
              <w:bottom w:val="single" w:sz="4" w:space="0" w:color="auto"/>
              <w:right w:val="single" w:sz="4" w:space="0" w:color="auto"/>
            </w:tcBorders>
            <w:shd w:val="clear" w:color="auto" w:fill="E7E6E6"/>
            <w:noWrap/>
            <w:vAlign w:val="center"/>
            <w:hideMark/>
          </w:tcPr>
          <w:p w14:paraId="59B236F9"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c>
          <w:tcPr>
            <w:tcW w:w="779" w:type="pct"/>
            <w:tcBorders>
              <w:top w:val="nil"/>
              <w:left w:val="nil"/>
              <w:bottom w:val="single" w:sz="4" w:space="0" w:color="auto"/>
              <w:right w:val="single" w:sz="4" w:space="0" w:color="auto"/>
            </w:tcBorders>
            <w:shd w:val="clear" w:color="auto" w:fill="E7E6E6"/>
            <w:noWrap/>
            <w:vAlign w:val="center"/>
            <w:hideMark/>
          </w:tcPr>
          <w:p w14:paraId="24F3CEE4" w14:textId="77777777" w:rsidR="000264D6" w:rsidRPr="007B51C0" w:rsidRDefault="000264D6" w:rsidP="00157A78">
            <w:pPr>
              <w:spacing w:before="100" w:beforeAutospacing="1" w:after="100" w:afterAutospacing="1" w:line="480" w:lineRule="auto"/>
              <w:jc w:val="center"/>
              <w:rPr>
                <w:color w:val="000000"/>
                <w:sz w:val="18"/>
                <w:szCs w:val="18"/>
                <w:lang w:val="fr-CA"/>
              </w:rPr>
            </w:pPr>
          </w:p>
        </w:tc>
      </w:tr>
    </w:tbl>
    <w:p w14:paraId="290552ED" w14:textId="77777777" w:rsidR="000264D6" w:rsidRPr="007F2EEB" w:rsidRDefault="000264D6" w:rsidP="002B5319">
      <w:pPr>
        <w:jc w:val="both"/>
        <w:rPr>
          <w:sz w:val="20"/>
          <w:szCs w:val="20"/>
          <w:lang w:val="fr-CA"/>
        </w:rPr>
      </w:pPr>
      <w:r w:rsidRPr="007F2EEB">
        <w:rPr>
          <w:b/>
          <w:bCs/>
          <w:sz w:val="20"/>
          <w:szCs w:val="20"/>
          <w:lang w:val="fr-CA"/>
        </w:rPr>
        <w:t>Tableau</w:t>
      </w:r>
      <w:r w:rsidR="005720F3">
        <w:rPr>
          <w:b/>
          <w:bCs/>
          <w:sz w:val="20"/>
          <w:szCs w:val="20"/>
          <w:lang w:val="fr-CA"/>
        </w:rPr>
        <w:t> </w:t>
      </w:r>
      <w:r w:rsidRPr="007F2EEB">
        <w:rPr>
          <w:b/>
          <w:bCs/>
          <w:sz w:val="20"/>
          <w:szCs w:val="20"/>
          <w:lang w:val="fr-CA"/>
        </w:rPr>
        <w:t>1</w:t>
      </w:r>
    </w:p>
    <w:p w14:paraId="4C4B16ED" w14:textId="77777777" w:rsidR="000264D6" w:rsidRPr="007F2EEB" w:rsidRDefault="000264D6" w:rsidP="002B5319">
      <w:pPr>
        <w:jc w:val="both"/>
        <w:rPr>
          <w:sz w:val="20"/>
          <w:szCs w:val="20"/>
        </w:rPr>
      </w:pPr>
      <w:r w:rsidRPr="007F2EEB">
        <w:rPr>
          <w:sz w:val="20"/>
          <w:szCs w:val="20"/>
        </w:rPr>
        <w:t>Légende : Man = Manchester; Woon = Woonsocket.</w:t>
      </w:r>
    </w:p>
    <w:p w14:paraId="77BB7137" w14:textId="77777777" w:rsidR="000264D6" w:rsidRPr="007F2EEB" w:rsidRDefault="000264D6" w:rsidP="002B5319">
      <w:pPr>
        <w:jc w:val="both"/>
        <w:rPr>
          <w:sz w:val="20"/>
          <w:szCs w:val="20"/>
        </w:rPr>
      </w:pPr>
      <w:r w:rsidRPr="007F2EEB">
        <w:rPr>
          <w:sz w:val="20"/>
          <w:szCs w:val="20"/>
        </w:rPr>
        <w:t>Sources</w:t>
      </w:r>
      <w:r w:rsidR="005720F3">
        <w:rPr>
          <w:sz w:val="20"/>
          <w:szCs w:val="20"/>
        </w:rPr>
        <w:t xml:space="preserve"> </w:t>
      </w:r>
      <w:r w:rsidRPr="007F2EEB">
        <w:rPr>
          <w:sz w:val="20"/>
          <w:szCs w:val="20"/>
        </w:rPr>
        <w:t xml:space="preserve">:  </w:t>
      </w:r>
    </w:p>
    <w:p w14:paraId="6CF33321" w14:textId="77777777" w:rsidR="000264D6" w:rsidRPr="00345DBC" w:rsidRDefault="000264D6" w:rsidP="002B5319">
      <w:pPr>
        <w:numPr>
          <w:ilvl w:val="0"/>
          <w:numId w:val="39"/>
        </w:numPr>
        <w:ind w:left="714" w:hanging="357"/>
        <w:jc w:val="both"/>
        <w:rPr>
          <w:sz w:val="20"/>
          <w:szCs w:val="20"/>
          <w:lang w:val="fr-CA"/>
        </w:rPr>
      </w:pPr>
      <w:r w:rsidRPr="00345DBC">
        <w:rPr>
          <w:sz w:val="20"/>
          <w:szCs w:val="20"/>
        </w:rPr>
        <w:t xml:space="preserve">Rhode Island Statewide Planning, One Capitol Hill, Providence, RI </w:t>
      </w:r>
      <w:r w:rsidR="005720F3" w:rsidRPr="00345DBC">
        <w:rPr>
          <w:sz w:val="20"/>
          <w:szCs w:val="20"/>
        </w:rPr>
        <w:t xml:space="preserve"> </w:t>
      </w:r>
      <w:r w:rsidRPr="00345DBC">
        <w:rPr>
          <w:sz w:val="20"/>
          <w:szCs w:val="20"/>
        </w:rPr>
        <w:t xml:space="preserve">02908, NH Office of Strategic Initiatives. US Decennial Census, </w:t>
      </w:r>
      <w:hyperlink r:id="rId17" w:history="1">
        <w:r w:rsidRPr="00345DBC">
          <w:rPr>
            <w:rStyle w:val="Hyperlink"/>
            <w:sz w:val="20"/>
            <w:szCs w:val="20"/>
          </w:rPr>
          <w:t>https://www.nh.gov/osi/data-center/documents/1830-1920-historic.pdf</w:t>
        </w:r>
      </w:hyperlink>
      <w:r w:rsidRPr="00345DBC">
        <w:rPr>
          <w:sz w:val="20"/>
          <w:szCs w:val="20"/>
        </w:rPr>
        <w:t xml:space="preserve">. </w:t>
      </w:r>
      <w:r w:rsidRPr="00345DBC">
        <w:rPr>
          <w:sz w:val="20"/>
          <w:szCs w:val="20"/>
          <w:lang w:val="fr-CA"/>
        </w:rPr>
        <w:t>Consulté le 14 avril 2019</w:t>
      </w:r>
      <w:r w:rsidR="005720F3" w:rsidRPr="00345DBC">
        <w:rPr>
          <w:sz w:val="20"/>
          <w:szCs w:val="20"/>
          <w:lang w:val="fr-CA"/>
        </w:rPr>
        <w:t> </w:t>
      </w:r>
      <w:r w:rsidRPr="00345DBC">
        <w:rPr>
          <w:sz w:val="20"/>
          <w:szCs w:val="20"/>
          <w:lang w:val="fr-CA"/>
        </w:rPr>
        <w:t xml:space="preserve">; et Yves Roby, FA rêves et réalités. p. 33. Yves Roby, </w:t>
      </w:r>
      <w:r w:rsidRPr="00345DBC">
        <w:rPr>
          <w:i/>
          <w:iCs/>
          <w:sz w:val="20"/>
          <w:szCs w:val="20"/>
          <w:lang w:val="fr-CA"/>
        </w:rPr>
        <w:t>Les Franco-Américains de la Nouvelle-Angleterre</w:t>
      </w:r>
      <w:r w:rsidRPr="00345DBC">
        <w:rPr>
          <w:sz w:val="20"/>
          <w:szCs w:val="20"/>
          <w:lang w:val="fr-CA"/>
        </w:rPr>
        <w:t>, Sillery, Septentrion, 1990, p.</w:t>
      </w:r>
      <w:r w:rsidR="005720F3" w:rsidRPr="00345DBC">
        <w:rPr>
          <w:sz w:val="20"/>
          <w:szCs w:val="20"/>
          <w:lang w:val="fr-CA"/>
        </w:rPr>
        <w:t> </w:t>
      </w:r>
      <w:r w:rsidRPr="00345DBC">
        <w:rPr>
          <w:sz w:val="20"/>
          <w:szCs w:val="20"/>
          <w:lang w:val="fr-CA"/>
        </w:rPr>
        <w:t>286.</w:t>
      </w:r>
    </w:p>
    <w:p w14:paraId="48FD6569" w14:textId="77777777" w:rsidR="000264D6" w:rsidRPr="007F2EEB" w:rsidRDefault="000264D6" w:rsidP="002B5319">
      <w:pPr>
        <w:numPr>
          <w:ilvl w:val="0"/>
          <w:numId w:val="39"/>
        </w:numPr>
        <w:ind w:left="714" w:hanging="357"/>
        <w:jc w:val="both"/>
        <w:rPr>
          <w:sz w:val="20"/>
          <w:szCs w:val="20"/>
          <w:lang w:val="fr-CA"/>
        </w:rPr>
      </w:pPr>
      <w:r w:rsidRPr="007F2EEB">
        <w:rPr>
          <w:sz w:val="20"/>
          <w:szCs w:val="20"/>
          <w:lang w:val="fr-CA"/>
        </w:rPr>
        <w:t>Bernard Lemelin. «</w:t>
      </w:r>
      <w:r w:rsidR="005720F3">
        <w:rPr>
          <w:sz w:val="20"/>
          <w:szCs w:val="20"/>
          <w:lang w:val="fr-CA"/>
        </w:rPr>
        <w:t> </w:t>
      </w:r>
      <w:r w:rsidRPr="007F2EEB">
        <w:rPr>
          <w:sz w:val="20"/>
          <w:szCs w:val="20"/>
          <w:lang w:val="fr-CA"/>
        </w:rPr>
        <w:t>Les Franco-Américains de Woonsocket, Rhode Island et la Première Guerre mondiale</w:t>
      </w:r>
      <w:r w:rsidR="005720F3">
        <w:rPr>
          <w:sz w:val="20"/>
          <w:szCs w:val="20"/>
          <w:lang w:val="fr-CA"/>
        </w:rPr>
        <w:t> </w:t>
      </w:r>
      <w:r w:rsidRPr="007F2EEB">
        <w:rPr>
          <w:sz w:val="20"/>
          <w:szCs w:val="20"/>
          <w:lang w:val="fr-CA"/>
        </w:rPr>
        <w:t>», M. A., Université Laval, 1987. p.</w:t>
      </w:r>
      <w:r w:rsidR="005720F3">
        <w:rPr>
          <w:sz w:val="20"/>
          <w:szCs w:val="20"/>
          <w:lang w:val="fr-CA"/>
        </w:rPr>
        <w:t> </w:t>
      </w:r>
      <w:r w:rsidRPr="007F2EEB">
        <w:rPr>
          <w:sz w:val="20"/>
          <w:szCs w:val="20"/>
          <w:lang w:val="fr-CA"/>
        </w:rPr>
        <w:t>6.</w:t>
      </w:r>
    </w:p>
    <w:p w14:paraId="3C2840B1" w14:textId="77777777" w:rsidR="000264D6" w:rsidRPr="007F2EEB" w:rsidRDefault="000264D6" w:rsidP="002B5319">
      <w:pPr>
        <w:numPr>
          <w:ilvl w:val="0"/>
          <w:numId w:val="39"/>
        </w:numPr>
        <w:ind w:left="714" w:hanging="357"/>
        <w:jc w:val="both"/>
        <w:rPr>
          <w:sz w:val="20"/>
          <w:szCs w:val="20"/>
          <w:lang w:val="fr-CA"/>
        </w:rPr>
      </w:pPr>
      <w:r w:rsidRPr="007F2EEB">
        <w:rPr>
          <w:sz w:val="20"/>
          <w:szCs w:val="20"/>
          <w:lang w:val="fr-CA"/>
        </w:rPr>
        <w:t>Bernard Lemelin. «</w:t>
      </w:r>
      <w:r w:rsidR="005720F3">
        <w:rPr>
          <w:sz w:val="20"/>
          <w:szCs w:val="20"/>
          <w:lang w:val="fr-CA"/>
        </w:rPr>
        <w:t> </w:t>
      </w:r>
      <w:r w:rsidRPr="007F2EEB">
        <w:rPr>
          <w:sz w:val="20"/>
          <w:szCs w:val="20"/>
          <w:lang w:val="fr-CA"/>
        </w:rPr>
        <w:t>Les Franco-Américains de Woonsocket, Rhode Island et la Première Guerre mondiale</w:t>
      </w:r>
      <w:r w:rsidR="005720F3">
        <w:rPr>
          <w:sz w:val="20"/>
          <w:szCs w:val="20"/>
          <w:lang w:val="fr-CA"/>
        </w:rPr>
        <w:t> </w:t>
      </w:r>
      <w:r w:rsidRPr="007F2EEB">
        <w:rPr>
          <w:sz w:val="20"/>
          <w:szCs w:val="20"/>
          <w:lang w:val="fr-CA"/>
        </w:rPr>
        <w:t>», M. A., Université Laval, 1987. p.</w:t>
      </w:r>
      <w:r w:rsidR="005720F3">
        <w:rPr>
          <w:sz w:val="20"/>
          <w:szCs w:val="20"/>
          <w:lang w:val="fr-CA"/>
        </w:rPr>
        <w:t> </w:t>
      </w:r>
      <w:r w:rsidRPr="007F2EEB">
        <w:rPr>
          <w:sz w:val="20"/>
          <w:szCs w:val="20"/>
          <w:lang w:val="fr-CA"/>
        </w:rPr>
        <w:t>6.</w:t>
      </w:r>
    </w:p>
    <w:p w14:paraId="6F468E14" w14:textId="77777777" w:rsidR="000264D6" w:rsidRPr="007F2EEB" w:rsidRDefault="000264D6" w:rsidP="002B5319">
      <w:pPr>
        <w:numPr>
          <w:ilvl w:val="0"/>
          <w:numId w:val="39"/>
        </w:numPr>
        <w:ind w:left="714" w:hanging="357"/>
        <w:jc w:val="both"/>
        <w:rPr>
          <w:sz w:val="20"/>
          <w:szCs w:val="20"/>
          <w:lang w:val="fr-CA"/>
        </w:rPr>
      </w:pPr>
      <w:r w:rsidRPr="007F2EEB">
        <w:rPr>
          <w:sz w:val="20"/>
          <w:szCs w:val="20"/>
          <w:lang w:val="fr-CA"/>
        </w:rPr>
        <w:t>L’Avenir National. «</w:t>
      </w:r>
      <w:r w:rsidR="005720F3">
        <w:rPr>
          <w:sz w:val="20"/>
          <w:szCs w:val="20"/>
          <w:lang w:val="fr-CA"/>
        </w:rPr>
        <w:t> </w:t>
      </w:r>
      <w:r w:rsidRPr="007F2EEB">
        <w:rPr>
          <w:sz w:val="20"/>
          <w:szCs w:val="20"/>
          <w:lang w:val="fr-CA"/>
        </w:rPr>
        <w:t>Section C - Numéro spécial 30</w:t>
      </w:r>
      <w:r w:rsidRPr="007F2EEB">
        <w:rPr>
          <w:sz w:val="20"/>
          <w:szCs w:val="20"/>
          <w:vertAlign w:val="superscript"/>
          <w:lang w:val="fr-CA"/>
        </w:rPr>
        <w:t>e</w:t>
      </w:r>
      <w:r w:rsidRPr="007F2EEB">
        <w:rPr>
          <w:sz w:val="20"/>
          <w:szCs w:val="20"/>
          <w:lang w:val="fr-CA"/>
        </w:rPr>
        <w:t xml:space="preserve"> anniversaire</w:t>
      </w:r>
      <w:r w:rsidR="005720F3">
        <w:rPr>
          <w:sz w:val="20"/>
          <w:szCs w:val="20"/>
          <w:lang w:val="fr-CA"/>
        </w:rPr>
        <w:t> </w:t>
      </w:r>
      <w:r w:rsidRPr="007F2EEB">
        <w:rPr>
          <w:sz w:val="20"/>
          <w:szCs w:val="20"/>
          <w:lang w:val="fr-CA"/>
        </w:rPr>
        <w:t>», 23 octobre 1916, p.</w:t>
      </w:r>
      <w:r w:rsidR="005720F3">
        <w:rPr>
          <w:sz w:val="20"/>
          <w:szCs w:val="20"/>
          <w:lang w:val="fr-CA"/>
        </w:rPr>
        <w:t> </w:t>
      </w:r>
      <w:r w:rsidRPr="007F2EEB">
        <w:rPr>
          <w:sz w:val="20"/>
          <w:szCs w:val="20"/>
          <w:lang w:val="fr-CA"/>
        </w:rPr>
        <w:t>32.</w:t>
      </w:r>
    </w:p>
    <w:p w14:paraId="00C595EC" w14:textId="77777777" w:rsidR="000264D6" w:rsidRPr="007F2EEB" w:rsidRDefault="000264D6" w:rsidP="002B5319">
      <w:pPr>
        <w:numPr>
          <w:ilvl w:val="0"/>
          <w:numId w:val="39"/>
        </w:numPr>
        <w:ind w:left="714" w:hanging="357"/>
        <w:jc w:val="both"/>
        <w:rPr>
          <w:sz w:val="20"/>
          <w:szCs w:val="20"/>
          <w:lang w:val="fr-CA"/>
        </w:rPr>
      </w:pPr>
      <w:r w:rsidRPr="007F2EEB">
        <w:rPr>
          <w:sz w:val="20"/>
          <w:szCs w:val="20"/>
          <w:lang w:val="fr-CA"/>
        </w:rPr>
        <w:t>L’Avenir National. «</w:t>
      </w:r>
      <w:r w:rsidR="005720F3">
        <w:rPr>
          <w:sz w:val="20"/>
          <w:szCs w:val="20"/>
          <w:lang w:val="fr-CA"/>
        </w:rPr>
        <w:t> </w:t>
      </w:r>
      <w:r w:rsidRPr="007F2EEB">
        <w:rPr>
          <w:sz w:val="20"/>
          <w:szCs w:val="20"/>
          <w:lang w:val="fr-CA"/>
        </w:rPr>
        <w:t>Section C - Numéro spécial 30</w:t>
      </w:r>
      <w:r w:rsidRPr="007F2EEB">
        <w:rPr>
          <w:sz w:val="20"/>
          <w:szCs w:val="20"/>
          <w:vertAlign w:val="superscript"/>
          <w:lang w:val="fr-CA"/>
        </w:rPr>
        <w:t>e</w:t>
      </w:r>
      <w:r w:rsidRPr="007F2EEB">
        <w:rPr>
          <w:sz w:val="20"/>
          <w:szCs w:val="20"/>
          <w:lang w:val="fr-CA"/>
        </w:rPr>
        <w:t xml:space="preserve"> anniversaire</w:t>
      </w:r>
      <w:r w:rsidR="005720F3">
        <w:rPr>
          <w:sz w:val="20"/>
          <w:szCs w:val="20"/>
          <w:lang w:val="fr-CA"/>
        </w:rPr>
        <w:t> </w:t>
      </w:r>
      <w:r w:rsidRPr="007F2EEB">
        <w:rPr>
          <w:sz w:val="20"/>
          <w:szCs w:val="20"/>
          <w:lang w:val="fr-CA"/>
        </w:rPr>
        <w:t>», 23 octobre 1916, p.</w:t>
      </w:r>
      <w:r w:rsidR="005720F3">
        <w:rPr>
          <w:sz w:val="20"/>
          <w:szCs w:val="20"/>
          <w:lang w:val="fr-CA"/>
        </w:rPr>
        <w:t> </w:t>
      </w:r>
      <w:r w:rsidRPr="007F2EEB">
        <w:rPr>
          <w:sz w:val="20"/>
          <w:szCs w:val="20"/>
          <w:lang w:val="fr-CA"/>
        </w:rPr>
        <w:t>32.</w:t>
      </w:r>
    </w:p>
    <w:p w14:paraId="37152D91" w14:textId="77777777" w:rsidR="000264D6" w:rsidRPr="007F2EEB" w:rsidRDefault="000264D6" w:rsidP="002B5319">
      <w:pPr>
        <w:numPr>
          <w:ilvl w:val="0"/>
          <w:numId w:val="39"/>
        </w:numPr>
        <w:ind w:left="714" w:hanging="357"/>
        <w:jc w:val="both"/>
        <w:rPr>
          <w:sz w:val="20"/>
          <w:szCs w:val="20"/>
          <w:lang w:val="fr-CA"/>
        </w:rPr>
      </w:pPr>
      <w:r w:rsidRPr="007F2EEB">
        <w:rPr>
          <w:sz w:val="20"/>
          <w:szCs w:val="20"/>
          <w:lang w:val="fr-CA"/>
        </w:rPr>
        <w:t xml:space="preserve">Albert, Bélanger, </w:t>
      </w:r>
      <w:r w:rsidRPr="007F2EEB">
        <w:rPr>
          <w:i/>
          <w:sz w:val="20"/>
          <w:szCs w:val="20"/>
          <w:lang w:val="fr-CA"/>
        </w:rPr>
        <w:t>Le guide officiel des Franco-Américains</w:t>
      </w:r>
      <w:r w:rsidRPr="007F2EEB">
        <w:rPr>
          <w:sz w:val="20"/>
          <w:szCs w:val="20"/>
          <w:lang w:val="fr-CA"/>
        </w:rPr>
        <w:t>, Fall River, Massachusetts, 1921, p.</w:t>
      </w:r>
      <w:r w:rsidR="005720F3">
        <w:rPr>
          <w:sz w:val="20"/>
          <w:szCs w:val="20"/>
          <w:lang w:val="fr-CA"/>
        </w:rPr>
        <w:t> </w:t>
      </w:r>
      <w:r w:rsidRPr="007F2EEB">
        <w:rPr>
          <w:sz w:val="20"/>
          <w:szCs w:val="20"/>
          <w:lang w:val="fr-CA"/>
        </w:rPr>
        <w:t>172</w:t>
      </w:r>
      <w:r w:rsidR="005720F3">
        <w:rPr>
          <w:sz w:val="20"/>
          <w:szCs w:val="20"/>
          <w:lang w:val="fr-CA"/>
        </w:rPr>
        <w:t xml:space="preserve"> —</w:t>
      </w:r>
      <w:r w:rsidRPr="007F2EEB">
        <w:rPr>
          <w:sz w:val="20"/>
          <w:szCs w:val="20"/>
          <w:lang w:val="fr-CA"/>
        </w:rPr>
        <w:t xml:space="preserve"> 174.</w:t>
      </w:r>
    </w:p>
    <w:p w14:paraId="4281DB4F" w14:textId="77777777" w:rsidR="000264D6" w:rsidRPr="007F2EEB" w:rsidRDefault="000264D6" w:rsidP="002B5319">
      <w:pPr>
        <w:numPr>
          <w:ilvl w:val="0"/>
          <w:numId w:val="39"/>
        </w:numPr>
        <w:ind w:left="714" w:hanging="357"/>
        <w:jc w:val="both"/>
        <w:rPr>
          <w:sz w:val="20"/>
          <w:szCs w:val="20"/>
          <w:lang w:val="fr-CA"/>
        </w:rPr>
      </w:pPr>
      <w:r w:rsidRPr="007F2EEB">
        <w:rPr>
          <w:sz w:val="20"/>
          <w:szCs w:val="20"/>
          <w:lang w:val="fr-CA"/>
        </w:rPr>
        <w:t xml:space="preserve">Albert, Bélanger, </w:t>
      </w:r>
      <w:r w:rsidRPr="007F2EEB">
        <w:rPr>
          <w:i/>
          <w:sz w:val="20"/>
          <w:szCs w:val="20"/>
          <w:lang w:val="fr-CA"/>
        </w:rPr>
        <w:t>Le guide officiel des Franco-Américains</w:t>
      </w:r>
      <w:r w:rsidRPr="007F2EEB">
        <w:rPr>
          <w:sz w:val="20"/>
          <w:szCs w:val="20"/>
          <w:lang w:val="fr-CA"/>
        </w:rPr>
        <w:t>, Fall River, Massachusetts, 1921, p.</w:t>
      </w:r>
      <w:r w:rsidR="005720F3">
        <w:rPr>
          <w:sz w:val="20"/>
          <w:szCs w:val="20"/>
          <w:lang w:val="fr-CA"/>
        </w:rPr>
        <w:t> </w:t>
      </w:r>
      <w:r w:rsidRPr="007F2EEB">
        <w:rPr>
          <w:sz w:val="20"/>
          <w:szCs w:val="20"/>
          <w:lang w:val="fr-CA"/>
        </w:rPr>
        <w:t>135-138.</w:t>
      </w:r>
    </w:p>
    <w:p w14:paraId="0AC73D85" w14:textId="19BABCB1" w:rsidR="000264D6" w:rsidRPr="00217EFC" w:rsidRDefault="000264D6" w:rsidP="002B5319">
      <w:pPr>
        <w:spacing w:before="100" w:beforeAutospacing="1" w:after="100" w:afterAutospacing="1"/>
        <w:ind w:firstLine="360"/>
        <w:jc w:val="both"/>
        <w:rPr>
          <w:sz w:val="22"/>
          <w:szCs w:val="22"/>
          <w:lang w:val="fr-CA"/>
        </w:rPr>
      </w:pPr>
      <w:r w:rsidRPr="00D90A98">
        <w:rPr>
          <w:sz w:val="22"/>
          <w:szCs w:val="22"/>
          <w:lang w:val="fr-CA"/>
        </w:rPr>
        <w:t xml:space="preserve">Quant à la contribution en personnel militaire durant le conflit, comme nous l’avons déjà mentionné, </w:t>
      </w:r>
      <w:r w:rsidRPr="00D90A98">
        <w:rPr>
          <w:i/>
          <w:iCs/>
          <w:sz w:val="22"/>
          <w:szCs w:val="22"/>
          <w:lang w:val="fr-CA"/>
        </w:rPr>
        <w:t xml:space="preserve">L’Avenir </w:t>
      </w:r>
      <w:r w:rsidRPr="00D90A98">
        <w:rPr>
          <w:sz w:val="22"/>
          <w:szCs w:val="22"/>
          <w:lang w:val="fr-CA"/>
        </w:rPr>
        <w:t>National suit d’une part les aventures de 1</w:t>
      </w:r>
      <w:r w:rsidR="00933185" w:rsidRPr="00D90A98">
        <w:rPr>
          <w:sz w:val="22"/>
          <w:szCs w:val="22"/>
          <w:lang w:val="fr-CA"/>
        </w:rPr>
        <w:t>8</w:t>
      </w:r>
      <w:r w:rsidRPr="00D90A98">
        <w:rPr>
          <w:sz w:val="22"/>
          <w:szCs w:val="22"/>
          <w:lang w:val="fr-CA"/>
        </w:rPr>
        <w:t xml:space="preserve"> individus qui servent soit avec le </w:t>
      </w:r>
      <w:r w:rsidR="00D64DE3" w:rsidRPr="00D90A98">
        <w:rPr>
          <w:sz w:val="22"/>
          <w:szCs w:val="22"/>
          <w:lang w:val="fr-CA"/>
        </w:rPr>
        <w:t>C</w:t>
      </w:r>
      <w:r w:rsidRPr="00D90A98">
        <w:rPr>
          <w:sz w:val="22"/>
          <w:szCs w:val="22"/>
          <w:lang w:val="fr-CA"/>
        </w:rPr>
        <w:t xml:space="preserve">orps </w:t>
      </w:r>
      <w:r w:rsidR="00D64DE3" w:rsidRPr="00D90A98">
        <w:rPr>
          <w:sz w:val="22"/>
          <w:szCs w:val="22"/>
          <w:lang w:val="fr-CA"/>
        </w:rPr>
        <w:t>e</w:t>
      </w:r>
      <w:r w:rsidRPr="00D90A98">
        <w:rPr>
          <w:sz w:val="22"/>
          <w:szCs w:val="22"/>
          <w:lang w:val="fr-CA"/>
        </w:rPr>
        <w:t xml:space="preserve">xpéditionnaire </w:t>
      </w:r>
      <w:r w:rsidRPr="00D90A98">
        <w:rPr>
          <w:sz w:val="22"/>
          <w:lang w:val="fr-CA"/>
        </w:rPr>
        <w:t>canadien ou</w:t>
      </w:r>
      <w:r w:rsidRPr="00D90A98">
        <w:rPr>
          <w:sz w:val="22"/>
          <w:szCs w:val="22"/>
          <w:lang w:val="fr-CA"/>
        </w:rPr>
        <w:t xml:space="preserve"> les forces militaires françaises. D’autre part, le journal a agi de la sorte </w:t>
      </w:r>
      <w:r w:rsidRPr="00D90A98">
        <w:rPr>
          <w:sz w:val="22"/>
          <w:lang w:val="fr-CA"/>
        </w:rPr>
        <w:t>avec</w:t>
      </w:r>
      <w:r w:rsidRPr="00D90A98">
        <w:rPr>
          <w:sz w:val="22"/>
          <w:szCs w:val="22"/>
          <w:lang w:val="fr-CA"/>
        </w:rPr>
        <w:t xml:space="preserve"> </w:t>
      </w:r>
      <w:r w:rsidR="00933185" w:rsidRPr="00D90A98">
        <w:rPr>
          <w:sz w:val="22"/>
          <w:szCs w:val="22"/>
          <w:lang w:val="fr-CA"/>
        </w:rPr>
        <w:t>48</w:t>
      </w:r>
      <w:r w:rsidRPr="00D90A98">
        <w:rPr>
          <w:sz w:val="22"/>
          <w:szCs w:val="22"/>
          <w:lang w:val="fr-CA"/>
        </w:rPr>
        <w:t xml:space="preserve"> militaires, de Manchester, qui</w:t>
      </w:r>
      <w:r w:rsidRPr="00217EFC">
        <w:rPr>
          <w:sz w:val="22"/>
          <w:szCs w:val="22"/>
          <w:lang w:val="fr-CA"/>
        </w:rPr>
        <w:t xml:space="preserve"> servent avec les forces américaines en Europe. </w:t>
      </w:r>
      <w:r w:rsidR="00933185">
        <w:rPr>
          <w:sz w:val="22"/>
          <w:szCs w:val="22"/>
          <w:lang w:val="fr-CA"/>
        </w:rPr>
        <w:t>Puis, entre la période entre novembre 1</w:t>
      </w:r>
      <w:r w:rsidR="003433E9">
        <w:rPr>
          <w:sz w:val="22"/>
          <w:szCs w:val="22"/>
          <w:lang w:val="fr-CA"/>
        </w:rPr>
        <w:t>9</w:t>
      </w:r>
      <w:r w:rsidR="00933185">
        <w:rPr>
          <w:sz w:val="22"/>
          <w:szCs w:val="22"/>
          <w:lang w:val="fr-CA"/>
        </w:rPr>
        <w:t>18 et août 1919, le journal rapporte la participation d’au moins 106 personnes dans le conflit.</w:t>
      </w:r>
      <w:r w:rsidR="00086DB0">
        <w:rPr>
          <w:sz w:val="22"/>
          <w:szCs w:val="22"/>
          <w:lang w:val="fr-CA"/>
        </w:rPr>
        <w:t xml:space="preserve"> Ici, les articles sont très divers, ils comprennent des anecdotes, des transcriptions ou des résumés de correspondances et des rapports décrivant qu’une personne est morte, blessé</w:t>
      </w:r>
      <w:r w:rsidR="00495850">
        <w:rPr>
          <w:sz w:val="22"/>
          <w:szCs w:val="22"/>
          <w:lang w:val="fr-CA"/>
        </w:rPr>
        <w:t>, absente</w:t>
      </w:r>
      <w:r w:rsidR="00086DB0">
        <w:rPr>
          <w:sz w:val="22"/>
          <w:szCs w:val="22"/>
          <w:lang w:val="fr-CA"/>
        </w:rPr>
        <w:t xml:space="preserve"> ou de retour sur le continent. </w:t>
      </w:r>
      <w:r w:rsidRPr="00217EFC">
        <w:rPr>
          <w:sz w:val="22"/>
          <w:szCs w:val="22"/>
          <w:lang w:val="fr-CA"/>
        </w:rPr>
        <w:t>Cependant, afin d’obtenir une idée plus précise de la contribution en militaires</w:t>
      </w:r>
      <w:r>
        <w:rPr>
          <w:sz w:val="22"/>
          <w:szCs w:val="22"/>
          <w:lang w:val="fr-CA"/>
        </w:rPr>
        <w:t xml:space="preserve"> de la population de Manchester</w:t>
      </w:r>
      <w:r w:rsidRPr="00217EFC">
        <w:rPr>
          <w:sz w:val="22"/>
          <w:szCs w:val="22"/>
          <w:lang w:val="fr-CA"/>
        </w:rPr>
        <w:t xml:space="preserve">, nous devons combiner les données d’Albert Bélanger avec celles de </w:t>
      </w:r>
      <w:r w:rsidRPr="00217EFC">
        <w:rPr>
          <w:i/>
          <w:iCs/>
          <w:sz w:val="22"/>
          <w:szCs w:val="22"/>
          <w:lang w:val="fr-CA"/>
        </w:rPr>
        <w:t>L’Avenir National</w:t>
      </w:r>
      <w:r w:rsidRPr="00782082">
        <w:rPr>
          <w:sz w:val="22"/>
          <w:lang w:val="fr-CA"/>
        </w:rPr>
        <w:t xml:space="preserve"> en</w:t>
      </w:r>
      <w:r>
        <w:rPr>
          <w:sz w:val="22"/>
          <w:szCs w:val="22"/>
          <w:lang w:val="fr-CA"/>
        </w:rPr>
        <w:t xml:space="preserve"> calculant le nombre de </w:t>
      </w:r>
      <w:r w:rsidRPr="00217EFC">
        <w:rPr>
          <w:sz w:val="22"/>
          <w:szCs w:val="22"/>
          <w:lang w:val="fr-CA"/>
        </w:rPr>
        <w:t xml:space="preserve">soldats qui ont pris part au conflit, car les deux sources se complètent. </w:t>
      </w:r>
      <w:r>
        <w:rPr>
          <w:sz w:val="22"/>
          <w:szCs w:val="22"/>
          <w:lang w:val="fr-CA"/>
        </w:rPr>
        <w:t>Dans un premier temps, l</w:t>
      </w:r>
      <w:r w:rsidRPr="00217EFC">
        <w:rPr>
          <w:sz w:val="22"/>
          <w:szCs w:val="22"/>
          <w:lang w:val="fr-CA"/>
        </w:rPr>
        <w:t xml:space="preserve">es recherches d’Albert Bélanger sont basées sur les rapports que les différents diocèses </w:t>
      </w:r>
      <w:r>
        <w:rPr>
          <w:sz w:val="22"/>
          <w:szCs w:val="22"/>
          <w:lang w:val="fr-CA"/>
        </w:rPr>
        <w:t xml:space="preserve">et </w:t>
      </w:r>
      <w:r w:rsidRPr="00217EFC">
        <w:rPr>
          <w:sz w:val="22"/>
          <w:szCs w:val="22"/>
          <w:lang w:val="fr-CA"/>
        </w:rPr>
        <w:t>paroisses lui</w:t>
      </w:r>
      <w:r>
        <w:rPr>
          <w:sz w:val="22"/>
          <w:szCs w:val="22"/>
          <w:lang w:val="fr-CA"/>
        </w:rPr>
        <w:t xml:space="preserve"> </w:t>
      </w:r>
      <w:r w:rsidRPr="00217EFC">
        <w:rPr>
          <w:sz w:val="22"/>
          <w:szCs w:val="22"/>
          <w:lang w:val="fr-CA"/>
        </w:rPr>
        <w:t>ont transmis</w:t>
      </w:r>
      <w:r>
        <w:rPr>
          <w:sz w:val="22"/>
          <w:szCs w:val="22"/>
          <w:lang w:val="fr-CA"/>
        </w:rPr>
        <w:t xml:space="preserve"> pour </w:t>
      </w:r>
      <w:r w:rsidRPr="00217EFC">
        <w:rPr>
          <w:sz w:val="22"/>
          <w:szCs w:val="22"/>
          <w:lang w:val="fr-CA"/>
        </w:rPr>
        <w:lastRenderedPageBreak/>
        <w:t>les éditions des différen</w:t>
      </w:r>
      <w:r>
        <w:rPr>
          <w:sz w:val="22"/>
          <w:szCs w:val="22"/>
          <w:lang w:val="fr-CA"/>
        </w:rPr>
        <w:t>t</w:t>
      </w:r>
      <w:r w:rsidRPr="00217EFC">
        <w:rPr>
          <w:sz w:val="22"/>
          <w:szCs w:val="22"/>
          <w:lang w:val="fr-CA"/>
        </w:rPr>
        <w:t>s guides des Franco-Américains</w:t>
      </w:r>
      <w:r>
        <w:rPr>
          <w:rStyle w:val="FootnoteReference"/>
          <w:sz w:val="22"/>
          <w:szCs w:val="22"/>
          <w:lang w:val="fr-CA"/>
        </w:rPr>
        <w:footnoteReference w:id="396"/>
      </w:r>
      <w:r w:rsidRPr="00217EFC">
        <w:rPr>
          <w:sz w:val="22"/>
          <w:szCs w:val="22"/>
          <w:lang w:val="fr-CA"/>
        </w:rPr>
        <w:t xml:space="preserve">. </w:t>
      </w:r>
      <w:r w:rsidRPr="00782082">
        <w:rPr>
          <w:lang w:val="fr-CA"/>
        </w:rPr>
        <w:t>Selon Bélanger</w:t>
      </w:r>
      <w:r w:rsidRPr="00B94E11">
        <w:rPr>
          <w:sz w:val="22"/>
          <w:szCs w:val="22"/>
          <w:lang w:val="fr-CA"/>
        </w:rPr>
        <w:t>,</w:t>
      </w:r>
      <w:r w:rsidRPr="00217EFC">
        <w:rPr>
          <w:sz w:val="22"/>
          <w:szCs w:val="22"/>
          <w:lang w:val="fr-CA"/>
        </w:rPr>
        <w:t xml:space="preserve"> dans la page descriptive de Manchester, 865 militaires francophones et catholiques de cette ville </w:t>
      </w:r>
      <w:r w:rsidRPr="00E42CF6">
        <w:rPr>
          <w:sz w:val="22"/>
          <w:szCs w:val="22"/>
          <w:lang w:val="fr-CA"/>
        </w:rPr>
        <w:t>participent</w:t>
      </w:r>
      <w:r>
        <w:rPr>
          <w:sz w:val="22"/>
          <w:szCs w:val="22"/>
          <w:lang w:val="fr-CA"/>
        </w:rPr>
        <w:t xml:space="preserve"> </w:t>
      </w:r>
      <w:r w:rsidRPr="00217EFC">
        <w:rPr>
          <w:sz w:val="22"/>
          <w:szCs w:val="22"/>
          <w:lang w:val="fr-CA"/>
        </w:rPr>
        <w:t xml:space="preserve">au conflit et 22 d’entre eux sont morts en service. </w:t>
      </w:r>
      <w:r w:rsidR="00C95763">
        <w:rPr>
          <w:sz w:val="22"/>
          <w:szCs w:val="22"/>
          <w:lang w:val="fr-CA"/>
        </w:rPr>
        <w:t xml:space="preserve">Par ailleurs, dans la description des paroisses, Bélanger rapporte le nombre de participants au conflit de seulement 4 des 7 paroisses franco-américaines catholiques de Manchester. </w:t>
      </w:r>
      <w:r w:rsidR="00C95763" w:rsidRPr="000E1F2A">
        <w:rPr>
          <w:sz w:val="22"/>
          <w:szCs w:val="22"/>
          <w:lang w:val="fr-CA"/>
        </w:rPr>
        <w:t>Néanmoins, l</w:t>
      </w:r>
      <w:r w:rsidRPr="000E1F2A">
        <w:rPr>
          <w:sz w:val="22"/>
          <w:szCs w:val="22"/>
          <w:lang w:val="fr-CA"/>
        </w:rPr>
        <w:t xml:space="preserve">ors du dépouillement de </w:t>
      </w:r>
      <w:r w:rsidRPr="000E1F2A">
        <w:rPr>
          <w:i/>
          <w:iCs/>
          <w:sz w:val="22"/>
          <w:szCs w:val="22"/>
          <w:lang w:val="fr-CA"/>
        </w:rPr>
        <w:t xml:space="preserve">L’Avenir </w:t>
      </w:r>
      <w:r w:rsidRPr="000E1F2A">
        <w:rPr>
          <w:sz w:val="22"/>
          <w:szCs w:val="22"/>
          <w:lang w:val="fr-CA"/>
        </w:rPr>
        <w:t xml:space="preserve">National, nous avons relevé qu’en juin 1918 </w:t>
      </w:r>
      <w:r w:rsidR="00C95763" w:rsidRPr="000E1F2A">
        <w:rPr>
          <w:sz w:val="22"/>
          <w:szCs w:val="22"/>
          <w:lang w:val="fr-CA"/>
        </w:rPr>
        <w:t xml:space="preserve">que les </w:t>
      </w:r>
      <w:r w:rsidRPr="000E1F2A">
        <w:rPr>
          <w:sz w:val="22"/>
          <w:szCs w:val="22"/>
          <w:lang w:val="fr-CA"/>
        </w:rPr>
        <w:t xml:space="preserve">trois paroisses </w:t>
      </w:r>
      <w:r w:rsidR="00C95763" w:rsidRPr="000E1F2A">
        <w:rPr>
          <w:sz w:val="22"/>
          <w:szCs w:val="22"/>
          <w:lang w:val="fr-CA"/>
        </w:rPr>
        <w:t xml:space="preserve">manquantes </w:t>
      </w:r>
      <w:r w:rsidRPr="000E1F2A">
        <w:rPr>
          <w:sz w:val="22"/>
          <w:szCs w:val="22"/>
          <w:lang w:val="fr-CA"/>
        </w:rPr>
        <w:t>de Manchester ont un ensemble de 770 étoiles sur leur drapeau de service (</w:t>
      </w:r>
      <w:bookmarkStart w:id="14" w:name="_Hlk28966442"/>
      <w:r w:rsidRPr="000E1F2A">
        <w:rPr>
          <w:sz w:val="22"/>
          <w:szCs w:val="22"/>
          <w:lang w:val="fr-CA"/>
        </w:rPr>
        <w:t>Saint-Augustin, Sainte-Marie et Saint-Georges</w:t>
      </w:r>
      <w:bookmarkEnd w:id="14"/>
      <w:r w:rsidRPr="000E1F2A">
        <w:rPr>
          <w:sz w:val="22"/>
          <w:szCs w:val="22"/>
          <w:lang w:val="fr-CA"/>
        </w:rPr>
        <w:t>). Ce nombre nous parait crédible, car les drapeaux sont présentés à la population par des dignitaires de l’État et émanent d’un acte officiel de l’État du New Hampshire. Par exemple, le drapeau de la paroisse Saint-Georges est présenté par le major Arthur Moreau, membre de l’état-major du Gouverneur Keyes</w:t>
      </w:r>
      <w:r w:rsidRPr="000E1F2A">
        <w:rPr>
          <w:rStyle w:val="FootnoteReference"/>
          <w:sz w:val="22"/>
          <w:szCs w:val="22"/>
          <w:lang w:val="fr-CA"/>
        </w:rPr>
        <w:footnoteReference w:id="397"/>
      </w:r>
      <w:r w:rsidRPr="000E1F2A">
        <w:rPr>
          <w:sz w:val="22"/>
          <w:szCs w:val="22"/>
          <w:lang w:val="fr-CA"/>
        </w:rPr>
        <w:t>. Quant aux</w:t>
      </w:r>
      <w:r w:rsidRPr="00217EFC">
        <w:rPr>
          <w:sz w:val="22"/>
          <w:szCs w:val="22"/>
          <w:lang w:val="fr-CA"/>
        </w:rPr>
        <w:t xml:space="preserve"> données relatives </w:t>
      </w:r>
      <w:r w:rsidRPr="00CC0902">
        <w:rPr>
          <w:sz w:val="22"/>
          <w:szCs w:val="22"/>
          <w:lang w:val="fr-CA"/>
        </w:rPr>
        <w:t xml:space="preserve">aux quatre autres paroisses, Albert Bélanger a recueilli les informations sur les Franco-Américains qui ont pris part au conflit et qui ne sont pas mentionnés dans </w:t>
      </w:r>
      <w:r w:rsidRPr="00CC0902">
        <w:rPr>
          <w:i/>
          <w:iCs/>
          <w:sz w:val="22"/>
          <w:szCs w:val="22"/>
          <w:lang w:val="fr-CA"/>
        </w:rPr>
        <w:t>L’Avenir National</w:t>
      </w:r>
      <w:r w:rsidRPr="00CC0902">
        <w:rPr>
          <w:sz w:val="22"/>
          <w:szCs w:val="22"/>
          <w:lang w:val="fr-CA"/>
        </w:rPr>
        <w:t xml:space="preserve">. Elles </w:t>
      </w:r>
      <w:r w:rsidR="00C95763">
        <w:rPr>
          <w:sz w:val="22"/>
          <w:szCs w:val="22"/>
          <w:lang w:val="fr-CA"/>
        </w:rPr>
        <w:t xml:space="preserve">comprennent </w:t>
      </w:r>
      <w:r w:rsidRPr="00CC0902">
        <w:rPr>
          <w:sz w:val="22"/>
          <w:szCs w:val="22"/>
          <w:lang w:val="fr-CA"/>
        </w:rPr>
        <w:t>les paroisses</w:t>
      </w:r>
      <w:r w:rsidRPr="00217EFC">
        <w:rPr>
          <w:sz w:val="22"/>
          <w:szCs w:val="22"/>
          <w:lang w:val="fr-CA"/>
        </w:rPr>
        <w:t xml:space="preserve"> de Saint-Jean</w:t>
      </w:r>
      <w:r w:rsidR="00D64DE3">
        <w:rPr>
          <w:sz w:val="22"/>
          <w:szCs w:val="22"/>
          <w:lang w:val="fr-CA"/>
        </w:rPr>
        <w:t>-</w:t>
      </w:r>
      <w:r w:rsidRPr="00217EFC">
        <w:rPr>
          <w:sz w:val="22"/>
          <w:szCs w:val="22"/>
          <w:lang w:val="fr-CA"/>
        </w:rPr>
        <w:t xml:space="preserve">Baptiste, </w:t>
      </w:r>
      <w:r>
        <w:rPr>
          <w:sz w:val="22"/>
          <w:szCs w:val="22"/>
          <w:lang w:val="fr-CA"/>
        </w:rPr>
        <w:t xml:space="preserve">de </w:t>
      </w:r>
      <w:r w:rsidRPr="00217EFC">
        <w:rPr>
          <w:sz w:val="22"/>
          <w:szCs w:val="22"/>
          <w:lang w:val="fr-CA"/>
        </w:rPr>
        <w:t xml:space="preserve">Saint-Edmond de Pinardville, de Saint-Antoine et du Sacré Cœur. Donc, si </w:t>
      </w:r>
      <w:r>
        <w:rPr>
          <w:sz w:val="22"/>
          <w:szCs w:val="22"/>
          <w:lang w:val="fr-CA"/>
        </w:rPr>
        <w:t xml:space="preserve">nous combinons </w:t>
      </w:r>
      <w:r w:rsidRPr="00217EFC">
        <w:rPr>
          <w:sz w:val="22"/>
          <w:szCs w:val="22"/>
          <w:lang w:val="fr-CA"/>
        </w:rPr>
        <w:t xml:space="preserve">les </w:t>
      </w:r>
      <w:r>
        <w:rPr>
          <w:sz w:val="22"/>
          <w:szCs w:val="22"/>
          <w:lang w:val="fr-CA"/>
        </w:rPr>
        <w:t xml:space="preserve">données </w:t>
      </w:r>
      <w:r w:rsidRPr="00217EFC">
        <w:rPr>
          <w:sz w:val="22"/>
          <w:szCs w:val="22"/>
          <w:lang w:val="fr-CA"/>
        </w:rPr>
        <w:t xml:space="preserve">de Bélanger </w:t>
      </w:r>
      <w:r w:rsidR="000E1F2A">
        <w:rPr>
          <w:sz w:val="22"/>
          <w:szCs w:val="22"/>
          <w:lang w:val="fr-CA"/>
        </w:rPr>
        <w:t xml:space="preserve">(309) </w:t>
      </w:r>
      <w:r w:rsidRPr="00217EFC">
        <w:rPr>
          <w:sz w:val="22"/>
          <w:szCs w:val="22"/>
          <w:lang w:val="fr-CA"/>
        </w:rPr>
        <w:t>et ce</w:t>
      </w:r>
      <w:r>
        <w:rPr>
          <w:sz w:val="22"/>
          <w:szCs w:val="22"/>
          <w:lang w:val="fr-CA"/>
        </w:rPr>
        <w:t xml:space="preserve">lles </w:t>
      </w:r>
      <w:r w:rsidRPr="00217EFC">
        <w:rPr>
          <w:sz w:val="22"/>
          <w:szCs w:val="22"/>
          <w:lang w:val="fr-CA"/>
        </w:rPr>
        <w:t xml:space="preserve">de </w:t>
      </w:r>
      <w:r w:rsidRPr="00217EFC">
        <w:rPr>
          <w:i/>
          <w:iCs/>
          <w:sz w:val="22"/>
          <w:szCs w:val="22"/>
          <w:lang w:val="fr-CA"/>
        </w:rPr>
        <w:t>L’Avenir National</w:t>
      </w:r>
      <w:r w:rsidR="000E1F2A">
        <w:rPr>
          <w:i/>
          <w:iCs/>
          <w:sz w:val="22"/>
          <w:szCs w:val="22"/>
          <w:lang w:val="fr-CA"/>
        </w:rPr>
        <w:t xml:space="preserve"> </w:t>
      </w:r>
      <w:r w:rsidR="000E1F2A">
        <w:rPr>
          <w:sz w:val="22"/>
          <w:szCs w:val="22"/>
          <w:lang w:val="fr-CA"/>
        </w:rPr>
        <w:t>(770)</w:t>
      </w:r>
      <w:r>
        <w:rPr>
          <w:sz w:val="22"/>
          <w:szCs w:val="22"/>
          <w:lang w:val="fr-CA"/>
        </w:rPr>
        <w:t xml:space="preserve">, </w:t>
      </w:r>
      <w:r w:rsidRPr="00217EFC">
        <w:rPr>
          <w:sz w:val="22"/>
          <w:szCs w:val="22"/>
          <w:lang w:val="fr-CA"/>
        </w:rPr>
        <w:t xml:space="preserve">le total des soldats </w:t>
      </w:r>
      <w:r>
        <w:rPr>
          <w:sz w:val="22"/>
          <w:szCs w:val="22"/>
          <w:lang w:val="fr-CA"/>
        </w:rPr>
        <w:t xml:space="preserve">franco-américains de </w:t>
      </w:r>
      <w:r w:rsidRPr="00217EFC">
        <w:rPr>
          <w:sz w:val="22"/>
          <w:szCs w:val="22"/>
          <w:lang w:val="fr-CA"/>
        </w:rPr>
        <w:t>Manchester qui serv</w:t>
      </w:r>
      <w:r>
        <w:rPr>
          <w:sz w:val="22"/>
          <w:szCs w:val="22"/>
          <w:lang w:val="fr-CA"/>
        </w:rPr>
        <w:t xml:space="preserve">ent </w:t>
      </w:r>
      <w:r w:rsidRPr="00217EFC">
        <w:rPr>
          <w:sz w:val="22"/>
          <w:szCs w:val="22"/>
          <w:lang w:val="fr-CA"/>
        </w:rPr>
        <w:t>pendant le conflit serait de 1</w:t>
      </w:r>
      <w:r w:rsidR="00D64DE3">
        <w:rPr>
          <w:sz w:val="22"/>
          <w:szCs w:val="22"/>
          <w:lang w:val="fr-CA"/>
        </w:rPr>
        <w:t> </w:t>
      </w:r>
      <w:r w:rsidRPr="00217EFC">
        <w:rPr>
          <w:sz w:val="22"/>
          <w:szCs w:val="22"/>
          <w:lang w:val="fr-CA"/>
        </w:rPr>
        <w:t xml:space="preserve">079 </w:t>
      </w:r>
      <w:r w:rsidR="00D1484F">
        <w:rPr>
          <w:sz w:val="22"/>
          <w:szCs w:val="22"/>
          <w:lang w:val="fr-CA"/>
        </w:rPr>
        <w:t xml:space="preserve">plutôt que 865 </w:t>
      </w:r>
      <w:r>
        <w:rPr>
          <w:sz w:val="22"/>
          <w:szCs w:val="22"/>
          <w:lang w:val="fr-CA"/>
        </w:rPr>
        <w:t xml:space="preserve">pour les </w:t>
      </w:r>
      <w:r w:rsidR="00815942">
        <w:rPr>
          <w:sz w:val="22"/>
          <w:szCs w:val="22"/>
          <w:lang w:val="fr-CA"/>
        </w:rPr>
        <w:t xml:space="preserve">sept </w:t>
      </w:r>
      <w:r w:rsidRPr="00217EFC">
        <w:rPr>
          <w:sz w:val="22"/>
          <w:szCs w:val="22"/>
          <w:lang w:val="fr-CA"/>
        </w:rPr>
        <w:t>paroisses</w:t>
      </w:r>
      <w:r w:rsidRPr="00217EFC">
        <w:rPr>
          <w:rStyle w:val="FootnoteReference"/>
          <w:sz w:val="22"/>
          <w:szCs w:val="22"/>
          <w:lang w:val="fr-CA"/>
        </w:rPr>
        <w:footnoteReference w:id="398"/>
      </w:r>
      <w:r w:rsidRPr="00217EFC">
        <w:rPr>
          <w:sz w:val="22"/>
          <w:szCs w:val="22"/>
          <w:lang w:val="fr-CA"/>
        </w:rPr>
        <w:t>.</w:t>
      </w:r>
    </w:p>
    <w:p w14:paraId="188FC64D" w14:textId="77777777" w:rsidR="000264D6"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De plus, en consultant la rubrique qui présente les noms des vétérans de Manchester dans la deuxième partie du </w:t>
      </w:r>
      <w:r w:rsidRPr="00217EFC">
        <w:rPr>
          <w:i/>
          <w:iCs/>
          <w:sz w:val="22"/>
          <w:szCs w:val="22"/>
          <w:lang w:val="fr-CA"/>
        </w:rPr>
        <w:t>Guide officiel des Franco-Américain</w:t>
      </w:r>
      <w:r w:rsidRPr="00217EFC">
        <w:rPr>
          <w:sz w:val="22"/>
          <w:szCs w:val="22"/>
          <w:lang w:val="fr-CA"/>
        </w:rPr>
        <w:t>, nous calcul</w:t>
      </w:r>
      <w:r>
        <w:rPr>
          <w:sz w:val="22"/>
          <w:szCs w:val="22"/>
          <w:lang w:val="fr-CA"/>
        </w:rPr>
        <w:t xml:space="preserve">ons que </w:t>
      </w:r>
      <w:r w:rsidRPr="00217EFC">
        <w:rPr>
          <w:sz w:val="22"/>
          <w:szCs w:val="22"/>
          <w:lang w:val="fr-CA"/>
        </w:rPr>
        <w:t>950 soldats et marins serv</w:t>
      </w:r>
      <w:r>
        <w:rPr>
          <w:sz w:val="22"/>
          <w:szCs w:val="22"/>
          <w:lang w:val="fr-CA"/>
        </w:rPr>
        <w:t xml:space="preserve">ent </w:t>
      </w:r>
      <w:r w:rsidRPr="00217EFC">
        <w:rPr>
          <w:sz w:val="22"/>
          <w:szCs w:val="22"/>
          <w:lang w:val="fr-CA"/>
        </w:rPr>
        <w:t xml:space="preserve">pendant la Première Guerre mondiale. </w:t>
      </w:r>
      <w:r>
        <w:rPr>
          <w:sz w:val="22"/>
          <w:szCs w:val="22"/>
          <w:lang w:val="fr-CA"/>
        </w:rPr>
        <w:t>Toutefois, nous notons une d</w:t>
      </w:r>
      <w:r w:rsidRPr="00217EFC">
        <w:rPr>
          <w:sz w:val="22"/>
          <w:szCs w:val="22"/>
          <w:lang w:val="fr-CA"/>
        </w:rPr>
        <w:t>ifférence de 83 noms par rapport à la page de la ville de Manchester</w:t>
      </w:r>
      <w:r>
        <w:rPr>
          <w:sz w:val="22"/>
          <w:szCs w:val="22"/>
          <w:lang w:val="fr-CA"/>
        </w:rPr>
        <w:t xml:space="preserve"> dans ce guide officiel.</w:t>
      </w:r>
      <w:r w:rsidRPr="00217EFC">
        <w:rPr>
          <w:sz w:val="22"/>
          <w:szCs w:val="22"/>
          <w:lang w:val="fr-CA"/>
        </w:rPr>
        <w:t xml:space="preserve"> Nous ne pouvons pas déterminer avec certitude la cause d’une telle différence,</w:t>
      </w:r>
      <w:r>
        <w:rPr>
          <w:sz w:val="22"/>
          <w:szCs w:val="22"/>
          <w:lang w:val="fr-CA"/>
        </w:rPr>
        <w:t xml:space="preserve"> même minime, </w:t>
      </w:r>
      <w:r w:rsidRPr="00217EFC">
        <w:rPr>
          <w:sz w:val="22"/>
          <w:szCs w:val="22"/>
          <w:lang w:val="fr-CA"/>
        </w:rPr>
        <w:t xml:space="preserve">mais nous croyons que </w:t>
      </w:r>
      <w:r>
        <w:rPr>
          <w:sz w:val="22"/>
          <w:szCs w:val="22"/>
          <w:lang w:val="fr-CA"/>
        </w:rPr>
        <w:t xml:space="preserve">ces 83 militaires américains </w:t>
      </w:r>
      <w:r w:rsidRPr="00217EFC">
        <w:rPr>
          <w:sz w:val="22"/>
          <w:szCs w:val="22"/>
          <w:lang w:val="fr-CA"/>
        </w:rPr>
        <w:t xml:space="preserve">se sont ajoutés </w:t>
      </w:r>
      <w:r>
        <w:rPr>
          <w:sz w:val="22"/>
          <w:szCs w:val="22"/>
          <w:lang w:val="fr-CA"/>
        </w:rPr>
        <w:t>aux listes de Bélanger qu’</w:t>
      </w:r>
      <w:r w:rsidRPr="00217EFC">
        <w:rPr>
          <w:sz w:val="22"/>
          <w:szCs w:val="22"/>
          <w:lang w:val="fr-CA"/>
        </w:rPr>
        <w:t xml:space="preserve">après </w:t>
      </w:r>
      <w:r>
        <w:rPr>
          <w:sz w:val="22"/>
          <w:szCs w:val="22"/>
          <w:lang w:val="fr-CA"/>
        </w:rPr>
        <w:t xml:space="preserve">la réception du drapeau de service par </w:t>
      </w:r>
      <w:r w:rsidRPr="00217EFC">
        <w:rPr>
          <w:sz w:val="22"/>
          <w:szCs w:val="22"/>
          <w:lang w:val="fr-CA"/>
        </w:rPr>
        <w:t>les paroisses, pendant l’été</w:t>
      </w:r>
      <w:r w:rsidR="00D64DE3">
        <w:rPr>
          <w:sz w:val="22"/>
          <w:szCs w:val="22"/>
          <w:lang w:val="fr-CA"/>
        </w:rPr>
        <w:t> </w:t>
      </w:r>
      <w:r w:rsidRPr="00217EFC">
        <w:rPr>
          <w:sz w:val="22"/>
          <w:szCs w:val="22"/>
          <w:lang w:val="fr-CA"/>
        </w:rPr>
        <w:t>1918</w:t>
      </w:r>
      <w:r w:rsidRPr="00217EFC">
        <w:rPr>
          <w:rStyle w:val="FootnoteReference"/>
          <w:sz w:val="22"/>
          <w:szCs w:val="22"/>
          <w:lang w:val="fr-CA"/>
        </w:rPr>
        <w:footnoteReference w:id="399"/>
      </w:r>
      <w:r w:rsidRPr="00217EFC">
        <w:rPr>
          <w:sz w:val="22"/>
          <w:szCs w:val="22"/>
          <w:lang w:val="fr-CA"/>
        </w:rPr>
        <w:t xml:space="preserve">. </w:t>
      </w:r>
      <w:r>
        <w:rPr>
          <w:sz w:val="22"/>
          <w:szCs w:val="22"/>
          <w:lang w:val="fr-CA"/>
        </w:rPr>
        <w:t xml:space="preserve">Sans connaitre exactement les sources de </w:t>
      </w:r>
      <w:r w:rsidRPr="00BF038A">
        <w:rPr>
          <w:sz w:val="22"/>
          <w:szCs w:val="22"/>
          <w:lang w:val="fr-CA"/>
        </w:rPr>
        <w:t>Bélanger, nous savons toutefois que les curés de</w:t>
      </w:r>
      <w:r w:rsidR="00D64DE3">
        <w:rPr>
          <w:sz w:val="22"/>
          <w:szCs w:val="22"/>
          <w:lang w:val="fr-CA"/>
        </w:rPr>
        <w:t xml:space="preserve"> la</w:t>
      </w:r>
      <w:r w:rsidRPr="00BF038A">
        <w:rPr>
          <w:sz w:val="22"/>
          <w:szCs w:val="22"/>
          <w:lang w:val="fr-CA"/>
        </w:rPr>
        <w:t xml:space="preserve"> paroisse, les secrétaires municipaux et les journaux contribuent</w:t>
      </w:r>
      <w:r>
        <w:rPr>
          <w:sz w:val="22"/>
          <w:szCs w:val="22"/>
          <w:lang w:val="fr-CA"/>
        </w:rPr>
        <w:t xml:space="preserve"> </w:t>
      </w:r>
      <w:r w:rsidRPr="00217EFC">
        <w:rPr>
          <w:sz w:val="22"/>
          <w:szCs w:val="22"/>
          <w:lang w:val="fr-CA"/>
        </w:rPr>
        <w:t xml:space="preserve">en fournissant les informations crédibles pour </w:t>
      </w:r>
      <w:r>
        <w:rPr>
          <w:sz w:val="22"/>
          <w:szCs w:val="22"/>
          <w:lang w:val="fr-CA"/>
        </w:rPr>
        <w:t xml:space="preserve">alimenter </w:t>
      </w:r>
      <w:r w:rsidRPr="00217EFC">
        <w:rPr>
          <w:sz w:val="22"/>
          <w:szCs w:val="22"/>
          <w:lang w:val="fr-CA"/>
        </w:rPr>
        <w:t xml:space="preserve">l’édition des différents </w:t>
      </w:r>
      <w:r w:rsidRPr="00217EFC">
        <w:rPr>
          <w:i/>
          <w:iCs/>
          <w:sz w:val="22"/>
          <w:szCs w:val="22"/>
          <w:lang w:val="fr-CA"/>
        </w:rPr>
        <w:t>Guide des</w:t>
      </w:r>
      <w:r w:rsidRPr="00217EFC">
        <w:rPr>
          <w:sz w:val="22"/>
          <w:szCs w:val="22"/>
          <w:lang w:val="fr-CA"/>
        </w:rPr>
        <w:t xml:space="preserve"> </w:t>
      </w:r>
      <w:r w:rsidRPr="00217EFC">
        <w:rPr>
          <w:i/>
          <w:iCs/>
          <w:sz w:val="22"/>
          <w:szCs w:val="22"/>
          <w:lang w:val="fr-CA"/>
        </w:rPr>
        <w:t>Franco-Américains</w:t>
      </w:r>
      <w:r w:rsidRPr="00217EFC">
        <w:rPr>
          <w:sz w:val="22"/>
          <w:szCs w:val="22"/>
          <w:lang w:val="fr-CA"/>
        </w:rPr>
        <w:t xml:space="preserve"> au cours des années.</w:t>
      </w:r>
    </w:p>
    <w:p w14:paraId="5EB7272D" w14:textId="77777777" w:rsidR="000264D6" w:rsidRPr="00217EFC" w:rsidRDefault="000264D6" w:rsidP="002B5319">
      <w:pPr>
        <w:spacing w:before="100" w:beforeAutospacing="1" w:after="100" w:afterAutospacing="1"/>
        <w:ind w:firstLine="360"/>
        <w:rPr>
          <w:sz w:val="22"/>
          <w:szCs w:val="22"/>
          <w:lang w:val="fr-CA"/>
        </w:rPr>
      </w:pPr>
      <w:r w:rsidRPr="00217EFC">
        <w:rPr>
          <w:sz w:val="22"/>
          <w:szCs w:val="22"/>
          <w:lang w:val="fr-CA"/>
        </w:rPr>
        <w:t xml:space="preserve">Quant aux membres qui ont servi avec le </w:t>
      </w:r>
      <w:r>
        <w:rPr>
          <w:sz w:val="22"/>
          <w:szCs w:val="22"/>
          <w:lang w:val="fr-CA"/>
        </w:rPr>
        <w:t>Corps expéditionnaire</w:t>
      </w:r>
      <w:r w:rsidRPr="00217EFC">
        <w:rPr>
          <w:sz w:val="22"/>
          <w:szCs w:val="22"/>
          <w:lang w:val="fr-CA"/>
        </w:rPr>
        <w:t xml:space="preserve"> </w:t>
      </w:r>
      <w:r>
        <w:rPr>
          <w:sz w:val="22"/>
          <w:szCs w:val="22"/>
          <w:lang w:val="fr-CA"/>
        </w:rPr>
        <w:t>c</w:t>
      </w:r>
      <w:r w:rsidRPr="00217EFC">
        <w:rPr>
          <w:sz w:val="22"/>
          <w:szCs w:val="22"/>
          <w:lang w:val="fr-CA"/>
        </w:rPr>
        <w:t>anadien, les noms des volontaires que nous avons recueillis n’apparaissent pas dans la liste nominale de la deuxième partie</w:t>
      </w:r>
      <w:r>
        <w:rPr>
          <w:sz w:val="22"/>
          <w:szCs w:val="22"/>
          <w:lang w:val="fr-CA"/>
        </w:rPr>
        <w:t xml:space="preserve"> du guide de Bélanger</w:t>
      </w:r>
      <w:r w:rsidRPr="00217EFC">
        <w:rPr>
          <w:sz w:val="22"/>
          <w:szCs w:val="22"/>
          <w:lang w:val="fr-CA"/>
        </w:rPr>
        <w:t>.</w:t>
      </w:r>
      <w:r>
        <w:rPr>
          <w:sz w:val="22"/>
          <w:szCs w:val="22"/>
          <w:lang w:val="fr-CA"/>
        </w:rPr>
        <w:t xml:space="preserve"> </w:t>
      </w:r>
      <w:r w:rsidRPr="00217EFC">
        <w:rPr>
          <w:sz w:val="22"/>
          <w:szCs w:val="22"/>
          <w:lang w:val="fr-CA"/>
        </w:rPr>
        <w:t>De plus, nous ne pouvons pas confirmer si les infirmières de Manchester, qui ont joint les services médicaux militaires américains, sont inclu</w:t>
      </w:r>
      <w:r>
        <w:rPr>
          <w:sz w:val="22"/>
          <w:szCs w:val="22"/>
          <w:lang w:val="fr-CA"/>
        </w:rPr>
        <w:t>s</w:t>
      </w:r>
      <w:r w:rsidRPr="00217EFC">
        <w:rPr>
          <w:sz w:val="22"/>
          <w:szCs w:val="22"/>
          <w:lang w:val="fr-CA"/>
        </w:rPr>
        <w:t>es dans les données de Bélanger</w:t>
      </w:r>
      <w:r>
        <w:rPr>
          <w:sz w:val="22"/>
          <w:szCs w:val="22"/>
          <w:lang w:val="fr-CA"/>
        </w:rPr>
        <w:t xml:space="preserve">, car </w:t>
      </w:r>
      <w:r w:rsidRPr="00217EFC">
        <w:rPr>
          <w:sz w:val="22"/>
          <w:szCs w:val="22"/>
          <w:lang w:val="fr-CA"/>
        </w:rPr>
        <w:t>nous savons que la ville est sollicitée pour fournir 30 infirmières</w:t>
      </w:r>
      <w:r>
        <w:rPr>
          <w:sz w:val="22"/>
          <w:szCs w:val="22"/>
          <w:lang w:val="fr-CA"/>
        </w:rPr>
        <w:t>. N</w:t>
      </w:r>
      <w:r w:rsidRPr="00217EFC">
        <w:rPr>
          <w:sz w:val="22"/>
          <w:szCs w:val="22"/>
          <w:lang w:val="fr-CA"/>
        </w:rPr>
        <w:t xml:space="preserve">ous savons également qu’au moins 22 infirmières de Manchester se sont portées volontaires pour le </w:t>
      </w:r>
      <w:r w:rsidRPr="00217EFC">
        <w:rPr>
          <w:sz w:val="22"/>
          <w:szCs w:val="22"/>
          <w:lang w:val="fr-CA"/>
        </w:rPr>
        <w:lastRenderedPageBreak/>
        <w:t>service m</w:t>
      </w:r>
      <w:r>
        <w:rPr>
          <w:sz w:val="22"/>
          <w:szCs w:val="22"/>
          <w:lang w:val="fr-CA"/>
        </w:rPr>
        <w:t>édical</w:t>
      </w:r>
      <w:r w:rsidRPr="00940D8A">
        <w:rPr>
          <w:rStyle w:val="FootnoteReference"/>
          <w:sz w:val="22"/>
          <w:lang w:val="fr-CA"/>
        </w:rPr>
        <w:footnoteReference w:id="400"/>
      </w:r>
      <w:r w:rsidRPr="009B1360">
        <w:rPr>
          <w:sz w:val="22"/>
          <w:szCs w:val="22"/>
          <w:lang w:val="fr-CA"/>
        </w:rPr>
        <w:t>, mais nous ne pouvons pas confirmer la proportion de francophone</w:t>
      </w:r>
      <w:r w:rsidR="00D64DE3">
        <w:rPr>
          <w:sz w:val="22"/>
          <w:szCs w:val="22"/>
          <w:lang w:val="fr-CA"/>
        </w:rPr>
        <w:t>s</w:t>
      </w:r>
      <w:r w:rsidRPr="009B1360">
        <w:rPr>
          <w:sz w:val="22"/>
          <w:szCs w:val="22"/>
          <w:lang w:val="fr-CA"/>
        </w:rPr>
        <w:t xml:space="preserve"> </w:t>
      </w:r>
      <w:r w:rsidR="005C3162">
        <w:rPr>
          <w:sz w:val="22"/>
          <w:szCs w:val="22"/>
          <w:lang w:val="fr-CA"/>
        </w:rPr>
        <w:t xml:space="preserve">parmi </w:t>
      </w:r>
      <w:r w:rsidRPr="009B1360">
        <w:rPr>
          <w:sz w:val="22"/>
          <w:szCs w:val="22"/>
          <w:lang w:val="fr-CA"/>
        </w:rPr>
        <w:t>ce groupe d’infirmières. Quant aux recherches de Jean-Pierre Gagnon, il mentionne</w:t>
      </w:r>
      <w:r w:rsidRPr="009B1360">
        <w:rPr>
          <w:sz w:val="22"/>
          <w:lang w:val="fr-CA"/>
        </w:rPr>
        <w:t xml:space="preserve"> dans sa monographie</w:t>
      </w:r>
      <w:r w:rsidRPr="009B1360">
        <w:rPr>
          <w:sz w:val="22"/>
          <w:szCs w:val="22"/>
          <w:lang w:val="fr-CA"/>
        </w:rPr>
        <w:t xml:space="preserve"> que sur les </w:t>
      </w:r>
      <w:r w:rsidRPr="009B1360">
        <w:rPr>
          <w:sz w:val="22"/>
          <w:lang w:val="fr-CA"/>
        </w:rPr>
        <w:t>78 volontaires du New Hampshire qui servent avec le 22</w:t>
      </w:r>
      <w:r w:rsidRPr="009B1360">
        <w:rPr>
          <w:sz w:val="22"/>
          <w:vertAlign w:val="superscript"/>
          <w:lang w:val="fr-CA"/>
        </w:rPr>
        <w:t>e</w:t>
      </w:r>
      <w:r w:rsidRPr="009B1360">
        <w:rPr>
          <w:sz w:val="22"/>
          <w:lang w:val="fr-CA"/>
        </w:rPr>
        <w:t xml:space="preserve"> Bataillon, 38</w:t>
      </w:r>
      <w:r w:rsidRPr="009B1360">
        <w:rPr>
          <w:sz w:val="22"/>
          <w:szCs w:val="22"/>
          <w:lang w:val="fr-CA"/>
        </w:rPr>
        <w:t xml:space="preserve"> sont nés dans cet État</w:t>
      </w:r>
      <w:r w:rsidRPr="009B1360">
        <w:rPr>
          <w:rStyle w:val="FootnoteReference"/>
          <w:sz w:val="22"/>
          <w:szCs w:val="22"/>
          <w:lang w:val="fr-CA"/>
        </w:rPr>
        <w:footnoteReference w:id="401"/>
      </w:r>
      <w:r w:rsidRPr="009B1360">
        <w:rPr>
          <w:sz w:val="22"/>
          <w:szCs w:val="22"/>
          <w:lang w:val="fr-CA"/>
        </w:rPr>
        <w:t xml:space="preserve">. </w:t>
      </w:r>
      <w:r>
        <w:rPr>
          <w:sz w:val="22"/>
          <w:szCs w:val="22"/>
          <w:lang w:val="fr-CA"/>
        </w:rPr>
        <w:t>L</w:t>
      </w:r>
      <w:r w:rsidRPr="009B1360">
        <w:rPr>
          <w:sz w:val="22"/>
          <w:szCs w:val="22"/>
          <w:lang w:val="fr-CA"/>
        </w:rPr>
        <w:t xml:space="preserve">ors du dépouillement de </w:t>
      </w:r>
      <w:r w:rsidRPr="009B1360">
        <w:rPr>
          <w:i/>
          <w:iCs/>
          <w:sz w:val="22"/>
          <w:szCs w:val="22"/>
          <w:lang w:val="fr-CA"/>
        </w:rPr>
        <w:t>L’Avenir National</w:t>
      </w:r>
      <w:r w:rsidRPr="009B1360">
        <w:rPr>
          <w:sz w:val="22"/>
          <w:szCs w:val="22"/>
          <w:lang w:val="fr-CA"/>
        </w:rPr>
        <w:t>,</w:t>
      </w:r>
      <w:r w:rsidRPr="009B1360">
        <w:rPr>
          <w:i/>
          <w:iCs/>
          <w:sz w:val="22"/>
          <w:szCs w:val="22"/>
          <w:lang w:val="fr-CA"/>
        </w:rPr>
        <w:t xml:space="preserve"> </w:t>
      </w:r>
      <w:r w:rsidRPr="009B1360">
        <w:rPr>
          <w:sz w:val="22"/>
          <w:szCs w:val="22"/>
          <w:lang w:val="fr-CA"/>
        </w:rPr>
        <w:t xml:space="preserve">nous avons </w:t>
      </w:r>
      <w:r>
        <w:rPr>
          <w:sz w:val="22"/>
          <w:szCs w:val="22"/>
          <w:lang w:val="fr-CA"/>
        </w:rPr>
        <w:t xml:space="preserve">trouvé </w:t>
      </w:r>
      <w:r w:rsidRPr="009B1360">
        <w:rPr>
          <w:sz w:val="22"/>
          <w:szCs w:val="22"/>
          <w:lang w:val="fr-CA"/>
        </w:rPr>
        <w:t>11 individus qui sont associés à la ville de Manchester</w:t>
      </w:r>
      <w:r>
        <w:rPr>
          <w:sz w:val="22"/>
          <w:szCs w:val="22"/>
          <w:lang w:val="fr-CA"/>
        </w:rPr>
        <w:t xml:space="preserve"> et qui servent avec le 22</w:t>
      </w:r>
      <w:r w:rsidRPr="006413B3">
        <w:rPr>
          <w:sz w:val="22"/>
          <w:szCs w:val="22"/>
          <w:vertAlign w:val="superscript"/>
          <w:lang w:val="fr-CA"/>
        </w:rPr>
        <w:t>e</w:t>
      </w:r>
      <w:r>
        <w:rPr>
          <w:sz w:val="22"/>
          <w:szCs w:val="22"/>
          <w:lang w:val="fr-CA"/>
        </w:rPr>
        <w:t xml:space="preserve"> Bataillon pendant le conflit. </w:t>
      </w:r>
      <w:r w:rsidRPr="009B1360">
        <w:rPr>
          <w:sz w:val="22"/>
          <w:szCs w:val="22"/>
          <w:lang w:val="fr-CA"/>
        </w:rPr>
        <w:t>À l’égard des citoyens de l’État du Rhode Island qui servent avec le 22</w:t>
      </w:r>
      <w:r w:rsidRPr="009B1360">
        <w:rPr>
          <w:sz w:val="22"/>
          <w:szCs w:val="22"/>
          <w:vertAlign w:val="superscript"/>
          <w:lang w:val="fr-CA"/>
        </w:rPr>
        <w:t>e</w:t>
      </w:r>
      <w:r w:rsidRPr="009B1360">
        <w:rPr>
          <w:sz w:val="22"/>
          <w:szCs w:val="22"/>
          <w:lang w:val="fr-CA"/>
        </w:rPr>
        <w:t xml:space="preserve"> Bataillon, Gagnon rapporte </w:t>
      </w:r>
      <w:r>
        <w:rPr>
          <w:sz w:val="22"/>
          <w:szCs w:val="22"/>
          <w:lang w:val="fr-CA"/>
        </w:rPr>
        <w:t xml:space="preserve">que </w:t>
      </w:r>
      <w:r w:rsidRPr="009B1360">
        <w:rPr>
          <w:sz w:val="22"/>
          <w:szCs w:val="22"/>
          <w:lang w:val="fr-CA"/>
        </w:rPr>
        <w:t xml:space="preserve">sur </w:t>
      </w:r>
      <w:r w:rsidR="005C3162">
        <w:rPr>
          <w:sz w:val="22"/>
          <w:szCs w:val="22"/>
          <w:lang w:val="fr-CA"/>
        </w:rPr>
        <w:t xml:space="preserve">36 </w:t>
      </w:r>
      <w:r w:rsidRPr="009B1360">
        <w:rPr>
          <w:sz w:val="22"/>
          <w:szCs w:val="22"/>
          <w:lang w:val="fr-CA"/>
        </w:rPr>
        <w:t>membres</w:t>
      </w:r>
      <w:r>
        <w:rPr>
          <w:sz w:val="22"/>
          <w:szCs w:val="22"/>
          <w:lang w:val="fr-CA"/>
        </w:rPr>
        <w:t>,</w:t>
      </w:r>
      <w:r w:rsidRPr="009B1360">
        <w:rPr>
          <w:sz w:val="22"/>
          <w:szCs w:val="22"/>
          <w:lang w:val="fr-CA"/>
        </w:rPr>
        <w:t xml:space="preserve"> </w:t>
      </w:r>
      <w:r w:rsidR="005C3162">
        <w:rPr>
          <w:sz w:val="22"/>
          <w:szCs w:val="22"/>
          <w:lang w:val="fr-CA"/>
        </w:rPr>
        <w:t>22</w:t>
      </w:r>
      <w:r w:rsidRPr="009B1360">
        <w:rPr>
          <w:sz w:val="22"/>
          <w:szCs w:val="22"/>
          <w:lang w:val="fr-CA"/>
        </w:rPr>
        <w:t xml:space="preserve"> sont nés dans cet État</w:t>
      </w:r>
      <w:r w:rsidRPr="009B1360">
        <w:rPr>
          <w:rStyle w:val="FootnoteReference"/>
          <w:sz w:val="22"/>
          <w:szCs w:val="22"/>
          <w:lang w:val="fr-CA"/>
        </w:rPr>
        <w:footnoteReference w:id="402"/>
      </w:r>
      <w:r w:rsidRPr="009B1360">
        <w:rPr>
          <w:sz w:val="22"/>
          <w:szCs w:val="22"/>
          <w:lang w:val="fr-CA"/>
        </w:rPr>
        <w:t xml:space="preserve">. </w:t>
      </w:r>
      <w:r>
        <w:rPr>
          <w:sz w:val="22"/>
          <w:szCs w:val="22"/>
          <w:lang w:val="fr-CA"/>
        </w:rPr>
        <w:t xml:space="preserve">Finalement, lors du </w:t>
      </w:r>
      <w:r w:rsidRPr="009B1360">
        <w:rPr>
          <w:sz w:val="22"/>
          <w:szCs w:val="22"/>
          <w:lang w:val="fr-CA"/>
        </w:rPr>
        <w:t>dé</w:t>
      </w:r>
      <w:r>
        <w:rPr>
          <w:sz w:val="22"/>
          <w:szCs w:val="22"/>
          <w:lang w:val="fr-CA"/>
        </w:rPr>
        <w:t xml:space="preserve">pouillement de </w:t>
      </w:r>
      <w:r>
        <w:rPr>
          <w:i/>
          <w:iCs/>
          <w:sz w:val="22"/>
          <w:szCs w:val="22"/>
          <w:lang w:val="fr-CA"/>
        </w:rPr>
        <w:t>L’Avenir National</w:t>
      </w:r>
      <w:r>
        <w:rPr>
          <w:sz w:val="22"/>
          <w:szCs w:val="22"/>
          <w:lang w:val="fr-CA"/>
        </w:rPr>
        <w:t xml:space="preserve">, </w:t>
      </w:r>
      <w:r w:rsidRPr="009B1360">
        <w:rPr>
          <w:sz w:val="22"/>
          <w:szCs w:val="22"/>
          <w:lang w:val="fr-CA"/>
        </w:rPr>
        <w:t xml:space="preserve">nous </w:t>
      </w:r>
      <w:r>
        <w:rPr>
          <w:sz w:val="22"/>
          <w:szCs w:val="22"/>
          <w:lang w:val="fr-CA"/>
        </w:rPr>
        <w:t xml:space="preserve">n’avons </w:t>
      </w:r>
      <w:r w:rsidRPr="009B1360">
        <w:rPr>
          <w:sz w:val="22"/>
          <w:szCs w:val="22"/>
          <w:lang w:val="fr-CA"/>
        </w:rPr>
        <w:t>retr</w:t>
      </w:r>
      <w:r>
        <w:rPr>
          <w:sz w:val="22"/>
          <w:szCs w:val="22"/>
          <w:lang w:val="fr-CA"/>
        </w:rPr>
        <w:t xml:space="preserve">ouvé aucun des </w:t>
      </w:r>
      <w:r w:rsidRPr="009B1360">
        <w:rPr>
          <w:sz w:val="22"/>
          <w:szCs w:val="22"/>
          <w:lang w:val="fr-CA"/>
        </w:rPr>
        <w:t>14 officiers qui proviennent des États-Unis</w:t>
      </w:r>
      <w:r w:rsidR="005C3162">
        <w:rPr>
          <w:rStyle w:val="FootnoteReference"/>
          <w:sz w:val="22"/>
          <w:szCs w:val="22"/>
          <w:lang w:val="fr-CA"/>
        </w:rPr>
        <w:footnoteReference w:id="403"/>
      </w:r>
      <w:r w:rsidRPr="009B1360">
        <w:rPr>
          <w:sz w:val="22"/>
          <w:szCs w:val="22"/>
          <w:lang w:val="fr-CA"/>
        </w:rPr>
        <w:t>.</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282"/>
        <w:gridCol w:w="2152"/>
        <w:gridCol w:w="2283"/>
      </w:tblGrid>
      <w:tr w:rsidR="000264D6" w:rsidRPr="00A20827" w14:paraId="0AD8FD67" w14:textId="77777777" w:rsidTr="00712A99">
        <w:trPr>
          <w:trHeight w:val="345"/>
          <w:jc w:val="center"/>
        </w:trPr>
        <w:tc>
          <w:tcPr>
            <w:tcW w:w="8869" w:type="dxa"/>
            <w:gridSpan w:val="4"/>
            <w:shd w:val="clear" w:color="auto" w:fill="auto"/>
            <w:noWrap/>
            <w:vAlign w:val="center"/>
            <w:hideMark/>
          </w:tcPr>
          <w:p w14:paraId="3366D3D2" w14:textId="77777777" w:rsidR="000264D6" w:rsidRPr="00127092" w:rsidRDefault="000264D6" w:rsidP="008553AC">
            <w:pPr>
              <w:spacing w:before="120" w:after="120"/>
              <w:ind w:firstLine="357"/>
              <w:jc w:val="center"/>
              <w:rPr>
                <w:b/>
                <w:bCs/>
                <w:sz w:val="22"/>
                <w:szCs w:val="22"/>
                <w:lang w:val="fr-CA"/>
              </w:rPr>
            </w:pPr>
            <w:r w:rsidRPr="00127092">
              <w:rPr>
                <w:b/>
                <w:bCs/>
                <w:sz w:val="22"/>
                <w:szCs w:val="22"/>
                <w:lang w:val="fr-CA"/>
              </w:rPr>
              <w:t>Contribution en militaire selon A. Bélanger</w:t>
            </w:r>
          </w:p>
        </w:tc>
      </w:tr>
      <w:tr w:rsidR="000264D6" w:rsidRPr="006634A6" w14:paraId="2D3CBCCE" w14:textId="77777777" w:rsidTr="00493B34">
        <w:trPr>
          <w:trHeight w:val="345"/>
          <w:jc w:val="center"/>
        </w:trPr>
        <w:tc>
          <w:tcPr>
            <w:tcW w:w="4434" w:type="dxa"/>
            <w:gridSpan w:val="2"/>
            <w:shd w:val="clear" w:color="auto" w:fill="auto"/>
            <w:noWrap/>
            <w:vAlign w:val="center"/>
            <w:hideMark/>
          </w:tcPr>
          <w:p w14:paraId="417E114A" w14:textId="77777777" w:rsidR="000264D6" w:rsidRPr="00C9565F" w:rsidRDefault="000264D6" w:rsidP="00C9565F">
            <w:pPr>
              <w:spacing w:before="100" w:beforeAutospacing="1" w:after="100" w:afterAutospacing="1"/>
              <w:jc w:val="center"/>
              <w:rPr>
                <w:sz w:val="22"/>
                <w:szCs w:val="22"/>
              </w:rPr>
            </w:pPr>
            <w:r w:rsidRPr="00217EFC">
              <w:rPr>
                <w:sz w:val="22"/>
                <w:szCs w:val="22"/>
                <w:lang w:val="fr-CA"/>
              </w:rPr>
              <w:t>Pages de la municipalité</w:t>
            </w:r>
          </w:p>
        </w:tc>
        <w:tc>
          <w:tcPr>
            <w:tcW w:w="4435" w:type="dxa"/>
            <w:gridSpan w:val="2"/>
            <w:shd w:val="clear" w:color="auto" w:fill="auto"/>
            <w:noWrap/>
            <w:vAlign w:val="center"/>
            <w:hideMark/>
          </w:tcPr>
          <w:p w14:paraId="1C6A188E" w14:textId="77777777" w:rsidR="000264D6" w:rsidRPr="00C9565F" w:rsidRDefault="000264D6" w:rsidP="00C9565F">
            <w:pPr>
              <w:ind w:firstLine="360"/>
              <w:jc w:val="center"/>
              <w:rPr>
                <w:sz w:val="22"/>
                <w:szCs w:val="22"/>
                <w:vertAlign w:val="superscript"/>
                <w:lang w:val="fr-CA"/>
              </w:rPr>
            </w:pPr>
            <w:r w:rsidRPr="00217EFC">
              <w:rPr>
                <w:sz w:val="22"/>
                <w:szCs w:val="22"/>
                <w:lang w:val="fr-CA"/>
              </w:rPr>
              <w:t xml:space="preserve">Deuxième </w:t>
            </w:r>
            <w:r w:rsidR="00D64DE3">
              <w:rPr>
                <w:sz w:val="22"/>
                <w:szCs w:val="22"/>
                <w:lang w:val="fr-CA"/>
              </w:rPr>
              <w:t>p</w:t>
            </w:r>
            <w:r w:rsidRPr="00217EFC">
              <w:rPr>
                <w:sz w:val="22"/>
                <w:szCs w:val="22"/>
                <w:lang w:val="fr-CA"/>
              </w:rPr>
              <w:t>artie</w:t>
            </w:r>
            <w:r w:rsidR="00C9565F" w:rsidRPr="00393982">
              <w:rPr>
                <w:sz w:val="20"/>
                <w:szCs w:val="20"/>
                <w:vertAlign w:val="superscript"/>
                <w:lang w:val="fr-CA"/>
              </w:rPr>
              <w:t>*</w:t>
            </w:r>
          </w:p>
        </w:tc>
      </w:tr>
      <w:tr w:rsidR="000264D6" w:rsidRPr="00217EFC" w14:paraId="5ADB74A7" w14:textId="77777777" w:rsidTr="00493B34">
        <w:trPr>
          <w:trHeight w:val="345"/>
          <w:jc w:val="center"/>
        </w:trPr>
        <w:tc>
          <w:tcPr>
            <w:tcW w:w="2152" w:type="dxa"/>
            <w:shd w:val="clear" w:color="auto" w:fill="auto"/>
            <w:noWrap/>
            <w:vAlign w:val="center"/>
            <w:hideMark/>
          </w:tcPr>
          <w:p w14:paraId="0E23EDAD" w14:textId="77777777" w:rsidR="000264D6" w:rsidRPr="00217EFC" w:rsidRDefault="000264D6" w:rsidP="00393982">
            <w:pPr>
              <w:spacing w:before="100" w:beforeAutospacing="1" w:after="100" w:afterAutospacing="1"/>
              <w:ind w:firstLine="360"/>
              <w:jc w:val="center"/>
              <w:rPr>
                <w:sz w:val="22"/>
                <w:szCs w:val="22"/>
                <w:lang w:val="fr-CA"/>
              </w:rPr>
            </w:pPr>
            <w:r w:rsidRPr="00217EFC">
              <w:rPr>
                <w:sz w:val="22"/>
                <w:szCs w:val="22"/>
                <w:lang w:val="fr-CA"/>
              </w:rPr>
              <w:t>Manchester</w:t>
            </w:r>
          </w:p>
        </w:tc>
        <w:tc>
          <w:tcPr>
            <w:tcW w:w="2282" w:type="dxa"/>
            <w:shd w:val="clear" w:color="auto" w:fill="auto"/>
            <w:noWrap/>
            <w:vAlign w:val="center"/>
            <w:hideMark/>
          </w:tcPr>
          <w:p w14:paraId="1361BA3A" w14:textId="77777777" w:rsidR="000264D6" w:rsidRPr="00217EFC" w:rsidRDefault="000264D6" w:rsidP="00393982">
            <w:pPr>
              <w:spacing w:before="100" w:beforeAutospacing="1" w:after="100" w:afterAutospacing="1"/>
              <w:ind w:firstLine="360"/>
              <w:jc w:val="center"/>
              <w:rPr>
                <w:sz w:val="22"/>
                <w:szCs w:val="22"/>
                <w:lang w:val="fr-CA"/>
              </w:rPr>
            </w:pPr>
            <w:r w:rsidRPr="00217EFC">
              <w:rPr>
                <w:sz w:val="22"/>
                <w:szCs w:val="22"/>
                <w:lang w:val="fr-CA"/>
              </w:rPr>
              <w:t>Woonsocket</w:t>
            </w:r>
          </w:p>
        </w:tc>
        <w:tc>
          <w:tcPr>
            <w:tcW w:w="2152" w:type="dxa"/>
            <w:shd w:val="clear" w:color="auto" w:fill="auto"/>
            <w:noWrap/>
            <w:vAlign w:val="center"/>
            <w:hideMark/>
          </w:tcPr>
          <w:p w14:paraId="2731F546" w14:textId="77777777" w:rsidR="000264D6" w:rsidRPr="00217EFC" w:rsidRDefault="000264D6" w:rsidP="00393982">
            <w:pPr>
              <w:spacing w:before="100" w:beforeAutospacing="1" w:after="100" w:afterAutospacing="1"/>
              <w:ind w:firstLine="360"/>
              <w:jc w:val="center"/>
              <w:rPr>
                <w:sz w:val="22"/>
                <w:szCs w:val="22"/>
                <w:lang w:val="fr-CA"/>
              </w:rPr>
            </w:pPr>
            <w:r w:rsidRPr="00217EFC">
              <w:rPr>
                <w:sz w:val="22"/>
                <w:szCs w:val="22"/>
                <w:lang w:val="fr-CA"/>
              </w:rPr>
              <w:t>Manchester</w:t>
            </w:r>
          </w:p>
        </w:tc>
        <w:tc>
          <w:tcPr>
            <w:tcW w:w="2283" w:type="dxa"/>
            <w:shd w:val="clear" w:color="auto" w:fill="auto"/>
            <w:noWrap/>
            <w:vAlign w:val="center"/>
            <w:hideMark/>
          </w:tcPr>
          <w:p w14:paraId="429B4CBB" w14:textId="77777777" w:rsidR="000264D6" w:rsidRPr="00217EFC" w:rsidRDefault="000264D6" w:rsidP="00393982">
            <w:pPr>
              <w:spacing w:before="100" w:beforeAutospacing="1" w:after="100" w:afterAutospacing="1"/>
              <w:ind w:firstLine="360"/>
              <w:jc w:val="center"/>
              <w:rPr>
                <w:sz w:val="22"/>
                <w:szCs w:val="22"/>
                <w:lang w:val="fr-CA"/>
              </w:rPr>
            </w:pPr>
            <w:r w:rsidRPr="00217EFC">
              <w:rPr>
                <w:sz w:val="22"/>
                <w:szCs w:val="22"/>
                <w:lang w:val="fr-CA"/>
              </w:rPr>
              <w:t>Woonsocket</w:t>
            </w:r>
          </w:p>
        </w:tc>
      </w:tr>
      <w:tr w:rsidR="000264D6" w:rsidRPr="00217EFC" w14:paraId="4AB6EC0E" w14:textId="77777777" w:rsidTr="00493B34">
        <w:trPr>
          <w:trHeight w:val="345"/>
          <w:jc w:val="center"/>
        </w:trPr>
        <w:tc>
          <w:tcPr>
            <w:tcW w:w="2152" w:type="dxa"/>
            <w:shd w:val="clear" w:color="auto" w:fill="auto"/>
            <w:noWrap/>
            <w:vAlign w:val="center"/>
            <w:hideMark/>
          </w:tcPr>
          <w:p w14:paraId="301718E4" w14:textId="77777777" w:rsidR="000264D6" w:rsidRPr="00217EFC" w:rsidRDefault="000264D6" w:rsidP="002C367B">
            <w:pPr>
              <w:spacing w:before="240"/>
              <w:ind w:firstLine="360"/>
              <w:jc w:val="center"/>
              <w:rPr>
                <w:sz w:val="22"/>
                <w:szCs w:val="22"/>
                <w:lang w:val="fr-CA"/>
              </w:rPr>
            </w:pPr>
            <w:r w:rsidRPr="00217EFC">
              <w:rPr>
                <w:sz w:val="22"/>
                <w:szCs w:val="22"/>
                <w:lang w:val="fr-CA"/>
              </w:rPr>
              <w:t>865</w:t>
            </w:r>
            <w:r w:rsidR="00C9565F" w:rsidRPr="00393982">
              <w:rPr>
                <w:sz w:val="20"/>
                <w:szCs w:val="20"/>
                <w:lang w:val="fr-CA"/>
              </w:rPr>
              <w:t>**</w:t>
            </w:r>
          </w:p>
          <w:p w14:paraId="01229DBA" w14:textId="77777777" w:rsidR="000264D6" w:rsidRPr="00217EFC" w:rsidRDefault="00D64DE3" w:rsidP="002C367B">
            <w:pPr>
              <w:spacing w:after="240"/>
              <w:ind w:firstLine="360"/>
              <w:jc w:val="center"/>
              <w:rPr>
                <w:sz w:val="22"/>
                <w:szCs w:val="22"/>
                <w:lang w:val="fr-CA"/>
              </w:rPr>
            </w:pPr>
            <w:r>
              <w:rPr>
                <w:sz w:val="22"/>
                <w:szCs w:val="22"/>
                <w:lang w:val="fr-CA"/>
              </w:rPr>
              <w:t>(1, </w:t>
            </w:r>
            <w:r w:rsidR="000264D6" w:rsidRPr="00217EFC">
              <w:rPr>
                <w:sz w:val="22"/>
                <w:szCs w:val="22"/>
                <w:lang w:val="fr-CA"/>
              </w:rPr>
              <w:t>079</w:t>
            </w:r>
            <w:r>
              <w:rPr>
                <w:sz w:val="22"/>
                <w:szCs w:val="22"/>
                <w:lang w:val="fr-CA"/>
              </w:rPr>
              <w:t>)</w:t>
            </w:r>
            <w:r w:rsidR="000264D6" w:rsidRPr="00393982">
              <w:rPr>
                <w:sz w:val="20"/>
                <w:szCs w:val="20"/>
                <w:lang w:val="fr-CA"/>
              </w:rPr>
              <w:t>*</w:t>
            </w:r>
            <w:r w:rsidR="00C9565F" w:rsidRPr="00393982">
              <w:rPr>
                <w:sz w:val="20"/>
                <w:szCs w:val="20"/>
                <w:lang w:val="fr-CA"/>
              </w:rPr>
              <w:t>**</w:t>
            </w:r>
          </w:p>
        </w:tc>
        <w:tc>
          <w:tcPr>
            <w:tcW w:w="2282" w:type="dxa"/>
            <w:shd w:val="clear" w:color="auto" w:fill="auto"/>
            <w:noWrap/>
            <w:vAlign w:val="center"/>
            <w:hideMark/>
          </w:tcPr>
          <w:p w14:paraId="28099335" w14:textId="77777777" w:rsidR="000264D6" w:rsidRPr="00217EFC" w:rsidRDefault="000264D6" w:rsidP="00101832">
            <w:pPr>
              <w:jc w:val="center"/>
              <w:rPr>
                <w:sz w:val="22"/>
                <w:szCs w:val="22"/>
                <w:lang w:val="fr-CA"/>
              </w:rPr>
            </w:pPr>
            <w:r w:rsidRPr="00217EFC">
              <w:rPr>
                <w:sz w:val="22"/>
                <w:szCs w:val="22"/>
                <w:lang w:val="fr-CA"/>
              </w:rPr>
              <w:t>888</w:t>
            </w:r>
          </w:p>
        </w:tc>
        <w:tc>
          <w:tcPr>
            <w:tcW w:w="2152" w:type="dxa"/>
            <w:shd w:val="clear" w:color="auto" w:fill="auto"/>
            <w:noWrap/>
            <w:vAlign w:val="center"/>
            <w:hideMark/>
          </w:tcPr>
          <w:p w14:paraId="1261194C" w14:textId="77777777" w:rsidR="000264D6" w:rsidRPr="00217EFC" w:rsidRDefault="000264D6" w:rsidP="002C367B">
            <w:pPr>
              <w:ind w:firstLine="360"/>
              <w:jc w:val="center"/>
              <w:rPr>
                <w:sz w:val="22"/>
                <w:szCs w:val="22"/>
                <w:lang w:val="fr-CA"/>
              </w:rPr>
            </w:pPr>
            <w:r w:rsidRPr="00217EFC">
              <w:rPr>
                <w:sz w:val="22"/>
                <w:szCs w:val="22"/>
                <w:lang w:val="fr-CA"/>
              </w:rPr>
              <w:t>950</w:t>
            </w:r>
          </w:p>
        </w:tc>
        <w:tc>
          <w:tcPr>
            <w:tcW w:w="2283" w:type="dxa"/>
            <w:shd w:val="clear" w:color="auto" w:fill="auto"/>
            <w:noWrap/>
            <w:vAlign w:val="center"/>
            <w:hideMark/>
          </w:tcPr>
          <w:p w14:paraId="32142AB3" w14:textId="77777777" w:rsidR="000264D6" w:rsidRPr="00217EFC" w:rsidRDefault="000264D6" w:rsidP="002C367B">
            <w:pPr>
              <w:jc w:val="center"/>
              <w:rPr>
                <w:sz w:val="22"/>
                <w:szCs w:val="22"/>
                <w:lang w:val="fr-CA"/>
              </w:rPr>
            </w:pPr>
            <w:r w:rsidRPr="00217EFC">
              <w:rPr>
                <w:sz w:val="22"/>
                <w:szCs w:val="22"/>
                <w:lang w:val="fr-CA"/>
              </w:rPr>
              <w:t>638</w:t>
            </w:r>
          </w:p>
        </w:tc>
      </w:tr>
    </w:tbl>
    <w:p w14:paraId="668AC12B" w14:textId="77777777" w:rsidR="000264D6" w:rsidRPr="00800485" w:rsidRDefault="000264D6" w:rsidP="00246617">
      <w:pPr>
        <w:jc w:val="both"/>
        <w:rPr>
          <w:b/>
          <w:bCs/>
          <w:sz w:val="22"/>
          <w:szCs w:val="22"/>
          <w:lang w:val="fr-CA"/>
        </w:rPr>
      </w:pPr>
      <w:r w:rsidRPr="00800485">
        <w:rPr>
          <w:b/>
          <w:bCs/>
          <w:sz w:val="22"/>
          <w:szCs w:val="22"/>
          <w:lang w:val="fr-CA"/>
        </w:rPr>
        <w:t>Tableau</w:t>
      </w:r>
      <w:r w:rsidR="00D64DE3" w:rsidRPr="00800485">
        <w:rPr>
          <w:b/>
          <w:bCs/>
          <w:sz w:val="22"/>
          <w:szCs w:val="22"/>
          <w:lang w:val="fr-CA"/>
        </w:rPr>
        <w:t> </w:t>
      </w:r>
      <w:r w:rsidRPr="00800485">
        <w:rPr>
          <w:b/>
          <w:bCs/>
          <w:sz w:val="22"/>
          <w:szCs w:val="22"/>
          <w:lang w:val="fr-CA"/>
        </w:rPr>
        <w:t>2</w:t>
      </w:r>
    </w:p>
    <w:p w14:paraId="74217C50" w14:textId="77777777" w:rsidR="00C9565F" w:rsidRPr="00C9565F" w:rsidRDefault="000264D6" w:rsidP="00246617">
      <w:pPr>
        <w:rPr>
          <w:sz w:val="20"/>
          <w:szCs w:val="20"/>
          <w:lang w:val="fr-CA"/>
        </w:rPr>
      </w:pPr>
      <w:r w:rsidRPr="00C9565F">
        <w:rPr>
          <w:sz w:val="20"/>
          <w:szCs w:val="20"/>
          <w:lang w:val="fr-CA"/>
        </w:rPr>
        <w:t xml:space="preserve">Note : </w:t>
      </w:r>
      <w:r w:rsidR="00C9565F" w:rsidRPr="00C9565F">
        <w:rPr>
          <w:sz w:val="20"/>
          <w:szCs w:val="20"/>
          <w:lang w:val="fr-CA"/>
        </w:rPr>
        <w:t>*Selon nos calculs des listes nominatives.</w:t>
      </w:r>
    </w:p>
    <w:p w14:paraId="43AB0645" w14:textId="77777777" w:rsidR="00C9565F" w:rsidRPr="00C9565F" w:rsidRDefault="00C9565F" w:rsidP="00246617">
      <w:pPr>
        <w:rPr>
          <w:sz w:val="20"/>
          <w:szCs w:val="20"/>
          <w:lang w:val="fr-CA"/>
        </w:rPr>
      </w:pPr>
      <w:r w:rsidRPr="00C9565F">
        <w:rPr>
          <w:sz w:val="20"/>
          <w:szCs w:val="20"/>
          <w:lang w:val="fr-CA"/>
        </w:rPr>
        <w:t>**Selon</w:t>
      </w:r>
      <w:r>
        <w:rPr>
          <w:sz w:val="20"/>
          <w:szCs w:val="20"/>
          <w:lang w:val="fr-CA"/>
        </w:rPr>
        <w:t xml:space="preserve"> </w:t>
      </w:r>
      <w:r w:rsidR="00393982">
        <w:rPr>
          <w:sz w:val="20"/>
          <w:szCs w:val="20"/>
          <w:lang w:val="fr-CA"/>
        </w:rPr>
        <w:t>la page de Manchester.</w:t>
      </w:r>
      <w:r w:rsidRPr="00C9565F">
        <w:rPr>
          <w:sz w:val="20"/>
          <w:szCs w:val="20"/>
          <w:lang w:val="fr-CA"/>
        </w:rPr>
        <w:t xml:space="preserve"> </w:t>
      </w:r>
    </w:p>
    <w:p w14:paraId="131C4CA0" w14:textId="77777777" w:rsidR="000264D6" w:rsidRPr="00C9565F" w:rsidRDefault="000264D6" w:rsidP="00246617">
      <w:pPr>
        <w:rPr>
          <w:sz w:val="20"/>
          <w:szCs w:val="20"/>
          <w:lang w:val="fr-CA"/>
        </w:rPr>
      </w:pPr>
      <w:r w:rsidRPr="00C9565F">
        <w:rPr>
          <w:sz w:val="20"/>
          <w:szCs w:val="20"/>
          <w:lang w:val="fr-CA"/>
        </w:rPr>
        <w:t>*</w:t>
      </w:r>
      <w:r w:rsidR="00C9565F" w:rsidRPr="00C9565F">
        <w:rPr>
          <w:sz w:val="20"/>
          <w:szCs w:val="20"/>
          <w:lang w:val="fr-CA"/>
        </w:rPr>
        <w:t>**</w:t>
      </w:r>
      <w:r w:rsidRPr="00C9565F">
        <w:rPr>
          <w:sz w:val="20"/>
          <w:szCs w:val="20"/>
          <w:lang w:val="fr-CA"/>
        </w:rPr>
        <w:t xml:space="preserve"> Calcul révisé en fonction des données de </w:t>
      </w:r>
      <w:r w:rsidRPr="00C9565F">
        <w:rPr>
          <w:i/>
          <w:iCs/>
          <w:sz w:val="20"/>
          <w:szCs w:val="20"/>
          <w:lang w:val="fr-CA"/>
        </w:rPr>
        <w:t>L’Avenir National</w:t>
      </w:r>
      <w:r w:rsidRPr="00C9565F">
        <w:rPr>
          <w:sz w:val="20"/>
          <w:szCs w:val="20"/>
          <w:lang w:val="fr-CA"/>
        </w:rPr>
        <w:t xml:space="preserve"> pour combler le manquement de données de trois paroisses</w:t>
      </w:r>
      <w:r w:rsidR="00101832" w:rsidRPr="00C9565F">
        <w:rPr>
          <w:sz w:val="20"/>
          <w:szCs w:val="20"/>
          <w:lang w:val="fr-CA"/>
        </w:rPr>
        <w:t xml:space="preserve"> (Saint-Augustin, Sainte-Marie et Saint-Georges)</w:t>
      </w:r>
      <w:r w:rsidR="00B378A9">
        <w:rPr>
          <w:sz w:val="20"/>
          <w:szCs w:val="20"/>
          <w:lang w:val="fr-CA"/>
        </w:rPr>
        <w:t xml:space="preserve"> qui n</w:t>
      </w:r>
      <w:r w:rsidR="00B378A9" w:rsidRPr="00B378A9">
        <w:rPr>
          <w:sz w:val="20"/>
          <w:szCs w:val="20"/>
          <w:lang w:val="fr-CA"/>
        </w:rPr>
        <w:t>’</w:t>
      </w:r>
      <w:r w:rsidR="00B378A9">
        <w:rPr>
          <w:sz w:val="20"/>
          <w:szCs w:val="20"/>
          <w:lang w:val="fr-CA"/>
        </w:rPr>
        <w:t>ont pas d’information sur leur contribution en militaires</w:t>
      </w:r>
      <w:r w:rsidRPr="00C9565F">
        <w:rPr>
          <w:sz w:val="20"/>
          <w:szCs w:val="20"/>
          <w:lang w:val="fr-CA"/>
        </w:rPr>
        <w:t>.</w:t>
      </w:r>
    </w:p>
    <w:p w14:paraId="3FB45B82" w14:textId="77777777" w:rsidR="000264D6" w:rsidRPr="00217EFC" w:rsidRDefault="000264D6" w:rsidP="002B5319">
      <w:pPr>
        <w:spacing w:before="100" w:beforeAutospacing="1" w:after="100" w:afterAutospacing="1"/>
        <w:ind w:firstLine="360"/>
        <w:jc w:val="both"/>
        <w:rPr>
          <w:sz w:val="22"/>
          <w:szCs w:val="22"/>
          <w:lang w:val="fr-CA"/>
        </w:rPr>
      </w:pPr>
      <w:r>
        <w:rPr>
          <w:sz w:val="22"/>
          <w:szCs w:val="22"/>
          <w:lang w:val="fr-CA"/>
        </w:rPr>
        <w:t xml:space="preserve">Quant à la ville de </w:t>
      </w:r>
      <w:r w:rsidRPr="00217EFC">
        <w:rPr>
          <w:sz w:val="22"/>
          <w:szCs w:val="22"/>
          <w:lang w:val="fr-CA"/>
        </w:rPr>
        <w:t xml:space="preserve">Woonsocket, Bélanger </w:t>
      </w:r>
      <w:r>
        <w:rPr>
          <w:sz w:val="22"/>
          <w:szCs w:val="22"/>
          <w:lang w:val="fr-CA"/>
        </w:rPr>
        <w:t xml:space="preserve">demeure </w:t>
      </w:r>
      <w:r w:rsidRPr="00217EFC">
        <w:rPr>
          <w:sz w:val="22"/>
          <w:szCs w:val="22"/>
          <w:lang w:val="fr-CA"/>
        </w:rPr>
        <w:t xml:space="preserve">la seule source pour mesurer la contribution franco-américaine en personnel au conflit. </w:t>
      </w:r>
      <w:r w:rsidRPr="007F4314">
        <w:rPr>
          <w:i/>
          <w:iCs/>
          <w:sz w:val="22"/>
          <w:szCs w:val="22"/>
          <w:lang w:val="fr-CA"/>
        </w:rPr>
        <w:t>Le Guide des Franco-Américains</w:t>
      </w:r>
      <w:r w:rsidRPr="00217EFC">
        <w:rPr>
          <w:sz w:val="22"/>
          <w:szCs w:val="22"/>
          <w:lang w:val="fr-CA"/>
        </w:rPr>
        <w:t xml:space="preserve"> </w:t>
      </w:r>
      <w:r w:rsidR="00493B34">
        <w:rPr>
          <w:sz w:val="22"/>
          <w:szCs w:val="22"/>
          <w:lang w:val="fr-CA"/>
        </w:rPr>
        <w:t xml:space="preserve">nous permet de calculer </w:t>
      </w:r>
      <w:r>
        <w:rPr>
          <w:sz w:val="22"/>
          <w:szCs w:val="22"/>
          <w:lang w:val="fr-CA"/>
        </w:rPr>
        <w:t xml:space="preserve">que la ville fournit 888 soldats </w:t>
      </w:r>
      <w:r w:rsidRPr="00217EFC">
        <w:rPr>
          <w:sz w:val="22"/>
          <w:szCs w:val="22"/>
          <w:lang w:val="fr-CA"/>
        </w:rPr>
        <w:t xml:space="preserve">pour le service militaire dont 25 sont morts au combat. Toutefois, contrairement à la </w:t>
      </w:r>
      <w:r>
        <w:rPr>
          <w:sz w:val="22"/>
          <w:szCs w:val="22"/>
          <w:lang w:val="fr-CA"/>
        </w:rPr>
        <w:t xml:space="preserve">liste nominative des </w:t>
      </w:r>
      <w:r w:rsidRPr="00217EFC">
        <w:rPr>
          <w:sz w:val="22"/>
          <w:szCs w:val="22"/>
          <w:lang w:val="fr-CA"/>
        </w:rPr>
        <w:t xml:space="preserve">gens qui ont servi pendant la Première Guerre mondiale dans la partie deux du guide, nous </w:t>
      </w:r>
      <w:r>
        <w:rPr>
          <w:sz w:val="22"/>
          <w:szCs w:val="22"/>
          <w:lang w:val="fr-CA"/>
        </w:rPr>
        <w:t xml:space="preserve">calculons </w:t>
      </w:r>
      <w:r w:rsidRPr="00217EFC">
        <w:rPr>
          <w:sz w:val="22"/>
          <w:szCs w:val="22"/>
          <w:lang w:val="fr-CA"/>
        </w:rPr>
        <w:t xml:space="preserve">638 militaires plutôt que </w:t>
      </w:r>
      <w:r>
        <w:rPr>
          <w:sz w:val="22"/>
          <w:szCs w:val="22"/>
          <w:lang w:val="fr-CA"/>
        </w:rPr>
        <w:t xml:space="preserve">les </w:t>
      </w:r>
      <w:r w:rsidRPr="00217EFC">
        <w:rPr>
          <w:sz w:val="22"/>
          <w:szCs w:val="22"/>
          <w:lang w:val="fr-CA"/>
        </w:rPr>
        <w:t xml:space="preserve">612 militaires </w:t>
      </w:r>
      <w:r>
        <w:rPr>
          <w:sz w:val="22"/>
          <w:szCs w:val="22"/>
          <w:lang w:val="fr-CA"/>
        </w:rPr>
        <w:t>qui sont mentionnés</w:t>
      </w:r>
      <w:r w:rsidRPr="00217EFC">
        <w:rPr>
          <w:rStyle w:val="FootnoteReference"/>
          <w:sz w:val="22"/>
          <w:szCs w:val="22"/>
          <w:lang w:val="fr-CA"/>
        </w:rPr>
        <w:footnoteReference w:id="404"/>
      </w:r>
      <w:r w:rsidRPr="00217EFC">
        <w:rPr>
          <w:sz w:val="22"/>
          <w:szCs w:val="22"/>
          <w:lang w:val="fr-CA"/>
        </w:rPr>
        <w:t xml:space="preserve">. </w:t>
      </w:r>
      <w:r>
        <w:rPr>
          <w:sz w:val="22"/>
          <w:szCs w:val="22"/>
          <w:lang w:val="fr-CA"/>
        </w:rPr>
        <w:t xml:space="preserve">Après avoir calculé ces données, nous avons décidé d’employer, pour notre comparaison des villes, </w:t>
      </w:r>
      <w:r w:rsidRPr="00217EFC">
        <w:rPr>
          <w:sz w:val="22"/>
          <w:szCs w:val="22"/>
          <w:lang w:val="fr-CA"/>
        </w:rPr>
        <w:t xml:space="preserve">les données </w:t>
      </w:r>
      <w:r>
        <w:rPr>
          <w:sz w:val="22"/>
          <w:szCs w:val="22"/>
          <w:lang w:val="fr-CA"/>
        </w:rPr>
        <w:t xml:space="preserve">apparaissant dans la </w:t>
      </w:r>
      <w:r w:rsidRPr="00217EFC">
        <w:rPr>
          <w:sz w:val="22"/>
          <w:szCs w:val="22"/>
          <w:lang w:val="fr-CA"/>
        </w:rPr>
        <w:t xml:space="preserve">deuxième partie du </w:t>
      </w:r>
      <w:r>
        <w:rPr>
          <w:sz w:val="22"/>
          <w:szCs w:val="22"/>
          <w:lang w:val="fr-CA"/>
        </w:rPr>
        <w:t>g</w:t>
      </w:r>
      <w:r w:rsidRPr="00217EFC">
        <w:rPr>
          <w:sz w:val="22"/>
          <w:szCs w:val="22"/>
          <w:lang w:val="fr-CA"/>
        </w:rPr>
        <w:t xml:space="preserve">uide de Bélanger </w:t>
      </w:r>
      <w:r>
        <w:rPr>
          <w:sz w:val="22"/>
          <w:szCs w:val="22"/>
          <w:lang w:val="fr-CA"/>
        </w:rPr>
        <w:t xml:space="preserve">et celles du </w:t>
      </w:r>
      <w:r w:rsidRPr="00246617">
        <w:rPr>
          <w:sz w:val="22"/>
          <w:szCs w:val="22"/>
          <w:lang w:val="fr-CA"/>
        </w:rPr>
        <w:t>recensement du bureau des statistiques américain</w:t>
      </w:r>
      <w:r>
        <w:rPr>
          <w:sz w:val="22"/>
          <w:szCs w:val="22"/>
          <w:lang w:val="fr-CA"/>
        </w:rPr>
        <w:t xml:space="preserve"> </w:t>
      </w:r>
      <w:r w:rsidRPr="00217EFC">
        <w:rPr>
          <w:sz w:val="22"/>
          <w:szCs w:val="22"/>
          <w:lang w:val="fr-CA"/>
        </w:rPr>
        <w:t>de 1920.</w:t>
      </w:r>
      <w:r>
        <w:rPr>
          <w:sz w:val="22"/>
          <w:szCs w:val="22"/>
          <w:lang w:val="fr-CA"/>
        </w:rPr>
        <w:t xml:space="preserve"> Cette approche nous permet d’obtenir le maximum de validité pour nos résultats. </w:t>
      </w:r>
      <w:r w:rsidRPr="00217EFC">
        <w:rPr>
          <w:sz w:val="22"/>
          <w:szCs w:val="22"/>
          <w:lang w:val="fr-CA"/>
        </w:rPr>
        <w:t xml:space="preserve">Donc, proportionnellement les communautés francophones de Manchester et de Woonsocket </w:t>
      </w:r>
      <w:r w:rsidR="00A24610">
        <w:rPr>
          <w:sz w:val="22"/>
          <w:szCs w:val="22"/>
          <w:lang w:val="fr-CA"/>
        </w:rPr>
        <w:t xml:space="preserve">fournissent </w:t>
      </w:r>
      <w:r w:rsidRPr="00217EFC">
        <w:rPr>
          <w:sz w:val="22"/>
          <w:szCs w:val="22"/>
          <w:lang w:val="fr-CA"/>
        </w:rPr>
        <w:t xml:space="preserve">respectivement </w:t>
      </w:r>
      <w:r w:rsidR="003D6F0B">
        <w:rPr>
          <w:sz w:val="22"/>
          <w:szCs w:val="22"/>
          <w:lang w:val="fr-CA"/>
        </w:rPr>
        <w:t xml:space="preserve">un minimum de </w:t>
      </w:r>
      <w:r w:rsidRPr="00217EFC">
        <w:rPr>
          <w:sz w:val="22"/>
          <w:szCs w:val="22"/>
          <w:lang w:val="fr-CA"/>
        </w:rPr>
        <w:t>1</w:t>
      </w:r>
      <w:r w:rsidR="00280A69">
        <w:rPr>
          <w:sz w:val="22"/>
          <w:szCs w:val="22"/>
          <w:lang w:val="fr-CA"/>
        </w:rPr>
        <w:t>,</w:t>
      </w:r>
      <w:r w:rsidRPr="00217EFC">
        <w:rPr>
          <w:sz w:val="22"/>
          <w:szCs w:val="22"/>
          <w:lang w:val="fr-CA"/>
        </w:rPr>
        <w:t>2 et 1</w:t>
      </w:r>
      <w:r w:rsidR="00280A69">
        <w:rPr>
          <w:sz w:val="22"/>
          <w:szCs w:val="22"/>
          <w:lang w:val="fr-CA"/>
        </w:rPr>
        <w:t>,</w:t>
      </w:r>
      <w:r w:rsidRPr="00217EFC">
        <w:rPr>
          <w:sz w:val="22"/>
          <w:szCs w:val="22"/>
          <w:lang w:val="fr-CA"/>
        </w:rPr>
        <w:t>5 pour</w:t>
      </w:r>
      <w:r w:rsidR="00A24610">
        <w:rPr>
          <w:sz w:val="22"/>
          <w:szCs w:val="22"/>
          <w:lang w:val="fr-CA"/>
        </w:rPr>
        <w:t xml:space="preserve"> </w:t>
      </w:r>
      <w:r w:rsidRPr="00217EFC">
        <w:rPr>
          <w:sz w:val="22"/>
          <w:szCs w:val="22"/>
          <w:lang w:val="fr-CA"/>
        </w:rPr>
        <w:t xml:space="preserve">cent de la population totale de leur ville en personnel qui sera en service actif. Nous pouvons conclure que Woonsocket a </w:t>
      </w:r>
      <w:r>
        <w:rPr>
          <w:sz w:val="22"/>
          <w:szCs w:val="22"/>
          <w:lang w:val="fr-CA"/>
        </w:rPr>
        <w:t xml:space="preserve">plus contribué </w:t>
      </w:r>
      <w:r w:rsidRPr="00217EFC">
        <w:rPr>
          <w:sz w:val="22"/>
          <w:szCs w:val="22"/>
          <w:lang w:val="fr-CA"/>
        </w:rPr>
        <w:t xml:space="preserve">que Manchester. Toutefois, en chiffres </w:t>
      </w:r>
      <w:r>
        <w:rPr>
          <w:sz w:val="22"/>
          <w:szCs w:val="22"/>
          <w:lang w:val="fr-CA"/>
        </w:rPr>
        <w:t xml:space="preserve">absolus, </w:t>
      </w:r>
      <w:r w:rsidRPr="00217EFC">
        <w:rPr>
          <w:sz w:val="22"/>
          <w:szCs w:val="22"/>
          <w:lang w:val="fr-CA"/>
        </w:rPr>
        <w:t xml:space="preserve">Manchester </w:t>
      </w:r>
      <w:r>
        <w:rPr>
          <w:sz w:val="22"/>
          <w:szCs w:val="22"/>
          <w:lang w:val="fr-CA"/>
        </w:rPr>
        <w:t xml:space="preserve">compte </w:t>
      </w:r>
      <w:r w:rsidRPr="00217EFC">
        <w:rPr>
          <w:sz w:val="22"/>
          <w:szCs w:val="22"/>
          <w:lang w:val="fr-CA"/>
        </w:rPr>
        <w:t>plus de citoyen</w:t>
      </w:r>
      <w:r>
        <w:rPr>
          <w:sz w:val="22"/>
          <w:szCs w:val="22"/>
          <w:lang w:val="fr-CA"/>
        </w:rPr>
        <w:t>s</w:t>
      </w:r>
      <w:r w:rsidRPr="00217EFC">
        <w:rPr>
          <w:sz w:val="22"/>
          <w:szCs w:val="22"/>
          <w:lang w:val="fr-CA"/>
        </w:rPr>
        <w:t xml:space="preserve"> </w:t>
      </w:r>
      <w:r>
        <w:rPr>
          <w:sz w:val="22"/>
          <w:szCs w:val="22"/>
          <w:lang w:val="fr-CA"/>
        </w:rPr>
        <w:t>f</w:t>
      </w:r>
      <w:r w:rsidRPr="00217EFC">
        <w:rPr>
          <w:sz w:val="22"/>
          <w:szCs w:val="22"/>
          <w:lang w:val="fr-CA"/>
        </w:rPr>
        <w:t>ranco-américains en service actif que la ville de Woonsocket.</w:t>
      </w:r>
    </w:p>
    <w:p w14:paraId="05276BB6"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Quant aux quatre différentes campagnes des emprunts de la Liberté, les villes rapportent le montant de leur contribution en ne tenant pas compte des contributions individuelles et des </w:t>
      </w:r>
      <w:r w:rsidRPr="00217EFC">
        <w:rPr>
          <w:sz w:val="22"/>
          <w:szCs w:val="22"/>
          <w:lang w:val="fr-CA"/>
        </w:rPr>
        <w:lastRenderedPageBreak/>
        <w:t xml:space="preserve">différentes communautés ethniques de leur municipalité. En général, </w:t>
      </w:r>
      <w:r w:rsidRPr="00217EFC">
        <w:rPr>
          <w:i/>
          <w:iCs/>
          <w:sz w:val="22"/>
          <w:szCs w:val="22"/>
          <w:lang w:val="fr-CA"/>
        </w:rPr>
        <w:t xml:space="preserve">L’Avenir </w:t>
      </w:r>
      <w:r w:rsidRPr="00940D8A">
        <w:rPr>
          <w:i/>
          <w:sz w:val="22"/>
          <w:lang w:val="fr-CA"/>
        </w:rPr>
        <w:t>National</w:t>
      </w:r>
      <w:r w:rsidRPr="00217EFC">
        <w:rPr>
          <w:sz w:val="22"/>
          <w:szCs w:val="22"/>
          <w:lang w:val="fr-CA"/>
        </w:rPr>
        <w:t xml:space="preserve"> </w:t>
      </w:r>
      <w:r>
        <w:rPr>
          <w:sz w:val="22"/>
          <w:szCs w:val="22"/>
          <w:lang w:val="fr-CA"/>
        </w:rPr>
        <w:t xml:space="preserve">précise </w:t>
      </w:r>
      <w:r w:rsidRPr="00217EFC">
        <w:rPr>
          <w:sz w:val="22"/>
          <w:szCs w:val="22"/>
          <w:lang w:val="fr-CA"/>
        </w:rPr>
        <w:t>les montants totaux relatif</w:t>
      </w:r>
      <w:r>
        <w:rPr>
          <w:sz w:val="22"/>
          <w:szCs w:val="22"/>
          <w:lang w:val="fr-CA"/>
        </w:rPr>
        <w:t>s</w:t>
      </w:r>
      <w:r w:rsidRPr="00217EFC">
        <w:rPr>
          <w:sz w:val="22"/>
          <w:szCs w:val="22"/>
          <w:lang w:val="fr-CA"/>
        </w:rPr>
        <w:t xml:space="preserve"> à chacun des </w:t>
      </w:r>
      <w:r>
        <w:rPr>
          <w:sz w:val="22"/>
          <w:szCs w:val="22"/>
          <w:lang w:val="fr-CA"/>
        </w:rPr>
        <w:t>objectifs</w:t>
      </w:r>
      <w:r w:rsidRPr="00217EFC">
        <w:rPr>
          <w:sz w:val="22"/>
          <w:szCs w:val="22"/>
          <w:lang w:val="fr-CA"/>
        </w:rPr>
        <w:t xml:space="preserve"> que la ville devra </w:t>
      </w:r>
      <w:r>
        <w:rPr>
          <w:sz w:val="22"/>
          <w:szCs w:val="22"/>
          <w:lang w:val="fr-CA"/>
        </w:rPr>
        <w:t>atteindre</w:t>
      </w:r>
      <w:r w:rsidRPr="00217EFC">
        <w:rPr>
          <w:sz w:val="22"/>
          <w:szCs w:val="22"/>
          <w:lang w:val="fr-CA"/>
        </w:rPr>
        <w:t xml:space="preserve"> et elle ne fera pas de comparaison avec les autres quartiers de la ville. De plus, nous savons que les objectifs financiers sont toujours atteints pour chaque campagne, car les banques ou </w:t>
      </w:r>
      <w:r>
        <w:rPr>
          <w:sz w:val="22"/>
          <w:szCs w:val="22"/>
          <w:lang w:val="fr-CA"/>
        </w:rPr>
        <w:t xml:space="preserve">les </w:t>
      </w:r>
      <w:r w:rsidRPr="00217EFC">
        <w:rPr>
          <w:sz w:val="22"/>
          <w:szCs w:val="22"/>
          <w:lang w:val="fr-CA"/>
        </w:rPr>
        <w:t>sociétés d’entraide comblent le manque à gagner, comme ce fut le cas lors de la troisième campagne d’emprunt.</w:t>
      </w:r>
    </w:p>
    <w:p w14:paraId="545BE4A8"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Nous n’avons pas recueilli d’information d</w:t>
      </w:r>
      <w:r>
        <w:rPr>
          <w:sz w:val="22"/>
          <w:szCs w:val="22"/>
          <w:lang w:val="fr-CA"/>
        </w:rPr>
        <w:t>ans le journal</w:t>
      </w:r>
      <w:r w:rsidRPr="00217EFC">
        <w:rPr>
          <w:sz w:val="22"/>
          <w:szCs w:val="22"/>
          <w:lang w:val="fr-CA"/>
        </w:rPr>
        <w:t xml:space="preserve"> </w:t>
      </w:r>
      <w:r w:rsidRPr="00217EFC">
        <w:rPr>
          <w:i/>
          <w:iCs/>
          <w:sz w:val="22"/>
          <w:szCs w:val="22"/>
          <w:lang w:val="fr-CA"/>
        </w:rPr>
        <w:t xml:space="preserve">L’Avenir National </w:t>
      </w:r>
      <w:r w:rsidRPr="00217EFC">
        <w:rPr>
          <w:sz w:val="22"/>
          <w:szCs w:val="22"/>
          <w:lang w:val="fr-CA"/>
        </w:rPr>
        <w:t>pour les deux premières campagnes d’emprunt pour la ville de Manchester</w:t>
      </w:r>
      <w:r>
        <w:rPr>
          <w:sz w:val="22"/>
          <w:szCs w:val="22"/>
          <w:lang w:val="fr-CA"/>
        </w:rPr>
        <w:t>. T</w:t>
      </w:r>
      <w:r w:rsidRPr="00217EFC">
        <w:rPr>
          <w:sz w:val="22"/>
          <w:szCs w:val="22"/>
          <w:lang w:val="fr-CA"/>
        </w:rPr>
        <w:t>outefois nous savons que les objectifs de souscription sont atteints</w:t>
      </w:r>
      <w:r>
        <w:rPr>
          <w:sz w:val="22"/>
          <w:szCs w:val="22"/>
          <w:lang w:val="fr-CA"/>
        </w:rPr>
        <w:t xml:space="preserve">. Mise à part </w:t>
      </w:r>
      <w:r w:rsidRPr="00217EFC">
        <w:rPr>
          <w:sz w:val="22"/>
          <w:szCs w:val="22"/>
          <w:lang w:val="fr-CA"/>
        </w:rPr>
        <w:t xml:space="preserve">la première page de </w:t>
      </w:r>
      <w:r w:rsidRPr="00217EFC">
        <w:rPr>
          <w:i/>
          <w:iCs/>
          <w:sz w:val="22"/>
          <w:szCs w:val="22"/>
          <w:lang w:val="fr-CA"/>
        </w:rPr>
        <w:t xml:space="preserve">L’Avenir </w:t>
      </w:r>
      <w:r w:rsidRPr="00217EFC">
        <w:rPr>
          <w:sz w:val="22"/>
          <w:szCs w:val="22"/>
          <w:lang w:val="fr-CA"/>
        </w:rPr>
        <w:t>National, du 15 juin 1917, qui annonce le grand succès de la première campagne d’emprunt</w:t>
      </w:r>
      <w:r w:rsidRPr="00217EFC">
        <w:rPr>
          <w:rStyle w:val="FootnoteReference"/>
          <w:sz w:val="22"/>
          <w:szCs w:val="22"/>
          <w:lang w:val="fr-CA"/>
        </w:rPr>
        <w:footnoteReference w:id="405"/>
      </w:r>
      <w:r w:rsidRPr="00217EFC">
        <w:rPr>
          <w:sz w:val="22"/>
          <w:szCs w:val="22"/>
          <w:lang w:val="fr-CA"/>
        </w:rPr>
        <w:t xml:space="preserve">, on ne fait que de brèves mentions quant au déroulement de </w:t>
      </w:r>
      <w:r>
        <w:rPr>
          <w:sz w:val="22"/>
          <w:szCs w:val="22"/>
          <w:lang w:val="fr-CA"/>
        </w:rPr>
        <w:t xml:space="preserve">cette </w:t>
      </w:r>
      <w:r w:rsidRPr="00217EFC">
        <w:rPr>
          <w:sz w:val="22"/>
          <w:szCs w:val="22"/>
          <w:lang w:val="fr-CA"/>
        </w:rPr>
        <w:t>campagne</w:t>
      </w:r>
      <w:r>
        <w:rPr>
          <w:sz w:val="22"/>
          <w:szCs w:val="22"/>
          <w:lang w:val="fr-CA"/>
        </w:rPr>
        <w:t xml:space="preserve"> d’emprunt</w:t>
      </w:r>
      <w:r w:rsidRPr="00217EFC">
        <w:rPr>
          <w:sz w:val="22"/>
          <w:szCs w:val="22"/>
          <w:lang w:val="fr-CA"/>
        </w:rPr>
        <w:t xml:space="preserve">. </w:t>
      </w:r>
      <w:r>
        <w:rPr>
          <w:sz w:val="22"/>
          <w:szCs w:val="22"/>
          <w:lang w:val="fr-CA"/>
        </w:rPr>
        <w:t xml:space="preserve">Outre la mention du trésorier de l’État qui explique que les deux premières campagnes avaient été des succès, rien de plus précis ne semble être mentionné sur ce sujet. Nous pouvons expliquer ce manque en tenant compte de la situation globale qui régnait à l’époque. En fait, nous croyions qu’en juin 1917, </w:t>
      </w:r>
      <w:r w:rsidRPr="00217EFC">
        <w:rPr>
          <w:sz w:val="22"/>
          <w:szCs w:val="22"/>
          <w:lang w:val="fr-CA"/>
        </w:rPr>
        <w:t xml:space="preserve">les efforts pour le recrutement </w:t>
      </w:r>
      <w:r>
        <w:rPr>
          <w:sz w:val="22"/>
          <w:szCs w:val="22"/>
          <w:lang w:val="fr-CA"/>
        </w:rPr>
        <w:t xml:space="preserve">et </w:t>
      </w:r>
      <w:r w:rsidRPr="00217EFC">
        <w:rPr>
          <w:sz w:val="22"/>
          <w:szCs w:val="22"/>
          <w:lang w:val="fr-CA"/>
        </w:rPr>
        <w:t xml:space="preserve">la campagne de financement de la Croix-Rouge </w:t>
      </w:r>
      <w:r>
        <w:rPr>
          <w:sz w:val="22"/>
          <w:szCs w:val="22"/>
          <w:lang w:val="fr-CA"/>
        </w:rPr>
        <w:t xml:space="preserve">sont </w:t>
      </w:r>
      <w:r w:rsidRPr="00217EFC">
        <w:rPr>
          <w:sz w:val="22"/>
          <w:szCs w:val="22"/>
          <w:lang w:val="fr-CA"/>
        </w:rPr>
        <w:t xml:space="preserve">davantage </w:t>
      </w:r>
      <w:r w:rsidRPr="005D3AAB">
        <w:rPr>
          <w:sz w:val="22"/>
          <w:lang w:val="fr-CA"/>
        </w:rPr>
        <w:t>couverts</w:t>
      </w:r>
      <w:r w:rsidRPr="00217EFC">
        <w:rPr>
          <w:sz w:val="22"/>
          <w:szCs w:val="22"/>
          <w:lang w:val="fr-CA"/>
        </w:rPr>
        <w:t xml:space="preserve"> </w:t>
      </w:r>
      <w:r>
        <w:rPr>
          <w:sz w:val="22"/>
          <w:szCs w:val="22"/>
          <w:lang w:val="fr-CA"/>
        </w:rPr>
        <w:t xml:space="preserve">par </w:t>
      </w:r>
      <w:r w:rsidRPr="00217EFC">
        <w:rPr>
          <w:i/>
          <w:iCs/>
          <w:sz w:val="22"/>
          <w:szCs w:val="22"/>
          <w:lang w:val="fr-CA"/>
        </w:rPr>
        <w:t xml:space="preserve">L’Avenir National </w:t>
      </w:r>
      <w:r w:rsidRPr="00217EFC">
        <w:rPr>
          <w:sz w:val="22"/>
          <w:szCs w:val="22"/>
          <w:lang w:val="fr-CA"/>
        </w:rPr>
        <w:t xml:space="preserve">que </w:t>
      </w:r>
      <w:r>
        <w:rPr>
          <w:sz w:val="22"/>
          <w:szCs w:val="22"/>
          <w:lang w:val="fr-CA"/>
        </w:rPr>
        <w:t>la campagne d</w:t>
      </w:r>
      <w:r w:rsidRPr="00217EFC">
        <w:rPr>
          <w:sz w:val="22"/>
          <w:szCs w:val="22"/>
          <w:lang w:val="fr-CA"/>
        </w:rPr>
        <w:t xml:space="preserve">’emprunt </w:t>
      </w:r>
      <w:r>
        <w:rPr>
          <w:sz w:val="22"/>
          <w:szCs w:val="22"/>
          <w:lang w:val="fr-CA"/>
        </w:rPr>
        <w:t xml:space="preserve">de </w:t>
      </w:r>
      <w:r w:rsidRPr="00217EFC">
        <w:rPr>
          <w:sz w:val="22"/>
          <w:szCs w:val="22"/>
          <w:lang w:val="fr-CA"/>
        </w:rPr>
        <w:t xml:space="preserve">juin 1917. Quant à Woonsocket, la quote-part de la ville </w:t>
      </w:r>
      <w:r>
        <w:rPr>
          <w:sz w:val="22"/>
          <w:szCs w:val="22"/>
          <w:lang w:val="fr-CA"/>
        </w:rPr>
        <w:t xml:space="preserve">qui s’élevait à </w:t>
      </w:r>
      <w:r w:rsidRPr="00217EFC">
        <w:rPr>
          <w:sz w:val="22"/>
          <w:szCs w:val="22"/>
          <w:lang w:val="fr-CA"/>
        </w:rPr>
        <w:t>1</w:t>
      </w:r>
      <w:r>
        <w:rPr>
          <w:sz w:val="22"/>
          <w:szCs w:val="22"/>
          <w:lang w:val="fr-CA"/>
        </w:rPr>
        <w:t> 400 </w:t>
      </w:r>
      <w:r w:rsidRPr="00217EFC">
        <w:rPr>
          <w:sz w:val="22"/>
          <w:szCs w:val="22"/>
          <w:lang w:val="fr-CA"/>
        </w:rPr>
        <w:t>000</w:t>
      </w:r>
      <w:r>
        <w:rPr>
          <w:sz w:val="22"/>
          <w:szCs w:val="22"/>
          <w:lang w:val="fr-CA"/>
        </w:rPr>
        <w:t> </w:t>
      </w:r>
      <w:r w:rsidRPr="00217EFC">
        <w:rPr>
          <w:sz w:val="22"/>
          <w:szCs w:val="22"/>
          <w:lang w:val="fr-CA"/>
        </w:rPr>
        <w:t>$</w:t>
      </w:r>
      <w:r>
        <w:rPr>
          <w:sz w:val="22"/>
          <w:szCs w:val="22"/>
          <w:lang w:val="fr-CA"/>
        </w:rPr>
        <w:t xml:space="preserve"> </w:t>
      </w:r>
      <w:r w:rsidRPr="00217EFC">
        <w:rPr>
          <w:sz w:val="22"/>
          <w:szCs w:val="22"/>
          <w:lang w:val="fr-CA"/>
        </w:rPr>
        <w:t>n’a pas été atteint</w:t>
      </w:r>
      <w:r>
        <w:rPr>
          <w:sz w:val="22"/>
          <w:szCs w:val="22"/>
          <w:lang w:val="fr-CA"/>
        </w:rPr>
        <w:t>e</w:t>
      </w:r>
      <w:r w:rsidRPr="00217EFC">
        <w:rPr>
          <w:sz w:val="22"/>
          <w:szCs w:val="22"/>
          <w:lang w:val="fr-CA"/>
        </w:rPr>
        <w:t xml:space="preserve"> pour la première campagne d’emprunt. La </w:t>
      </w:r>
      <w:r w:rsidRPr="00217EFC">
        <w:rPr>
          <w:i/>
          <w:iCs/>
          <w:sz w:val="22"/>
          <w:szCs w:val="22"/>
          <w:lang w:val="fr-CA"/>
        </w:rPr>
        <w:t xml:space="preserve">Tribune </w:t>
      </w:r>
      <w:r w:rsidRPr="00217EFC">
        <w:rPr>
          <w:sz w:val="22"/>
          <w:szCs w:val="22"/>
          <w:lang w:val="fr-CA"/>
        </w:rPr>
        <w:t xml:space="preserve">explique que les corporations </w:t>
      </w:r>
      <w:r>
        <w:rPr>
          <w:sz w:val="22"/>
          <w:szCs w:val="22"/>
          <w:lang w:val="fr-CA"/>
        </w:rPr>
        <w:t xml:space="preserve">de la ville </w:t>
      </w:r>
      <w:r w:rsidRPr="00217EFC">
        <w:rPr>
          <w:sz w:val="22"/>
          <w:szCs w:val="22"/>
          <w:lang w:val="fr-CA"/>
        </w:rPr>
        <w:t>achèt</w:t>
      </w:r>
      <w:r>
        <w:rPr>
          <w:sz w:val="22"/>
          <w:szCs w:val="22"/>
          <w:lang w:val="fr-CA"/>
        </w:rPr>
        <w:t>ent</w:t>
      </w:r>
      <w:r w:rsidRPr="00217EFC">
        <w:rPr>
          <w:sz w:val="22"/>
          <w:szCs w:val="22"/>
          <w:lang w:val="fr-CA"/>
        </w:rPr>
        <w:t xml:space="preserve"> leur</w:t>
      </w:r>
      <w:r w:rsidR="00A24610">
        <w:rPr>
          <w:sz w:val="22"/>
          <w:szCs w:val="22"/>
          <w:lang w:val="fr-CA"/>
        </w:rPr>
        <w:t>s</w:t>
      </w:r>
      <w:r w:rsidRPr="00217EFC">
        <w:rPr>
          <w:sz w:val="22"/>
          <w:szCs w:val="22"/>
          <w:lang w:val="fr-CA"/>
        </w:rPr>
        <w:t xml:space="preserve"> bons via les institutions de</w:t>
      </w:r>
      <w:r>
        <w:rPr>
          <w:sz w:val="22"/>
          <w:szCs w:val="22"/>
          <w:lang w:val="fr-CA"/>
        </w:rPr>
        <w:t>s</w:t>
      </w:r>
      <w:r w:rsidRPr="00217EFC">
        <w:rPr>
          <w:sz w:val="22"/>
          <w:szCs w:val="22"/>
          <w:lang w:val="fr-CA"/>
        </w:rPr>
        <w:t xml:space="preserve"> grands centres urbain</w:t>
      </w:r>
      <w:r>
        <w:rPr>
          <w:sz w:val="22"/>
          <w:szCs w:val="22"/>
          <w:lang w:val="fr-CA"/>
        </w:rPr>
        <w:t>s</w:t>
      </w:r>
      <w:r w:rsidRPr="00217EFC">
        <w:rPr>
          <w:sz w:val="22"/>
          <w:szCs w:val="22"/>
          <w:lang w:val="fr-CA"/>
        </w:rPr>
        <w:t xml:space="preserve"> com</w:t>
      </w:r>
      <w:r>
        <w:rPr>
          <w:sz w:val="22"/>
          <w:szCs w:val="22"/>
          <w:lang w:val="fr-CA"/>
        </w:rPr>
        <w:t>m</w:t>
      </w:r>
      <w:r w:rsidRPr="00217EFC">
        <w:rPr>
          <w:sz w:val="22"/>
          <w:szCs w:val="22"/>
          <w:lang w:val="fr-CA"/>
        </w:rPr>
        <w:t>e</w:t>
      </w:r>
      <w:r>
        <w:rPr>
          <w:sz w:val="22"/>
          <w:szCs w:val="22"/>
          <w:lang w:val="fr-CA"/>
        </w:rPr>
        <w:t xml:space="preserve"> ceux de</w:t>
      </w:r>
      <w:r w:rsidRPr="00217EFC">
        <w:rPr>
          <w:sz w:val="22"/>
          <w:szCs w:val="22"/>
          <w:lang w:val="fr-CA"/>
        </w:rPr>
        <w:t xml:space="preserve"> Boston ou</w:t>
      </w:r>
      <w:r>
        <w:rPr>
          <w:sz w:val="22"/>
          <w:szCs w:val="22"/>
          <w:lang w:val="fr-CA"/>
        </w:rPr>
        <w:t xml:space="preserve"> de </w:t>
      </w:r>
      <w:r w:rsidRPr="00217EFC">
        <w:rPr>
          <w:sz w:val="22"/>
          <w:szCs w:val="22"/>
          <w:lang w:val="fr-CA"/>
        </w:rPr>
        <w:t>New York</w:t>
      </w:r>
      <w:r>
        <w:rPr>
          <w:sz w:val="22"/>
          <w:szCs w:val="22"/>
          <w:lang w:val="fr-CA"/>
        </w:rPr>
        <w:t xml:space="preserve"> et que leurs contributions n’avaient pas été calculées en faveur de la ville de Woonsocket</w:t>
      </w:r>
      <w:r w:rsidRPr="00217EFC">
        <w:rPr>
          <w:rStyle w:val="FootnoteReference"/>
          <w:sz w:val="22"/>
          <w:szCs w:val="22"/>
          <w:lang w:val="fr-CA"/>
        </w:rPr>
        <w:footnoteReference w:id="406"/>
      </w:r>
      <w:r w:rsidRPr="00217EFC">
        <w:rPr>
          <w:sz w:val="22"/>
          <w:szCs w:val="22"/>
          <w:lang w:val="fr-CA"/>
        </w:rPr>
        <w:t xml:space="preserve">. </w:t>
      </w:r>
      <w:r>
        <w:rPr>
          <w:sz w:val="22"/>
          <w:szCs w:val="22"/>
          <w:lang w:val="fr-CA"/>
        </w:rPr>
        <w:t>L</w:t>
      </w:r>
      <w:r w:rsidRPr="00217EFC">
        <w:rPr>
          <w:sz w:val="22"/>
          <w:szCs w:val="22"/>
          <w:lang w:val="fr-CA"/>
        </w:rPr>
        <w:t>a deuxième campagne s’avère être mieux coordonnée</w:t>
      </w:r>
      <w:r>
        <w:rPr>
          <w:sz w:val="22"/>
          <w:szCs w:val="22"/>
          <w:lang w:val="fr-CA"/>
        </w:rPr>
        <w:t xml:space="preserve">, car la population de </w:t>
      </w:r>
      <w:r w:rsidRPr="00217EFC">
        <w:rPr>
          <w:sz w:val="22"/>
          <w:szCs w:val="22"/>
          <w:lang w:val="fr-CA"/>
        </w:rPr>
        <w:t>Woonsocket souscrit «</w:t>
      </w:r>
      <w:r>
        <w:rPr>
          <w:sz w:val="22"/>
          <w:szCs w:val="22"/>
          <w:lang w:val="fr-CA"/>
        </w:rPr>
        <w:t> </w:t>
      </w:r>
      <w:r w:rsidRPr="00217EFC">
        <w:rPr>
          <w:sz w:val="22"/>
          <w:szCs w:val="22"/>
          <w:lang w:val="fr-CA"/>
        </w:rPr>
        <w:t>224</w:t>
      </w:r>
      <w:r>
        <w:rPr>
          <w:sz w:val="22"/>
          <w:szCs w:val="22"/>
          <w:lang w:val="fr-CA"/>
        </w:rPr>
        <w:t> </w:t>
      </w:r>
      <w:r w:rsidRPr="00217EFC">
        <w:rPr>
          <w:sz w:val="22"/>
          <w:szCs w:val="22"/>
          <w:lang w:val="fr-CA"/>
        </w:rPr>
        <w:t>000</w:t>
      </w:r>
      <w:r>
        <w:rPr>
          <w:sz w:val="22"/>
          <w:szCs w:val="22"/>
          <w:lang w:val="fr-CA"/>
        </w:rPr>
        <w:t> </w:t>
      </w:r>
      <w:r w:rsidRPr="00217EFC">
        <w:rPr>
          <w:sz w:val="22"/>
          <w:szCs w:val="22"/>
          <w:lang w:val="fr-CA"/>
        </w:rPr>
        <w:t xml:space="preserve">dollars de plus que sa quote-part </w:t>
      </w:r>
      <w:r>
        <w:rPr>
          <w:sz w:val="22"/>
          <w:szCs w:val="22"/>
          <w:lang w:val="fr-CA"/>
        </w:rPr>
        <w:t xml:space="preserve">[qui était] de </w:t>
      </w:r>
      <w:r w:rsidRPr="00217EFC">
        <w:rPr>
          <w:sz w:val="22"/>
          <w:szCs w:val="22"/>
          <w:lang w:val="fr-CA"/>
        </w:rPr>
        <w:t>1</w:t>
      </w:r>
      <w:r>
        <w:rPr>
          <w:sz w:val="22"/>
          <w:szCs w:val="22"/>
          <w:lang w:val="fr-CA"/>
        </w:rPr>
        <w:t> 800 </w:t>
      </w:r>
      <w:r w:rsidRPr="00217EFC">
        <w:rPr>
          <w:sz w:val="22"/>
          <w:szCs w:val="22"/>
          <w:lang w:val="fr-CA"/>
        </w:rPr>
        <w:t>000</w:t>
      </w:r>
      <w:r>
        <w:rPr>
          <w:sz w:val="22"/>
          <w:szCs w:val="22"/>
          <w:lang w:val="fr-CA"/>
        </w:rPr>
        <w:t> </w:t>
      </w:r>
      <w:r w:rsidRPr="00217EFC">
        <w:rPr>
          <w:sz w:val="22"/>
          <w:szCs w:val="22"/>
          <w:lang w:val="fr-CA"/>
        </w:rPr>
        <w:t>dollars</w:t>
      </w:r>
      <w:r>
        <w:rPr>
          <w:sz w:val="22"/>
          <w:szCs w:val="22"/>
          <w:lang w:val="fr-CA"/>
        </w:rPr>
        <w:t> </w:t>
      </w:r>
      <w:r w:rsidRPr="00217EFC">
        <w:rPr>
          <w:sz w:val="22"/>
          <w:szCs w:val="22"/>
          <w:lang w:val="fr-CA"/>
        </w:rPr>
        <w:t>»</w:t>
      </w:r>
      <w:r w:rsidRPr="00217EFC">
        <w:rPr>
          <w:rStyle w:val="FootnoteReference"/>
          <w:sz w:val="22"/>
          <w:szCs w:val="22"/>
          <w:lang w:val="fr-CA"/>
        </w:rPr>
        <w:footnoteReference w:id="407"/>
      </w:r>
      <w:r w:rsidRPr="00217EFC">
        <w:rPr>
          <w:sz w:val="22"/>
          <w:szCs w:val="22"/>
          <w:lang w:val="fr-CA"/>
        </w:rPr>
        <w:t xml:space="preserve">. </w:t>
      </w:r>
      <w:r>
        <w:rPr>
          <w:sz w:val="22"/>
          <w:szCs w:val="22"/>
          <w:lang w:val="fr-CA"/>
        </w:rPr>
        <w:t xml:space="preserve">À </w:t>
      </w:r>
      <w:r w:rsidRPr="00217EFC">
        <w:rPr>
          <w:sz w:val="22"/>
          <w:szCs w:val="22"/>
          <w:lang w:val="fr-CA"/>
        </w:rPr>
        <w:t>Manchester</w:t>
      </w:r>
      <w:r>
        <w:rPr>
          <w:sz w:val="22"/>
          <w:szCs w:val="22"/>
          <w:lang w:val="fr-CA"/>
        </w:rPr>
        <w:t>,</w:t>
      </w:r>
      <w:r w:rsidRPr="00217EFC">
        <w:rPr>
          <w:sz w:val="22"/>
          <w:szCs w:val="22"/>
          <w:lang w:val="fr-CA"/>
        </w:rPr>
        <w:t xml:space="preserve"> la deuxième campagne ne sera pas plus suivie </w:t>
      </w:r>
      <w:r>
        <w:rPr>
          <w:sz w:val="22"/>
          <w:szCs w:val="22"/>
          <w:lang w:val="fr-CA"/>
        </w:rPr>
        <w:t xml:space="preserve">par </w:t>
      </w:r>
      <w:r w:rsidRPr="00AE216C">
        <w:rPr>
          <w:i/>
          <w:iCs/>
          <w:sz w:val="22"/>
          <w:szCs w:val="22"/>
          <w:lang w:val="fr-CA"/>
        </w:rPr>
        <w:t>L’Avenir National</w:t>
      </w:r>
      <w:r>
        <w:rPr>
          <w:sz w:val="22"/>
          <w:szCs w:val="22"/>
          <w:lang w:val="fr-CA"/>
        </w:rPr>
        <w:t xml:space="preserve"> </w:t>
      </w:r>
      <w:r w:rsidRPr="00217EFC">
        <w:rPr>
          <w:sz w:val="22"/>
          <w:szCs w:val="22"/>
          <w:lang w:val="fr-CA"/>
        </w:rPr>
        <w:t xml:space="preserve">que la première. </w:t>
      </w:r>
      <w:r w:rsidRPr="00E03190">
        <w:rPr>
          <w:sz w:val="22"/>
          <w:szCs w:val="22"/>
          <w:lang w:val="fr-CA"/>
        </w:rPr>
        <w:t xml:space="preserve">Le </w:t>
      </w:r>
      <w:r w:rsidRPr="00377A3B">
        <w:rPr>
          <w:sz w:val="22"/>
          <w:szCs w:val="22"/>
          <w:lang w:val="fr-CA"/>
        </w:rPr>
        <w:t>quotidie</w:t>
      </w:r>
      <w:r>
        <w:rPr>
          <w:sz w:val="22"/>
          <w:szCs w:val="22"/>
          <w:lang w:val="fr-CA"/>
        </w:rPr>
        <w:t xml:space="preserve">n ne </w:t>
      </w:r>
      <w:r w:rsidRPr="005D3AAB">
        <w:rPr>
          <w:sz w:val="22"/>
          <w:lang w:val="fr-CA"/>
        </w:rPr>
        <w:t>mentionne</w:t>
      </w:r>
      <w:r>
        <w:rPr>
          <w:sz w:val="22"/>
          <w:szCs w:val="22"/>
          <w:lang w:val="fr-CA"/>
        </w:rPr>
        <w:t xml:space="preserve"> </w:t>
      </w:r>
      <w:r w:rsidRPr="00217EFC">
        <w:rPr>
          <w:sz w:val="22"/>
          <w:szCs w:val="22"/>
          <w:lang w:val="fr-CA"/>
        </w:rPr>
        <w:t>qu</w:t>
      </w:r>
      <w:r>
        <w:rPr>
          <w:sz w:val="22"/>
          <w:szCs w:val="22"/>
          <w:lang w:val="fr-CA"/>
        </w:rPr>
        <w:t>e</w:t>
      </w:r>
      <w:r w:rsidRPr="005D3AAB">
        <w:rPr>
          <w:sz w:val="22"/>
          <w:lang w:val="fr-CA"/>
        </w:rPr>
        <w:t xml:space="preserve"> bri</w:t>
      </w:r>
      <w:r>
        <w:rPr>
          <w:sz w:val="22"/>
          <w:szCs w:val="22"/>
          <w:lang w:val="fr-CA"/>
        </w:rPr>
        <w:t xml:space="preserve">èvement </w:t>
      </w:r>
      <w:r w:rsidRPr="00217EFC">
        <w:rPr>
          <w:sz w:val="22"/>
          <w:szCs w:val="22"/>
          <w:lang w:val="fr-CA"/>
        </w:rPr>
        <w:t>la quote-part de la Nation</w:t>
      </w:r>
      <w:r>
        <w:rPr>
          <w:sz w:val="22"/>
          <w:szCs w:val="22"/>
          <w:lang w:val="fr-CA"/>
        </w:rPr>
        <w:t>,</w:t>
      </w:r>
      <w:r w:rsidRPr="00217EFC">
        <w:rPr>
          <w:sz w:val="22"/>
          <w:szCs w:val="22"/>
          <w:lang w:val="fr-CA"/>
        </w:rPr>
        <w:t xml:space="preserve"> en octobre 1917. Toutefois, entre la première et </w:t>
      </w:r>
      <w:r>
        <w:rPr>
          <w:sz w:val="22"/>
          <w:szCs w:val="22"/>
          <w:lang w:val="fr-CA"/>
        </w:rPr>
        <w:t xml:space="preserve">la </w:t>
      </w:r>
      <w:r w:rsidRPr="00217EFC">
        <w:rPr>
          <w:sz w:val="22"/>
          <w:szCs w:val="22"/>
          <w:lang w:val="fr-CA"/>
        </w:rPr>
        <w:t xml:space="preserve">deuxième campagne, le journal publiera un éditorial en septembre </w:t>
      </w:r>
      <w:r>
        <w:rPr>
          <w:sz w:val="22"/>
          <w:szCs w:val="22"/>
          <w:lang w:val="fr-CA"/>
        </w:rPr>
        <w:t xml:space="preserve">1917 </w:t>
      </w:r>
      <w:r w:rsidRPr="00217EFC">
        <w:rPr>
          <w:sz w:val="22"/>
          <w:szCs w:val="22"/>
          <w:lang w:val="fr-CA"/>
        </w:rPr>
        <w:t xml:space="preserve">expliquant le fonctionnement et les avantages des bons. D’ailleurs, cet article </w:t>
      </w:r>
      <w:r>
        <w:rPr>
          <w:sz w:val="22"/>
          <w:szCs w:val="22"/>
          <w:lang w:val="fr-CA"/>
        </w:rPr>
        <w:t xml:space="preserve">donne </w:t>
      </w:r>
      <w:r w:rsidRPr="00217EFC">
        <w:rPr>
          <w:sz w:val="22"/>
          <w:szCs w:val="22"/>
          <w:lang w:val="fr-CA"/>
        </w:rPr>
        <w:t xml:space="preserve">les résultats de la première campagne d’emprunt et </w:t>
      </w:r>
      <w:r>
        <w:rPr>
          <w:sz w:val="22"/>
          <w:szCs w:val="22"/>
          <w:lang w:val="fr-CA"/>
        </w:rPr>
        <w:t xml:space="preserve">explique </w:t>
      </w:r>
      <w:r w:rsidRPr="00217EFC">
        <w:rPr>
          <w:sz w:val="22"/>
          <w:szCs w:val="22"/>
          <w:lang w:val="fr-CA"/>
        </w:rPr>
        <w:t>comment la deuxième sera organisée</w:t>
      </w:r>
      <w:r w:rsidRPr="00217EFC">
        <w:rPr>
          <w:rStyle w:val="FootnoteReference"/>
          <w:sz w:val="22"/>
          <w:szCs w:val="22"/>
          <w:lang w:val="fr-CA"/>
        </w:rPr>
        <w:footnoteReference w:id="408"/>
      </w:r>
      <w:r w:rsidRPr="00217EFC">
        <w:rPr>
          <w:sz w:val="22"/>
          <w:szCs w:val="22"/>
          <w:lang w:val="fr-CA"/>
        </w:rPr>
        <w:t xml:space="preserve">. D’autres éditoriaux seront </w:t>
      </w:r>
      <w:r>
        <w:rPr>
          <w:sz w:val="22"/>
          <w:szCs w:val="22"/>
          <w:lang w:val="fr-CA"/>
        </w:rPr>
        <w:t xml:space="preserve">ensuite </w:t>
      </w:r>
      <w:r w:rsidRPr="00217EFC">
        <w:rPr>
          <w:sz w:val="22"/>
          <w:szCs w:val="22"/>
          <w:lang w:val="fr-CA"/>
        </w:rPr>
        <w:t>publiés pendant tout le mois d’octobre 1917</w:t>
      </w:r>
      <w:r w:rsidRPr="00217EFC">
        <w:rPr>
          <w:rStyle w:val="FootnoteReference"/>
          <w:sz w:val="22"/>
          <w:szCs w:val="22"/>
          <w:lang w:val="fr-CA"/>
        </w:rPr>
        <w:footnoteReference w:id="409"/>
      </w:r>
      <w:r>
        <w:rPr>
          <w:sz w:val="22"/>
          <w:szCs w:val="22"/>
          <w:lang w:val="fr-CA"/>
        </w:rPr>
        <w:t>, d</w:t>
      </w:r>
      <w:r w:rsidRPr="00217EFC">
        <w:rPr>
          <w:sz w:val="22"/>
          <w:szCs w:val="22"/>
          <w:lang w:val="fr-CA"/>
        </w:rPr>
        <w:t>ont celui du 1</w:t>
      </w:r>
      <w:r w:rsidRPr="00217EFC">
        <w:rPr>
          <w:sz w:val="22"/>
          <w:szCs w:val="22"/>
          <w:vertAlign w:val="superscript"/>
          <w:lang w:val="fr-CA"/>
        </w:rPr>
        <w:t>er</w:t>
      </w:r>
      <w:r w:rsidRPr="00217EFC">
        <w:rPr>
          <w:sz w:val="22"/>
          <w:szCs w:val="22"/>
          <w:lang w:val="fr-CA"/>
        </w:rPr>
        <w:t xml:space="preserve"> octobre, où </w:t>
      </w:r>
      <w:r w:rsidRPr="00AE216C">
        <w:rPr>
          <w:i/>
          <w:iCs/>
          <w:sz w:val="22"/>
          <w:szCs w:val="22"/>
          <w:lang w:val="fr-CA"/>
        </w:rPr>
        <w:t>L’Avenir National</w:t>
      </w:r>
      <w:r>
        <w:rPr>
          <w:sz w:val="22"/>
          <w:szCs w:val="22"/>
          <w:lang w:val="fr-CA"/>
        </w:rPr>
        <w:t xml:space="preserve"> </w:t>
      </w:r>
      <w:r w:rsidRPr="00217EFC">
        <w:rPr>
          <w:sz w:val="22"/>
          <w:szCs w:val="22"/>
          <w:lang w:val="fr-CA"/>
        </w:rPr>
        <w:t>annonce que l’objectif de la campagne national</w:t>
      </w:r>
      <w:r>
        <w:rPr>
          <w:sz w:val="22"/>
          <w:szCs w:val="22"/>
          <w:lang w:val="fr-CA"/>
        </w:rPr>
        <w:t>e</w:t>
      </w:r>
      <w:r w:rsidRPr="00217EFC">
        <w:rPr>
          <w:sz w:val="22"/>
          <w:szCs w:val="22"/>
          <w:lang w:val="fr-CA"/>
        </w:rPr>
        <w:t xml:space="preserve"> est de 3</w:t>
      </w:r>
      <w:r>
        <w:rPr>
          <w:sz w:val="22"/>
          <w:szCs w:val="22"/>
          <w:lang w:val="fr-CA"/>
        </w:rPr>
        <w:t> 000 000 </w:t>
      </w:r>
      <w:r w:rsidRPr="00217EFC">
        <w:rPr>
          <w:sz w:val="22"/>
          <w:szCs w:val="22"/>
          <w:lang w:val="fr-CA"/>
        </w:rPr>
        <w:t>000</w:t>
      </w:r>
      <w:r>
        <w:rPr>
          <w:sz w:val="22"/>
          <w:szCs w:val="22"/>
          <w:lang w:val="fr-CA"/>
        </w:rPr>
        <w:t> </w:t>
      </w:r>
      <w:r w:rsidRPr="00217EFC">
        <w:rPr>
          <w:sz w:val="22"/>
          <w:szCs w:val="22"/>
          <w:lang w:val="fr-CA"/>
        </w:rPr>
        <w:t>$</w:t>
      </w:r>
      <w:r w:rsidRPr="00217EFC">
        <w:rPr>
          <w:rStyle w:val="FootnoteReference"/>
          <w:sz w:val="22"/>
          <w:szCs w:val="22"/>
          <w:lang w:val="fr-CA"/>
        </w:rPr>
        <w:footnoteReference w:id="410"/>
      </w:r>
      <w:r w:rsidRPr="00217EFC">
        <w:rPr>
          <w:sz w:val="22"/>
          <w:szCs w:val="22"/>
          <w:lang w:val="fr-CA"/>
        </w:rPr>
        <w:t xml:space="preserve"> et celui du 6 octobre où l’on reconnait le patriotisme des organisations comme «</w:t>
      </w:r>
      <w:r>
        <w:rPr>
          <w:sz w:val="22"/>
          <w:szCs w:val="22"/>
          <w:lang w:val="fr-CA"/>
        </w:rPr>
        <w:t> </w:t>
      </w:r>
      <w:r w:rsidRPr="00217EFC">
        <w:rPr>
          <w:sz w:val="22"/>
          <w:szCs w:val="22"/>
          <w:lang w:val="fr-CA"/>
        </w:rPr>
        <w:t xml:space="preserve">l’Association </w:t>
      </w:r>
      <w:r w:rsidR="00D34D2E">
        <w:rPr>
          <w:sz w:val="22"/>
          <w:szCs w:val="22"/>
          <w:lang w:val="fr-CA"/>
        </w:rPr>
        <w:t>c</w:t>
      </w:r>
      <w:r w:rsidRPr="00217EFC">
        <w:rPr>
          <w:sz w:val="22"/>
          <w:szCs w:val="22"/>
          <w:lang w:val="fr-CA"/>
        </w:rPr>
        <w:t>anado-</w:t>
      </w:r>
      <w:r w:rsidR="00D34D2E">
        <w:rPr>
          <w:sz w:val="22"/>
          <w:szCs w:val="22"/>
          <w:lang w:val="fr-CA"/>
        </w:rPr>
        <w:t>a</w:t>
      </w:r>
      <w:r w:rsidRPr="00217EFC">
        <w:rPr>
          <w:sz w:val="22"/>
          <w:szCs w:val="22"/>
          <w:lang w:val="fr-CA"/>
        </w:rPr>
        <w:t xml:space="preserve">méricaine et L’Union Saint-Jean-Baptiste </w:t>
      </w:r>
      <w:r w:rsidRPr="00666AAD">
        <w:rPr>
          <w:sz w:val="22"/>
          <w:lang w:val="fr-CA"/>
        </w:rPr>
        <w:t xml:space="preserve">qui </w:t>
      </w:r>
      <w:r w:rsidRPr="00217EFC">
        <w:rPr>
          <w:sz w:val="22"/>
          <w:szCs w:val="22"/>
          <w:lang w:val="fr-CA"/>
        </w:rPr>
        <w:t>ont acheté</w:t>
      </w:r>
      <w:r>
        <w:rPr>
          <w:sz w:val="22"/>
          <w:szCs w:val="22"/>
          <w:lang w:val="fr-CA"/>
        </w:rPr>
        <w:t xml:space="preserve"> </w:t>
      </w:r>
      <w:r w:rsidRPr="00217EFC">
        <w:rPr>
          <w:sz w:val="22"/>
          <w:szCs w:val="22"/>
          <w:lang w:val="fr-CA"/>
        </w:rPr>
        <w:t>un montant considérable d’obligations</w:t>
      </w:r>
      <w:r>
        <w:rPr>
          <w:sz w:val="22"/>
          <w:szCs w:val="22"/>
          <w:lang w:val="fr-CA"/>
        </w:rPr>
        <w:t> </w:t>
      </w:r>
      <w:r w:rsidRPr="00217EFC">
        <w:rPr>
          <w:sz w:val="22"/>
          <w:szCs w:val="22"/>
          <w:lang w:val="fr-CA"/>
        </w:rPr>
        <w:t>»</w:t>
      </w:r>
      <w:r w:rsidRPr="00217EFC">
        <w:rPr>
          <w:rStyle w:val="FootnoteReference"/>
          <w:sz w:val="22"/>
          <w:szCs w:val="22"/>
          <w:lang w:val="fr-CA"/>
        </w:rPr>
        <w:footnoteReference w:id="411"/>
      </w:r>
      <w:r>
        <w:rPr>
          <w:sz w:val="22"/>
          <w:szCs w:val="22"/>
          <w:lang w:val="fr-CA"/>
        </w:rPr>
        <w:t xml:space="preserve">, sans toutefois fournir </w:t>
      </w:r>
      <w:r w:rsidRPr="00377A3B">
        <w:rPr>
          <w:sz w:val="22"/>
          <w:szCs w:val="22"/>
          <w:lang w:val="fr-CA"/>
        </w:rPr>
        <w:t>d’autres détails</w:t>
      </w:r>
      <w:r w:rsidRPr="00377A3B">
        <w:rPr>
          <w:sz w:val="22"/>
          <w:lang w:val="fr-CA"/>
        </w:rPr>
        <w:t>.</w:t>
      </w:r>
    </w:p>
    <w:p w14:paraId="645FDC11"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C’est vraiment lors de la troisième campagne, </w:t>
      </w:r>
      <w:r>
        <w:rPr>
          <w:sz w:val="22"/>
          <w:szCs w:val="22"/>
          <w:lang w:val="fr-CA"/>
        </w:rPr>
        <w:t xml:space="preserve">au cours du </w:t>
      </w:r>
      <w:r w:rsidRPr="00217EFC">
        <w:rPr>
          <w:sz w:val="22"/>
          <w:szCs w:val="22"/>
          <w:lang w:val="fr-CA"/>
        </w:rPr>
        <w:t>printemps</w:t>
      </w:r>
      <w:r w:rsidR="00A24610">
        <w:rPr>
          <w:sz w:val="22"/>
          <w:szCs w:val="22"/>
          <w:lang w:val="fr-CA"/>
        </w:rPr>
        <w:t> </w:t>
      </w:r>
      <w:r w:rsidRPr="00217EFC">
        <w:rPr>
          <w:sz w:val="22"/>
          <w:szCs w:val="22"/>
          <w:lang w:val="fr-CA"/>
        </w:rPr>
        <w:t xml:space="preserve">1918, que nous constatons que </w:t>
      </w:r>
      <w:r w:rsidRPr="00AE216C">
        <w:rPr>
          <w:i/>
          <w:iCs/>
          <w:sz w:val="22"/>
          <w:szCs w:val="22"/>
          <w:lang w:val="fr-CA"/>
        </w:rPr>
        <w:t>L’Avenir National</w:t>
      </w:r>
      <w:r>
        <w:rPr>
          <w:sz w:val="22"/>
          <w:szCs w:val="22"/>
          <w:lang w:val="fr-CA"/>
        </w:rPr>
        <w:t xml:space="preserve"> et </w:t>
      </w:r>
      <w:r>
        <w:rPr>
          <w:i/>
          <w:iCs/>
          <w:sz w:val="22"/>
          <w:szCs w:val="22"/>
          <w:lang w:val="fr-CA"/>
        </w:rPr>
        <w:t xml:space="preserve">La </w:t>
      </w:r>
      <w:r w:rsidRPr="00AE216C">
        <w:rPr>
          <w:i/>
          <w:iCs/>
          <w:sz w:val="22"/>
          <w:szCs w:val="22"/>
          <w:lang w:val="fr-CA"/>
        </w:rPr>
        <w:t>Tribune</w:t>
      </w:r>
      <w:r w:rsidRPr="00AE216C">
        <w:rPr>
          <w:sz w:val="22"/>
          <w:szCs w:val="22"/>
          <w:lang w:val="fr-CA"/>
        </w:rPr>
        <w:t xml:space="preserve"> </w:t>
      </w:r>
      <w:r>
        <w:rPr>
          <w:sz w:val="22"/>
          <w:szCs w:val="22"/>
          <w:lang w:val="fr-CA"/>
        </w:rPr>
        <w:t xml:space="preserve">de Woonsocket </w:t>
      </w:r>
      <w:r w:rsidRPr="00217EFC">
        <w:rPr>
          <w:sz w:val="22"/>
          <w:szCs w:val="22"/>
          <w:lang w:val="fr-CA"/>
        </w:rPr>
        <w:t>rapp</w:t>
      </w:r>
      <w:r>
        <w:rPr>
          <w:sz w:val="22"/>
          <w:szCs w:val="22"/>
          <w:lang w:val="fr-CA"/>
        </w:rPr>
        <w:t>ortent précisément</w:t>
      </w:r>
      <w:r w:rsidRPr="00217EFC">
        <w:rPr>
          <w:sz w:val="22"/>
          <w:szCs w:val="22"/>
          <w:lang w:val="fr-CA"/>
        </w:rPr>
        <w:t xml:space="preserve"> les activités des </w:t>
      </w:r>
      <w:r>
        <w:rPr>
          <w:sz w:val="22"/>
          <w:szCs w:val="22"/>
          <w:lang w:val="fr-CA"/>
        </w:rPr>
        <w:t xml:space="preserve">différents </w:t>
      </w:r>
      <w:r w:rsidRPr="00217EFC">
        <w:rPr>
          <w:sz w:val="22"/>
          <w:szCs w:val="22"/>
          <w:lang w:val="fr-CA"/>
        </w:rPr>
        <w:t xml:space="preserve">quartiers et les contributions des organisations locales. </w:t>
      </w:r>
      <w:r>
        <w:rPr>
          <w:sz w:val="22"/>
          <w:szCs w:val="22"/>
          <w:lang w:val="fr-CA"/>
        </w:rPr>
        <w:t>Ces journaux</w:t>
      </w:r>
      <w:r w:rsidRPr="00217EFC">
        <w:rPr>
          <w:sz w:val="22"/>
          <w:szCs w:val="22"/>
          <w:lang w:val="fr-CA"/>
        </w:rPr>
        <w:t xml:space="preserve"> contribuent activement à </w:t>
      </w:r>
      <w:r>
        <w:rPr>
          <w:sz w:val="22"/>
          <w:szCs w:val="22"/>
          <w:lang w:val="fr-CA"/>
        </w:rPr>
        <w:t xml:space="preserve">stimuler </w:t>
      </w:r>
      <w:r w:rsidRPr="00217EFC">
        <w:rPr>
          <w:sz w:val="22"/>
          <w:szCs w:val="22"/>
          <w:lang w:val="fr-CA"/>
        </w:rPr>
        <w:t xml:space="preserve">la population à participer aux activités et à souscrire aux emprunts de la </w:t>
      </w:r>
      <w:r w:rsidRPr="00217EFC">
        <w:rPr>
          <w:sz w:val="22"/>
          <w:szCs w:val="22"/>
          <w:lang w:val="fr-CA"/>
        </w:rPr>
        <w:lastRenderedPageBreak/>
        <w:t>Liberté</w:t>
      </w:r>
      <w:r w:rsidRPr="00217EFC">
        <w:rPr>
          <w:rStyle w:val="FootnoteReference"/>
          <w:sz w:val="22"/>
          <w:szCs w:val="22"/>
          <w:lang w:val="fr-CA"/>
        </w:rPr>
        <w:footnoteReference w:id="412"/>
      </w:r>
      <w:r w:rsidRPr="00217EFC">
        <w:rPr>
          <w:sz w:val="22"/>
          <w:szCs w:val="22"/>
          <w:lang w:val="fr-CA"/>
        </w:rPr>
        <w:t xml:space="preserve">. À Woonsocket, la ville a dépassé sa quote-part en contribuant </w:t>
      </w:r>
      <w:r>
        <w:rPr>
          <w:sz w:val="22"/>
          <w:szCs w:val="22"/>
          <w:lang w:val="fr-CA"/>
        </w:rPr>
        <w:t xml:space="preserve">pour </w:t>
      </w:r>
      <w:r w:rsidRPr="00217EFC">
        <w:rPr>
          <w:sz w:val="22"/>
          <w:szCs w:val="22"/>
          <w:lang w:val="fr-CA"/>
        </w:rPr>
        <w:t>1</w:t>
      </w:r>
      <w:r>
        <w:rPr>
          <w:sz w:val="22"/>
          <w:szCs w:val="22"/>
          <w:lang w:val="fr-CA"/>
        </w:rPr>
        <w:t> 929 </w:t>
      </w:r>
      <w:r w:rsidRPr="00666AAD">
        <w:rPr>
          <w:sz w:val="22"/>
          <w:lang w:val="fr-CA"/>
        </w:rPr>
        <w:t>000</w:t>
      </w:r>
      <w:r>
        <w:rPr>
          <w:sz w:val="22"/>
          <w:lang w:val="fr-CA"/>
        </w:rPr>
        <w:t> </w:t>
      </w:r>
      <w:r w:rsidRPr="00217EFC">
        <w:rPr>
          <w:sz w:val="22"/>
          <w:szCs w:val="22"/>
          <w:lang w:val="fr-CA"/>
        </w:rPr>
        <w:t>$</w:t>
      </w:r>
      <w:r w:rsidRPr="00666AAD">
        <w:rPr>
          <w:sz w:val="22"/>
          <w:lang w:val="fr-CA"/>
        </w:rPr>
        <w:t xml:space="preserve">, </w:t>
      </w:r>
      <w:r w:rsidRPr="00217EFC">
        <w:rPr>
          <w:sz w:val="22"/>
          <w:szCs w:val="22"/>
          <w:lang w:val="fr-CA"/>
        </w:rPr>
        <w:t>soit «</w:t>
      </w:r>
      <w:r>
        <w:rPr>
          <w:sz w:val="22"/>
          <w:szCs w:val="22"/>
          <w:lang w:val="fr-CA"/>
        </w:rPr>
        <w:t> </w:t>
      </w:r>
      <w:r w:rsidRPr="00217EFC">
        <w:rPr>
          <w:sz w:val="22"/>
          <w:szCs w:val="22"/>
          <w:lang w:val="fr-CA"/>
        </w:rPr>
        <w:t>40</w:t>
      </w:r>
      <w:r>
        <w:rPr>
          <w:sz w:val="22"/>
          <w:szCs w:val="22"/>
          <w:lang w:val="fr-CA"/>
        </w:rPr>
        <w:t> </w:t>
      </w:r>
      <w:r w:rsidRPr="00217EFC">
        <w:rPr>
          <w:sz w:val="22"/>
          <w:szCs w:val="22"/>
          <w:lang w:val="fr-CA"/>
        </w:rPr>
        <w:t>% de sa quote-part de 1</w:t>
      </w:r>
      <w:r>
        <w:rPr>
          <w:sz w:val="22"/>
          <w:szCs w:val="22"/>
          <w:lang w:val="fr-CA"/>
        </w:rPr>
        <w:t> 300 </w:t>
      </w:r>
      <w:r w:rsidRPr="00217EFC">
        <w:rPr>
          <w:sz w:val="22"/>
          <w:szCs w:val="22"/>
          <w:lang w:val="fr-CA"/>
        </w:rPr>
        <w:t>000</w:t>
      </w:r>
      <w:r>
        <w:rPr>
          <w:sz w:val="22"/>
          <w:szCs w:val="22"/>
          <w:lang w:val="fr-CA"/>
        </w:rPr>
        <w:t> </w:t>
      </w:r>
      <w:r w:rsidRPr="00217EFC">
        <w:rPr>
          <w:sz w:val="22"/>
          <w:szCs w:val="22"/>
          <w:lang w:val="fr-CA"/>
        </w:rPr>
        <w:t>dollars</w:t>
      </w:r>
      <w:r>
        <w:rPr>
          <w:sz w:val="22"/>
          <w:szCs w:val="22"/>
          <w:lang w:val="fr-CA"/>
        </w:rPr>
        <w:t> </w:t>
      </w:r>
      <w:r w:rsidRPr="00217EFC">
        <w:rPr>
          <w:sz w:val="22"/>
          <w:szCs w:val="22"/>
          <w:lang w:val="fr-CA"/>
        </w:rPr>
        <w:t>»</w:t>
      </w:r>
      <w:r w:rsidRPr="00217EFC">
        <w:rPr>
          <w:rStyle w:val="FootnoteReference"/>
          <w:sz w:val="22"/>
          <w:szCs w:val="22"/>
          <w:lang w:val="fr-CA"/>
        </w:rPr>
        <w:footnoteReference w:id="413"/>
      </w:r>
      <w:r w:rsidRPr="00217EFC">
        <w:rPr>
          <w:sz w:val="22"/>
          <w:szCs w:val="22"/>
          <w:lang w:val="fr-CA"/>
        </w:rPr>
        <w:t xml:space="preserve">. Tandis que Manchester devra contribuer </w:t>
      </w:r>
      <w:r>
        <w:rPr>
          <w:sz w:val="22"/>
          <w:szCs w:val="22"/>
          <w:lang w:val="fr-CA"/>
        </w:rPr>
        <w:t xml:space="preserve">à hauteur de </w:t>
      </w:r>
      <w:r w:rsidRPr="00217EFC">
        <w:rPr>
          <w:sz w:val="22"/>
          <w:szCs w:val="22"/>
          <w:lang w:val="fr-CA"/>
        </w:rPr>
        <w:t>2</w:t>
      </w:r>
      <w:r>
        <w:rPr>
          <w:sz w:val="22"/>
          <w:szCs w:val="22"/>
          <w:lang w:val="fr-CA"/>
        </w:rPr>
        <w:t> 308 </w:t>
      </w:r>
      <w:r w:rsidRPr="00217EFC">
        <w:rPr>
          <w:sz w:val="22"/>
          <w:szCs w:val="22"/>
          <w:lang w:val="fr-CA"/>
        </w:rPr>
        <w:t>000</w:t>
      </w:r>
      <w:r>
        <w:rPr>
          <w:sz w:val="22"/>
          <w:szCs w:val="22"/>
          <w:lang w:val="fr-CA"/>
        </w:rPr>
        <w:t> </w:t>
      </w:r>
      <w:r w:rsidRPr="00217EFC">
        <w:rPr>
          <w:sz w:val="22"/>
          <w:szCs w:val="22"/>
          <w:lang w:val="fr-CA"/>
        </w:rPr>
        <w:t>$ pour le troisième emprunt</w:t>
      </w:r>
      <w:r w:rsidRPr="00666AAD">
        <w:rPr>
          <w:sz w:val="22"/>
          <w:vertAlign w:val="superscript"/>
          <w:lang w:val="fr-CA"/>
        </w:rPr>
        <w:footnoteReference w:id="414"/>
      </w:r>
      <w:r>
        <w:rPr>
          <w:sz w:val="22"/>
          <w:szCs w:val="22"/>
          <w:lang w:val="fr-CA"/>
        </w:rPr>
        <w:t>,</w:t>
      </w:r>
      <w:r w:rsidRPr="00217EFC">
        <w:rPr>
          <w:sz w:val="22"/>
          <w:szCs w:val="22"/>
          <w:lang w:val="fr-CA"/>
        </w:rPr>
        <w:t xml:space="preserve"> le 1</w:t>
      </w:r>
      <w:r w:rsidRPr="00217EFC">
        <w:rPr>
          <w:sz w:val="22"/>
          <w:szCs w:val="22"/>
          <w:vertAlign w:val="superscript"/>
          <w:lang w:val="fr-CA"/>
        </w:rPr>
        <w:t>er</w:t>
      </w:r>
      <w:r w:rsidRPr="00217EFC">
        <w:rPr>
          <w:sz w:val="22"/>
          <w:szCs w:val="22"/>
          <w:lang w:val="fr-CA"/>
        </w:rPr>
        <w:t xml:space="preserve"> mai 1918, </w:t>
      </w:r>
      <w:r w:rsidRPr="00217EFC">
        <w:rPr>
          <w:i/>
          <w:iCs/>
          <w:sz w:val="22"/>
          <w:szCs w:val="22"/>
          <w:lang w:val="fr-CA"/>
        </w:rPr>
        <w:t xml:space="preserve">L’Avenir </w:t>
      </w:r>
      <w:r w:rsidRPr="00666AAD">
        <w:rPr>
          <w:i/>
          <w:sz w:val="22"/>
          <w:lang w:val="fr-CA"/>
        </w:rPr>
        <w:t>National</w:t>
      </w:r>
      <w:r w:rsidRPr="00217EFC">
        <w:rPr>
          <w:sz w:val="22"/>
          <w:szCs w:val="22"/>
          <w:lang w:val="fr-CA"/>
        </w:rPr>
        <w:t xml:space="preserve"> annonce que le montant des souscriptions de la ville s’élève à 3</w:t>
      </w:r>
      <w:r>
        <w:rPr>
          <w:sz w:val="22"/>
          <w:szCs w:val="22"/>
          <w:lang w:val="fr-CA"/>
        </w:rPr>
        <w:t> 330 </w:t>
      </w:r>
      <w:r w:rsidRPr="00217EFC">
        <w:rPr>
          <w:sz w:val="22"/>
          <w:szCs w:val="22"/>
          <w:lang w:val="fr-CA"/>
        </w:rPr>
        <w:t>400</w:t>
      </w:r>
      <w:r>
        <w:rPr>
          <w:sz w:val="22"/>
          <w:szCs w:val="22"/>
          <w:lang w:val="fr-CA"/>
        </w:rPr>
        <w:t> </w:t>
      </w:r>
      <w:r w:rsidRPr="00217EFC">
        <w:rPr>
          <w:sz w:val="22"/>
          <w:szCs w:val="22"/>
          <w:lang w:val="fr-CA"/>
        </w:rPr>
        <w:t>$ (presque 70</w:t>
      </w:r>
      <w:r>
        <w:rPr>
          <w:sz w:val="22"/>
          <w:szCs w:val="22"/>
          <w:lang w:val="fr-CA"/>
        </w:rPr>
        <w:t> </w:t>
      </w:r>
      <w:r w:rsidRPr="00217EFC">
        <w:rPr>
          <w:sz w:val="22"/>
          <w:szCs w:val="22"/>
          <w:lang w:val="fr-CA"/>
        </w:rPr>
        <w:t>% de sa quote-part)</w:t>
      </w:r>
      <w:r w:rsidRPr="00217EFC">
        <w:rPr>
          <w:sz w:val="22"/>
          <w:szCs w:val="22"/>
          <w:vertAlign w:val="superscript"/>
          <w:lang w:val="fr-CA"/>
        </w:rPr>
        <w:footnoteReference w:id="415"/>
      </w:r>
      <w:r w:rsidRPr="00217EFC">
        <w:rPr>
          <w:sz w:val="22"/>
          <w:szCs w:val="22"/>
          <w:lang w:val="fr-CA"/>
        </w:rPr>
        <w:t xml:space="preserve">. D’ailleurs, les deux municipalités reçoivent le drapeau d’honneur </w:t>
      </w:r>
      <w:r>
        <w:rPr>
          <w:sz w:val="22"/>
          <w:szCs w:val="22"/>
          <w:lang w:val="fr-CA"/>
        </w:rPr>
        <w:t xml:space="preserve">pour le </w:t>
      </w:r>
      <w:r w:rsidRPr="00217EFC">
        <w:rPr>
          <w:sz w:val="22"/>
          <w:szCs w:val="22"/>
          <w:lang w:val="fr-CA"/>
        </w:rPr>
        <w:t>troisième emprunt</w:t>
      </w:r>
      <w:r w:rsidRPr="00217EFC">
        <w:rPr>
          <w:sz w:val="22"/>
          <w:szCs w:val="22"/>
          <w:vertAlign w:val="superscript"/>
          <w:lang w:val="fr-CA"/>
        </w:rPr>
        <w:footnoteReference w:id="416"/>
      </w:r>
      <w:r w:rsidRPr="00217EFC">
        <w:rPr>
          <w:sz w:val="22"/>
          <w:szCs w:val="22"/>
          <w:lang w:val="fr-CA"/>
        </w:rPr>
        <w:t xml:space="preserve">. De plus, les deux quotidiens </w:t>
      </w:r>
      <w:r>
        <w:rPr>
          <w:sz w:val="22"/>
          <w:szCs w:val="22"/>
          <w:lang w:val="fr-CA"/>
        </w:rPr>
        <w:t xml:space="preserve">publient </w:t>
      </w:r>
      <w:r w:rsidRPr="00217EFC">
        <w:rPr>
          <w:sz w:val="22"/>
          <w:szCs w:val="22"/>
          <w:lang w:val="fr-CA"/>
        </w:rPr>
        <w:t>les montants des souscriptions des districts, des banques et institutions financières et des entreprises de la ville</w:t>
      </w:r>
      <w:r w:rsidRPr="00217EFC">
        <w:rPr>
          <w:sz w:val="22"/>
          <w:szCs w:val="22"/>
          <w:vertAlign w:val="superscript"/>
          <w:lang w:val="fr-CA"/>
        </w:rPr>
        <w:footnoteReference w:id="417"/>
      </w:r>
      <w:r w:rsidRPr="00217EFC">
        <w:rPr>
          <w:sz w:val="22"/>
          <w:szCs w:val="22"/>
          <w:lang w:val="fr-CA"/>
        </w:rPr>
        <w:t>.</w:t>
      </w:r>
    </w:p>
    <w:p w14:paraId="4C8A6C9D" w14:textId="38A7A2A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Quant au quatrième emprunt, nous constatons que les deux municipalités ont éprouvé de</w:t>
      </w:r>
      <w:r>
        <w:rPr>
          <w:sz w:val="22"/>
          <w:szCs w:val="22"/>
          <w:lang w:val="fr-CA"/>
        </w:rPr>
        <w:t xml:space="preserve">s </w:t>
      </w:r>
      <w:r w:rsidRPr="00217EFC">
        <w:rPr>
          <w:sz w:val="22"/>
          <w:szCs w:val="22"/>
          <w:lang w:val="fr-CA"/>
        </w:rPr>
        <w:t>difficulté</w:t>
      </w:r>
      <w:r>
        <w:rPr>
          <w:sz w:val="22"/>
          <w:szCs w:val="22"/>
          <w:lang w:val="fr-CA"/>
        </w:rPr>
        <w:t>s</w:t>
      </w:r>
      <w:r w:rsidRPr="00217EFC">
        <w:rPr>
          <w:sz w:val="22"/>
          <w:szCs w:val="22"/>
          <w:lang w:val="fr-CA"/>
        </w:rPr>
        <w:t xml:space="preserve"> à atteindre leur </w:t>
      </w:r>
      <w:r>
        <w:rPr>
          <w:sz w:val="22"/>
          <w:szCs w:val="22"/>
          <w:lang w:val="fr-CA"/>
        </w:rPr>
        <w:t>objectif</w:t>
      </w:r>
      <w:r w:rsidRPr="00217EFC">
        <w:rPr>
          <w:sz w:val="22"/>
          <w:szCs w:val="22"/>
          <w:lang w:val="fr-CA"/>
        </w:rPr>
        <w:t xml:space="preserve">. Nous </w:t>
      </w:r>
      <w:r>
        <w:rPr>
          <w:sz w:val="22"/>
          <w:szCs w:val="22"/>
          <w:lang w:val="fr-CA"/>
        </w:rPr>
        <w:t>croyons qu’à cette époque</w:t>
      </w:r>
      <w:r w:rsidRPr="00666AAD">
        <w:rPr>
          <w:sz w:val="22"/>
          <w:lang w:val="fr-CA"/>
        </w:rPr>
        <w:t xml:space="preserve"> la</w:t>
      </w:r>
      <w:r w:rsidRPr="00217EFC">
        <w:rPr>
          <w:sz w:val="22"/>
          <w:szCs w:val="22"/>
          <w:lang w:val="fr-CA"/>
        </w:rPr>
        <w:t xml:space="preserve"> population de Nouvelle</w:t>
      </w:r>
      <w:r w:rsidR="00A24610">
        <w:rPr>
          <w:sz w:val="22"/>
          <w:szCs w:val="22"/>
          <w:lang w:val="fr-CA"/>
        </w:rPr>
        <w:t>-</w:t>
      </w:r>
      <w:r w:rsidRPr="00217EFC">
        <w:rPr>
          <w:sz w:val="22"/>
          <w:szCs w:val="22"/>
          <w:lang w:val="fr-CA"/>
        </w:rPr>
        <w:t xml:space="preserve">Angleterre est </w:t>
      </w:r>
      <w:r>
        <w:rPr>
          <w:sz w:val="22"/>
          <w:szCs w:val="22"/>
          <w:lang w:val="fr-CA"/>
        </w:rPr>
        <w:t xml:space="preserve">grandement </w:t>
      </w:r>
      <w:r w:rsidRPr="00217EFC">
        <w:rPr>
          <w:sz w:val="22"/>
          <w:szCs w:val="22"/>
          <w:lang w:val="fr-CA"/>
        </w:rPr>
        <w:t>affectée par l’épidémie d’influenza et ce</w:t>
      </w:r>
      <w:r>
        <w:rPr>
          <w:sz w:val="22"/>
          <w:szCs w:val="22"/>
          <w:lang w:val="fr-CA"/>
        </w:rPr>
        <w:t xml:space="preserve"> </w:t>
      </w:r>
      <w:r w:rsidRPr="00217EFC">
        <w:rPr>
          <w:sz w:val="22"/>
          <w:szCs w:val="22"/>
          <w:lang w:val="fr-CA"/>
        </w:rPr>
        <w:t xml:space="preserve">serait </w:t>
      </w:r>
      <w:r>
        <w:rPr>
          <w:sz w:val="22"/>
          <w:szCs w:val="22"/>
          <w:lang w:val="fr-CA"/>
        </w:rPr>
        <w:t xml:space="preserve">la principale cause </w:t>
      </w:r>
      <w:r>
        <w:rPr>
          <w:sz w:val="22"/>
          <w:lang w:val="fr-CA"/>
        </w:rPr>
        <w:t xml:space="preserve">pour laquelle </w:t>
      </w:r>
      <w:r w:rsidRPr="00217EFC">
        <w:rPr>
          <w:sz w:val="22"/>
          <w:szCs w:val="22"/>
          <w:lang w:val="fr-CA"/>
        </w:rPr>
        <w:t>la campagne ne se déroule pas aussi bien que prévu. À la mi-octobre</w:t>
      </w:r>
      <w:r w:rsidR="00A24610">
        <w:rPr>
          <w:sz w:val="22"/>
          <w:szCs w:val="22"/>
          <w:lang w:val="fr-CA"/>
        </w:rPr>
        <w:t> </w:t>
      </w:r>
      <w:r w:rsidRPr="00217EFC">
        <w:rPr>
          <w:sz w:val="22"/>
          <w:szCs w:val="22"/>
          <w:lang w:val="fr-CA"/>
        </w:rPr>
        <w:t xml:space="preserve">1918, Woonsocket aurait souscrit </w:t>
      </w:r>
      <w:r>
        <w:rPr>
          <w:sz w:val="22"/>
          <w:szCs w:val="22"/>
          <w:lang w:val="fr-CA"/>
        </w:rPr>
        <w:t xml:space="preserve">seulement </w:t>
      </w:r>
      <w:r w:rsidRPr="00217EFC">
        <w:rPr>
          <w:sz w:val="22"/>
          <w:szCs w:val="22"/>
          <w:lang w:val="fr-CA"/>
        </w:rPr>
        <w:t>1</w:t>
      </w:r>
      <w:r>
        <w:rPr>
          <w:sz w:val="22"/>
          <w:szCs w:val="22"/>
          <w:lang w:val="fr-CA"/>
        </w:rPr>
        <w:t> </w:t>
      </w:r>
      <w:r w:rsidRPr="00217EFC">
        <w:rPr>
          <w:sz w:val="22"/>
          <w:szCs w:val="22"/>
          <w:lang w:val="fr-CA"/>
        </w:rPr>
        <w:t xml:space="preserve">500 </w:t>
      </w:r>
      <w:r w:rsidR="00244770">
        <w:rPr>
          <w:sz w:val="22"/>
          <w:szCs w:val="22"/>
          <w:lang w:val="fr-CA"/>
        </w:rPr>
        <w:t>0</w:t>
      </w:r>
      <w:r w:rsidRPr="00217EFC">
        <w:rPr>
          <w:sz w:val="22"/>
          <w:szCs w:val="22"/>
          <w:lang w:val="fr-CA"/>
        </w:rPr>
        <w:t>00</w:t>
      </w:r>
      <w:r>
        <w:rPr>
          <w:sz w:val="22"/>
          <w:szCs w:val="22"/>
          <w:lang w:val="fr-CA"/>
        </w:rPr>
        <w:t> </w:t>
      </w:r>
      <w:r w:rsidRPr="00217EFC">
        <w:rPr>
          <w:sz w:val="22"/>
          <w:szCs w:val="22"/>
          <w:lang w:val="fr-CA"/>
        </w:rPr>
        <w:t xml:space="preserve">$ </w:t>
      </w:r>
      <w:r>
        <w:rPr>
          <w:sz w:val="22"/>
          <w:szCs w:val="22"/>
          <w:lang w:val="fr-CA"/>
        </w:rPr>
        <w:t xml:space="preserve">de sa quote-part </w:t>
      </w:r>
      <w:r w:rsidRPr="00217EFC">
        <w:rPr>
          <w:sz w:val="22"/>
          <w:szCs w:val="22"/>
          <w:lang w:val="fr-CA"/>
        </w:rPr>
        <w:t>de 3</w:t>
      </w:r>
      <w:r>
        <w:rPr>
          <w:sz w:val="22"/>
          <w:szCs w:val="22"/>
          <w:lang w:val="fr-CA"/>
        </w:rPr>
        <w:t> 000 </w:t>
      </w:r>
      <w:r w:rsidRPr="00217EFC">
        <w:rPr>
          <w:sz w:val="22"/>
          <w:szCs w:val="22"/>
          <w:lang w:val="fr-CA"/>
        </w:rPr>
        <w:t>000</w:t>
      </w:r>
      <w:r>
        <w:rPr>
          <w:sz w:val="22"/>
          <w:szCs w:val="22"/>
          <w:lang w:val="fr-CA"/>
        </w:rPr>
        <w:t> </w:t>
      </w:r>
      <w:r w:rsidRPr="00217EFC">
        <w:rPr>
          <w:sz w:val="22"/>
          <w:szCs w:val="22"/>
          <w:lang w:val="fr-CA"/>
        </w:rPr>
        <w:t xml:space="preserve">$. Quant à Manchester, la population </w:t>
      </w:r>
      <w:r w:rsidRPr="00822C60">
        <w:rPr>
          <w:sz w:val="22"/>
          <w:szCs w:val="22"/>
          <w:lang w:val="fr-CA"/>
        </w:rPr>
        <w:t>ré</w:t>
      </w:r>
      <w:r>
        <w:rPr>
          <w:sz w:val="22"/>
          <w:szCs w:val="22"/>
          <w:lang w:val="fr-CA"/>
        </w:rPr>
        <w:t xml:space="preserve">ussit à rassembler </w:t>
      </w:r>
      <w:r w:rsidRPr="00217EFC">
        <w:rPr>
          <w:sz w:val="22"/>
          <w:szCs w:val="22"/>
          <w:lang w:val="fr-CA"/>
        </w:rPr>
        <w:t>1</w:t>
      </w:r>
      <w:r>
        <w:rPr>
          <w:sz w:val="22"/>
          <w:szCs w:val="22"/>
          <w:lang w:val="fr-CA"/>
        </w:rPr>
        <w:t> 801 </w:t>
      </w:r>
      <w:r w:rsidRPr="00217EFC">
        <w:rPr>
          <w:sz w:val="22"/>
          <w:szCs w:val="22"/>
          <w:lang w:val="fr-CA"/>
        </w:rPr>
        <w:t>750</w:t>
      </w:r>
      <w:r>
        <w:rPr>
          <w:sz w:val="22"/>
          <w:szCs w:val="22"/>
          <w:lang w:val="fr-CA"/>
        </w:rPr>
        <w:t> </w:t>
      </w:r>
      <w:r w:rsidRPr="00217EFC">
        <w:rPr>
          <w:sz w:val="22"/>
          <w:szCs w:val="22"/>
          <w:lang w:val="fr-CA"/>
        </w:rPr>
        <w:t>$</w:t>
      </w:r>
      <w:r>
        <w:rPr>
          <w:sz w:val="22"/>
          <w:szCs w:val="22"/>
          <w:lang w:val="fr-CA"/>
        </w:rPr>
        <w:t>,</w:t>
      </w:r>
      <w:r w:rsidRPr="00217EFC">
        <w:rPr>
          <w:sz w:val="22"/>
          <w:szCs w:val="22"/>
          <w:lang w:val="fr-CA"/>
        </w:rPr>
        <w:t xml:space="preserve"> neuf jours avant la fin de la campagne</w:t>
      </w:r>
      <w:r>
        <w:rPr>
          <w:sz w:val="22"/>
          <w:szCs w:val="22"/>
          <w:lang w:val="fr-CA"/>
        </w:rPr>
        <w:t xml:space="preserve"> alors que </w:t>
      </w:r>
      <w:r w:rsidRPr="00217EFC">
        <w:rPr>
          <w:sz w:val="22"/>
          <w:szCs w:val="22"/>
          <w:lang w:val="fr-CA"/>
        </w:rPr>
        <w:t>le 13 octobre 1918</w:t>
      </w:r>
      <w:r>
        <w:rPr>
          <w:sz w:val="22"/>
          <w:szCs w:val="22"/>
          <w:lang w:val="fr-CA"/>
        </w:rPr>
        <w:t xml:space="preserve">, il manque à </w:t>
      </w:r>
      <w:r w:rsidRPr="00217EFC">
        <w:rPr>
          <w:sz w:val="22"/>
          <w:szCs w:val="22"/>
          <w:lang w:val="fr-CA"/>
        </w:rPr>
        <w:t>la ville 700</w:t>
      </w:r>
      <w:r>
        <w:rPr>
          <w:sz w:val="22"/>
          <w:szCs w:val="22"/>
          <w:lang w:val="fr-CA"/>
        </w:rPr>
        <w:t> </w:t>
      </w:r>
      <w:r w:rsidRPr="00217EFC">
        <w:rPr>
          <w:sz w:val="22"/>
          <w:szCs w:val="22"/>
          <w:lang w:val="fr-CA"/>
        </w:rPr>
        <w:t>000</w:t>
      </w:r>
      <w:r>
        <w:rPr>
          <w:sz w:val="22"/>
          <w:szCs w:val="22"/>
          <w:lang w:val="fr-CA"/>
        </w:rPr>
        <w:t> </w:t>
      </w:r>
      <w:r w:rsidRPr="00217EFC">
        <w:rPr>
          <w:sz w:val="22"/>
          <w:szCs w:val="22"/>
          <w:lang w:val="fr-CA"/>
        </w:rPr>
        <w:t xml:space="preserve">$ pour atteindre sa quote-part. </w:t>
      </w:r>
      <w:r>
        <w:rPr>
          <w:sz w:val="22"/>
          <w:szCs w:val="22"/>
          <w:lang w:val="fr-CA"/>
        </w:rPr>
        <w:t xml:space="preserve">Bien que la population semble démonter des signes d’essoufflement financier, </w:t>
      </w:r>
      <w:r w:rsidRPr="00217EFC">
        <w:rPr>
          <w:sz w:val="22"/>
          <w:szCs w:val="22"/>
          <w:lang w:val="fr-CA"/>
        </w:rPr>
        <w:t>les institutions financières de Manchester combl</w:t>
      </w:r>
      <w:r>
        <w:rPr>
          <w:sz w:val="22"/>
          <w:szCs w:val="22"/>
          <w:lang w:val="fr-CA"/>
        </w:rPr>
        <w:t xml:space="preserve">ent </w:t>
      </w:r>
      <w:r w:rsidRPr="00217EFC">
        <w:rPr>
          <w:sz w:val="22"/>
          <w:szCs w:val="22"/>
          <w:lang w:val="fr-CA"/>
        </w:rPr>
        <w:t>le manque à gagner pour ainsi recueillir la somme de 7 576</w:t>
      </w:r>
      <w:r>
        <w:rPr>
          <w:sz w:val="22"/>
          <w:szCs w:val="22"/>
          <w:lang w:val="fr-CA"/>
        </w:rPr>
        <w:t> </w:t>
      </w:r>
      <w:r w:rsidRPr="00217EFC">
        <w:rPr>
          <w:sz w:val="22"/>
          <w:szCs w:val="22"/>
          <w:lang w:val="fr-CA"/>
        </w:rPr>
        <w:t>5350</w:t>
      </w:r>
      <w:r>
        <w:rPr>
          <w:sz w:val="22"/>
          <w:szCs w:val="22"/>
          <w:lang w:val="fr-CA"/>
        </w:rPr>
        <w:t xml:space="preserve"> </w:t>
      </w:r>
      <w:r w:rsidRPr="00217EFC">
        <w:rPr>
          <w:sz w:val="22"/>
          <w:szCs w:val="22"/>
          <w:lang w:val="fr-CA"/>
        </w:rPr>
        <w:t>$</w:t>
      </w:r>
      <w:r w:rsidRPr="00217EFC">
        <w:rPr>
          <w:sz w:val="22"/>
          <w:szCs w:val="22"/>
          <w:vertAlign w:val="superscript"/>
          <w:lang w:val="fr-CA"/>
        </w:rPr>
        <w:footnoteReference w:id="418"/>
      </w:r>
      <w:r w:rsidRPr="00217EFC">
        <w:rPr>
          <w:sz w:val="22"/>
          <w:szCs w:val="22"/>
          <w:lang w:val="fr-CA"/>
        </w:rPr>
        <w:t xml:space="preserve"> et faire passer la souscription de la ville de 15</w:t>
      </w:r>
      <w:r>
        <w:rPr>
          <w:sz w:val="22"/>
          <w:szCs w:val="22"/>
          <w:lang w:val="fr-CA"/>
        </w:rPr>
        <w:t> %</w:t>
      </w:r>
      <w:r w:rsidRPr="00217EFC">
        <w:rPr>
          <w:sz w:val="22"/>
          <w:szCs w:val="22"/>
          <w:lang w:val="fr-CA"/>
        </w:rPr>
        <w:t xml:space="preserve"> à 60</w:t>
      </w:r>
      <w:r>
        <w:rPr>
          <w:sz w:val="22"/>
          <w:szCs w:val="22"/>
          <w:lang w:val="fr-CA"/>
        </w:rPr>
        <w:t> %</w:t>
      </w:r>
      <w:r w:rsidRPr="00217EFC">
        <w:rPr>
          <w:sz w:val="22"/>
          <w:szCs w:val="22"/>
          <w:lang w:val="fr-CA"/>
        </w:rPr>
        <w:t xml:space="preserve"> de plus que la quote-part</w:t>
      </w:r>
      <w:r w:rsidRPr="00217EFC">
        <w:rPr>
          <w:sz w:val="22"/>
          <w:szCs w:val="22"/>
          <w:vertAlign w:val="superscript"/>
          <w:lang w:val="fr-CA"/>
        </w:rPr>
        <w:footnoteReference w:id="419"/>
      </w:r>
      <w:r w:rsidRPr="00217EFC">
        <w:rPr>
          <w:sz w:val="22"/>
          <w:szCs w:val="22"/>
          <w:lang w:val="fr-CA"/>
        </w:rPr>
        <w:t>.</w:t>
      </w:r>
    </w:p>
    <w:p w14:paraId="7575A736" w14:textId="77777777" w:rsidR="000264D6" w:rsidRPr="00217EFC" w:rsidRDefault="000264D6" w:rsidP="002B5319">
      <w:pPr>
        <w:spacing w:before="100" w:beforeAutospacing="1" w:after="100" w:afterAutospacing="1"/>
        <w:ind w:firstLine="360"/>
        <w:jc w:val="both"/>
        <w:rPr>
          <w:sz w:val="22"/>
          <w:szCs w:val="22"/>
          <w:lang w:val="fr-CA"/>
        </w:rPr>
      </w:pPr>
      <w:r w:rsidRPr="00217EFC">
        <w:rPr>
          <w:sz w:val="22"/>
          <w:szCs w:val="22"/>
          <w:lang w:val="fr-CA"/>
        </w:rPr>
        <w:t xml:space="preserve">Pour ce qui est des timbres de guerre, la </w:t>
      </w:r>
      <w:r w:rsidRPr="00217EFC">
        <w:rPr>
          <w:i/>
          <w:iCs/>
          <w:sz w:val="22"/>
          <w:szCs w:val="22"/>
          <w:lang w:val="fr-CA"/>
        </w:rPr>
        <w:t xml:space="preserve">Tribune </w:t>
      </w:r>
      <w:r w:rsidRPr="00217EFC">
        <w:rPr>
          <w:sz w:val="22"/>
          <w:szCs w:val="22"/>
          <w:lang w:val="fr-CA"/>
        </w:rPr>
        <w:t>rapporte que la campagne s’est très bien déroulée et que la population franco-américaine de Woonsocket s’est impliquée</w:t>
      </w:r>
      <w:r w:rsidRPr="00217EFC">
        <w:rPr>
          <w:rStyle w:val="FootnoteReference"/>
          <w:sz w:val="22"/>
          <w:szCs w:val="22"/>
          <w:lang w:val="fr-CA"/>
        </w:rPr>
        <w:footnoteReference w:id="420"/>
      </w:r>
      <w:r w:rsidRPr="00217EFC">
        <w:rPr>
          <w:sz w:val="22"/>
          <w:szCs w:val="22"/>
          <w:lang w:val="fr-CA"/>
        </w:rPr>
        <w:t>. Quant à Manchester</w:t>
      </w:r>
      <w:r>
        <w:rPr>
          <w:sz w:val="22"/>
          <w:szCs w:val="22"/>
          <w:lang w:val="fr-CA"/>
        </w:rPr>
        <w:t>,</w:t>
      </w:r>
      <w:r w:rsidRPr="00217EFC">
        <w:rPr>
          <w:sz w:val="22"/>
          <w:szCs w:val="22"/>
          <w:lang w:val="fr-CA"/>
        </w:rPr>
        <w:t xml:space="preserve"> </w:t>
      </w:r>
      <w:r>
        <w:rPr>
          <w:sz w:val="22"/>
          <w:szCs w:val="22"/>
          <w:lang w:val="fr-CA"/>
        </w:rPr>
        <w:t xml:space="preserve">sans avoir recensé les résultats finaux de la campagne, nous estimons, </w:t>
      </w:r>
      <w:r w:rsidRPr="00217EFC">
        <w:rPr>
          <w:sz w:val="22"/>
          <w:szCs w:val="22"/>
          <w:lang w:val="fr-CA"/>
        </w:rPr>
        <w:t xml:space="preserve">en </w:t>
      </w:r>
      <w:r>
        <w:rPr>
          <w:sz w:val="22"/>
          <w:szCs w:val="22"/>
          <w:lang w:val="fr-CA"/>
        </w:rPr>
        <w:t xml:space="preserve">nous basant sur </w:t>
      </w:r>
      <w:r w:rsidRPr="00217EFC">
        <w:rPr>
          <w:sz w:val="22"/>
          <w:szCs w:val="22"/>
          <w:lang w:val="fr-CA"/>
        </w:rPr>
        <w:t xml:space="preserve">la teneur des différents articles </w:t>
      </w:r>
      <w:r>
        <w:rPr>
          <w:sz w:val="22"/>
          <w:szCs w:val="22"/>
          <w:lang w:val="fr-CA"/>
        </w:rPr>
        <w:t xml:space="preserve">parus durant </w:t>
      </w:r>
      <w:r w:rsidRPr="00217EFC">
        <w:rPr>
          <w:sz w:val="22"/>
          <w:szCs w:val="22"/>
          <w:lang w:val="fr-CA"/>
        </w:rPr>
        <w:t>le mois de juin 1918</w:t>
      </w:r>
      <w:r>
        <w:rPr>
          <w:sz w:val="22"/>
          <w:szCs w:val="22"/>
          <w:lang w:val="fr-CA"/>
        </w:rPr>
        <w:t>, q</w:t>
      </w:r>
      <w:r w:rsidRPr="00217EFC">
        <w:rPr>
          <w:sz w:val="22"/>
          <w:szCs w:val="22"/>
          <w:lang w:val="fr-CA"/>
        </w:rPr>
        <w:t xml:space="preserve">ue la campagne est conduite </w:t>
      </w:r>
      <w:r>
        <w:rPr>
          <w:sz w:val="22"/>
          <w:szCs w:val="22"/>
          <w:lang w:val="fr-CA"/>
        </w:rPr>
        <w:t xml:space="preserve">vigoureusement et qu’elle est </w:t>
      </w:r>
      <w:r w:rsidRPr="00217EFC">
        <w:rPr>
          <w:sz w:val="22"/>
          <w:szCs w:val="22"/>
          <w:lang w:val="fr-CA"/>
        </w:rPr>
        <w:t>un franc succès.</w:t>
      </w:r>
    </w:p>
    <w:p w14:paraId="3D9CBD33" w14:textId="3B42DF49" w:rsidR="00E866F3" w:rsidRPr="006E3DE1" w:rsidRDefault="000264D6" w:rsidP="002B5319">
      <w:pPr>
        <w:spacing w:before="100" w:beforeAutospacing="1" w:after="100" w:afterAutospacing="1"/>
        <w:ind w:firstLine="360"/>
        <w:jc w:val="both"/>
        <w:rPr>
          <w:sz w:val="22"/>
          <w:lang w:val="fr-CA"/>
        </w:rPr>
      </w:pPr>
      <w:r w:rsidRPr="00B62146">
        <w:rPr>
          <w:sz w:val="22"/>
          <w:szCs w:val="22"/>
          <w:lang w:val="fr-CA"/>
        </w:rPr>
        <w:t>Au regard des</w:t>
      </w:r>
      <w:r>
        <w:rPr>
          <w:sz w:val="22"/>
          <w:szCs w:val="22"/>
          <w:lang w:val="fr-CA"/>
        </w:rPr>
        <w:t xml:space="preserve"> œuvres de bienfaisance, </w:t>
      </w:r>
      <w:r w:rsidRPr="00217EFC">
        <w:rPr>
          <w:rFonts w:eastAsia="Calibri"/>
          <w:sz w:val="22"/>
          <w:szCs w:val="22"/>
          <w:lang w:val="fr-CA" w:eastAsia="en-US"/>
        </w:rPr>
        <w:t>l</w:t>
      </w:r>
      <w:r>
        <w:rPr>
          <w:rFonts w:eastAsia="Calibri"/>
          <w:sz w:val="22"/>
          <w:szCs w:val="22"/>
          <w:lang w:val="fr-CA" w:eastAsia="en-US"/>
        </w:rPr>
        <w:t xml:space="preserve">a presse </w:t>
      </w:r>
      <w:r w:rsidRPr="00217EFC">
        <w:rPr>
          <w:rFonts w:eastAsia="Calibri"/>
          <w:sz w:val="22"/>
          <w:szCs w:val="22"/>
          <w:lang w:val="fr-CA" w:eastAsia="en-US"/>
        </w:rPr>
        <w:t xml:space="preserve">rapporte </w:t>
      </w:r>
      <w:r>
        <w:rPr>
          <w:sz w:val="22"/>
          <w:szCs w:val="22"/>
          <w:lang w:val="fr-CA"/>
        </w:rPr>
        <w:t>d</w:t>
      </w:r>
      <w:r w:rsidRPr="00217EFC">
        <w:rPr>
          <w:rFonts w:eastAsia="Calibri"/>
          <w:sz w:val="22"/>
          <w:szCs w:val="22"/>
          <w:lang w:val="fr-CA" w:eastAsia="en-US"/>
        </w:rPr>
        <w:t xml:space="preserve">ès le début de la guerre les actions de la Croix-Rouge et </w:t>
      </w:r>
      <w:r>
        <w:rPr>
          <w:rFonts w:eastAsia="Calibri"/>
          <w:sz w:val="22"/>
          <w:szCs w:val="22"/>
          <w:lang w:val="fr-CA" w:eastAsia="en-US"/>
        </w:rPr>
        <w:t xml:space="preserve">elle </w:t>
      </w:r>
      <w:r w:rsidRPr="00217EFC">
        <w:rPr>
          <w:rFonts w:eastAsia="Calibri"/>
          <w:sz w:val="22"/>
          <w:szCs w:val="22"/>
          <w:lang w:val="fr-CA" w:eastAsia="en-US"/>
        </w:rPr>
        <w:t xml:space="preserve">encourage </w:t>
      </w:r>
      <w:r>
        <w:rPr>
          <w:rFonts w:eastAsia="Calibri"/>
          <w:sz w:val="22"/>
          <w:szCs w:val="22"/>
          <w:lang w:val="fr-CA" w:eastAsia="en-US"/>
        </w:rPr>
        <w:t xml:space="preserve">la </w:t>
      </w:r>
      <w:r w:rsidRPr="00217EFC">
        <w:rPr>
          <w:rFonts w:eastAsia="Calibri"/>
          <w:sz w:val="22"/>
          <w:szCs w:val="22"/>
          <w:lang w:val="fr-CA" w:eastAsia="en-US"/>
        </w:rPr>
        <w:t xml:space="preserve">population à </w:t>
      </w:r>
      <w:r>
        <w:rPr>
          <w:rFonts w:eastAsia="Calibri"/>
          <w:sz w:val="22"/>
          <w:szCs w:val="22"/>
          <w:lang w:val="fr-CA" w:eastAsia="en-US"/>
        </w:rPr>
        <w:t>soutenir sa cause</w:t>
      </w:r>
      <w:r w:rsidRPr="00217EFC">
        <w:rPr>
          <w:rFonts w:eastAsia="Calibri"/>
          <w:sz w:val="22"/>
          <w:szCs w:val="22"/>
          <w:lang w:val="fr-CA" w:eastAsia="en-US"/>
        </w:rPr>
        <w:t xml:space="preserve">. </w:t>
      </w:r>
      <w:r>
        <w:rPr>
          <w:rFonts w:eastAsia="Calibri"/>
          <w:sz w:val="22"/>
          <w:szCs w:val="22"/>
          <w:lang w:val="fr-CA" w:eastAsia="en-US"/>
        </w:rPr>
        <w:t>Or, l</w:t>
      </w:r>
      <w:r w:rsidRPr="00217EFC">
        <w:rPr>
          <w:rFonts w:eastAsia="Calibri"/>
          <w:sz w:val="22"/>
          <w:szCs w:val="22"/>
          <w:lang w:val="fr-CA" w:eastAsia="en-US"/>
        </w:rPr>
        <w:t xml:space="preserve">es recherches </w:t>
      </w:r>
      <w:r>
        <w:rPr>
          <w:rFonts w:eastAsia="Calibri"/>
          <w:sz w:val="22"/>
          <w:szCs w:val="22"/>
          <w:lang w:val="fr-CA" w:eastAsia="en-US"/>
        </w:rPr>
        <w:t>sur Woonsocket</w:t>
      </w:r>
      <w:r w:rsidRPr="00217EFC">
        <w:rPr>
          <w:rFonts w:eastAsia="Calibri"/>
          <w:sz w:val="22"/>
          <w:szCs w:val="22"/>
          <w:lang w:val="fr-CA" w:eastAsia="en-US"/>
        </w:rPr>
        <w:t xml:space="preserve"> r</w:t>
      </w:r>
      <w:r>
        <w:rPr>
          <w:rFonts w:eastAsia="Calibri"/>
          <w:sz w:val="22"/>
          <w:szCs w:val="22"/>
          <w:lang w:val="fr-CA" w:eastAsia="en-US"/>
        </w:rPr>
        <w:t xml:space="preserve">évèlent </w:t>
      </w:r>
      <w:r w:rsidRPr="00217EFC">
        <w:rPr>
          <w:rFonts w:eastAsia="Calibri"/>
          <w:sz w:val="22"/>
          <w:szCs w:val="22"/>
          <w:lang w:val="fr-CA" w:eastAsia="en-US"/>
        </w:rPr>
        <w:t>l</w:t>
      </w:r>
      <w:r>
        <w:rPr>
          <w:rFonts w:eastAsia="Calibri"/>
          <w:sz w:val="22"/>
          <w:szCs w:val="22"/>
          <w:lang w:val="fr-CA" w:eastAsia="en-US"/>
        </w:rPr>
        <w:t>’</w:t>
      </w:r>
      <w:r w:rsidRPr="00217EFC">
        <w:rPr>
          <w:rFonts w:eastAsia="Calibri"/>
          <w:sz w:val="22"/>
          <w:szCs w:val="22"/>
          <w:lang w:val="fr-CA" w:eastAsia="en-US"/>
        </w:rPr>
        <w:t>enrôlement de 9</w:t>
      </w:r>
      <w:r w:rsidR="00280A69">
        <w:rPr>
          <w:rFonts w:eastAsia="Calibri"/>
          <w:sz w:val="22"/>
          <w:szCs w:val="22"/>
          <w:lang w:val="fr-CA" w:eastAsia="en-US"/>
        </w:rPr>
        <w:t> </w:t>
      </w:r>
      <w:r w:rsidRPr="00217EFC">
        <w:rPr>
          <w:rFonts w:eastAsia="Calibri"/>
          <w:sz w:val="22"/>
          <w:szCs w:val="22"/>
          <w:lang w:val="fr-CA" w:eastAsia="en-US"/>
        </w:rPr>
        <w:t>550 membres</w:t>
      </w:r>
      <w:r>
        <w:rPr>
          <w:rFonts w:eastAsia="Calibri"/>
          <w:sz w:val="22"/>
          <w:szCs w:val="22"/>
          <w:lang w:val="fr-CA" w:eastAsia="en-US"/>
        </w:rPr>
        <w:t xml:space="preserve"> dans les comités de la Croix-Rouge américaine</w:t>
      </w:r>
      <w:r w:rsidRPr="00217EFC">
        <w:rPr>
          <w:rFonts w:eastAsia="Calibri"/>
          <w:sz w:val="22"/>
          <w:szCs w:val="22"/>
          <w:lang w:val="fr-CA" w:eastAsia="en-US"/>
        </w:rPr>
        <w:t>, soit</w:t>
      </w:r>
      <w:r>
        <w:rPr>
          <w:rFonts w:eastAsia="Calibri"/>
          <w:sz w:val="22"/>
          <w:szCs w:val="22"/>
          <w:lang w:val="fr-CA" w:eastAsia="en-US"/>
        </w:rPr>
        <w:t xml:space="preserve"> 25</w:t>
      </w:r>
      <w:r w:rsidR="00A24610">
        <w:rPr>
          <w:rFonts w:eastAsia="Calibri"/>
          <w:sz w:val="22"/>
          <w:szCs w:val="22"/>
          <w:lang w:val="fr-CA" w:eastAsia="en-US"/>
        </w:rPr>
        <w:t> </w:t>
      </w:r>
      <w:r>
        <w:rPr>
          <w:rFonts w:eastAsia="Calibri"/>
          <w:sz w:val="22"/>
          <w:szCs w:val="22"/>
          <w:lang w:val="fr-CA" w:eastAsia="en-US"/>
        </w:rPr>
        <w:t>%</w:t>
      </w:r>
      <w:r w:rsidRPr="00217EFC">
        <w:rPr>
          <w:rFonts w:eastAsia="Calibri"/>
          <w:sz w:val="22"/>
          <w:szCs w:val="22"/>
          <w:lang w:val="fr-CA" w:eastAsia="en-US"/>
        </w:rPr>
        <w:t xml:space="preserve"> de la population de Woonsocket</w:t>
      </w:r>
      <w:r w:rsidRPr="00217EFC">
        <w:rPr>
          <w:rStyle w:val="FootnoteReference"/>
          <w:rFonts w:eastAsia="Calibri"/>
          <w:sz w:val="22"/>
          <w:szCs w:val="22"/>
          <w:lang w:val="fr-CA" w:eastAsia="en-US"/>
        </w:rPr>
        <w:footnoteReference w:id="421"/>
      </w:r>
      <w:r w:rsidRPr="00217EFC">
        <w:rPr>
          <w:rFonts w:eastAsia="Calibri"/>
          <w:sz w:val="22"/>
          <w:szCs w:val="22"/>
          <w:lang w:val="fr-CA" w:eastAsia="en-US"/>
        </w:rPr>
        <w:t xml:space="preserve">. Tandis que </w:t>
      </w:r>
      <w:r>
        <w:rPr>
          <w:rFonts w:eastAsia="Calibri"/>
          <w:sz w:val="22"/>
          <w:szCs w:val="22"/>
          <w:lang w:val="fr-CA" w:eastAsia="en-US"/>
        </w:rPr>
        <w:t xml:space="preserve">le dépouillement de </w:t>
      </w:r>
      <w:r>
        <w:rPr>
          <w:rFonts w:eastAsia="Calibri"/>
          <w:i/>
          <w:iCs/>
          <w:sz w:val="22"/>
          <w:szCs w:val="22"/>
          <w:lang w:val="fr-CA" w:eastAsia="en-US"/>
        </w:rPr>
        <w:t>L’Avenir National</w:t>
      </w:r>
      <w:r>
        <w:rPr>
          <w:rFonts w:eastAsia="Calibri"/>
          <w:sz w:val="22"/>
          <w:szCs w:val="22"/>
          <w:lang w:val="fr-CA" w:eastAsia="en-US"/>
        </w:rPr>
        <w:t xml:space="preserve"> nous </w:t>
      </w:r>
      <w:r w:rsidRPr="00217EFC">
        <w:rPr>
          <w:rFonts w:eastAsia="Calibri"/>
          <w:sz w:val="22"/>
          <w:szCs w:val="22"/>
          <w:lang w:val="fr-CA" w:eastAsia="en-US"/>
        </w:rPr>
        <w:t xml:space="preserve">permet de découvrir </w:t>
      </w:r>
      <w:r>
        <w:rPr>
          <w:rFonts w:eastAsia="Calibri"/>
          <w:sz w:val="22"/>
          <w:szCs w:val="22"/>
          <w:lang w:val="fr-CA" w:eastAsia="en-US"/>
        </w:rPr>
        <w:t xml:space="preserve">davantage la teneur </w:t>
      </w:r>
      <w:r w:rsidRPr="00217EFC">
        <w:rPr>
          <w:rFonts w:eastAsia="Calibri"/>
          <w:sz w:val="22"/>
          <w:szCs w:val="22"/>
          <w:lang w:val="fr-CA" w:eastAsia="en-US"/>
        </w:rPr>
        <w:t>des contributions à la Croix-Roug</w:t>
      </w:r>
      <w:r w:rsidRPr="00666AAD">
        <w:rPr>
          <w:rFonts w:eastAsia="Calibri"/>
          <w:sz w:val="22"/>
          <w:lang w:val="fr-CA"/>
        </w:rPr>
        <w:t>e</w:t>
      </w:r>
      <w:r>
        <w:rPr>
          <w:rFonts w:eastAsia="Calibri"/>
          <w:sz w:val="22"/>
          <w:szCs w:val="22"/>
          <w:lang w:val="fr-CA" w:eastAsia="en-US"/>
        </w:rPr>
        <w:t>,</w:t>
      </w:r>
      <w:r w:rsidRPr="00666AAD">
        <w:rPr>
          <w:rFonts w:eastAsia="Calibri"/>
          <w:sz w:val="22"/>
          <w:lang w:val="fr-CA"/>
        </w:rPr>
        <w:t xml:space="preserve"> de</w:t>
      </w:r>
      <w:r>
        <w:rPr>
          <w:rFonts w:eastAsia="Calibri"/>
          <w:sz w:val="22"/>
          <w:szCs w:val="22"/>
          <w:lang w:val="fr-CA" w:eastAsia="en-US"/>
        </w:rPr>
        <w:t xml:space="preserve"> </w:t>
      </w:r>
      <w:r w:rsidRPr="00217EFC">
        <w:rPr>
          <w:rFonts w:eastAsia="Calibri"/>
          <w:sz w:val="22"/>
          <w:szCs w:val="22"/>
          <w:lang w:val="fr-CA" w:eastAsia="en-US"/>
        </w:rPr>
        <w:t>la population de Manchester</w:t>
      </w:r>
      <w:r>
        <w:rPr>
          <w:rFonts w:eastAsia="Calibri"/>
          <w:sz w:val="22"/>
          <w:szCs w:val="22"/>
          <w:lang w:val="fr-CA" w:eastAsia="en-US"/>
        </w:rPr>
        <w:t xml:space="preserve">, </w:t>
      </w:r>
      <w:r w:rsidRPr="00666AAD">
        <w:rPr>
          <w:rFonts w:eastAsia="Calibri"/>
          <w:sz w:val="22"/>
          <w:lang w:val="fr-CA"/>
        </w:rPr>
        <w:t>notamment</w:t>
      </w:r>
      <w:r>
        <w:rPr>
          <w:rFonts w:eastAsia="Calibri"/>
          <w:sz w:val="22"/>
          <w:szCs w:val="22"/>
          <w:lang w:val="fr-CA" w:eastAsia="en-US"/>
        </w:rPr>
        <w:t xml:space="preserve">, comme </w:t>
      </w:r>
      <w:r w:rsidRPr="00217EFC">
        <w:rPr>
          <w:rFonts w:eastAsia="Calibri"/>
          <w:sz w:val="22"/>
          <w:szCs w:val="22"/>
          <w:lang w:val="fr-CA" w:eastAsia="en-US"/>
        </w:rPr>
        <w:t>les</w:t>
      </w:r>
      <w:r>
        <w:rPr>
          <w:rFonts w:eastAsia="Calibri"/>
          <w:sz w:val="22"/>
          <w:szCs w:val="22"/>
          <w:lang w:val="fr-CA" w:eastAsia="en-US"/>
        </w:rPr>
        <w:t xml:space="preserve"> </w:t>
      </w:r>
      <w:r w:rsidRPr="00217EFC">
        <w:rPr>
          <w:rFonts w:eastAsia="Calibri"/>
          <w:sz w:val="22"/>
          <w:szCs w:val="22"/>
          <w:lang w:val="fr-CA" w:eastAsia="en-US"/>
        </w:rPr>
        <w:t>paquets préparés</w:t>
      </w:r>
      <w:r>
        <w:rPr>
          <w:rFonts w:eastAsia="Calibri"/>
          <w:sz w:val="22"/>
          <w:szCs w:val="22"/>
          <w:lang w:val="fr-CA" w:eastAsia="en-US"/>
        </w:rPr>
        <w:t xml:space="preserve">, </w:t>
      </w:r>
      <w:r w:rsidRPr="00217EFC">
        <w:rPr>
          <w:rFonts w:eastAsia="Calibri"/>
          <w:sz w:val="22"/>
          <w:szCs w:val="22"/>
          <w:lang w:val="fr-CA" w:eastAsia="en-US"/>
        </w:rPr>
        <w:t>les</w:t>
      </w:r>
      <w:r w:rsidRPr="00666AAD">
        <w:rPr>
          <w:rFonts w:eastAsia="Calibri"/>
          <w:sz w:val="22"/>
          <w:lang w:val="fr-CA"/>
        </w:rPr>
        <w:t xml:space="preserve"> différents </w:t>
      </w:r>
      <w:r w:rsidRPr="00B62146">
        <w:rPr>
          <w:rFonts w:eastAsia="Calibri"/>
          <w:sz w:val="22"/>
          <w:szCs w:val="22"/>
          <w:lang w:val="fr-CA" w:eastAsia="en-US"/>
        </w:rPr>
        <w:t xml:space="preserve">types de </w:t>
      </w:r>
      <w:r w:rsidRPr="00666AAD">
        <w:rPr>
          <w:rFonts w:eastAsia="Calibri"/>
          <w:sz w:val="22"/>
          <w:lang w:val="fr-CA"/>
        </w:rPr>
        <w:t>vêtements</w:t>
      </w:r>
      <w:r>
        <w:rPr>
          <w:rFonts w:eastAsia="Calibri"/>
          <w:sz w:val="22"/>
          <w:szCs w:val="22"/>
          <w:lang w:val="fr-CA" w:eastAsia="en-US"/>
        </w:rPr>
        <w:t xml:space="preserve"> </w:t>
      </w:r>
      <w:r w:rsidRPr="00666AAD">
        <w:rPr>
          <w:rFonts w:eastAsia="Calibri"/>
          <w:sz w:val="22"/>
          <w:lang w:val="fr-CA"/>
        </w:rPr>
        <w:t>et</w:t>
      </w:r>
      <w:r>
        <w:rPr>
          <w:rFonts w:eastAsia="Calibri"/>
          <w:sz w:val="22"/>
          <w:szCs w:val="22"/>
          <w:lang w:val="fr-CA" w:eastAsia="en-US"/>
        </w:rPr>
        <w:t xml:space="preserve"> d’accessoires médica</w:t>
      </w:r>
      <w:r w:rsidR="00A24610">
        <w:rPr>
          <w:rFonts w:eastAsia="Calibri"/>
          <w:sz w:val="22"/>
          <w:szCs w:val="22"/>
          <w:lang w:val="fr-CA" w:eastAsia="en-US"/>
        </w:rPr>
        <w:t>ux</w:t>
      </w:r>
      <w:r>
        <w:rPr>
          <w:rFonts w:eastAsia="Calibri"/>
          <w:sz w:val="22"/>
          <w:szCs w:val="22"/>
          <w:lang w:val="fr-CA" w:eastAsia="en-US"/>
        </w:rPr>
        <w:t xml:space="preserve"> </w:t>
      </w:r>
      <w:r w:rsidRPr="00217EFC">
        <w:rPr>
          <w:rFonts w:eastAsia="Calibri"/>
          <w:sz w:val="22"/>
          <w:szCs w:val="22"/>
          <w:lang w:val="fr-CA" w:eastAsia="en-US"/>
        </w:rPr>
        <w:t xml:space="preserve">confectionnés pour les soldats hospitalisés. Dès aout 1914, des comités de la Croix-Rouge sont </w:t>
      </w:r>
      <w:r>
        <w:rPr>
          <w:rFonts w:eastAsia="Calibri"/>
          <w:sz w:val="22"/>
          <w:szCs w:val="22"/>
          <w:lang w:val="fr-CA" w:eastAsia="en-US"/>
        </w:rPr>
        <w:t xml:space="preserve">créés </w:t>
      </w:r>
      <w:r w:rsidRPr="00217EFC">
        <w:rPr>
          <w:rFonts w:eastAsia="Calibri"/>
          <w:sz w:val="22"/>
          <w:szCs w:val="22"/>
          <w:lang w:val="fr-CA" w:eastAsia="en-US"/>
        </w:rPr>
        <w:t xml:space="preserve">pour aider les populations belges directement affectées par la guerre. Par exemple, les </w:t>
      </w:r>
      <w:r w:rsidRPr="00217EFC">
        <w:rPr>
          <w:rFonts w:eastAsia="Calibri"/>
          <w:i/>
          <w:iCs/>
          <w:sz w:val="22"/>
          <w:szCs w:val="22"/>
          <w:lang w:val="fr-CA" w:eastAsia="en-US"/>
        </w:rPr>
        <w:t>Dames de la Croix-Rouge</w:t>
      </w:r>
      <w:r w:rsidRPr="00217EFC">
        <w:rPr>
          <w:rFonts w:eastAsia="Calibri"/>
          <w:sz w:val="22"/>
          <w:szCs w:val="22"/>
          <w:lang w:val="fr-CA" w:eastAsia="en-US"/>
        </w:rPr>
        <w:t xml:space="preserve"> recueillent des fonds pour confectionner des articles pour les hôpitaux européens. </w:t>
      </w:r>
      <w:r>
        <w:rPr>
          <w:rFonts w:eastAsia="Calibri"/>
          <w:sz w:val="22"/>
          <w:szCs w:val="22"/>
          <w:lang w:val="fr-CA" w:eastAsia="en-US"/>
        </w:rPr>
        <w:t>De plus, n</w:t>
      </w:r>
      <w:r w:rsidRPr="00217EFC">
        <w:rPr>
          <w:rFonts w:eastAsia="Calibri"/>
          <w:sz w:val="22"/>
          <w:szCs w:val="22"/>
          <w:lang w:val="fr-CA" w:eastAsia="en-US"/>
        </w:rPr>
        <w:t xml:space="preserve">ous constatons que des œuvres d’entraides lors </w:t>
      </w:r>
      <w:r w:rsidRPr="00217EFC">
        <w:rPr>
          <w:rFonts w:eastAsia="Calibri"/>
          <w:sz w:val="22"/>
          <w:szCs w:val="22"/>
          <w:lang w:val="fr-CA" w:eastAsia="en-US"/>
        </w:rPr>
        <w:lastRenderedPageBreak/>
        <w:t xml:space="preserve">de la phase </w:t>
      </w:r>
      <w:r>
        <w:rPr>
          <w:rFonts w:eastAsia="Calibri"/>
          <w:sz w:val="22"/>
          <w:szCs w:val="22"/>
          <w:lang w:val="fr-CA" w:eastAsia="en-US"/>
        </w:rPr>
        <w:t xml:space="preserve">de </w:t>
      </w:r>
      <w:r w:rsidRPr="00217EFC">
        <w:rPr>
          <w:rFonts w:eastAsia="Calibri"/>
          <w:sz w:val="22"/>
          <w:szCs w:val="22"/>
          <w:lang w:val="fr-CA" w:eastAsia="en-US"/>
        </w:rPr>
        <w:t>neutr</w:t>
      </w:r>
      <w:r>
        <w:rPr>
          <w:rFonts w:eastAsia="Calibri"/>
          <w:sz w:val="22"/>
          <w:szCs w:val="22"/>
          <w:lang w:val="fr-CA" w:eastAsia="en-US"/>
        </w:rPr>
        <w:t xml:space="preserve">alité des États-Unis, </w:t>
      </w:r>
      <w:r w:rsidRPr="00BF39E5">
        <w:rPr>
          <w:rFonts w:eastAsia="Calibri"/>
          <w:sz w:val="22"/>
          <w:szCs w:val="22"/>
          <w:lang w:val="fr-CA" w:eastAsia="en-US"/>
        </w:rPr>
        <w:t>p</w:t>
      </w:r>
      <w:r>
        <w:rPr>
          <w:rFonts w:eastAsia="Calibri"/>
          <w:sz w:val="22"/>
          <w:szCs w:val="22"/>
          <w:lang w:val="fr-CA" w:eastAsia="en-US"/>
        </w:rPr>
        <w:t xml:space="preserve">our </w:t>
      </w:r>
      <w:r w:rsidRPr="00217EFC">
        <w:rPr>
          <w:rFonts w:eastAsia="Calibri"/>
          <w:sz w:val="22"/>
          <w:szCs w:val="22"/>
          <w:lang w:val="fr-CA" w:eastAsia="en-US"/>
        </w:rPr>
        <w:t>la Nouvelle-Angleterre</w:t>
      </w:r>
      <w:r>
        <w:rPr>
          <w:rFonts w:eastAsia="Calibri"/>
          <w:sz w:val="22"/>
          <w:szCs w:val="22"/>
          <w:lang w:val="fr-CA" w:eastAsia="en-US"/>
        </w:rPr>
        <w:t>,</w:t>
      </w:r>
      <w:r w:rsidRPr="00217EFC">
        <w:rPr>
          <w:rFonts w:eastAsia="Calibri"/>
          <w:sz w:val="22"/>
          <w:szCs w:val="22"/>
          <w:lang w:val="fr-CA" w:eastAsia="en-US"/>
        </w:rPr>
        <w:t xml:space="preserve"> étaient coordonnées </w:t>
      </w:r>
      <w:r>
        <w:rPr>
          <w:rFonts w:eastAsia="Calibri"/>
          <w:sz w:val="22"/>
          <w:szCs w:val="22"/>
          <w:lang w:val="fr-CA" w:eastAsia="en-US"/>
        </w:rPr>
        <w:t>principalement par les paroisses</w:t>
      </w:r>
      <w:r w:rsidRPr="00217EFC">
        <w:rPr>
          <w:rFonts w:eastAsia="Calibri"/>
          <w:sz w:val="22"/>
          <w:szCs w:val="22"/>
          <w:lang w:val="fr-CA" w:eastAsia="en-US"/>
        </w:rPr>
        <w:t>.</w:t>
      </w:r>
      <w:r>
        <w:rPr>
          <w:rFonts w:eastAsia="Calibri"/>
          <w:sz w:val="22"/>
          <w:szCs w:val="22"/>
          <w:lang w:val="fr-CA" w:eastAsia="en-US"/>
        </w:rPr>
        <w:t xml:space="preserve"> </w:t>
      </w:r>
      <w:r w:rsidRPr="00217EFC">
        <w:rPr>
          <w:rFonts w:eastAsia="Calibri"/>
          <w:sz w:val="22"/>
          <w:szCs w:val="22"/>
          <w:lang w:val="fr-CA" w:eastAsia="en-US"/>
        </w:rPr>
        <w:t xml:space="preserve">Lorsque les États-Unis entrent en guerre, la Croix-Rouge américaine est </w:t>
      </w:r>
      <w:r>
        <w:rPr>
          <w:rFonts w:eastAsia="Calibri"/>
          <w:sz w:val="22"/>
          <w:szCs w:val="22"/>
          <w:lang w:val="fr-CA" w:eastAsia="en-US"/>
        </w:rPr>
        <w:t xml:space="preserve">rapidement </w:t>
      </w:r>
      <w:r w:rsidRPr="00217EFC">
        <w:rPr>
          <w:rFonts w:eastAsia="Calibri"/>
          <w:sz w:val="22"/>
          <w:szCs w:val="22"/>
          <w:lang w:val="fr-CA" w:eastAsia="en-US"/>
        </w:rPr>
        <w:t xml:space="preserve">établie </w:t>
      </w:r>
      <w:r>
        <w:rPr>
          <w:rFonts w:eastAsia="Calibri"/>
          <w:sz w:val="22"/>
          <w:szCs w:val="22"/>
          <w:lang w:val="fr-CA" w:eastAsia="en-US"/>
        </w:rPr>
        <w:t xml:space="preserve">et </w:t>
      </w:r>
      <w:r w:rsidRPr="00217EFC">
        <w:rPr>
          <w:rFonts w:eastAsia="Calibri"/>
          <w:sz w:val="22"/>
          <w:szCs w:val="22"/>
          <w:lang w:val="fr-CA" w:eastAsia="en-US"/>
        </w:rPr>
        <w:t>les campagnes de financement son</w:t>
      </w:r>
      <w:r>
        <w:rPr>
          <w:rFonts w:eastAsia="Calibri"/>
          <w:sz w:val="22"/>
          <w:szCs w:val="22"/>
          <w:lang w:val="fr-CA" w:eastAsia="en-US"/>
        </w:rPr>
        <w:t>t</w:t>
      </w:r>
      <w:r w:rsidRPr="00217EFC">
        <w:rPr>
          <w:rFonts w:eastAsia="Calibri"/>
          <w:sz w:val="22"/>
          <w:szCs w:val="22"/>
          <w:lang w:val="fr-CA" w:eastAsia="en-US"/>
        </w:rPr>
        <w:t xml:space="preserve"> coordonnées au niveau national. Par exemple, </w:t>
      </w:r>
      <w:r>
        <w:rPr>
          <w:rFonts w:eastAsia="Calibri"/>
          <w:sz w:val="22"/>
          <w:szCs w:val="22"/>
          <w:lang w:val="fr-CA" w:eastAsia="en-US"/>
        </w:rPr>
        <w:t xml:space="preserve">on indique que Woonsocket et </w:t>
      </w:r>
      <w:r w:rsidRPr="00217EFC">
        <w:rPr>
          <w:rFonts w:eastAsia="Calibri"/>
          <w:sz w:val="22"/>
          <w:szCs w:val="22"/>
          <w:lang w:val="fr-CA" w:eastAsia="en-US"/>
        </w:rPr>
        <w:t>Manchester doi</w:t>
      </w:r>
      <w:r>
        <w:rPr>
          <w:rFonts w:eastAsia="Calibri"/>
          <w:sz w:val="22"/>
          <w:szCs w:val="22"/>
          <w:lang w:val="fr-CA" w:eastAsia="en-US"/>
        </w:rPr>
        <w:t xml:space="preserve">vent ramasser </w:t>
      </w:r>
      <w:r w:rsidRPr="00B43862">
        <w:rPr>
          <w:rFonts w:eastAsia="Calibri"/>
          <w:sz w:val="22"/>
          <w:szCs w:val="22"/>
          <w:lang w:val="fr-CA" w:eastAsia="en-US"/>
        </w:rPr>
        <w:t xml:space="preserve">chacune </w:t>
      </w:r>
      <w:r w:rsidR="00FC688E">
        <w:rPr>
          <w:rFonts w:eastAsia="Calibri"/>
          <w:sz w:val="22"/>
          <w:szCs w:val="22"/>
          <w:lang w:val="fr-CA" w:eastAsia="en-US"/>
        </w:rPr>
        <w:t>25</w:t>
      </w:r>
      <w:bookmarkStart w:id="16" w:name="_GoBack"/>
      <w:bookmarkEnd w:id="16"/>
      <w:r w:rsidR="00742395" w:rsidRPr="00B43862">
        <w:rPr>
          <w:rFonts w:eastAsia="Calibri"/>
          <w:sz w:val="22"/>
          <w:szCs w:val="22"/>
          <w:lang w:val="fr-CA" w:eastAsia="en-US"/>
        </w:rPr>
        <w:t> 000</w:t>
      </w:r>
      <w:r w:rsidR="00B43862">
        <w:rPr>
          <w:rFonts w:eastAsia="Calibri"/>
          <w:sz w:val="22"/>
          <w:szCs w:val="22"/>
          <w:lang w:val="fr-CA" w:eastAsia="en-US"/>
        </w:rPr>
        <w:t> $</w:t>
      </w:r>
      <w:r w:rsidR="00742395">
        <w:rPr>
          <w:rFonts w:eastAsia="Calibri"/>
          <w:sz w:val="22"/>
          <w:szCs w:val="22"/>
          <w:lang w:val="fr-CA" w:eastAsia="en-US"/>
        </w:rPr>
        <w:t xml:space="preserve"> et </w:t>
      </w:r>
      <w:r w:rsidRPr="00217EFC">
        <w:rPr>
          <w:rFonts w:eastAsia="Calibri"/>
          <w:sz w:val="22"/>
          <w:szCs w:val="22"/>
          <w:lang w:val="fr-CA" w:eastAsia="en-US"/>
        </w:rPr>
        <w:t>100</w:t>
      </w:r>
      <w:r>
        <w:rPr>
          <w:rFonts w:eastAsia="Calibri"/>
          <w:sz w:val="22"/>
          <w:szCs w:val="22"/>
          <w:lang w:val="fr-CA" w:eastAsia="en-US"/>
        </w:rPr>
        <w:t> </w:t>
      </w:r>
      <w:r w:rsidRPr="00217EFC">
        <w:rPr>
          <w:rFonts w:eastAsia="Calibri"/>
          <w:sz w:val="22"/>
          <w:szCs w:val="22"/>
          <w:lang w:val="fr-CA" w:eastAsia="en-US"/>
        </w:rPr>
        <w:t>000</w:t>
      </w:r>
      <w:r>
        <w:rPr>
          <w:rFonts w:eastAsia="Calibri"/>
          <w:sz w:val="22"/>
          <w:szCs w:val="22"/>
          <w:lang w:val="fr-CA" w:eastAsia="en-US"/>
        </w:rPr>
        <w:t> </w:t>
      </w:r>
      <w:r w:rsidRPr="00217EFC">
        <w:rPr>
          <w:sz w:val="22"/>
          <w:szCs w:val="22"/>
          <w:lang w:val="fr-CA"/>
        </w:rPr>
        <w:t>$</w:t>
      </w:r>
      <w:r w:rsidRPr="00217EFC">
        <w:rPr>
          <w:rFonts w:eastAsia="Calibri"/>
          <w:sz w:val="22"/>
          <w:szCs w:val="22"/>
          <w:lang w:val="fr-CA" w:eastAsia="en-US"/>
        </w:rPr>
        <w:t xml:space="preserve"> lors de la première campagne</w:t>
      </w:r>
      <w:r>
        <w:rPr>
          <w:rFonts w:eastAsia="Calibri"/>
          <w:sz w:val="22"/>
          <w:szCs w:val="22"/>
          <w:lang w:val="fr-CA" w:eastAsia="en-US"/>
        </w:rPr>
        <w:t xml:space="preserve"> de </w:t>
      </w:r>
      <w:r w:rsidRPr="00217EFC">
        <w:rPr>
          <w:rFonts w:eastAsia="Calibri"/>
          <w:sz w:val="22"/>
          <w:szCs w:val="22"/>
          <w:lang w:val="fr-CA" w:eastAsia="en-US"/>
        </w:rPr>
        <w:t>juin 1917.</w:t>
      </w:r>
      <w:r>
        <w:rPr>
          <w:rFonts w:eastAsia="Calibri"/>
          <w:sz w:val="22"/>
          <w:szCs w:val="22"/>
          <w:lang w:val="fr-CA" w:eastAsia="en-US"/>
        </w:rPr>
        <w:t xml:space="preserve"> Pour cette premi</w:t>
      </w:r>
      <w:r w:rsidRPr="00F9301F">
        <w:rPr>
          <w:rFonts w:eastAsia="Calibri"/>
          <w:sz w:val="22"/>
          <w:szCs w:val="22"/>
          <w:lang w:val="fr-CA" w:eastAsia="en-US"/>
        </w:rPr>
        <w:t>è</w:t>
      </w:r>
      <w:r>
        <w:rPr>
          <w:rFonts w:eastAsia="Calibri"/>
          <w:sz w:val="22"/>
          <w:szCs w:val="22"/>
          <w:lang w:val="fr-CA" w:eastAsia="en-US"/>
        </w:rPr>
        <w:t xml:space="preserve">re campagne, les deux villes </w:t>
      </w:r>
      <w:r w:rsidRPr="00217EFC">
        <w:rPr>
          <w:rFonts w:eastAsia="Calibri"/>
          <w:sz w:val="22"/>
          <w:szCs w:val="22"/>
          <w:lang w:val="fr-CA" w:eastAsia="en-US"/>
        </w:rPr>
        <w:t>recueille</w:t>
      </w:r>
      <w:r>
        <w:rPr>
          <w:rFonts w:eastAsia="Calibri"/>
          <w:sz w:val="22"/>
          <w:szCs w:val="22"/>
          <w:lang w:val="fr-CA" w:eastAsia="en-US"/>
        </w:rPr>
        <w:t>nt</w:t>
      </w:r>
      <w:r w:rsidRPr="00217EFC">
        <w:rPr>
          <w:rFonts w:eastAsia="Calibri"/>
          <w:sz w:val="22"/>
          <w:szCs w:val="22"/>
          <w:lang w:val="fr-CA" w:eastAsia="en-US"/>
        </w:rPr>
        <w:t xml:space="preserve"> </w:t>
      </w:r>
      <w:r>
        <w:rPr>
          <w:rFonts w:eastAsia="Calibri"/>
          <w:sz w:val="22"/>
          <w:szCs w:val="22"/>
          <w:lang w:val="fr-CA" w:eastAsia="en-US"/>
        </w:rPr>
        <w:t xml:space="preserve">respectivement </w:t>
      </w:r>
      <w:r w:rsidRPr="00217EFC">
        <w:rPr>
          <w:rFonts w:eastAsia="Calibri"/>
          <w:sz w:val="22"/>
          <w:szCs w:val="22"/>
          <w:lang w:val="fr-CA" w:eastAsia="en-US"/>
        </w:rPr>
        <w:t>facilement 40</w:t>
      </w:r>
      <w:r>
        <w:rPr>
          <w:rFonts w:eastAsia="Calibri"/>
          <w:sz w:val="22"/>
          <w:szCs w:val="22"/>
          <w:lang w:val="fr-CA" w:eastAsia="en-US"/>
        </w:rPr>
        <w:t> </w:t>
      </w:r>
      <w:r w:rsidRPr="00217EFC">
        <w:rPr>
          <w:rFonts w:eastAsia="Calibri"/>
          <w:sz w:val="22"/>
          <w:szCs w:val="22"/>
          <w:lang w:val="fr-CA" w:eastAsia="en-US"/>
        </w:rPr>
        <w:t>000</w:t>
      </w:r>
      <w:r>
        <w:rPr>
          <w:rFonts w:eastAsia="Calibri"/>
          <w:sz w:val="22"/>
          <w:szCs w:val="22"/>
          <w:lang w:val="fr-CA" w:eastAsia="en-US"/>
        </w:rPr>
        <w:t> </w:t>
      </w:r>
      <w:r w:rsidRPr="00217EFC">
        <w:rPr>
          <w:sz w:val="22"/>
          <w:szCs w:val="22"/>
          <w:lang w:val="fr-CA"/>
        </w:rPr>
        <w:t>$</w:t>
      </w:r>
      <w:r>
        <w:rPr>
          <w:rFonts w:eastAsia="Calibri"/>
          <w:sz w:val="22"/>
          <w:szCs w:val="22"/>
          <w:lang w:val="fr-CA" w:eastAsia="en-US"/>
        </w:rPr>
        <w:t xml:space="preserve"> et </w:t>
      </w:r>
      <w:r w:rsidRPr="00217EFC">
        <w:rPr>
          <w:rFonts w:eastAsia="Calibri"/>
          <w:sz w:val="22"/>
          <w:szCs w:val="22"/>
          <w:lang w:val="fr-CA" w:eastAsia="en-US"/>
        </w:rPr>
        <w:t>plus de 43</w:t>
      </w:r>
      <w:r>
        <w:rPr>
          <w:rFonts w:eastAsia="Calibri"/>
          <w:sz w:val="22"/>
          <w:szCs w:val="22"/>
          <w:lang w:val="fr-CA" w:eastAsia="en-US"/>
        </w:rPr>
        <w:t> </w:t>
      </w:r>
      <w:r w:rsidRPr="00217EFC">
        <w:rPr>
          <w:rFonts w:eastAsia="Calibri"/>
          <w:sz w:val="22"/>
          <w:szCs w:val="22"/>
          <w:lang w:val="fr-CA" w:eastAsia="en-US"/>
        </w:rPr>
        <w:t>000</w:t>
      </w:r>
      <w:r>
        <w:rPr>
          <w:rFonts w:eastAsia="Calibri"/>
          <w:sz w:val="22"/>
          <w:szCs w:val="22"/>
          <w:lang w:val="fr-CA" w:eastAsia="en-US"/>
        </w:rPr>
        <w:t> </w:t>
      </w:r>
      <w:r w:rsidRPr="00217EFC">
        <w:rPr>
          <w:sz w:val="22"/>
          <w:szCs w:val="22"/>
          <w:lang w:val="fr-CA"/>
        </w:rPr>
        <w:t>$</w:t>
      </w:r>
      <w:r w:rsidRPr="00217EFC">
        <w:rPr>
          <w:rFonts w:eastAsia="Calibri"/>
          <w:sz w:val="22"/>
          <w:szCs w:val="22"/>
          <w:lang w:val="fr-CA" w:eastAsia="en-US"/>
        </w:rPr>
        <w:t xml:space="preserve">. Toutefois, Manchester continuera la campagne en organisant un carnaval en juillet 1917. </w:t>
      </w:r>
      <w:r>
        <w:rPr>
          <w:rFonts w:eastAsia="Calibri"/>
          <w:sz w:val="22"/>
          <w:szCs w:val="22"/>
          <w:lang w:val="fr-CA" w:eastAsia="en-US"/>
        </w:rPr>
        <w:t>L</w:t>
      </w:r>
      <w:r w:rsidRPr="00217EFC">
        <w:rPr>
          <w:rFonts w:eastAsia="Calibri"/>
          <w:sz w:val="22"/>
          <w:szCs w:val="22"/>
          <w:lang w:val="fr-CA" w:eastAsia="en-US"/>
        </w:rPr>
        <w:t xml:space="preserve">e comité de la Croix-Rouge de Manchester </w:t>
      </w:r>
      <w:r>
        <w:rPr>
          <w:rFonts w:eastAsia="Calibri"/>
          <w:sz w:val="22"/>
          <w:szCs w:val="22"/>
          <w:lang w:val="fr-CA" w:eastAsia="en-US"/>
        </w:rPr>
        <w:t xml:space="preserve">publie </w:t>
      </w:r>
      <w:r w:rsidRPr="00217EFC">
        <w:rPr>
          <w:rFonts w:eastAsia="Calibri"/>
          <w:sz w:val="22"/>
          <w:szCs w:val="22"/>
          <w:lang w:val="fr-CA" w:eastAsia="en-US"/>
        </w:rPr>
        <w:t>régulièrement la liste des articles qui sont confectionnés pour les soldats et les hôpitaux. Pour la deuxième campagne</w:t>
      </w:r>
      <w:r>
        <w:rPr>
          <w:rFonts w:eastAsia="Calibri"/>
          <w:sz w:val="22"/>
          <w:szCs w:val="22"/>
          <w:lang w:val="fr-CA" w:eastAsia="en-US"/>
        </w:rPr>
        <w:t>,</w:t>
      </w:r>
      <w:r w:rsidRPr="00217EFC">
        <w:rPr>
          <w:rFonts w:eastAsia="Calibri"/>
          <w:sz w:val="22"/>
          <w:szCs w:val="22"/>
          <w:lang w:val="fr-CA" w:eastAsia="en-US"/>
        </w:rPr>
        <w:t xml:space="preserve"> les deux communautés ont des objectifs </w:t>
      </w:r>
      <w:r>
        <w:rPr>
          <w:rFonts w:eastAsia="Calibri"/>
          <w:sz w:val="22"/>
          <w:szCs w:val="22"/>
          <w:lang w:val="fr-CA" w:eastAsia="en-US"/>
        </w:rPr>
        <w:t xml:space="preserve">respectifs </w:t>
      </w:r>
      <w:r w:rsidRPr="00217EFC">
        <w:rPr>
          <w:rFonts w:eastAsia="Calibri"/>
          <w:sz w:val="22"/>
          <w:szCs w:val="22"/>
          <w:lang w:val="fr-CA" w:eastAsia="en-US"/>
        </w:rPr>
        <w:t>de 50</w:t>
      </w:r>
      <w:r>
        <w:rPr>
          <w:rFonts w:eastAsia="Calibri"/>
          <w:sz w:val="22"/>
          <w:szCs w:val="22"/>
          <w:lang w:val="fr-CA" w:eastAsia="en-US"/>
        </w:rPr>
        <w:t> </w:t>
      </w:r>
      <w:r w:rsidRPr="00217EFC">
        <w:rPr>
          <w:rFonts w:eastAsia="Calibri"/>
          <w:sz w:val="22"/>
          <w:szCs w:val="22"/>
          <w:lang w:val="fr-CA" w:eastAsia="en-US"/>
        </w:rPr>
        <w:t>000</w:t>
      </w:r>
      <w:r>
        <w:rPr>
          <w:rFonts w:eastAsia="Calibri"/>
          <w:sz w:val="22"/>
          <w:szCs w:val="22"/>
          <w:lang w:val="fr-CA" w:eastAsia="en-US"/>
        </w:rPr>
        <w:t> </w:t>
      </w:r>
      <w:r w:rsidRPr="00217EFC">
        <w:rPr>
          <w:sz w:val="22"/>
          <w:szCs w:val="22"/>
          <w:lang w:val="fr-CA"/>
        </w:rPr>
        <w:t>$</w:t>
      </w:r>
      <w:r w:rsidRPr="00217EFC">
        <w:rPr>
          <w:rFonts w:eastAsia="Calibri"/>
          <w:sz w:val="22"/>
          <w:szCs w:val="22"/>
          <w:lang w:val="fr-CA" w:eastAsia="en-US"/>
        </w:rPr>
        <w:t xml:space="preserve"> et 75</w:t>
      </w:r>
      <w:r>
        <w:rPr>
          <w:rFonts w:eastAsia="Calibri"/>
          <w:sz w:val="22"/>
          <w:szCs w:val="22"/>
          <w:lang w:val="fr-CA" w:eastAsia="en-US"/>
        </w:rPr>
        <w:t> </w:t>
      </w:r>
      <w:r w:rsidRPr="00217EFC">
        <w:rPr>
          <w:rFonts w:eastAsia="Calibri"/>
          <w:sz w:val="22"/>
          <w:szCs w:val="22"/>
          <w:lang w:val="fr-CA" w:eastAsia="en-US"/>
        </w:rPr>
        <w:t>000</w:t>
      </w:r>
      <w:r>
        <w:rPr>
          <w:rFonts w:eastAsia="Calibri"/>
          <w:sz w:val="22"/>
          <w:szCs w:val="22"/>
          <w:lang w:val="fr-CA" w:eastAsia="en-US"/>
        </w:rPr>
        <w:t> </w:t>
      </w:r>
      <w:r w:rsidRPr="00217EFC">
        <w:rPr>
          <w:sz w:val="22"/>
          <w:szCs w:val="22"/>
          <w:lang w:val="fr-CA"/>
        </w:rPr>
        <w:t>$</w:t>
      </w:r>
      <w:r w:rsidRPr="00217EFC">
        <w:rPr>
          <w:rFonts w:eastAsia="Calibri"/>
          <w:sz w:val="22"/>
          <w:szCs w:val="22"/>
          <w:lang w:val="fr-CA" w:eastAsia="en-US"/>
        </w:rPr>
        <w:t xml:space="preserve"> pour Woonsocket et Manchester. Manchester recueille facilement 83</w:t>
      </w:r>
      <w:r>
        <w:rPr>
          <w:rFonts w:eastAsia="Calibri"/>
          <w:sz w:val="22"/>
          <w:szCs w:val="22"/>
          <w:lang w:val="fr-CA" w:eastAsia="en-US"/>
        </w:rPr>
        <w:t> </w:t>
      </w:r>
      <w:r w:rsidRPr="00217EFC">
        <w:rPr>
          <w:rFonts w:eastAsia="Calibri"/>
          <w:sz w:val="22"/>
          <w:szCs w:val="22"/>
          <w:lang w:val="fr-CA" w:eastAsia="en-US"/>
        </w:rPr>
        <w:t>000</w:t>
      </w:r>
      <w:r>
        <w:rPr>
          <w:rFonts w:eastAsia="Calibri"/>
          <w:sz w:val="22"/>
          <w:szCs w:val="22"/>
          <w:lang w:val="fr-CA" w:eastAsia="en-US"/>
        </w:rPr>
        <w:t> </w:t>
      </w:r>
      <w:r w:rsidRPr="00217EFC">
        <w:rPr>
          <w:sz w:val="22"/>
          <w:szCs w:val="22"/>
          <w:lang w:val="fr-CA"/>
        </w:rPr>
        <w:t>$</w:t>
      </w:r>
      <w:r>
        <w:rPr>
          <w:sz w:val="22"/>
          <w:szCs w:val="22"/>
          <w:lang w:val="fr-CA"/>
        </w:rPr>
        <w:t xml:space="preserve"> </w:t>
      </w:r>
      <w:r w:rsidRPr="00217EFC">
        <w:rPr>
          <w:rFonts w:eastAsia="Calibri"/>
          <w:sz w:val="22"/>
          <w:szCs w:val="22"/>
          <w:lang w:val="fr-CA" w:eastAsia="en-US"/>
        </w:rPr>
        <w:t>et avec la contribution de l’Amoskeag</w:t>
      </w:r>
      <w:r>
        <w:rPr>
          <w:rFonts w:eastAsia="Calibri"/>
          <w:sz w:val="22"/>
          <w:szCs w:val="22"/>
          <w:lang w:val="fr-CA" w:eastAsia="en-US"/>
        </w:rPr>
        <w:t>,</w:t>
      </w:r>
      <w:r w:rsidRPr="00217EFC">
        <w:rPr>
          <w:rFonts w:eastAsia="Calibri"/>
          <w:sz w:val="22"/>
          <w:szCs w:val="22"/>
          <w:lang w:val="fr-CA" w:eastAsia="en-US"/>
        </w:rPr>
        <w:t xml:space="preserve"> le montant total </w:t>
      </w:r>
      <w:r>
        <w:rPr>
          <w:rFonts w:eastAsia="Calibri"/>
          <w:sz w:val="22"/>
          <w:szCs w:val="22"/>
          <w:lang w:val="fr-CA" w:eastAsia="en-US"/>
        </w:rPr>
        <w:t xml:space="preserve">s’élève à </w:t>
      </w:r>
      <w:r w:rsidRPr="00217EFC">
        <w:rPr>
          <w:rFonts w:eastAsia="Calibri"/>
          <w:sz w:val="22"/>
          <w:szCs w:val="22"/>
          <w:lang w:val="fr-CA" w:eastAsia="en-US"/>
        </w:rPr>
        <w:t>133</w:t>
      </w:r>
      <w:r>
        <w:rPr>
          <w:rFonts w:eastAsia="Calibri"/>
          <w:sz w:val="22"/>
          <w:szCs w:val="22"/>
          <w:lang w:val="fr-CA" w:eastAsia="en-US"/>
        </w:rPr>
        <w:t> </w:t>
      </w:r>
      <w:r w:rsidRPr="00217EFC">
        <w:rPr>
          <w:rFonts w:eastAsia="Calibri"/>
          <w:sz w:val="22"/>
          <w:szCs w:val="22"/>
          <w:lang w:val="fr-CA" w:eastAsia="en-US"/>
        </w:rPr>
        <w:t>000</w:t>
      </w:r>
      <w:r>
        <w:rPr>
          <w:rFonts w:eastAsia="Calibri"/>
          <w:sz w:val="22"/>
          <w:szCs w:val="22"/>
          <w:lang w:val="fr-CA" w:eastAsia="en-US"/>
        </w:rPr>
        <w:t> </w:t>
      </w:r>
      <w:r w:rsidRPr="00217EFC">
        <w:rPr>
          <w:sz w:val="22"/>
          <w:szCs w:val="22"/>
          <w:lang w:val="fr-CA"/>
        </w:rPr>
        <w:t>$</w:t>
      </w:r>
      <w:r w:rsidRPr="00217EFC">
        <w:rPr>
          <w:rFonts w:eastAsia="Calibri"/>
          <w:sz w:val="22"/>
          <w:szCs w:val="22"/>
          <w:lang w:val="fr-CA" w:eastAsia="en-US"/>
        </w:rPr>
        <w:t>, alors que Woonsocket dépasse son objectif de trois mille dollars</w:t>
      </w:r>
      <w:r w:rsidRPr="00217EFC">
        <w:rPr>
          <w:rStyle w:val="FootnoteReference"/>
          <w:rFonts w:eastAsia="Calibri"/>
          <w:sz w:val="22"/>
          <w:szCs w:val="22"/>
          <w:lang w:val="fr-CA" w:eastAsia="en-US"/>
        </w:rPr>
        <w:footnoteReference w:id="422"/>
      </w:r>
      <w:r w:rsidRPr="00217EFC">
        <w:rPr>
          <w:rFonts w:eastAsia="Calibri"/>
          <w:sz w:val="22"/>
          <w:szCs w:val="22"/>
          <w:lang w:val="fr-CA" w:eastAsia="en-US"/>
        </w:rPr>
        <w:t>.</w:t>
      </w:r>
    </w:p>
    <w:p w14:paraId="41132DA9" w14:textId="77777777" w:rsidR="00E866F3" w:rsidRPr="00190A51" w:rsidRDefault="000C2E9E" w:rsidP="00E866F3">
      <w:pPr>
        <w:spacing w:line="360" w:lineRule="auto"/>
        <w:rPr>
          <w:b/>
          <w:sz w:val="22"/>
          <w:szCs w:val="22"/>
          <w:u w:val="single"/>
          <w:lang w:val="fr-CA"/>
        </w:rPr>
      </w:pPr>
      <w:r>
        <w:rPr>
          <w:b/>
          <w:u w:val="single"/>
          <w:lang w:val="fr-CA"/>
        </w:rPr>
        <w:br w:type="page"/>
      </w:r>
      <w:r w:rsidR="00E866F3" w:rsidRPr="00190A51">
        <w:rPr>
          <w:b/>
          <w:sz w:val="22"/>
          <w:szCs w:val="22"/>
          <w:u w:val="single"/>
          <w:lang w:val="fr-CA"/>
        </w:rPr>
        <w:lastRenderedPageBreak/>
        <w:t>Conclusion</w:t>
      </w:r>
    </w:p>
    <w:p w14:paraId="17CB87F6" w14:textId="77777777" w:rsidR="00CD4F71" w:rsidRPr="00190A51" w:rsidRDefault="00CD4F71" w:rsidP="00CD4F71">
      <w:pPr>
        <w:spacing w:line="360" w:lineRule="auto"/>
        <w:rPr>
          <w:sz w:val="22"/>
          <w:szCs w:val="22"/>
          <w:lang w:val="fr-CA"/>
        </w:rPr>
      </w:pPr>
    </w:p>
    <w:p w14:paraId="762B9A7E" w14:textId="77777777" w:rsidR="00760917" w:rsidRDefault="00CD4F71" w:rsidP="002B5319">
      <w:pPr>
        <w:jc w:val="both"/>
        <w:rPr>
          <w:sz w:val="22"/>
          <w:szCs w:val="22"/>
          <w:lang w:val="fr-CA"/>
        </w:rPr>
      </w:pPr>
      <w:r w:rsidRPr="00190A51">
        <w:rPr>
          <w:sz w:val="22"/>
          <w:szCs w:val="22"/>
          <w:lang w:val="fr-CA"/>
        </w:rPr>
        <w:tab/>
        <w:t xml:space="preserve">La population franco-américaine de Manchester a </w:t>
      </w:r>
      <w:r w:rsidR="00A67430" w:rsidRPr="00190A51">
        <w:rPr>
          <w:sz w:val="22"/>
          <w:szCs w:val="22"/>
          <w:lang w:val="fr-CA"/>
        </w:rPr>
        <w:t xml:space="preserve">indéniablement </w:t>
      </w:r>
      <w:r w:rsidRPr="00190A51">
        <w:rPr>
          <w:sz w:val="22"/>
          <w:szCs w:val="22"/>
          <w:lang w:val="fr-CA"/>
        </w:rPr>
        <w:t xml:space="preserve">manifesté </w:t>
      </w:r>
      <w:r w:rsidR="00A67430" w:rsidRPr="00190A51">
        <w:rPr>
          <w:sz w:val="22"/>
          <w:szCs w:val="22"/>
          <w:lang w:val="fr-CA"/>
        </w:rPr>
        <w:t xml:space="preserve">un </w:t>
      </w:r>
      <w:r w:rsidRPr="00190A51">
        <w:rPr>
          <w:sz w:val="22"/>
          <w:szCs w:val="22"/>
          <w:lang w:val="fr-CA"/>
        </w:rPr>
        <w:t xml:space="preserve">patriotisme </w:t>
      </w:r>
      <w:r w:rsidR="00A67430" w:rsidRPr="00190A51">
        <w:rPr>
          <w:sz w:val="22"/>
          <w:szCs w:val="22"/>
          <w:lang w:val="fr-CA"/>
        </w:rPr>
        <w:t xml:space="preserve">à toute épreuve </w:t>
      </w:r>
      <w:r w:rsidR="003B7BAF" w:rsidRPr="00190A51">
        <w:rPr>
          <w:sz w:val="22"/>
          <w:szCs w:val="22"/>
          <w:lang w:val="fr-CA"/>
        </w:rPr>
        <w:t>lors</w:t>
      </w:r>
      <w:r w:rsidR="0093415E">
        <w:rPr>
          <w:sz w:val="22"/>
          <w:szCs w:val="22"/>
          <w:lang w:val="fr-CA"/>
        </w:rPr>
        <w:t xml:space="preserve"> de la </w:t>
      </w:r>
      <w:r w:rsidR="0068130A">
        <w:rPr>
          <w:sz w:val="22"/>
          <w:szCs w:val="22"/>
          <w:lang w:val="fr-CA"/>
        </w:rPr>
        <w:t>P</w:t>
      </w:r>
      <w:r w:rsidR="008540BA">
        <w:rPr>
          <w:sz w:val="22"/>
          <w:szCs w:val="22"/>
          <w:lang w:val="fr-CA"/>
        </w:rPr>
        <w:t>remi</w:t>
      </w:r>
      <w:r w:rsidR="0093128C" w:rsidRPr="00190A51">
        <w:rPr>
          <w:sz w:val="22"/>
          <w:szCs w:val="22"/>
          <w:lang w:val="fr-CA"/>
        </w:rPr>
        <w:t>ère Guerre mondiale</w:t>
      </w:r>
      <w:r w:rsidR="00470BA8" w:rsidRPr="00190A51">
        <w:rPr>
          <w:sz w:val="22"/>
          <w:szCs w:val="22"/>
          <w:lang w:val="fr-CA"/>
        </w:rPr>
        <w:t xml:space="preserve">. </w:t>
      </w:r>
      <w:r w:rsidR="0093415E">
        <w:rPr>
          <w:sz w:val="22"/>
          <w:szCs w:val="22"/>
          <w:lang w:val="fr-CA"/>
        </w:rPr>
        <w:t>D</w:t>
      </w:r>
      <w:r w:rsidR="008540BA">
        <w:rPr>
          <w:sz w:val="22"/>
          <w:szCs w:val="22"/>
          <w:lang w:val="fr-CA"/>
        </w:rPr>
        <w:t>’abord</w:t>
      </w:r>
      <w:r w:rsidR="00470BA8" w:rsidRPr="00190A51">
        <w:rPr>
          <w:sz w:val="22"/>
          <w:szCs w:val="22"/>
          <w:lang w:val="fr-CA"/>
        </w:rPr>
        <w:t>, dès août 1914, elle fait montre d’une grande générosité en appuyant les œuvres de bienfaisance. Dans un premier temps</w:t>
      </w:r>
      <w:r w:rsidR="00470BA8" w:rsidRPr="008540BA">
        <w:rPr>
          <w:sz w:val="22"/>
          <w:szCs w:val="22"/>
          <w:lang w:val="fr-CA"/>
        </w:rPr>
        <w:t xml:space="preserve">, </w:t>
      </w:r>
      <w:r w:rsidR="008540BA" w:rsidRPr="008540BA">
        <w:rPr>
          <w:sz w:val="22"/>
          <w:szCs w:val="22"/>
          <w:lang w:val="fr-CA"/>
        </w:rPr>
        <w:t xml:space="preserve">26 </w:t>
      </w:r>
      <w:r w:rsidR="00470BA8" w:rsidRPr="008540BA">
        <w:rPr>
          <w:sz w:val="22"/>
          <w:szCs w:val="22"/>
          <w:lang w:val="fr-CA"/>
        </w:rPr>
        <w:t>volontaires</w:t>
      </w:r>
      <w:r w:rsidR="00470BA8" w:rsidRPr="00190A51">
        <w:rPr>
          <w:sz w:val="22"/>
          <w:szCs w:val="22"/>
          <w:lang w:val="fr-CA"/>
        </w:rPr>
        <w:t xml:space="preserve"> joignent les rangs du Corps expéditionnaire canadien et les forces militaires françaises en réaction à </w:t>
      </w:r>
      <w:r w:rsidR="0093415E">
        <w:rPr>
          <w:sz w:val="22"/>
          <w:szCs w:val="22"/>
          <w:lang w:val="fr-CA"/>
        </w:rPr>
        <w:t>l’invasion de la Belgique et de</w:t>
      </w:r>
      <w:r w:rsidR="00470BA8" w:rsidRPr="00190A51">
        <w:rPr>
          <w:sz w:val="22"/>
          <w:szCs w:val="22"/>
          <w:lang w:val="fr-CA"/>
        </w:rPr>
        <w:t xml:space="preserve"> la France. </w:t>
      </w:r>
      <w:r w:rsidR="0093415E">
        <w:rPr>
          <w:sz w:val="22"/>
          <w:szCs w:val="22"/>
          <w:lang w:val="fr-CA"/>
        </w:rPr>
        <w:t>P</w:t>
      </w:r>
      <w:r w:rsidR="008540BA">
        <w:rPr>
          <w:sz w:val="22"/>
          <w:szCs w:val="22"/>
          <w:lang w:val="fr-CA"/>
        </w:rPr>
        <w:t>ar la suite</w:t>
      </w:r>
      <w:r w:rsidR="00470BA8" w:rsidRPr="00190A51">
        <w:rPr>
          <w:sz w:val="22"/>
          <w:szCs w:val="22"/>
          <w:lang w:val="fr-CA"/>
        </w:rPr>
        <w:t>, la communauté franco-américaine s’est ralliée pour appuyer la Croix-Rouge</w:t>
      </w:r>
      <w:r w:rsidR="0093415E">
        <w:rPr>
          <w:sz w:val="22"/>
          <w:szCs w:val="22"/>
          <w:lang w:val="fr-CA"/>
        </w:rPr>
        <w:t xml:space="preserve"> </w:t>
      </w:r>
      <w:r w:rsidR="00D6736D">
        <w:rPr>
          <w:sz w:val="22"/>
          <w:szCs w:val="22"/>
          <w:lang w:val="fr-CA"/>
        </w:rPr>
        <w:t xml:space="preserve">internationale </w:t>
      </w:r>
      <w:r w:rsidR="00470BA8" w:rsidRPr="00190A51">
        <w:rPr>
          <w:sz w:val="22"/>
          <w:szCs w:val="22"/>
          <w:lang w:val="fr-CA"/>
        </w:rPr>
        <w:t xml:space="preserve">afin d’aider la population </w:t>
      </w:r>
      <w:r w:rsidR="00EC010A" w:rsidRPr="00190A51">
        <w:rPr>
          <w:sz w:val="22"/>
          <w:szCs w:val="22"/>
          <w:lang w:val="fr-CA"/>
        </w:rPr>
        <w:t>directement affectée par le conflit. Cette contribution s’est faite par la confection d’équipement de tissus</w:t>
      </w:r>
      <w:r w:rsidR="003B7BAF" w:rsidRPr="00190A51">
        <w:rPr>
          <w:sz w:val="22"/>
          <w:szCs w:val="22"/>
          <w:lang w:val="fr-CA"/>
        </w:rPr>
        <w:t xml:space="preserve"> et </w:t>
      </w:r>
      <w:r w:rsidR="00EC010A" w:rsidRPr="00190A51">
        <w:rPr>
          <w:sz w:val="22"/>
          <w:szCs w:val="22"/>
          <w:lang w:val="fr-CA"/>
        </w:rPr>
        <w:t>de vêtements pour les hôpitaux</w:t>
      </w:r>
      <w:r w:rsidR="003B7BAF" w:rsidRPr="00190A51">
        <w:rPr>
          <w:sz w:val="22"/>
          <w:szCs w:val="22"/>
          <w:lang w:val="fr-CA"/>
        </w:rPr>
        <w:t>,</w:t>
      </w:r>
      <w:r w:rsidR="00EC010A" w:rsidRPr="00190A51">
        <w:rPr>
          <w:sz w:val="22"/>
          <w:szCs w:val="22"/>
          <w:lang w:val="fr-CA"/>
        </w:rPr>
        <w:t xml:space="preserve"> et de paquets pour les prisonniers de guerre. Malgré la demande de neutralité </w:t>
      </w:r>
      <w:r w:rsidR="006326A8" w:rsidRPr="00190A51">
        <w:rPr>
          <w:sz w:val="22"/>
          <w:szCs w:val="22"/>
          <w:lang w:val="fr-CA"/>
        </w:rPr>
        <w:t xml:space="preserve">du Président Wilson </w:t>
      </w:r>
      <w:r w:rsidR="00EC010A" w:rsidRPr="00190A51">
        <w:rPr>
          <w:sz w:val="22"/>
          <w:szCs w:val="22"/>
          <w:lang w:val="fr-CA"/>
        </w:rPr>
        <w:t xml:space="preserve">à l’égard </w:t>
      </w:r>
      <w:r w:rsidR="003B7BAF" w:rsidRPr="00190A51">
        <w:rPr>
          <w:sz w:val="22"/>
          <w:szCs w:val="22"/>
          <w:lang w:val="fr-CA"/>
        </w:rPr>
        <w:t xml:space="preserve">du traitement </w:t>
      </w:r>
      <w:r w:rsidR="00EC010A" w:rsidRPr="00190A51">
        <w:rPr>
          <w:sz w:val="22"/>
          <w:szCs w:val="22"/>
          <w:lang w:val="fr-CA"/>
        </w:rPr>
        <w:t>des belligérants</w:t>
      </w:r>
      <w:r w:rsidR="006326A8" w:rsidRPr="00190A51">
        <w:rPr>
          <w:sz w:val="22"/>
          <w:szCs w:val="22"/>
          <w:lang w:val="fr-CA"/>
        </w:rPr>
        <w:t>,</w:t>
      </w:r>
      <w:r w:rsidR="00EC010A" w:rsidRPr="00190A51">
        <w:rPr>
          <w:sz w:val="22"/>
          <w:szCs w:val="22"/>
          <w:lang w:val="fr-CA"/>
        </w:rPr>
        <w:t xml:space="preserve"> </w:t>
      </w:r>
      <w:r w:rsidR="006326A8" w:rsidRPr="00190A51">
        <w:rPr>
          <w:sz w:val="22"/>
          <w:szCs w:val="22"/>
          <w:lang w:val="fr-CA"/>
        </w:rPr>
        <w:t xml:space="preserve">la communauté de Manchester manifeste continuellement son mécontentement par rapport à cette </w:t>
      </w:r>
      <w:r w:rsidR="003B7BAF" w:rsidRPr="00190A51">
        <w:rPr>
          <w:sz w:val="22"/>
          <w:szCs w:val="22"/>
          <w:lang w:val="fr-CA"/>
        </w:rPr>
        <w:t>politique</w:t>
      </w:r>
      <w:r w:rsidR="006326A8" w:rsidRPr="00190A51">
        <w:rPr>
          <w:sz w:val="22"/>
          <w:szCs w:val="22"/>
          <w:lang w:val="fr-CA"/>
        </w:rPr>
        <w:t xml:space="preserve">. L’établissement </w:t>
      </w:r>
      <w:r w:rsidR="00A67430" w:rsidRPr="00190A51">
        <w:rPr>
          <w:sz w:val="22"/>
          <w:szCs w:val="22"/>
          <w:lang w:val="fr-CA"/>
        </w:rPr>
        <w:t>d</w:t>
      </w:r>
      <w:r w:rsidR="003B7BAF" w:rsidRPr="00190A51">
        <w:rPr>
          <w:sz w:val="22"/>
          <w:szCs w:val="22"/>
          <w:lang w:val="fr-CA"/>
        </w:rPr>
        <w:t xml:space="preserve">e la </w:t>
      </w:r>
      <w:r w:rsidR="006326A8" w:rsidRPr="00190A51">
        <w:rPr>
          <w:i/>
          <w:sz w:val="22"/>
          <w:szCs w:val="22"/>
          <w:lang w:val="fr-CA"/>
        </w:rPr>
        <w:t xml:space="preserve">New Hampshire </w:t>
      </w:r>
      <w:r w:rsidR="006326A8" w:rsidRPr="00190A51">
        <w:rPr>
          <w:i/>
          <w:iCs/>
          <w:sz w:val="22"/>
          <w:szCs w:val="22"/>
          <w:lang w:val="fr-CA"/>
        </w:rPr>
        <w:t>Defence</w:t>
      </w:r>
      <w:r w:rsidR="006326A8" w:rsidRPr="00190A51">
        <w:rPr>
          <w:i/>
          <w:sz w:val="22"/>
          <w:szCs w:val="22"/>
          <w:lang w:val="fr-CA"/>
        </w:rPr>
        <w:t xml:space="preserve"> Ligue</w:t>
      </w:r>
      <w:r w:rsidR="00EC010A" w:rsidRPr="00190A51">
        <w:rPr>
          <w:sz w:val="22"/>
          <w:szCs w:val="22"/>
          <w:lang w:val="fr-CA"/>
        </w:rPr>
        <w:t xml:space="preserve"> </w:t>
      </w:r>
      <w:r w:rsidR="003B7BAF" w:rsidRPr="00190A51">
        <w:rPr>
          <w:sz w:val="22"/>
          <w:szCs w:val="22"/>
          <w:lang w:val="fr-CA"/>
        </w:rPr>
        <w:t xml:space="preserve">est </w:t>
      </w:r>
      <w:r w:rsidR="006326A8" w:rsidRPr="00190A51">
        <w:rPr>
          <w:sz w:val="22"/>
          <w:szCs w:val="22"/>
          <w:lang w:val="fr-CA"/>
        </w:rPr>
        <w:t xml:space="preserve">très bien reçu par la population qui participe activement aux manifestations afin de demander une plus grande préparation du pays </w:t>
      </w:r>
      <w:r w:rsidR="00BB39F3">
        <w:rPr>
          <w:sz w:val="22"/>
          <w:szCs w:val="22"/>
          <w:lang w:val="fr-CA"/>
        </w:rPr>
        <w:t>e</w:t>
      </w:r>
      <w:r w:rsidR="003B7BAF" w:rsidRPr="00190A51">
        <w:rPr>
          <w:sz w:val="22"/>
          <w:szCs w:val="22"/>
          <w:lang w:val="fr-CA"/>
        </w:rPr>
        <w:t>n vue d</w:t>
      </w:r>
      <w:r w:rsidR="0093128C" w:rsidRPr="00190A51">
        <w:rPr>
          <w:sz w:val="22"/>
          <w:szCs w:val="22"/>
          <w:lang w:val="fr-CA"/>
        </w:rPr>
        <w:t>’</w:t>
      </w:r>
      <w:r w:rsidR="006326A8" w:rsidRPr="00190A51">
        <w:rPr>
          <w:sz w:val="22"/>
          <w:szCs w:val="22"/>
          <w:lang w:val="fr-CA"/>
        </w:rPr>
        <w:t xml:space="preserve">une éventuelle </w:t>
      </w:r>
      <w:r w:rsidR="00D6736D">
        <w:rPr>
          <w:sz w:val="22"/>
          <w:szCs w:val="22"/>
          <w:lang w:val="fr-CA"/>
        </w:rPr>
        <w:t xml:space="preserve">intervention dans la </w:t>
      </w:r>
      <w:r w:rsidR="003B7BAF" w:rsidRPr="00190A51">
        <w:rPr>
          <w:sz w:val="22"/>
          <w:szCs w:val="22"/>
          <w:lang w:val="fr-CA"/>
        </w:rPr>
        <w:t xml:space="preserve">guerre </w:t>
      </w:r>
      <w:r w:rsidR="006326A8" w:rsidRPr="00190A51">
        <w:rPr>
          <w:sz w:val="22"/>
          <w:szCs w:val="22"/>
          <w:lang w:val="fr-CA"/>
        </w:rPr>
        <w:t xml:space="preserve">contre l’Allemagne. </w:t>
      </w:r>
    </w:p>
    <w:p w14:paraId="01D2C179" w14:textId="032F4B13" w:rsidR="00416D63" w:rsidRPr="00190A51" w:rsidRDefault="006326A8" w:rsidP="002B5319">
      <w:pPr>
        <w:ind w:firstLine="720"/>
        <w:jc w:val="both"/>
        <w:rPr>
          <w:sz w:val="22"/>
          <w:szCs w:val="22"/>
          <w:lang w:val="fr-CA"/>
        </w:rPr>
      </w:pPr>
      <w:r w:rsidRPr="00190A51">
        <w:rPr>
          <w:sz w:val="22"/>
          <w:szCs w:val="22"/>
          <w:lang w:val="fr-CA"/>
        </w:rPr>
        <w:t xml:space="preserve">De plus, le clergé de Manchester </w:t>
      </w:r>
      <w:r w:rsidR="009C6023" w:rsidRPr="00190A51">
        <w:rPr>
          <w:sz w:val="22"/>
          <w:szCs w:val="22"/>
          <w:lang w:val="fr-CA"/>
        </w:rPr>
        <w:t xml:space="preserve">encourage </w:t>
      </w:r>
      <w:r w:rsidRPr="00190A51">
        <w:rPr>
          <w:sz w:val="22"/>
          <w:szCs w:val="22"/>
          <w:lang w:val="fr-CA"/>
        </w:rPr>
        <w:t xml:space="preserve">tous </w:t>
      </w:r>
      <w:r w:rsidR="009C6023" w:rsidRPr="00190A51">
        <w:rPr>
          <w:sz w:val="22"/>
          <w:szCs w:val="22"/>
          <w:lang w:val="fr-CA"/>
        </w:rPr>
        <w:t xml:space="preserve">les ralliements patriotiques </w:t>
      </w:r>
      <w:r w:rsidRPr="00190A51">
        <w:rPr>
          <w:sz w:val="22"/>
          <w:szCs w:val="22"/>
          <w:lang w:val="fr-CA"/>
        </w:rPr>
        <w:t xml:space="preserve">et participe </w:t>
      </w:r>
      <w:r w:rsidR="009C6023" w:rsidRPr="00190A51">
        <w:rPr>
          <w:sz w:val="22"/>
          <w:szCs w:val="22"/>
          <w:lang w:val="fr-CA"/>
        </w:rPr>
        <w:t xml:space="preserve">lui-même </w:t>
      </w:r>
      <w:r w:rsidRPr="00190A51">
        <w:rPr>
          <w:sz w:val="22"/>
          <w:szCs w:val="22"/>
          <w:lang w:val="fr-CA"/>
        </w:rPr>
        <w:t>en sonnant les clochers lors des principaux événements</w:t>
      </w:r>
      <w:r w:rsidR="003B7BAF" w:rsidRPr="00190A51">
        <w:rPr>
          <w:sz w:val="22"/>
          <w:szCs w:val="22"/>
          <w:lang w:val="fr-CA"/>
        </w:rPr>
        <w:t>,</w:t>
      </w:r>
      <w:r w:rsidRPr="00190A51">
        <w:rPr>
          <w:sz w:val="22"/>
          <w:szCs w:val="22"/>
          <w:lang w:val="fr-CA"/>
        </w:rPr>
        <w:t xml:space="preserve"> en guise </w:t>
      </w:r>
      <w:r w:rsidR="00760917">
        <w:rPr>
          <w:sz w:val="22"/>
          <w:szCs w:val="22"/>
          <w:lang w:val="fr-CA"/>
        </w:rPr>
        <w:t xml:space="preserve">de démonstration </w:t>
      </w:r>
      <w:r w:rsidR="009F2919">
        <w:rPr>
          <w:sz w:val="22"/>
          <w:szCs w:val="22"/>
          <w:lang w:val="fr-CA"/>
        </w:rPr>
        <w:t xml:space="preserve">de soutien pour </w:t>
      </w:r>
      <w:r w:rsidR="009C6023" w:rsidRPr="00190A51">
        <w:rPr>
          <w:sz w:val="22"/>
          <w:szCs w:val="22"/>
          <w:lang w:val="fr-CA"/>
        </w:rPr>
        <w:t xml:space="preserve">leurs ouailles. Quant à l’élite franco-américaine de Manchester, </w:t>
      </w:r>
      <w:r w:rsidR="009F2919">
        <w:rPr>
          <w:sz w:val="22"/>
          <w:szCs w:val="22"/>
          <w:lang w:val="fr-CA"/>
        </w:rPr>
        <w:t xml:space="preserve">elle voit dans </w:t>
      </w:r>
      <w:r w:rsidR="009C6023" w:rsidRPr="00190A51">
        <w:rPr>
          <w:sz w:val="22"/>
          <w:szCs w:val="22"/>
          <w:lang w:val="fr-CA"/>
        </w:rPr>
        <w:t xml:space="preserve">la guerre une </w:t>
      </w:r>
      <w:r w:rsidR="00DF7147">
        <w:rPr>
          <w:sz w:val="22"/>
          <w:szCs w:val="22"/>
          <w:lang w:val="fr-CA"/>
        </w:rPr>
        <w:t xml:space="preserve">occasion de </w:t>
      </w:r>
      <w:r w:rsidR="009C6023" w:rsidRPr="00190A51">
        <w:rPr>
          <w:sz w:val="22"/>
          <w:szCs w:val="22"/>
          <w:lang w:val="fr-CA"/>
        </w:rPr>
        <w:t xml:space="preserve">démontrer </w:t>
      </w:r>
      <w:r w:rsidR="00A67430" w:rsidRPr="00190A51">
        <w:rPr>
          <w:sz w:val="22"/>
          <w:szCs w:val="22"/>
          <w:lang w:val="fr-CA"/>
        </w:rPr>
        <w:t>l</w:t>
      </w:r>
      <w:r w:rsidR="009C6023" w:rsidRPr="00190A51">
        <w:rPr>
          <w:sz w:val="22"/>
          <w:szCs w:val="22"/>
          <w:lang w:val="fr-CA"/>
        </w:rPr>
        <w:t xml:space="preserve">a loyauté </w:t>
      </w:r>
      <w:r w:rsidR="00A67430" w:rsidRPr="00190A51">
        <w:rPr>
          <w:sz w:val="22"/>
          <w:szCs w:val="22"/>
          <w:lang w:val="fr-CA"/>
        </w:rPr>
        <w:t>de</w:t>
      </w:r>
      <w:r w:rsidR="00BB39F3">
        <w:rPr>
          <w:sz w:val="22"/>
          <w:szCs w:val="22"/>
          <w:lang w:val="fr-CA"/>
        </w:rPr>
        <w:t>s</w:t>
      </w:r>
      <w:r w:rsidR="00A67430" w:rsidRPr="00190A51">
        <w:rPr>
          <w:sz w:val="22"/>
          <w:szCs w:val="22"/>
          <w:lang w:val="fr-CA"/>
        </w:rPr>
        <w:t xml:space="preserve"> Franco-Américains à l’égard de leur pays, les </w:t>
      </w:r>
      <w:r w:rsidR="009C6023" w:rsidRPr="00190A51">
        <w:rPr>
          <w:sz w:val="22"/>
          <w:szCs w:val="22"/>
          <w:lang w:val="fr-CA"/>
        </w:rPr>
        <w:t>États-Unis. Pendant la guerre</w:t>
      </w:r>
      <w:r w:rsidR="003B7BAF" w:rsidRPr="00190A51">
        <w:rPr>
          <w:sz w:val="22"/>
          <w:szCs w:val="22"/>
          <w:lang w:val="fr-CA"/>
        </w:rPr>
        <w:t>,</w:t>
      </w:r>
      <w:r w:rsidR="009C6023" w:rsidRPr="00190A51">
        <w:rPr>
          <w:sz w:val="22"/>
          <w:szCs w:val="22"/>
          <w:lang w:val="fr-CA"/>
        </w:rPr>
        <w:t xml:space="preserve"> </w:t>
      </w:r>
      <w:r w:rsidR="00A67430" w:rsidRPr="00190A51">
        <w:rPr>
          <w:sz w:val="22"/>
          <w:szCs w:val="22"/>
          <w:lang w:val="fr-CA"/>
        </w:rPr>
        <w:t xml:space="preserve">cette </w:t>
      </w:r>
      <w:r w:rsidR="009C6023" w:rsidRPr="00190A51">
        <w:rPr>
          <w:sz w:val="22"/>
          <w:szCs w:val="22"/>
          <w:lang w:val="fr-CA"/>
        </w:rPr>
        <w:t>élite continue à inciter les Canadiens</w:t>
      </w:r>
      <w:r w:rsidR="00737112">
        <w:rPr>
          <w:sz w:val="22"/>
          <w:szCs w:val="22"/>
          <w:lang w:val="fr-CA"/>
        </w:rPr>
        <w:t xml:space="preserve"> français de Manchester </w:t>
      </w:r>
      <w:r w:rsidR="009C6023" w:rsidRPr="00190A51">
        <w:rPr>
          <w:sz w:val="22"/>
          <w:szCs w:val="22"/>
          <w:lang w:val="fr-CA"/>
        </w:rPr>
        <w:t>à se naturaliser</w:t>
      </w:r>
      <w:r w:rsidR="00BB39F3">
        <w:rPr>
          <w:sz w:val="22"/>
          <w:szCs w:val="22"/>
          <w:lang w:val="fr-CA"/>
        </w:rPr>
        <w:t xml:space="preserve">. De plus, elle demande que la population franco-américaine </w:t>
      </w:r>
      <w:r w:rsidR="009C6023" w:rsidRPr="00190A51">
        <w:rPr>
          <w:sz w:val="22"/>
          <w:szCs w:val="22"/>
          <w:lang w:val="fr-CA"/>
        </w:rPr>
        <w:t>démont</w:t>
      </w:r>
      <w:r w:rsidR="00A67430" w:rsidRPr="00190A51">
        <w:rPr>
          <w:sz w:val="22"/>
          <w:szCs w:val="22"/>
          <w:lang w:val="fr-CA"/>
        </w:rPr>
        <w:t>r</w:t>
      </w:r>
      <w:r w:rsidR="009C6023" w:rsidRPr="00190A51">
        <w:rPr>
          <w:sz w:val="22"/>
          <w:szCs w:val="22"/>
          <w:lang w:val="fr-CA"/>
        </w:rPr>
        <w:t xml:space="preserve">e </w:t>
      </w:r>
      <w:r w:rsidR="00DF7147">
        <w:rPr>
          <w:sz w:val="22"/>
          <w:szCs w:val="22"/>
          <w:lang w:val="fr-CA"/>
        </w:rPr>
        <w:t xml:space="preserve">ses </w:t>
      </w:r>
      <w:r w:rsidR="009C6023" w:rsidRPr="00190A51">
        <w:rPr>
          <w:sz w:val="22"/>
          <w:szCs w:val="22"/>
          <w:lang w:val="fr-CA"/>
        </w:rPr>
        <w:t>bonne</w:t>
      </w:r>
      <w:r w:rsidR="00CA3657" w:rsidRPr="00190A51">
        <w:rPr>
          <w:sz w:val="22"/>
          <w:szCs w:val="22"/>
          <w:lang w:val="fr-CA"/>
        </w:rPr>
        <w:t>s</w:t>
      </w:r>
      <w:r w:rsidR="009C6023" w:rsidRPr="00190A51">
        <w:rPr>
          <w:sz w:val="22"/>
          <w:szCs w:val="22"/>
          <w:lang w:val="fr-CA"/>
        </w:rPr>
        <w:t xml:space="preserve"> qualité</w:t>
      </w:r>
      <w:r w:rsidR="00CA3657" w:rsidRPr="00190A51">
        <w:rPr>
          <w:sz w:val="22"/>
          <w:szCs w:val="22"/>
          <w:lang w:val="fr-CA"/>
        </w:rPr>
        <w:t>s</w:t>
      </w:r>
      <w:r w:rsidR="009C6023" w:rsidRPr="00190A51">
        <w:rPr>
          <w:sz w:val="22"/>
          <w:szCs w:val="22"/>
          <w:lang w:val="fr-CA"/>
        </w:rPr>
        <w:t xml:space="preserve"> </w:t>
      </w:r>
      <w:r w:rsidR="00CA3657" w:rsidRPr="00190A51">
        <w:rPr>
          <w:sz w:val="22"/>
          <w:szCs w:val="22"/>
          <w:lang w:val="fr-CA"/>
        </w:rPr>
        <w:t>civiques</w:t>
      </w:r>
      <w:r w:rsidR="00416D63" w:rsidRPr="00190A51">
        <w:rPr>
          <w:sz w:val="22"/>
          <w:szCs w:val="22"/>
          <w:lang w:val="fr-CA"/>
        </w:rPr>
        <w:t>,</w:t>
      </w:r>
      <w:r w:rsidR="00CA3657" w:rsidRPr="00190A51">
        <w:rPr>
          <w:sz w:val="22"/>
          <w:szCs w:val="22"/>
          <w:lang w:val="fr-CA"/>
        </w:rPr>
        <w:t xml:space="preserve"> comme </w:t>
      </w:r>
      <w:r w:rsidR="00BB39F3">
        <w:rPr>
          <w:sz w:val="22"/>
          <w:szCs w:val="22"/>
          <w:lang w:val="fr-CA"/>
        </w:rPr>
        <w:t xml:space="preserve">en </w:t>
      </w:r>
      <w:r w:rsidR="00CA3657" w:rsidRPr="00190A51">
        <w:rPr>
          <w:sz w:val="22"/>
          <w:szCs w:val="22"/>
          <w:lang w:val="fr-CA"/>
        </w:rPr>
        <w:t>particip</w:t>
      </w:r>
      <w:r w:rsidR="00BB39F3">
        <w:rPr>
          <w:sz w:val="22"/>
          <w:szCs w:val="22"/>
          <w:lang w:val="fr-CA"/>
        </w:rPr>
        <w:t xml:space="preserve">ant </w:t>
      </w:r>
      <w:r w:rsidR="00CA3657" w:rsidRPr="00190A51">
        <w:rPr>
          <w:sz w:val="22"/>
          <w:szCs w:val="22"/>
          <w:lang w:val="fr-CA"/>
        </w:rPr>
        <w:t>activement à la vie politique de leur communauté</w:t>
      </w:r>
      <w:r w:rsidR="009C6023" w:rsidRPr="00190A51">
        <w:rPr>
          <w:sz w:val="22"/>
          <w:szCs w:val="22"/>
          <w:lang w:val="fr-CA"/>
        </w:rPr>
        <w:t>. De plus, les rang</w:t>
      </w:r>
      <w:r w:rsidR="00CA3657" w:rsidRPr="00190A51">
        <w:rPr>
          <w:sz w:val="22"/>
          <w:szCs w:val="22"/>
          <w:lang w:val="fr-CA"/>
        </w:rPr>
        <w:t>s</w:t>
      </w:r>
      <w:r w:rsidR="009C6023" w:rsidRPr="00190A51">
        <w:rPr>
          <w:sz w:val="22"/>
          <w:szCs w:val="22"/>
          <w:lang w:val="fr-CA"/>
        </w:rPr>
        <w:t xml:space="preserve"> de </w:t>
      </w:r>
      <w:r w:rsidR="00280A69" w:rsidRPr="00190A51">
        <w:rPr>
          <w:sz w:val="22"/>
          <w:szCs w:val="22"/>
          <w:lang w:val="fr-CA"/>
        </w:rPr>
        <w:t>l</w:t>
      </w:r>
      <w:r w:rsidR="009C6023" w:rsidRPr="00190A51">
        <w:rPr>
          <w:sz w:val="22"/>
          <w:szCs w:val="22"/>
          <w:lang w:val="fr-CA"/>
        </w:rPr>
        <w:t xml:space="preserve">a Garde Nationale </w:t>
      </w:r>
      <w:r w:rsidR="003B7BAF" w:rsidRPr="00190A51">
        <w:rPr>
          <w:sz w:val="22"/>
          <w:szCs w:val="22"/>
          <w:lang w:val="fr-CA"/>
        </w:rPr>
        <w:t xml:space="preserve">à </w:t>
      </w:r>
      <w:r w:rsidR="009C6023" w:rsidRPr="00190A51">
        <w:rPr>
          <w:sz w:val="22"/>
          <w:szCs w:val="22"/>
          <w:lang w:val="fr-CA"/>
        </w:rPr>
        <w:t>Manchester sont toujours bien comblés</w:t>
      </w:r>
      <w:r w:rsidR="00BB39F3">
        <w:rPr>
          <w:sz w:val="22"/>
          <w:szCs w:val="22"/>
          <w:lang w:val="fr-CA"/>
        </w:rPr>
        <w:t xml:space="preserve"> et l</w:t>
      </w:r>
      <w:r w:rsidR="009C6023" w:rsidRPr="00190A51">
        <w:rPr>
          <w:sz w:val="22"/>
          <w:szCs w:val="22"/>
          <w:lang w:val="fr-CA"/>
        </w:rPr>
        <w:t xml:space="preserve">a communauté franco-américaine est très fière de </w:t>
      </w:r>
      <w:r w:rsidR="00CA3657" w:rsidRPr="00190A51">
        <w:rPr>
          <w:sz w:val="22"/>
          <w:szCs w:val="22"/>
          <w:lang w:val="fr-CA"/>
        </w:rPr>
        <w:t>s</w:t>
      </w:r>
      <w:r w:rsidR="009C6023" w:rsidRPr="00190A51">
        <w:rPr>
          <w:sz w:val="22"/>
          <w:szCs w:val="22"/>
          <w:lang w:val="fr-CA"/>
        </w:rPr>
        <w:t>a participation d</w:t>
      </w:r>
      <w:r w:rsidR="00CA3657" w:rsidRPr="00190A51">
        <w:rPr>
          <w:sz w:val="22"/>
          <w:szCs w:val="22"/>
          <w:lang w:val="fr-CA"/>
        </w:rPr>
        <w:t xml:space="preserve">ans les affaires militaires. D’ailleurs, les Gardes de la Brigade </w:t>
      </w:r>
      <w:r w:rsidR="00B95268" w:rsidRPr="00190A51">
        <w:rPr>
          <w:sz w:val="22"/>
          <w:szCs w:val="22"/>
          <w:lang w:val="fr-CA"/>
        </w:rPr>
        <w:t xml:space="preserve">des </w:t>
      </w:r>
      <w:r w:rsidR="00464E8E">
        <w:rPr>
          <w:sz w:val="22"/>
          <w:szCs w:val="22"/>
          <w:lang w:val="fr-CA"/>
        </w:rPr>
        <w:t>V</w:t>
      </w:r>
      <w:r w:rsidR="00B95268" w:rsidRPr="00190A51">
        <w:rPr>
          <w:sz w:val="22"/>
          <w:szCs w:val="22"/>
          <w:lang w:val="fr-CA"/>
        </w:rPr>
        <w:t>olontaires f</w:t>
      </w:r>
      <w:r w:rsidR="00CA3657" w:rsidRPr="00190A51">
        <w:rPr>
          <w:sz w:val="22"/>
          <w:szCs w:val="22"/>
          <w:lang w:val="fr-CA"/>
        </w:rPr>
        <w:t>ranco-</w:t>
      </w:r>
      <w:r w:rsidR="00B95268" w:rsidRPr="00190A51">
        <w:rPr>
          <w:sz w:val="22"/>
          <w:szCs w:val="22"/>
          <w:lang w:val="fr-CA"/>
        </w:rPr>
        <w:t>a</w:t>
      </w:r>
      <w:r w:rsidR="00CA3657" w:rsidRPr="00190A51">
        <w:rPr>
          <w:sz w:val="22"/>
          <w:szCs w:val="22"/>
          <w:lang w:val="fr-CA"/>
        </w:rPr>
        <w:t>méricain</w:t>
      </w:r>
      <w:r w:rsidR="00B95268" w:rsidRPr="00190A51">
        <w:rPr>
          <w:sz w:val="22"/>
          <w:szCs w:val="22"/>
          <w:lang w:val="fr-CA"/>
        </w:rPr>
        <w:t>s</w:t>
      </w:r>
      <w:r w:rsidR="00CA3657" w:rsidRPr="00190A51">
        <w:rPr>
          <w:sz w:val="22"/>
          <w:szCs w:val="22"/>
          <w:lang w:val="fr-CA"/>
        </w:rPr>
        <w:t xml:space="preserve"> joue</w:t>
      </w:r>
      <w:r w:rsidR="00397EC8" w:rsidRPr="00190A51">
        <w:rPr>
          <w:sz w:val="22"/>
          <w:szCs w:val="22"/>
          <w:lang w:val="fr-CA"/>
        </w:rPr>
        <w:t>nt</w:t>
      </w:r>
      <w:r w:rsidR="00CA3657" w:rsidRPr="00190A51">
        <w:rPr>
          <w:sz w:val="22"/>
          <w:szCs w:val="22"/>
          <w:lang w:val="fr-CA"/>
        </w:rPr>
        <w:t xml:space="preserve"> un rôle important</w:t>
      </w:r>
      <w:r w:rsidR="00397EC8" w:rsidRPr="00190A51">
        <w:rPr>
          <w:sz w:val="22"/>
          <w:szCs w:val="22"/>
          <w:lang w:val="fr-CA"/>
        </w:rPr>
        <w:t xml:space="preserve">, car elles promeuvent </w:t>
      </w:r>
      <w:r w:rsidR="00CA3657" w:rsidRPr="00190A51">
        <w:rPr>
          <w:sz w:val="22"/>
          <w:szCs w:val="22"/>
          <w:lang w:val="fr-CA"/>
        </w:rPr>
        <w:t>de</w:t>
      </w:r>
      <w:r w:rsidR="00A67430" w:rsidRPr="00190A51">
        <w:rPr>
          <w:sz w:val="22"/>
          <w:szCs w:val="22"/>
          <w:lang w:val="fr-CA"/>
        </w:rPr>
        <w:t>s</w:t>
      </w:r>
      <w:r w:rsidR="00CA3657" w:rsidRPr="00190A51">
        <w:rPr>
          <w:sz w:val="22"/>
          <w:szCs w:val="22"/>
          <w:lang w:val="fr-CA"/>
        </w:rPr>
        <w:t xml:space="preserve"> valeurs militaires et civiques pour </w:t>
      </w:r>
      <w:r w:rsidR="00397EC8" w:rsidRPr="00190A51">
        <w:rPr>
          <w:sz w:val="22"/>
          <w:szCs w:val="22"/>
          <w:lang w:val="fr-CA"/>
        </w:rPr>
        <w:t>l</w:t>
      </w:r>
      <w:r w:rsidR="00CA3657" w:rsidRPr="00190A51">
        <w:rPr>
          <w:sz w:val="22"/>
          <w:szCs w:val="22"/>
          <w:lang w:val="fr-CA"/>
        </w:rPr>
        <w:t>a population, non seulement</w:t>
      </w:r>
      <w:r w:rsidR="00A67430" w:rsidRPr="00190A51">
        <w:rPr>
          <w:sz w:val="22"/>
          <w:szCs w:val="22"/>
          <w:lang w:val="fr-CA"/>
        </w:rPr>
        <w:t>,</w:t>
      </w:r>
      <w:r w:rsidR="00CA3657" w:rsidRPr="00190A51">
        <w:rPr>
          <w:sz w:val="22"/>
          <w:szCs w:val="22"/>
          <w:lang w:val="fr-CA"/>
        </w:rPr>
        <w:t xml:space="preserve"> de Manchester, mais aussi pour </w:t>
      </w:r>
      <w:r w:rsidR="00416D63" w:rsidRPr="00190A51">
        <w:rPr>
          <w:sz w:val="22"/>
          <w:szCs w:val="22"/>
          <w:lang w:val="fr-CA"/>
        </w:rPr>
        <w:t>toutes les communautés</w:t>
      </w:r>
      <w:r w:rsidR="00760917">
        <w:rPr>
          <w:sz w:val="22"/>
          <w:szCs w:val="22"/>
          <w:lang w:val="fr-CA"/>
        </w:rPr>
        <w:t xml:space="preserve"> </w:t>
      </w:r>
      <w:r w:rsidR="006C7F72">
        <w:rPr>
          <w:sz w:val="22"/>
          <w:szCs w:val="22"/>
          <w:lang w:val="fr-CA"/>
        </w:rPr>
        <w:t xml:space="preserve">franco-américaines </w:t>
      </w:r>
      <w:r w:rsidR="00CA3657" w:rsidRPr="00190A51">
        <w:rPr>
          <w:sz w:val="22"/>
          <w:szCs w:val="22"/>
          <w:lang w:val="fr-CA"/>
        </w:rPr>
        <w:t>de la Nouvelle-Angleterre.</w:t>
      </w:r>
    </w:p>
    <w:p w14:paraId="0D54EF70" w14:textId="77777777" w:rsidR="003352C8" w:rsidRPr="00190A51" w:rsidRDefault="003352C8" w:rsidP="002B5319">
      <w:pPr>
        <w:jc w:val="both"/>
        <w:rPr>
          <w:sz w:val="22"/>
          <w:szCs w:val="22"/>
          <w:lang w:val="fr-CA"/>
        </w:rPr>
      </w:pPr>
      <w:r w:rsidRPr="00190A51">
        <w:rPr>
          <w:sz w:val="22"/>
          <w:szCs w:val="22"/>
          <w:lang w:val="fr-CA"/>
        </w:rPr>
        <w:tab/>
        <w:t xml:space="preserve">Le même engouement de la population continue </w:t>
      </w:r>
      <w:r w:rsidR="00BB39F3">
        <w:rPr>
          <w:sz w:val="22"/>
          <w:szCs w:val="22"/>
          <w:lang w:val="fr-CA"/>
        </w:rPr>
        <w:t xml:space="preserve">après </w:t>
      </w:r>
      <w:r w:rsidRPr="00190A51">
        <w:rPr>
          <w:sz w:val="22"/>
          <w:szCs w:val="22"/>
          <w:lang w:val="fr-CA"/>
        </w:rPr>
        <w:t xml:space="preserve">la déclaration de guerre américaine. </w:t>
      </w:r>
      <w:r w:rsidR="000D3DC2" w:rsidRPr="00190A51">
        <w:rPr>
          <w:sz w:val="22"/>
          <w:szCs w:val="22"/>
          <w:lang w:val="fr-CA"/>
        </w:rPr>
        <w:t xml:space="preserve">Manchester et les </w:t>
      </w:r>
      <w:r w:rsidR="00696B22" w:rsidRPr="00190A51">
        <w:rPr>
          <w:sz w:val="22"/>
          <w:szCs w:val="22"/>
          <w:lang w:val="fr-CA"/>
        </w:rPr>
        <w:t xml:space="preserve">Franco-Américains contribuent </w:t>
      </w:r>
      <w:r w:rsidR="00BB39F3" w:rsidRPr="00190A51">
        <w:rPr>
          <w:sz w:val="22"/>
          <w:szCs w:val="22"/>
          <w:lang w:val="fr-CA"/>
        </w:rPr>
        <w:t xml:space="preserve">généreusement </w:t>
      </w:r>
      <w:r w:rsidR="00A67430" w:rsidRPr="00190A51">
        <w:rPr>
          <w:sz w:val="22"/>
          <w:szCs w:val="22"/>
          <w:lang w:val="fr-CA"/>
        </w:rPr>
        <w:t>aux campagnes d’emprunt de la Liberté</w:t>
      </w:r>
      <w:r w:rsidR="00084FD0" w:rsidRPr="00190A51">
        <w:rPr>
          <w:sz w:val="22"/>
          <w:szCs w:val="22"/>
          <w:lang w:val="fr-CA"/>
        </w:rPr>
        <w:t xml:space="preserve"> </w:t>
      </w:r>
      <w:r w:rsidR="00A67430" w:rsidRPr="00190A51">
        <w:rPr>
          <w:sz w:val="22"/>
          <w:szCs w:val="22"/>
          <w:lang w:val="fr-CA"/>
        </w:rPr>
        <w:t xml:space="preserve">en fournissant </w:t>
      </w:r>
      <w:r w:rsidR="00084FD0" w:rsidRPr="00190A51">
        <w:rPr>
          <w:sz w:val="22"/>
          <w:szCs w:val="22"/>
          <w:lang w:val="fr-CA"/>
        </w:rPr>
        <w:t>la somme</w:t>
      </w:r>
      <w:r w:rsidR="007A7EAB" w:rsidRPr="00190A51">
        <w:rPr>
          <w:sz w:val="22"/>
          <w:szCs w:val="22"/>
          <w:lang w:val="fr-CA"/>
        </w:rPr>
        <w:t xml:space="preserve"> </w:t>
      </w:r>
      <w:r w:rsidR="0093128C" w:rsidRPr="00190A51">
        <w:rPr>
          <w:sz w:val="22"/>
          <w:szCs w:val="22"/>
          <w:lang w:val="fr-CA"/>
        </w:rPr>
        <w:t xml:space="preserve">approximative </w:t>
      </w:r>
      <w:r w:rsidR="00084FD0" w:rsidRPr="00190A51">
        <w:rPr>
          <w:sz w:val="22"/>
          <w:szCs w:val="22"/>
          <w:lang w:val="fr-CA"/>
        </w:rPr>
        <w:t xml:space="preserve">de </w:t>
      </w:r>
      <w:r w:rsidR="00A67430" w:rsidRPr="00190A51">
        <w:rPr>
          <w:sz w:val="22"/>
          <w:szCs w:val="22"/>
          <w:lang w:val="fr-CA"/>
        </w:rPr>
        <w:t>16 407 370 $</w:t>
      </w:r>
      <w:r w:rsidR="000D3DC2" w:rsidRPr="00190A51">
        <w:rPr>
          <w:sz w:val="22"/>
          <w:szCs w:val="22"/>
          <w:lang w:val="fr-CA"/>
        </w:rPr>
        <w:t xml:space="preserve"> </w:t>
      </w:r>
      <w:r w:rsidR="00A67430" w:rsidRPr="00190A51">
        <w:rPr>
          <w:sz w:val="22"/>
          <w:szCs w:val="22"/>
          <w:lang w:val="fr-CA"/>
        </w:rPr>
        <w:t xml:space="preserve">lors des quatre </w:t>
      </w:r>
      <w:r w:rsidR="00696B22" w:rsidRPr="00190A51">
        <w:rPr>
          <w:sz w:val="22"/>
          <w:szCs w:val="22"/>
          <w:lang w:val="fr-CA"/>
        </w:rPr>
        <w:t xml:space="preserve">campagnes d’emprunt de la Liberté et </w:t>
      </w:r>
      <w:r w:rsidR="00A67430" w:rsidRPr="00190A51">
        <w:rPr>
          <w:sz w:val="22"/>
          <w:szCs w:val="22"/>
          <w:lang w:val="fr-CA"/>
        </w:rPr>
        <w:t xml:space="preserve">celle des </w:t>
      </w:r>
      <w:r w:rsidR="00696B22" w:rsidRPr="00190A51">
        <w:rPr>
          <w:sz w:val="22"/>
          <w:szCs w:val="22"/>
          <w:lang w:val="fr-CA"/>
        </w:rPr>
        <w:t xml:space="preserve">timbres de guerre. De plus, </w:t>
      </w:r>
      <w:r w:rsidR="007A7EAB" w:rsidRPr="00190A51">
        <w:rPr>
          <w:sz w:val="22"/>
          <w:szCs w:val="22"/>
          <w:lang w:val="fr-CA"/>
        </w:rPr>
        <w:t>1</w:t>
      </w:r>
      <w:r w:rsidR="0093128C" w:rsidRPr="00190A51">
        <w:rPr>
          <w:sz w:val="22"/>
          <w:szCs w:val="22"/>
          <w:lang w:val="fr-CA"/>
        </w:rPr>
        <w:t> </w:t>
      </w:r>
      <w:r w:rsidR="007A7EAB" w:rsidRPr="00190A51">
        <w:rPr>
          <w:sz w:val="22"/>
          <w:szCs w:val="22"/>
          <w:lang w:val="fr-CA"/>
        </w:rPr>
        <w:t xml:space="preserve">079 soldats </w:t>
      </w:r>
      <w:r w:rsidR="002A2541">
        <w:rPr>
          <w:sz w:val="22"/>
          <w:szCs w:val="22"/>
          <w:lang w:val="fr-CA"/>
        </w:rPr>
        <w:t xml:space="preserve">franco-américains </w:t>
      </w:r>
      <w:r w:rsidR="007A7EAB" w:rsidRPr="00190A51">
        <w:rPr>
          <w:sz w:val="22"/>
          <w:szCs w:val="22"/>
          <w:lang w:val="fr-CA"/>
        </w:rPr>
        <w:t xml:space="preserve">de Manchester </w:t>
      </w:r>
      <w:r w:rsidR="00696B22" w:rsidRPr="00190A51">
        <w:rPr>
          <w:sz w:val="22"/>
          <w:szCs w:val="22"/>
          <w:lang w:val="fr-CA"/>
        </w:rPr>
        <w:t>serv</w:t>
      </w:r>
      <w:r w:rsidR="007A7EAB" w:rsidRPr="00190A51">
        <w:rPr>
          <w:sz w:val="22"/>
          <w:szCs w:val="22"/>
          <w:lang w:val="fr-CA"/>
        </w:rPr>
        <w:t xml:space="preserve">ent </w:t>
      </w:r>
      <w:r w:rsidR="00696B22" w:rsidRPr="00190A51">
        <w:rPr>
          <w:sz w:val="22"/>
          <w:szCs w:val="22"/>
          <w:lang w:val="fr-CA"/>
        </w:rPr>
        <w:t>dans les forces militaires</w:t>
      </w:r>
      <w:r w:rsidR="00760917">
        <w:rPr>
          <w:sz w:val="22"/>
          <w:szCs w:val="22"/>
          <w:lang w:val="fr-CA"/>
        </w:rPr>
        <w:t>.</w:t>
      </w:r>
      <w:r w:rsidR="0093128C" w:rsidRPr="00190A51">
        <w:rPr>
          <w:sz w:val="22"/>
          <w:szCs w:val="22"/>
          <w:lang w:val="fr-CA"/>
        </w:rPr>
        <w:t xml:space="preserve"> </w:t>
      </w:r>
      <w:r w:rsidR="00760917">
        <w:rPr>
          <w:sz w:val="22"/>
          <w:szCs w:val="22"/>
          <w:lang w:val="fr-CA"/>
        </w:rPr>
        <w:t>P</w:t>
      </w:r>
      <w:r w:rsidR="00AD032C" w:rsidRPr="00190A51">
        <w:rPr>
          <w:sz w:val="22"/>
          <w:szCs w:val="22"/>
          <w:lang w:val="fr-CA"/>
        </w:rPr>
        <w:t xml:space="preserve">endant la participation des troupes américaines </w:t>
      </w:r>
      <w:r w:rsidR="0093128C" w:rsidRPr="00190A51">
        <w:rPr>
          <w:sz w:val="22"/>
          <w:szCs w:val="22"/>
          <w:lang w:val="fr-CA"/>
        </w:rPr>
        <w:t xml:space="preserve">au conflit, </w:t>
      </w:r>
      <w:r w:rsidR="000C3CB6" w:rsidRPr="00190A51">
        <w:rPr>
          <w:i/>
          <w:iCs/>
          <w:sz w:val="22"/>
          <w:szCs w:val="22"/>
          <w:lang w:val="fr-CA"/>
        </w:rPr>
        <w:t>L’Avenir National</w:t>
      </w:r>
      <w:r w:rsidR="00AD032C" w:rsidRPr="00190A51">
        <w:rPr>
          <w:sz w:val="22"/>
          <w:szCs w:val="22"/>
          <w:lang w:val="fr-CA"/>
        </w:rPr>
        <w:t xml:space="preserve"> </w:t>
      </w:r>
      <w:r w:rsidR="0058325C">
        <w:rPr>
          <w:sz w:val="22"/>
          <w:szCs w:val="22"/>
          <w:lang w:val="fr-CA"/>
        </w:rPr>
        <w:t xml:space="preserve">montre </w:t>
      </w:r>
      <w:r w:rsidR="000C3CB6" w:rsidRPr="00190A51">
        <w:rPr>
          <w:sz w:val="22"/>
          <w:szCs w:val="22"/>
          <w:lang w:val="fr-CA"/>
        </w:rPr>
        <w:t xml:space="preserve">toujours </w:t>
      </w:r>
      <w:r w:rsidR="0093128C" w:rsidRPr="00190A51">
        <w:rPr>
          <w:sz w:val="22"/>
          <w:szCs w:val="22"/>
          <w:lang w:val="fr-CA"/>
        </w:rPr>
        <w:t xml:space="preserve">que la population maintient son </w:t>
      </w:r>
      <w:r w:rsidR="0058325C">
        <w:rPr>
          <w:sz w:val="22"/>
          <w:szCs w:val="22"/>
          <w:lang w:val="fr-CA"/>
        </w:rPr>
        <w:t xml:space="preserve">soutien </w:t>
      </w:r>
      <w:r w:rsidR="00A67430" w:rsidRPr="00190A51">
        <w:rPr>
          <w:sz w:val="22"/>
          <w:szCs w:val="22"/>
          <w:lang w:val="fr-CA"/>
        </w:rPr>
        <w:t xml:space="preserve">pour </w:t>
      </w:r>
      <w:r w:rsidR="00975683" w:rsidRPr="00190A51">
        <w:rPr>
          <w:sz w:val="22"/>
          <w:szCs w:val="22"/>
          <w:lang w:val="fr-CA"/>
        </w:rPr>
        <w:t xml:space="preserve">la cause </w:t>
      </w:r>
      <w:r w:rsidR="000C3CB6" w:rsidRPr="00190A51">
        <w:rPr>
          <w:sz w:val="22"/>
          <w:szCs w:val="22"/>
          <w:lang w:val="fr-CA"/>
        </w:rPr>
        <w:t xml:space="preserve">et </w:t>
      </w:r>
      <w:r w:rsidR="00EC00AF">
        <w:rPr>
          <w:sz w:val="22"/>
          <w:szCs w:val="22"/>
          <w:lang w:val="fr-CA"/>
        </w:rPr>
        <w:t xml:space="preserve">démontre toujours </w:t>
      </w:r>
      <w:r w:rsidR="0093128C" w:rsidRPr="00190A51">
        <w:rPr>
          <w:sz w:val="22"/>
          <w:szCs w:val="22"/>
          <w:lang w:val="fr-CA"/>
        </w:rPr>
        <w:t xml:space="preserve">son </w:t>
      </w:r>
      <w:r w:rsidR="00975683" w:rsidRPr="00190A51">
        <w:rPr>
          <w:sz w:val="22"/>
          <w:szCs w:val="22"/>
          <w:lang w:val="fr-CA"/>
        </w:rPr>
        <w:t xml:space="preserve">patriotisme. De plus, </w:t>
      </w:r>
      <w:r w:rsidR="0093128C" w:rsidRPr="00190A51">
        <w:rPr>
          <w:sz w:val="22"/>
          <w:szCs w:val="22"/>
          <w:lang w:val="fr-CA"/>
        </w:rPr>
        <w:t xml:space="preserve">le journal </w:t>
      </w:r>
      <w:r w:rsidR="00975683" w:rsidRPr="00190A51">
        <w:rPr>
          <w:sz w:val="22"/>
          <w:szCs w:val="22"/>
          <w:lang w:val="fr-CA"/>
        </w:rPr>
        <w:t xml:space="preserve">s’assure de démontrer que les Franco-Américains ne sont pas des embusqués et qu’ils contribuent </w:t>
      </w:r>
      <w:r w:rsidR="000A6D68" w:rsidRPr="00190A51">
        <w:rPr>
          <w:sz w:val="22"/>
          <w:szCs w:val="22"/>
          <w:lang w:val="fr-CA"/>
        </w:rPr>
        <w:t xml:space="preserve">pleinement </w:t>
      </w:r>
      <w:r w:rsidR="00975683" w:rsidRPr="00190A51">
        <w:rPr>
          <w:sz w:val="22"/>
          <w:szCs w:val="22"/>
          <w:lang w:val="fr-CA"/>
        </w:rPr>
        <w:t xml:space="preserve">à l’effort de guerre de </w:t>
      </w:r>
      <w:r w:rsidR="000A6D68" w:rsidRPr="00190A51">
        <w:rPr>
          <w:sz w:val="22"/>
          <w:szCs w:val="22"/>
          <w:lang w:val="fr-CA"/>
        </w:rPr>
        <w:t xml:space="preserve">leur </w:t>
      </w:r>
      <w:r w:rsidR="00975683" w:rsidRPr="00190A51">
        <w:rPr>
          <w:sz w:val="22"/>
          <w:szCs w:val="22"/>
          <w:lang w:val="fr-CA"/>
        </w:rPr>
        <w:t>nation</w:t>
      </w:r>
      <w:r w:rsidR="00AD032C" w:rsidRPr="00190A51">
        <w:rPr>
          <w:sz w:val="22"/>
          <w:szCs w:val="22"/>
          <w:lang w:val="fr-CA"/>
        </w:rPr>
        <w:t>.</w:t>
      </w:r>
    </w:p>
    <w:p w14:paraId="0E72632D" w14:textId="77777777" w:rsidR="00975683" w:rsidRPr="00190A51" w:rsidRDefault="00416D63" w:rsidP="002B5319">
      <w:pPr>
        <w:jc w:val="both"/>
        <w:rPr>
          <w:sz w:val="22"/>
          <w:szCs w:val="22"/>
          <w:lang w:val="fr-CA"/>
        </w:rPr>
      </w:pPr>
      <w:r w:rsidRPr="00190A51">
        <w:rPr>
          <w:sz w:val="22"/>
          <w:szCs w:val="22"/>
          <w:lang w:val="fr-CA"/>
        </w:rPr>
        <w:tab/>
        <w:t xml:space="preserve">Or, tous ces gestes servent à démontrer la loyauté </w:t>
      </w:r>
      <w:r w:rsidR="0093128C" w:rsidRPr="00190A51">
        <w:rPr>
          <w:sz w:val="22"/>
          <w:szCs w:val="22"/>
          <w:lang w:val="fr-CA"/>
        </w:rPr>
        <w:t>des F</w:t>
      </w:r>
      <w:r w:rsidRPr="00190A51">
        <w:rPr>
          <w:sz w:val="22"/>
          <w:szCs w:val="22"/>
          <w:lang w:val="fr-CA"/>
        </w:rPr>
        <w:t>ranco-</w:t>
      </w:r>
      <w:r w:rsidR="0093128C" w:rsidRPr="00190A51">
        <w:rPr>
          <w:sz w:val="22"/>
          <w:szCs w:val="22"/>
          <w:lang w:val="fr-CA"/>
        </w:rPr>
        <w:t>A</w:t>
      </w:r>
      <w:r w:rsidRPr="00190A51">
        <w:rPr>
          <w:sz w:val="22"/>
          <w:szCs w:val="22"/>
          <w:lang w:val="fr-CA"/>
        </w:rPr>
        <w:t>méricain</w:t>
      </w:r>
      <w:r w:rsidR="0093128C" w:rsidRPr="00190A51">
        <w:rPr>
          <w:sz w:val="22"/>
          <w:szCs w:val="22"/>
          <w:lang w:val="fr-CA"/>
        </w:rPr>
        <w:t>s</w:t>
      </w:r>
      <w:r w:rsidRPr="00190A51">
        <w:rPr>
          <w:sz w:val="22"/>
          <w:szCs w:val="22"/>
          <w:lang w:val="fr-CA"/>
        </w:rPr>
        <w:t xml:space="preserve"> </w:t>
      </w:r>
      <w:r w:rsidR="005652C7" w:rsidRPr="00190A51">
        <w:rPr>
          <w:sz w:val="22"/>
          <w:szCs w:val="22"/>
          <w:lang w:val="fr-CA"/>
        </w:rPr>
        <w:t xml:space="preserve">aux dirigeants américains </w:t>
      </w:r>
      <w:r w:rsidRPr="00190A51">
        <w:rPr>
          <w:sz w:val="22"/>
          <w:szCs w:val="22"/>
          <w:lang w:val="fr-CA"/>
        </w:rPr>
        <w:t>et</w:t>
      </w:r>
      <w:r w:rsidR="00055109">
        <w:rPr>
          <w:sz w:val="22"/>
          <w:szCs w:val="22"/>
          <w:lang w:val="fr-CA"/>
        </w:rPr>
        <w:t xml:space="preserve"> </w:t>
      </w:r>
      <w:r w:rsidR="006C35CC">
        <w:rPr>
          <w:sz w:val="22"/>
          <w:szCs w:val="22"/>
          <w:lang w:val="fr-CA"/>
        </w:rPr>
        <w:t xml:space="preserve">à </w:t>
      </w:r>
      <w:r w:rsidR="005652C7" w:rsidRPr="00190A51">
        <w:rPr>
          <w:sz w:val="22"/>
          <w:szCs w:val="22"/>
          <w:lang w:val="fr-CA"/>
        </w:rPr>
        <w:t>les i</w:t>
      </w:r>
      <w:r w:rsidRPr="00190A51">
        <w:rPr>
          <w:sz w:val="22"/>
          <w:szCs w:val="22"/>
          <w:lang w:val="fr-CA"/>
        </w:rPr>
        <w:t>nciter à accepter</w:t>
      </w:r>
      <w:r w:rsidR="005652C7" w:rsidRPr="00190A51">
        <w:rPr>
          <w:sz w:val="22"/>
          <w:szCs w:val="22"/>
          <w:lang w:val="fr-CA"/>
        </w:rPr>
        <w:t>, avec preuves à l’appui,</w:t>
      </w:r>
      <w:r w:rsidRPr="00190A51">
        <w:rPr>
          <w:sz w:val="22"/>
          <w:szCs w:val="22"/>
          <w:lang w:val="fr-CA"/>
        </w:rPr>
        <w:t xml:space="preserve"> que les Franco-Américains p</w:t>
      </w:r>
      <w:r w:rsidR="00A67430" w:rsidRPr="00190A51">
        <w:rPr>
          <w:sz w:val="22"/>
          <w:szCs w:val="22"/>
          <w:lang w:val="fr-CA"/>
        </w:rPr>
        <w:t>uiss</w:t>
      </w:r>
      <w:r w:rsidRPr="00190A51">
        <w:rPr>
          <w:sz w:val="22"/>
          <w:szCs w:val="22"/>
          <w:lang w:val="fr-CA"/>
        </w:rPr>
        <w:t>ent être francophones</w:t>
      </w:r>
      <w:r w:rsidR="00055109">
        <w:rPr>
          <w:sz w:val="22"/>
          <w:szCs w:val="22"/>
          <w:lang w:val="fr-CA"/>
        </w:rPr>
        <w:t xml:space="preserve"> </w:t>
      </w:r>
      <w:r w:rsidR="003A6BC6">
        <w:rPr>
          <w:sz w:val="22"/>
          <w:szCs w:val="22"/>
          <w:lang w:val="fr-CA"/>
        </w:rPr>
        <w:t>et catholiques et demeurer de fi</w:t>
      </w:r>
      <w:r w:rsidR="0068130A">
        <w:rPr>
          <w:sz w:val="22"/>
          <w:szCs w:val="22"/>
          <w:lang w:val="fr-CA"/>
        </w:rPr>
        <w:t>er</w:t>
      </w:r>
      <w:r w:rsidR="003A6BC6">
        <w:rPr>
          <w:sz w:val="22"/>
          <w:szCs w:val="22"/>
          <w:lang w:val="fr-CA"/>
        </w:rPr>
        <w:t xml:space="preserve">s </w:t>
      </w:r>
      <w:r w:rsidRPr="00190A51">
        <w:rPr>
          <w:sz w:val="22"/>
          <w:szCs w:val="22"/>
          <w:lang w:val="fr-CA"/>
        </w:rPr>
        <w:t>patriotiques</w:t>
      </w:r>
      <w:r w:rsidR="00055109">
        <w:rPr>
          <w:sz w:val="22"/>
          <w:szCs w:val="22"/>
          <w:lang w:val="fr-CA"/>
        </w:rPr>
        <w:t xml:space="preserve"> </w:t>
      </w:r>
      <w:r w:rsidR="0068130A">
        <w:rPr>
          <w:sz w:val="22"/>
          <w:szCs w:val="22"/>
          <w:lang w:val="fr-CA"/>
        </w:rPr>
        <w:t>A</w:t>
      </w:r>
      <w:r w:rsidR="003A6BC6">
        <w:rPr>
          <w:sz w:val="22"/>
          <w:szCs w:val="22"/>
          <w:lang w:val="fr-CA"/>
        </w:rPr>
        <w:t>méricains</w:t>
      </w:r>
      <w:r w:rsidRPr="00190A51">
        <w:rPr>
          <w:sz w:val="22"/>
          <w:szCs w:val="22"/>
          <w:lang w:val="fr-CA"/>
        </w:rPr>
        <w:t>.</w:t>
      </w:r>
      <w:r w:rsidR="005652C7" w:rsidRPr="00190A51">
        <w:rPr>
          <w:sz w:val="22"/>
          <w:szCs w:val="22"/>
          <w:lang w:val="fr-CA"/>
        </w:rPr>
        <w:t xml:space="preserve"> Cette stratégie de l’intelligentsia s’est avouée </w:t>
      </w:r>
      <w:r w:rsidR="003A6BC6">
        <w:rPr>
          <w:sz w:val="22"/>
          <w:szCs w:val="22"/>
          <w:lang w:val="fr-CA"/>
        </w:rPr>
        <w:t xml:space="preserve">toutefois </w:t>
      </w:r>
      <w:r w:rsidR="005652C7" w:rsidRPr="00190A51">
        <w:rPr>
          <w:sz w:val="22"/>
          <w:szCs w:val="22"/>
          <w:lang w:val="fr-CA"/>
        </w:rPr>
        <w:t>infructueuse contre le lobby grandissant des nativistes</w:t>
      </w:r>
      <w:r w:rsidR="003E3243" w:rsidRPr="00190A51">
        <w:rPr>
          <w:sz w:val="22"/>
          <w:szCs w:val="22"/>
          <w:lang w:val="fr-CA"/>
        </w:rPr>
        <w:t xml:space="preserve"> </w:t>
      </w:r>
      <w:r w:rsidR="005652C7" w:rsidRPr="00190A51">
        <w:rPr>
          <w:sz w:val="22"/>
          <w:szCs w:val="22"/>
          <w:lang w:val="fr-CA"/>
        </w:rPr>
        <w:t xml:space="preserve">avec leur crainte des </w:t>
      </w:r>
      <w:r w:rsidR="003E3243" w:rsidRPr="00190A51">
        <w:rPr>
          <w:sz w:val="22"/>
          <w:szCs w:val="22"/>
          <w:lang w:val="fr-CA"/>
        </w:rPr>
        <w:t>immigrants non assimilables et du catholicisme</w:t>
      </w:r>
      <w:r w:rsidR="00055109">
        <w:rPr>
          <w:sz w:val="22"/>
          <w:szCs w:val="22"/>
          <w:lang w:val="fr-CA"/>
        </w:rPr>
        <w:t xml:space="preserve">. </w:t>
      </w:r>
      <w:r w:rsidR="003A6BC6">
        <w:rPr>
          <w:sz w:val="22"/>
          <w:szCs w:val="22"/>
          <w:lang w:val="fr-CA"/>
        </w:rPr>
        <w:t>L</w:t>
      </w:r>
      <w:r w:rsidR="009A3B2C" w:rsidRPr="00190A51">
        <w:rPr>
          <w:sz w:val="22"/>
          <w:szCs w:val="22"/>
          <w:lang w:val="fr-CA"/>
        </w:rPr>
        <w:t xml:space="preserve">es efforts de la communauté franco-américaine pour maintenir leurs droits linguistiques </w:t>
      </w:r>
      <w:r w:rsidR="003A6BC6">
        <w:rPr>
          <w:sz w:val="22"/>
          <w:szCs w:val="22"/>
          <w:lang w:val="fr-CA"/>
        </w:rPr>
        <w:t>n</w:t>
      </w:r>
      <w:r w:rsidR="00055109">
        <w:rPr>
          <w:sz w:val="22"/>
          <w:szCs w:val="22"/>
          <w:lang w:val="fr-CA"/>
        </w:rPr>
        <w:t>’</w:t>
      </w:r>
      <w:r w:rsidR="009A3B2C" w:rsidRPr="00190A51">
        <w:rPr>
          <w:sz w:val="22"/>
          <w:szCs w:val="22"/>
          <w:lang w:val="fr-CA"/>
        </w:rPr>
        <w:t>all</w:t>
      </w:r>
      <w:r w:rsidR="00A67430" w:rsidRPr="00190A51">
        <w:rPr>
          <w:sz w:val="22"/>
          <w:szCs w:val="22"/>
          <w:lang w:val="fr-CA"/>
        </w:rPr>
        <w:t>ai</w:t>
      </w:r>
      <w:r w:rsidR="00055109">
        <w:rPr>
          <w:sz w:val="22"/>
          <w:szCs w:val="22"/>
          <w:lang w:val="fr-CA"/>
        </w:rPr>
        <w:t xml:space="preserve">ent </w:t>
      </w:r>
      <w:r w:rsidR="003A6BC6">
        <w:rPr>
          <w:sz w:val="22"/>
          <w:szCs w:val="22"/>
          <w:lang w:val="fr-CA"/>
        </w:rPr>
        <w:t xml:space="preserve">donc pas atteindre les objectifs </w:t>
      </w:r>
      <w:r w:rsidR="0093128C" w:rsidRPr="00190A51">
        <w:rPr>
          <w:sz w:val="22"/>
          <w:szCs w:val="22"/>
          <w:lang w:val="fr-CA"/>
        </w:rPr>
        <w:t xml:space="preserve">compte tenu </w:t>
      </w:r>
      <w:r w:rsidR="003A6BC6">
        <w:rPr>
          <w:sz w:val="22"/>
          <w:szCs w:val="22"/>
          <w:lang w:val="fr-CA"/>
        </w:rPr>
        <w:t xml:space="preserve">du vote </w:t>
      </w:r>
      <w:r w:rsidR="00A67430" w:rsidRPr="00190A51">
        <w:rPr>
          <w:sz w:val="22"/>
          <w:szCs w:val="22"/>
          <w:lang w:val="fr-CA"/>
        </w:rPr>
        <w:t xml:space="preserve">des </w:t>
      </w:r>
      <w:r w:rsidR="009A3B2C" w:rsidRPr="00190A51">
        <w:rPr>
          <w:sz w:val="22"/>
          <w:szCs w:val="22"/>
          <w:lang w:val="fr-CA"/>
        </w:rPr>
        <w:t>mesures législatives</w:t>
      </w:r>
      <w:r w:rsidR="00C14C5E">
        <w:rPr>
          <w:sz w:val="22"/>
          <w:szCs w:val="22"/>
          <w:lang w:val="fr-CA"/>
        </w:rPr>
        <w:t xml:space="preserve"> subséquentes</w:t>
      </w:r>
      <w:r w:rsidR="009A3B2C" w:rsidRPr="00190A51">
        <w:rPr>
          <w:sz w:val="22"/>
          <w:szCs w:val="22"/>
          <w:lang w:val="fr-CA"/>
        </w:rPr>
        <w:t xml:space="preserve"> aboliss</w:t>
      </w:r>
      <w:r w:rsidR="003E3243" w:rsidRPr="00190A51">
        <w:rPr>
          <w:sz w:val="22"/>
          <w:szCs w:val="22"/>
          <w:lang w:val="fr-CA"/>
        </w:rPr>
        <w:t>a</w:t>
      </w:r>
      <w:r w:rsidR="009A3B2C" w:rsidRPr="00190A51">
        <w:rPr>
          <w:sz w:val="22"/>
          <w:szCs w:val="22"/>
          <w:lang w:val="fr-CA"/>
        </w:rPr>
        <w:t xml:space="preserve">nt les écoles paroissiales </w:t>
      </w:r>
      <w:r w:rsidR="00C14C5E">
        <w:rPr>
          <w:sz w:val="22"/>
          <w:szCs w:val="22"/>
          <w:lang w:val="fr-CA"/>
        </w:rPr>
        <w:t>pour l</w:t>
      </w:r>
      <w:r w:rsidR="009A3B2C" w:rsidRPr="00190A51">
        <w:rPr>
          <w:sz w:val="22"/>
          <w:szCs w:val="22"/>
          <w:lang w:val="fr-CA"/>
        </w:rPr>
        <w:t xml:space="preserve">es </w:t>
      </w:r>
      <w:r w:rsidR="00A67430" w:rsidRPr="00190A51">
        <w:rPr>
          <w:sz w:val="22"/>
          <w:szCs w:val="22"/>
          <w:lang w:val="fr-CA"/>
        </w:rPr>
        <w:t xml:space="preserve">différents </w:t>
      </w:r>
      <w:r w:rsidR="009A3B2C" w:rsidRPr="00190A51">
        <w:rPr>
          <w:sz w:val="22"/>
          <w:szCs w:val="22"/>
          <w:lang w:val="fr-CA"/>
        </w:rPr>
        <w:t>groupes ethnique</w:t>
      </w:r>
      <w:r w:rsidR="003E3243" w:rsidRPr="00190A51">
        <w:rPr>
          <w:sz w:val="22"/>
          <w:szCs w:val="22"/>
          <w:lang w:val="fr-CA"/>
        </w:rPr>
        <w:t>s</w:t>
      </w:r>
      <w:r w:rsidR="009A3B2C" w:rsidRPr="00190A51">
        <w:rPr>
          <w:sz w:val="22"/>
          <w:szCs w:val="22"/>
          <w:lang w:val="fr-CA"/>
        </w:rPr>
        <w:t xml:space="preserve"> minoritaires </w:t>
      </w:r>
      <w:r w:rsidR="00A67430" w:rsidRPr="00190A51">
        <w:rPr>
          <w:sz w:val="22"/>
          <w:szCs w:val="22"/>
          <w:lang w:val="fr-CA"/>
        </w:rPr>
        <w:t xml:space="preserve">qui </w:t>
      </w:r>
      <w:r w:rsidR="009A3B2C" w:rsidRPr="00190A51">
        <w:rPr>
          <w:sz w:val="22"/>
          <w:szCs w:val="22"/>
          <w:lang w:val="fr-CA"/>
        </w:rPr>
        <w:t>résid</w:t>
      </w:r>
      <w:r w:rsidR="003A6BC6">
        <w:rPr>
          <w:sz w:val="22"/>
          <w:szCs w:val="22"/>
          <w:lang w:val="fr-CA"/>
        </w:rPr>
        <w:t>ai</w:t>
      </w:r>
      <w:r w:rsidR="00A67430" w:rsidRPr="00190A51">
        <w:rPr>
          <w:sz w:val="22"/>
          <w:szCs w:val="22"/>
          <w:lang w:val="fr-CA"/>
        </w:rPr>
        <w:t>e</w:t>
      </w:r>
      <w:r w:rsidR="009A3B2C" w:rsidRPr="00190A51">
        <w:rPr>
          <w:sz w:val="22"/>
          <w:szCs w:val="22"/>
          <w:lang w:val="fr-CA"/>
        </w:rPr>
        <w:t>nt aux États-Unis.</w:t>
      </w:r>
    </w:p>
    <w:p w14:paraId="55536464" w14:textId="77777777" w:rsidR="00B0701E" w:rsidRPr="00261B72" w:rsidRDefault="00240091" w:rsidP="00B0701E">
      <w:pPr>
        <w:spacing w:after="200" w:line="360" w:lineRule="auto"/>
        <w:rPr>
          <w:rFonts w:eastAsia="Calibri"/>
          <w:sz w:val="22"/>
          <w:szCs w:val="22"/>
          <w:lang w:val="fr-CA" w:eastAsia="en-US"/>
        </w:rPr>
      </w:pPr>
      <w:r>
        <w:rPr>
          <w:rFonts w:eastAsia="Calibri"/>
          <w:u w:val="single"/>
          <w:lang w:val="fr-CA" w:eastAsia="en-US"/>
        </w:rPr>
        <w:br w:type="page"/>
      </w:r>
      <w:r w:rsidR="00B0701E" w:rsidRPr="00261B72">
        <w:rPr>
          <w:rFonts w:eastAsia="Calibri"/>
          <w:sz w:val="22"/>
          <w:szCs w:val="22"/>
          <w:u w:val="single"/>
          <w:lang w:val="fr-CA" w:eastAsia="en-US"/>
        </w:rPr>
        <w:lastRenderedPageBreak/>
        <w:t>BIBLIOGRAPHIE</w:t>
      </w:r>
    </w:p>
    <w:p w14:paraId="7B3F43FA" w14:textId="77777777" w:rsidR="00BF5BFC" w:rsidRPr="00261B72" w:rsidRDefault="00BF5BFC" w:rsidP="001732FE">
      <w:pPr>
        <w:spacing w:line="360" w:lineRule="auto"/>
        <w:rPr>
          <w:rFonts w:eastAsia="Calibri"/>
          <w:sz w:val="22"/>
          <w:szCs w:val="22"/>
          <w:u w:val="single"/>
          <w:lang w:val="fr-CA" w:eastAsia="en-US"/>
        </w:rPr>
      </w:pPr>
      <w:r w:rsidRPr="00261B72">
        <w:rPr>
          <w:rFonts w:eastAsia="Calibri"/>
          <w:sz w:val="22"/>
          <w:szCs w:val="22"/>
          <w:u w:val="single"/>
          <w:lang w:val="fr-CA" w:eastAsia="en-US"/>
        </w:rPr>
        <w:t>Source primaire</w:t>
      </w:r>
    </w:p>
    <w:p w14:paraId="451FC8B4" w14:textId="77777777" w:rsidR="001732FE" w:rsidRPr="00261B72" w:rsidRDefault="00BF5BFC" w:rsidP="001732FE">
      <w:pPr>
        <w:tabs>
          <w:tab w:val="num" w:pos="720"/>
        </w:tabs>
        <w:spacing w:line="259" w:lineRule="auto"/>
        <w:rPr>
          <w:rFonts w:eastAsia="Calibri"/>
          <w:sz w:val="22"/>
          <w:szCs w:val="22"/>
          <w:lang w:eastAsia="en-US"/>
        </w:rPr>
      </w:pPr>
      <w:r w:rsidRPr="00261B72">
        <w:rPr>
          <w:rFonts w:eastAsia="Calibri"/>
          <w:i/>
          <w:sz w:val="22"/>
          <w:szCs w:val="22"/>
          <w:lang w:val="fr-CA" w:eastAsia="en-US"/>
        </w:rPr>
        <w:t>L’</w:t>
      </w:r>
      <w:r w:rsidR="00B81A60" w:rsidRPr="00261B72">
        <w:rPr>
          <w:rFonts w:eastAsia="Calibri"/>
          <w:i/>
          <w:sz w:val="22"/>
          <w:szCs w:val="22"/>
          <w:lang w:val="fr-CA" w:eastAsia="en-US"/>
        </w:rPr>
        <w:t>A</w:t>
      </w:r>
      <w:r w:rsidRPr="00261B72">
        <w:rPr>
          <w:rFonts w:eastAsia="Calibri"/>
          <w:i/>
          <w:sz w:val="22"/>
          <w:szCs w:val="22"/>
          <w:lang w:val="fr-CA" w:eastAsia="en-US"/>
        </w:rPr>
        <w:t>venir National</w:t>
      </w:r>
      <w:r w:rsidR="005E4778" w:rsidRPr="00261B72">
        <w:rPr>
          <w:rFonts w:eastAsia="Calibri"/>
          <w:sz w:val="22"/>
          <w:szCs w:val="22"/>
          <w:lang w:val="fr-CA" w:eastAsia="en-US"/>
        </w:rPr>
        <w:t>.</w:t>
      </w:r>
      <w:r w:rsidR="005E4778" w:rsidRPr="00261B72">
        <w:rPr>
          <w:rFonts w:eastAsia="Calibri"/>
          <w:i/>
          <w:sz w:val="22"/>
          <w:szCs w:val="22"/>
          <w:lang w:val="fr-CA" w:eastAsia="en-US"/>
        </w:rPr>
        <w:t xml:space="preserve"> </w:t>
      </w:r>
      <w:r w:rsidR="005E4778" w:rsidRPr="00261B72">
        <w:rPr>
          <w:rFonts w:eastAsia="Calibri"/>
          <w:sz w:val="22"/>
          <w:szCs w:val="22"/>
          <w:lang w:eastAsia="en-US"/>
        </w:rPr>
        <w:t>M</w:t>
      </w:r>
      <w:r w:rsidR="00B81A60" w:rsidRPr="00261B72">
        <w:rPr>
          <w:rFonts w:eastAsia="Calibri"/>
          <w:sz w:val="22"/>
          <w:szCs w:val="22"/>
          <w:lang w:eastAsia="en-US"/>
        </w:rPr>
        <w:t>anchester</w:t>
      </w:r>
      <w:r w:rsidR="005E4778" w:rsidRPr="00261B72">
        <w:rPr>
          <w:rFonts w:eastAsia="Calibri"/>
          <w:sz w:val="22"/>
          <w:szCs w:val="22"/>
          <w:lang w:eastAsia="en-US"/>
        </w:rPr>
        <w:t>, New Hampshire, vol</w:t>
      </w:r>
      <w:r w:rsidR="00E21DFD" w:rsidRPr="00261B72">
        <w:rPr>
          <w:rFonts w:eastAsia="Calibri"/>
          <w:sz w:val="22"/>
          <w:szCs w:val="22"/>
          <w:lang w:eastAsia="en-US"/>
        </w:rPr>
        <w:t> </w:t>
      </w:r>
      <w:r w:rsidR="005E4778" w:rsidRPr="00261B72">
        <w:rPr>
          <w:rFonts w:eastAsia="Calibri"/>
          <w:sz w:val="22"/>
          <w:szCs w:val="22"/>
          <w:lang w:eastAsia="en-US"/>
        </w:rPr>
        <w:t xml:space="preserve">XXV, </w:t>
      </w:r>
      <w:r w:rsidR="005D605B" w:rsidRPr="00261B72">
        <w:rPr>
          <w:rFonts w:eastAsia="Calibri"/>
          <w:sz w:val="22"/>
          <w:szCs w:val="22"/>
          <w:lang w:eastAsia="en-US"/>
        </w:rPr>
        <w:t>n</w:t>
      </w:r>
      <w:r w:rsidR="005E4778" w:rsidRPr="00261B72">
        <w:rPr>
          <w:rFonts w:eastAsia="Calibri"/>
          <w:sz w:val="22"/>
          <w:szCs w:val="22"/>
          <w:vertAlign w:val="superscript"/>
          <w:lang w:eastAsia="en-US"/>
        </w:rPr>
        <w:t>o</w:t>
      </w:r>
      <w:r w:rsidR="00E21DFD" w:rsidRPr="00261B72">
        <w:rPr>
          <w:rFonts w:eastAsia="Calibri"/>
          <w:sz w:val="22"/>
          <w:szCs w:val="22"/>
          <w:lang w:eastAsia="en-US"/>
        </w:rPr>
        <w:t> </w:t>
      </w:r>
      <w:r w:rsidR="005E4778" w:rsidRPr="00261B72">
        <w:rPr>
          <w:rFonts w:eastAsia="Calibri"/>
          <w:sz w:val="22"/>
          <w:szCs w:val="22"/>
          <w:lang w:eastAsia="en-US"/>
        </w:rPr>
        <w:t>297</w:t>
      </w:r>
      <w:r w:rsidR="00043679" w:rsidRPr="00261B72">
        <w:rPr>
          <w:rFonts w:eastAsia="Calibri"/>
          <w:sz w:val="22"/>
          <w:szCs w:val="22"/>
          <w:lang w:eastAsia="en-US"/>
        </w:rPr>
        <w:t>,</w:t>
      </w:r>
      <w:r w:rsidR="005E4778" w:rsidRPr="00261B72">
        <w:rPr>
          <w:rFonts w:eastAsia="Calibri"/>
          <w:sz w:val="22"/>
          <w:szCs w:val="22"/>
          <w:lang w:eastAsia="en-US"/>
        </w:rPr>
        <w:t xml:space="preserve"> 1914</w:t>
      </w:r>
      <w:r w:rsidR="00D943B6">
        <w:rPr>
          <w:rFonts w:eastAsia="Calibri"/>
          <w:sz w:val="22"/>
          <w:szCs w:val="22"/>
          <w:lang w:eastAsia="en-US"/>
        </w:rPr>
        <w:t xml:space="preserve"> </w:t>
      </w:r>
      <w:r w:rsidR="00BE4B77" w:rsidRPr="00261B72">
        <w:rPr>
          <w:rFonts w:eastAsia="Calibri"/>
          <w:sz w:val="22"/>
          <w:szCs w:val="22"/>
          <w:lang w:eastAsia="en-US"/>
        </w:rPr>
        <w:t>—</w:t>
      </w:r>
      <w:r w:rsidR="00043679" w:rsidRPr="00261B72">
        <w:rPr>
          <w:rFonts w:eastAsia="Calibri"/>
          <w:sz w:val="22"/>
          <w:szCs w:val="22"/>
          <w:lang w:eastAsia="en-US"/>
        </w:rPr>
        <w:t xml:space="preserve"> </w:t>
      </w:r>
      <w:r w:rsidR="005E4778" w:rsidRPr="00261B72">
        <w:rPr>
          <w:rFonts w:eastAsia="Calibri"/>
          <w:sz w:val="22"/>
          <w:szCs w:val="22"/>
          <w:lang w:eastAsia="en-US"/>
        </w:rPr>
        <w:t>vol XXXI, no.</w:t>
      </w:r>
      <w:r w:rsidR="00BE4B77" w:rsidRPr="00261B72">
        <w:rPr>
          <w:rFonts w:eastAsia="Calibri"/>
          <w:sz w:val="22"/>
          <w:szCs w:val="22"/>
          <w:lang w:eastAsia="en-US"/>
        </w:rPr>
        <w:t> </w:t>
      </w:r>
      <w:r w:rsidR="005E4778" w:rsidRPr="00261B72">
        <w:rPr>
          <w:rFonts w:eastAsia="Calibri"/>
          <w:sz w:val="22"/>
          <w:szCs w:val="22"/>
          <w:lang w:eastAsia="en-US"/>
        </w:rPr>
        <w:t>182</w:t>
      </w:r>
      <w:r w:rsidR="00043679" w:rsidRPr="00261B72">
        <w:rPr>
          <w:rFonts w:eastAsia="Calibri"/>
          <w:sz w:val="22"/>
          <w:szCs w:val="22"/>
          <w:lang w:eastAsia="en-US"/>
        </w:rPr>
        <w:t>,</w:t>
      </w:r>
      <w:r w:rsidR="005E4778" w:rsidRPr="00261B72">
        <w:rPr>
          <w:rFonts w:eastAsia="Calibri"/>
          <w:sz w:val="22"/>
          <w:szCs w:val="22"/>
          <w:lang w:eastAsia="en-US"/>
        </w:rPr>
        <w:t xml:space="preserve"> 1920.</w:t>
      </w:r>
    </w:p>
    <w:p w14:paraId="6F637708" w14:textId="77777777" w:rsidR="00BF5BFC" w:rsidRPr="00261B72" w:rsidRDefault="00BF5BFC" w:rsidP="001732FE">
      <w:pPr>
        <w:tabs>
          <w:tab w:val="num" w:pos="720"/>
        </w:tabs>
        <w:spacing w:before="240" w:line="259" w:lineRule="auto"/>
        <w:rPr>
          <w:rFonts w:eastAsia="Calibri"/>
          <w:sz w:val="22"/>
          <w:szCs w:val="22"/>
          <w:u w:val="single"/>
          <w:lang w:val="fr-CA" w:eastAsia="en-US"/>
        </w:rPr>
      </w:pPr>
      <w:r w:rsidRPr="00261B72">
        <w:rPr>
          <w:rFonts w:eastAsia="Calibri"/>
          <w:sz w:val="22"/>
          <w:szCs w:val="22"/>
          <w:u w:val="single"/>
          <w:lang w:val="fr-CA" w:eastAsia="en-US"/>
        </w:rPr>
        <w:t>Sources secondaires</w:t>
      </w:r>
    </w:p>
    <w:p w14:paraId="55DA5F59" w14:textId="77777777" w:rsidR="001732FE" w:rsidRPr="00261B72" w:rsidRDefault="00BF5BFC" w:rsidP="001732FE">
      <w:pPr>
        <w:tabs>
          <w:tab w:val="num" w:pos="720"/>
        </w:tabs>
        <w:spacing w:before="240" w:line="259" w:lineRule="auto"/>
        <w:rPr>
          <w:rFonts w:eastAsia="Calibri"/>
          <w:sz w:val="22"/>
          <w:szCs w:val="22"/>
          <w:lang w:val="fr-CA" w:eastAsia="en-US"/>
        </w:rPr>
      </w:pPr>
      <w:r w:rsidRPr="00261B72">
        <w:rPr>
          <w:rFonts w:eastAsia="Calibri"/>
          <w:sz w:val="22"/>
          <w:szCs w:val="22"/>
          <w:lang w:val="fr-CA" w:eastAsia="en-US"/>
        </w:rPr>
        <w:t xml:space="preserve">BÉLANGER, A. Albert. </w:t>
      </w:r>
      <w:r w:rsidRPr="00261B72">
        <w:rPr>
          <w:rFonts w:eastAsia="Calibri"/>
          <w:i/>
          <w:sz w:val="22"/>
          <w:szCs w:val="22"/>
          <w:lang w:val="fr-CA" w:eastAsia="en-US"/>
        </w:rPr>
        <w:t>Guide Franco-Américain</w:t>
      </w:r>
      <w:r w:rsidR="00BE4B77" w:rsidRPr="00261B72">
        <w:rPr>
          <w:rFonts w:eastAsia="Calibri"/>
          <w:i/>
          <w:sz w:val="22"/>
          <w:szCs w:val="22"/>
          <w:lang w:val="fr-CA" w:eastAsia="en-US"/>
        </w:rPr>
        <w:t> </w:t>
      </w:r>
      <w:r w:rsidRPr="00261B72">
        <w:rPr>
          <w:rFonts w:eastAsia="Calibri"/>
          <w:i/>
          <w:sz w:val="22"/>
          <w:szCs w:val="22"/>
          <w:lang w:val="fr-CA" w:eastAsia="en-US"/>
        </w:rPr>
        <w:t>1921</w:t>
      </w:r>
      <w:r w:rsidR="00E901CE" w:rsidRPr="00261B72">
        <w:rPr>
          <w:rFonts w:eastAsia="Calibri"/>
          <w:i/>
          <w:sz w:val="22"/>
          <w:szCs w:val="22"/>
          <w:lang w:val="fr-CA" w:eastAsia="en-US"/>
        </w:rPr>
        <w:t xml:space="preserve"> </w:t>
      </w:r>
      <w:r w:rsidR="00BE4B77" w:rsidRPr="00261B72">
        <w:rPr>
          <w:rFonts w:eastAsia="Calibri"/>
          <w:i/>
          <w:sz w:val="22"/>
          <w:szCs w:val="22"/>
          <w:lang w:val="fr-CA" w:eastAsia="en-US"/>
        </w:rPr>
        <w:t>—</w:t>
      </w:r>
      <w:r w:rsidR="00E901CE" w:rsidRPr="00261B72">
        <w:rPr>
          <w:rFonts w:eastAsia="Calibri"/>
          <w:i/>
          <w:sz w:val="22"/>
          <w:szCs w:val="22"/>
          <w:lang w:val="fr-CA" w:eastAsia="en-US"/>
        </w:rPr>
        <w:t xml:space="preserve"> </w:t>
      </w:r>
      <w:r w:rsidRPr="00261B72">
        <w:rPr>
          <w:rFonts w:eastAsia="Calibri"/>
          <w:i/>
          <w:sz w:val="22"/>
          <w:szCs w:val="22"/>
          <w:lang w:val="fr-CA" w:eastAsia="en-US"/>
        </w:rPr>
        <w:t xml:space="preserve">Les Franco-Américains et la Guerre </w:t>
      </w:r>
      <w:r w:rsidR="00B51434" w:rsidRPr="00261B72">
        <w:rPr>
          <w:rFonts w:eastAsia="Calibri"/>
          <w:i/>
          <w:sz w:val="22"/>
          <w:szCs w:val="22"/>
          <w:lang w:val="fr-CA" w:eastAsia="en-US"/>
        </w:rPr>
        <w:t>m</w:t>
      </w:r>
      <w:r w:rsidRPr="00261B72">
        <w:rPr>
          <w:rFonts w:eastAsia="Calibri"/>
          <w:i/>
          <w:sz w:val="22"/>
          <w:szCs w:val="22"/>
          <w:lang w:val="fr-CA" w:eastAsia="en-US"/>
        </w:rPr>
        <w:t>ondiale.</w:t>
      </w:r>
      <w:r w:rsidRPr="00261B72">
        <w:rPr>
          <w:rFonts w:eastAsia="Calibri"/>
          <w:sz w:val="22"/>
          <w:szCs w:val="22"/>
          <w:lang w:val="fr-CA" w:eastAsia="en-US"/>
        </w:rPr>
        <w:t xml:space="preserve"> Massachusetts, Fall-River</w:t>
      </w:r>
      <w:r w:rsidR="009B6C9F" w:rsidRPr="00261B72">
        <w:rPr>
          <w:rFonts w:eastAsia="Calibri"/>
          <w:sz w:val="22"/>
          <w:szCs w:val="22"/>
          <w:lang w:val="fr-CA" w:eastAsia="en-US"/>
        </w:rPr>
        <w:t>,</w:t>
      </w:r>
      <w:r w:rsidRPr="00261B72">
        <w:rPr>
          <w:rFonts w:eastAsia="Calibri"/>
          <w:sz w:val="22"/>
          <w:szCs w:val="22"/>
          <w:lang w:val="fr-CA" w:eastAsia="en-US"/>
        </w:rPr>
        <w:t xml:space="preserve"> 504p</w:t>
      </w:r>
      <w:r w:rsidR="009B6C9F" w:rsidRPr="00261B72">
        <w:rPr>
          <w:rFonts w:eastAsia="Calibri"/>
          <w:sz w:val="22"/>
          <w:szCs w:val="22"/>
          <w:lang w:val="fr-CA" w:eastAsia="en-US"/>
        </w:rPr>
        <w:t>.</w:t>
      </w:r>
    </w:p>
    <w:p w14:paraId="3588B379" w14:textId="77777777" w:rsidR="00BF5BFC" w:rsidRPr="00261B72" w:rsidRDefault="00BF5BFC" w:rsidP="001732FE">
      <w:pPr>
        <w:tabs>
          <w:tab w:val="num" w:pos="720"/>
        </w:tabs>
        <w:spacing w:before="240" w:line="259" w:lineRule="auto"/>
        <w:rPr>
          <w:rFonts w:eastAsia="Calibri"/>
          <w:sz w:val="22"/>
          <w:szCs w:val="22"/>
          <w:lang w:val="fr-CA" w:eastAsia="en-US"/>
        </w:rPr>
      </w:pPr>
      <w:r w:rsidRPr="00261B72">
        <w:rPr>
          <w:rFonts w:eastAsia="Calibri"/>
          <w:sz w:val="22"/>
          <w:szCs w:val="22"/>
          <w:lang w:val="fr-CA" w:eastAsia="en-US"/>
        </w:rPr>
        <w:t xml:space="preserve">BÉLANGER, A. Albert. </w:t>
      </w:r>
      <w:bookmarkStart w:id="17" w:name="_Hlk27812972"/>
      <w:r w:rsidRPr="00261B72">
        <w:rPr>
          <w:rFonts w:eastAsia="Calibri"/>
          <w:i/>
          <w:sz w:val="22"/>
          <w:szCs w:val="22"/>
          <w:lang w:val="fr-CA" w:eastAsia="en-US"/>
        </w:rPr>
        <w:t>Guide Franco-Américain 1922.</w:t>
      </w:r>
      <w:r w:rsidRPr="00261B72">
        <w:rPr>
          <w:rFonts w:eastAsia="Calibri"/>
          <w:sz w:val="22"/>
          <w:szCs w:val="22"/>
          <w:lang w:val="fr-CA" w:eastAsia="en-US"/>
        </w:rPr>
        <w:t xml:space="preserve"> </w:t>
      </w:r>
      <w:r w:rsidRPr="003433E9">
        <w:rPr>
          <w:rFonts w:eastAsia="Calibri"/>
          <w:sz w:val="22"/>
          <w:szCs w:val="22"/>
          <w:lang w:val="fr-CA" w:eastAsia="en-US"/>
        </w:rPr>
        <w:t>4</w:t>
      </w:r>
      <w:r w:rsidRPr="003433E9">
        <w:rPr>
          <w:rFonts w:eastAsia="Calibri"/>
          <w:sz w:val="22"/>
          <w:szCs w:val="22"/>
          <w:vertAlign w:val="superscript"/>
          <w:lang w:val="fr-CA" w:eastAsia="en-US"/>
        </w:rPr>
        <w:t>e</w:t>
      </w:r>
      <w:r w:rsidRPr="003433E9">
        <w:rPr>
          <w:rFonts w:eastAsia="Calibri"/>
          <w:sz w:val="22"/>
          <w:szCs w:val="22"/>
          <w:lang w:val="fr-CA" w:eastAsia="en-US"/>
        </w:rPr>
        <w:t xml:space="preserve"> édition, Massachusetts, Fall-River</w:t>
      </w:r>
      <w:r w:rsidR="009B6C9F" w:rsidRPr="003433E9">
        <w:rPr>
          <w:rFonts w:eastAsia="Calibri"/>
          <w:sz w:val="22"/>
          <w:szCs w:val="22"/>
          <w:lang w:val="fr-CA" w:eastAsia="en-US"/>
        </w:rPr>
        <w:t>,</w:t>
      </w:r>
      <w:r w:rsidRPr="003433E9">
        <w:rPr>
          <w:rFonts w:eastAsia="Calibri"/>
          <w:sz w:val="22"/>
          <w:szCs w:val="22"/>
          <w:lang w:val="fr-CA" w:eastAsia="en-US"/>
        </w:rPr>
        <w:t xml:space="preserve"> </w:t>
      </w:r>
      <w:bookmarkEnd w:id="17"/>
      <w:r w:rsidRPr="003433E9">
        <w:rPr>
          <w:rFonts w:eastAsia="Calibri"/>
          <w:sz w:val="22"/>
          <w:szCs w:val="22"/>
          <w:lang w:val="fr-CA" w:eastAsia="en-US"/>
        </w:rPr>
        <w:t>588p</w:t>
      </w:r>
      <w:r w:rsidRPr="003433E9">
        <w:rPr>
          <w:rFonts w:eastAsia="Calibri"/>
          <w:i/>
          <w:sz w:val="22"/>
          <w:szCs w:val="22"/>
          <w:lang w:val="fr-CA" w:eastAsia="en-US"/>
        </w:rPr>
        <w:t>.</w:t>
      </w:r>
      <w:hyperlink r:id="rId18" w:history="1">
        <w:r w:rsidRPr="00261B72">
          <w:rPr>
            <w:rStyle w:val="Hyperlink"/>
            <w:rFonts w:eastAsia="Calibri"/>
            <w:sz w:val="22"/>
            <w:szCs w:val="22"/>
            <w:lang w:val="fr-CA" w:eastAsia="en-US"/>
          </w:rPr>
          <w:t>https://archive.org/details/guideofficieldes00bela/page/128</w:t>
        </w:r>
      </w:hyperlink>
      <w:r w:rsidR="008B4CC6" w:rsidRPr="00261B72">
        <w:rPr>
          <w:rFonts w:eastAsia="Calibri"/>
          <w:sz w:val="22"/>
          <w:szCs w:val="22"/>
          <w:lang w:val="fr-CA" w:eastAsia="en-US"/>
        </w:rPr>
        <w:t>. Consulté le 20 décembre 2019.</w:t>
      </w:r>
    </w:p>
    <w:p w14:paraId="5859F023" w14:textId="77777777" w:rsidR="00606599" w:rsidRPr="00261B72" w:rsidRDefault="00606599" w:rsidP="001732FE">
      <w:pPr>
        <w:tabs>
          <w:tab w:val="num" w:pos="720"/>
        </w:tabs>
        <w:spacing w:before="240" w:line="259" w:lineRule="auto"/>
        <w:rPr>
          <w:sz w:val="22"/>
          <w:szCs w:val="22"/>
          <w:lang w:val="fr-CA"/>
        </w:rPr>
      </w:pPr>
      <w:r w:rsidRPr="00261B72">
        <w:rPr>
          <w:rFonts w:eastAsia="Calibri"/>
          <w:sz w:val="22"/>
          <w:szCs w:val="22"/>
          <w:lang w:val="fr-CA" w:eastAsia="en-US"/>
        </w:rPr>
        <w:t xml:space="preserve">BÉLANGER, A. Albert. </w:t>
      </w:r>
      <w:r w:rsidRPr="00261B72">
        <w:rPr>
          <w:i/>
          <w:sz w:val="22"/>
          <w:szCs w:val="22"/>
          <w:lang w:val="fr-CA"/>
        </w:rPr>
        <w:t>Guide officiel des Franco-Américains</w:t>
      </w:r>
      <w:r w:rsidR="00BE4B77" w:rsidRPr="00261B72">
        <w:rPr>
          <w:i/>
          <w:sz w:val="22"/>
          <w:szCs w:val="22"/>
          <w:lang w:val="fr-CA"/>
        </w:rPr>
        <w:t> </w:t>
      </w:r>
      <w:r w:rsidRPr="00261B72">
        <w:rPr>
          <w:i/>
          <w:sz w:val="22"/>
          <w:szCs w:val="22"/>
          <w:lang w:val="fr-CA"/>
        </w:rPr>
        <w:t>1938</w:t>
      </w:r>
      <w:r w:rsidRPr="00261B72">
        <w:rPr>
          <w:rFonts w:eastAsia="Calibri"/>
          <w:i/>
          <w:sz w:val="22"/>
          <w:szCs w:val="22"/>
          <w:lang w:val="fr-CA" w:eastAsia="en-US"/>
        </w:rPr>
        <w:t>.</w:t>
      </w:r>
      <w:r w:rsidRPr="00261B72">
        <w:rPr>
          <w:rFonts w:eastAsia="Calibri"/>
          <w:sz w:val="22"/>
          <w:szCs w:val="22"/>
          <w:lang w:val="fr-CA" w:eastAsia="en-US"/>
        </w:rPr>
        <w:t xml:space="preserve"> </w:t>
      </w:r>
      <w:r w:rsidR="005A0F0F" w:rsidRPr="00261B72">
        <w:rPr>
          <w:rFonts w:eastAsia="Calibri"/>
          <w:sz w:val="22"/>
          <w:szCs w:val="22"/>
          <w:lang w:val="fr-CA" w:eastAsia="en-US"/>
        </w:rPr>
        <w:t>12</w:t>
      </w:r>
      <w:r w:rsidRPr="00261B72">
        <w:rPr>
          <w:rFonts w:eastAsia="Calibri"/>
          <w:sz w:val="22"/>
          <w:szCs w:val="22"/>
          <w:vertAlign w:val="superscript"/>
          <w:lang w:val="fr-CA" w:eastAsia="en-US"/>
        </w:rPr>
        <w:t>e</w:t>
      </w:r>
      <w:r w:rsidRPr="00261B72">
        <w:rPr>
          <w:rFonts w:eastAsia="Calibri"/>
          <w:sz w:val="22"/>
          <w:szCs w:val="22"/>
          <w:lang w:val="fr-CA" w:eastAsia="en-US"/>
        </w:rPr>
        <w:t xml:space="preserve"> édition, </w:t>
      </w:r>
      <w:r w:rsidR="005A0F0F" w:rsidRPr="00261B72">
        <w:rPr>
          <w:rFonts w:eastAsia="Calibri"/>
          <w:sz w:val="22"/>
          <w:szCs w:val="22"/>
          <w:lang w:val="fr-CA" w:eastAsia="en-US"/>
        </w:rPr>
        <w:t>Providence</w:t>
      </w:r>
      <w:r w:rsidRPr="00261B72">
        <w:rPr>
          <w:rFonts w:eastAsia="Calibri"/>
          <w:sz w:val="22"/>
          <w:szCs w:val="22"/>
          <w:lang w:val="fr-CA" w:eastAsia="en-US"/>
        </w:rPr>
        <w:t xml:space="preserve">, </w:t>
      </w:r>
      <w:r w:rsidR="005A0F0F" w:rsidRPr="00261B72">
        <w:rPr>
          <w:rFonts w:eastAsia="Calibri"/>
          <w:sz w:val="22"/>
          <w:szCs w:val="22"/>
          <w:lang w:val="fr-CA" w:eastAsia="en-US"/>
        </w:rPr>
        <w:t>Rhode Island</w:t>
      </w:r>
      <w:r w:rsidRPr="00261B72">
        <w:rPr>
          <w:sz w:val="22"/>
          <w:szCs w:val="22"/>
          <w:lang w:val="fr-CA"/>
        </w:rPr>
        <w:t xml:space="preserve">, </w:t>
      </w:r>
      <w:r w:rsidR="005A0F0F" w:rsidRPr="00261B72">
        <w:rPr>
          <w:sz w:val="22"/>
          <w:szCs w:val="22"/>
          <w:lang w:val="fr-CA"/>
        </w:rPr>
        <w:t>588</w:t>
      </w:r>
      <w:r w:rsidR="00BE4B77" w:rsidRPr="00261B72">
        <w:rPr>
          <w:sz w:val="22"/>
          <w:szCs w:val="22"/>
          <w:lang w:val="fr-CA"/>
        </w:rPr>
        <w:t> </w:t>
      </w:r>
      <w:r w:rsidR="005A0F0F" w:rsidRPr="00261B72">
        <w:rPr>
          <w:sz w:val="22"/>
          <w:szCs w:val="22"/>
          <w:lang w:val="fr-CA"/>
        </w:rPr>
        <w:t>p.</w:t>
      </w:r>
    </w:p>
    <w:p w14:paraId="0D5E5DFD" w14:textId="77777777" w:rsidR="00A41B62" w:rsidRPr="00261B72" w:rsidRDefault="00CF6D60" w:rsidP="00A41B62">
      <w:pPr>
        <w:tabs>
          <w:tab w:val="num" w:pos="720"/>
        </w:tabs>
        <w:spacing w:before="240" w:line="259" w:lineRule="auto"/>
        <w:rPr>
          <w:sz w:val="22"/>
          <w:szCs w:val="22"/>
        </w:rPr>
      </w:pPr>
      <w:r w:rsidRPr="00261B72">
        <w:rPr>
          <w:sz w:val="22"/>
          <w:szCs w:val="22"/>
          <w:lang w:val="fr-CA"/>
        </w:rPr>
        <w:t>BELISLE</w:t>
      </w:r>
      <w:r w:rsidR="0060018F" w:rsidRPr="00261B72">
        <w:rPr>
          <w:sz w:val="22"/>
          <w:szCs w:val="22"/>
          <w:lang w:val="fr-CA"/>
        </w:rPr>
        <w:t xml:space="preserve">, Alexandre. </w:t>
      </w:r>
      <w:r w:rsidR="0060018F" w:rsidRPr="00261B72">
        <w:rPr>
          <w:i/>
          <w:iCs/>
          <w:sz w:val="22"/>
          <w:szCs w:val="22"/>
          <w:lang w:val="fr-CA"/>
        </w:rPr>
        <w:t>L’histoire de la presse franco-américaine et des Canadiens aux États-Unis</w:t>
      </w:r>
      <w:r w:rsidR="0060018F" w:rsidRPr="00261B72">
        <w:rPr>
          <w:sz w:val="22"/>
          <w:szCs w:val="22"/>
          <w:lang w:val="fr-CA"/>
        </w:rPr>
        <w:t xml:space="preserve">. </w:t>
      </w:r>
      <w:r w:rsidR="0060018F" w:rsidRPr="00261B72">
        <w:rPr>
          <w:sz w:val="22"/>
          <w:szCs w:val="22"/>
        </w:rPr>
        <w:t>Worcester, Mass. Ateliers de l’Opinion Publique, 1911, 4</w:t>
      </w:r>
      <w:r w:rsidR="005F1FE4" w:rsidRPr="00261B72">
        <w:rPr>
          <w:sz w:val="22"/>
          <w:szCs w:val="22"/>
        </w:rPr>
        <w:t>48</w:t>
      </w:r>
      <w:r w:rsidR="00BE4B77" w:rsidRPr="00261B72">
        <w:rPr>
          <w:sz w:val="22"/>
          <w:szCs w:val="22"/>
        </w:rPr>
        <w:t> </w:t>
      </w:r>
      <w:r w:rsidR="0060018F" w:rsidRPr="00261B72">
        <w:rPr>
          <w:sz w:val="22"/>
          <w:szCs w:val="22"/>
        </w:rPr>
        <w:t>p.</w:t>
      </w:r>
    </w:p>
    <w:p w14:paraId="78485C44" w14:textId="77777777" w:rsidR="007544C9" w:rsidRPr="003433E9" w:rsidRDefault="007544C9" w:rsidP="00A41B62">
      <w:pPr>
        <w:tabs>
          <w:tab w:val="num" w:pos="720"/>
        </w:tabs>
        <w:spacing w:before="240" w:line="259" w:lineRule="auto"/>
        <w:rPr>
          <w:sz w:val="22"/>
          <w:szCs w:val="22"/>
          <w:lang w:val="fr-CA"/>
        </w:rPr>
      </w:pPr>
      <w:r w:rsidRPr="00261B72">
        <w:rPr>
          <w:sz w:val="22"/>
          <w:szCs w:val="22"/>
        </w:rPr>
        <w:t xml:space="preserve">NEWS PAPER.COM. « National Guard Roster of New England States » </w:t>
      </w:r>
      <w:r w:rsidRPr="00261B72">
        <w:rPr>
          <w:i/>
          <w:iCs/>
          <w:sz w:val="22"/>
          <w:szCs w:val="22"/>
        </w:rPr>
        <w:t>The Boston Globe</w:t>
      </w:r>
      <w:r w:rsidRPr="00261B72">
        <w:rPr>
          <w:sz w:val="22"/>
          <w:szCs w:val="22"/>
        </w:rPr>
        <w:t xml:space="preserve"> (Boston, Massachusetts), 19 Jun</w:t>
      </w:r>
      <w:r w:rsidR="005D605B" w:rsidRPr="00261B72">
        <w:rPr>
          <w:sz w:val="22"/>
          <w:szCs w:val="22"/>
        </w:rPr>
        <w:t>e</w:t>
      </w:r>
      <w:r w:rsidRPr="00261B72">
        <w:rPr>
          <w:sz w:val="22"/>
          <w:szCs w:val="22"/>
        </w:rPr>
        <w:t xml:space="preserve"> 1916, Mon</w:t>
      </w:r>
      <w:r w:rsidR="005D605B" w:rsidRPr="00261B72">
        <w:rPr>
          <w:sz w:val="22"/>
          <w:szCs w:val="22"/>
        </w:rPr>
        <w:t>day,</w:t>
      </w:r>
      <w:r w:rsidRPr="00261B72">
        <w:rPr>
          <w:sz w:val="22"/>
          <w:szCs w:val="22"/>
        </w:rPr>
        <w:t xml:space="preserve"> </w:t>
      </w:r>
      <w:r w:rsidR="005D605B" w:rsidRPr="00261B72">
        <w:rPr>
          <w:sz w:val="22"/>
          <w:szCs w:val="22"/>
        </w:rPr>
        <w:t>p.</w:t>
      </w:r>
      <w:r w:rsidR="00E21DFD" w:rsidRPr="00261B72">
        <w:rPr>
          <w:sz w:val="22"/>
          <w:szCs w:val="22"/>
        </w:rPr>
        <w:t> </w:t>
      </w:r>
      <w:r w:rsidRPr="00261B72">
        <w:rPr>
          <w:sz w:val="22"/>
          <w:szCs w:val="22"/>
        </w:rPr>
        <w:t xml:space="preserve">4. </w:t>
      </w:r>
      <w:hyperlink r:id="rId19" w:history="1">
        <w:r w:rsidRPr="003433E9">
          <w:rPr>
            <w:rStyle w:val="Hyperlink"/>
            <w:sz w:val="22"/>
            <w:szCs w:val="22"/>
          </w:rPr>
          <w:t>https://www.newspapers.com/image/?clipping_id=27669722&amp;fcfToken=eyJhbGciOiJIUzI1NiIsInR5cCI6IkpXVCJ9.eyJmcmVlLXZpZXctaWQiOjQzMDcxNTEzNSwiaWF0IjoxNTY1NTgwMzIwLCJleHAiOjE1NjU2NjY3MjB9.lXwH-480i9wBWD2UzrHUSQu9SxRP5Ftu_2evZU2SzTk</w:t>
        </w:r>
      </w:hyperlink>
      <w:r w:rsidRPr="003433E9">
        <w:rPr>
          <w:sz w:val="22"/>
          <w:szCs w:val="22"/>
        </w:rPr>
        <w:t xml:space="preserve">. </w:t>
      </w:r>
      <w:r w:rsidRPr="003433E9">
        <w:rPr>
          <w:sz w:val="22"/>
          <w:szCs w:val="22"/>
          <w:lang w:val="fr-CA"/>
        </w:rPr>
        <w:t>Consulté le 11 août 2019.</w:t>
      </w:r>
    </w:p>
    <w:p w14:paraId="0B08A719" w14:textId="77777777" w:rsidR="00B9356C" w:rsidRPr="00261B72" w:rsidRDefault="00043679" w:rsidP="00B9356C">
      <w:pPr>
        <w:tabs>
          <w:tab w:val="num" w:pos="720"/>
        </w:tabs>
        <w:spacing w:before="240" w:line="259" w:lineRule="auto"/>
        <w:rPr>
          <w:rFonts w:eastAsia="Calibri"/>
          <w:sz w:val="22"/>
          <w:szCs w:val="22"/>
          <w:u w:val="single"/>
          <w:lang w:val="fr-CA" w:eastAsia="en-US"/>
        </w:rPr>
      </w:pPr>
      <w:r w:rsidRPr="00261B72">
        <w:rPr>
          <w:sz w:val="22"/>
          <w:szCs w:val="22"/>
          <w:u w:val="single"/>
          <w:lang w:val="fr-CA"/>
        </w:rPr>
        <w:t>O</w:t>
      </w:r>
      <w:r w:rsidR="00BF5BFC" w:rsidRPr="00261B72">
        <w:rPr>
          <w:rFonts w:eastAsia="Calibri"/>
          <w:sz w:val="22"/>
          <w:szCs w:val="22"/>
          <w:u w:val="single"/>
          <w:lang w:val="fr-CA" w:eastAsia="en-US"/>
        </w:rPr>
        <w:t>uvrages généraux</w:t>
      </w:r>
    </w:p>
    <w:p w14:paraId="65FF3070" w14:textId="77777777" w:rsidR="00B9356C" w:rsidRPr="003433E9" w:rsidRDefault="003E5203" w:rsidP="00B9356C">
      <w:pPr>
        <w:tabs>
          <w:tab w:val="num" w:pos="720"/>
        </w:tabs>
        <w:spacing w:before="240" w:line="259" w:lineRule="auto"/>
        <w:rPr>
          <w:rFonts w:eastAsia="Calibri"/>
          <w:sz w:val="22"/>
          <w:szCs w:val="22"/>
          <w:u w:val="single"/>
          <w:lang w:eastAsia="en-US"/>
        </w:rPr>
      </w:pPr>
      <w:r w:rsidRPr="00261B72">
        <w:rPr>
          <w:sz w:val="22"/>
          <w:szCs w:val="22"/>
          <w:lang w:val="fr-CA"/>
        </w:rPr>
        <w:t xml:space="preserve">COCHET, François et Remy Porte (Dir). </w:t>
      </w:r>
      <w:r w:rsidRPr="00261B72">
        <w:rPr>
          <w:i/>
          <w:iCs/>
          <w:sz w:val="22"/>
          <w:szCs w:val="22"/>
          <w:lang w:val="fr-CA"/>
        </w:rPr>
        <w:t>Dictionnaire de la Grande Guerre</w:t>
      </w:r>
      <w:r w:rsidR="00BE4B77" w:rsidRPr="00261B72">
        <w:rPr>
          <w:i/>
          <w:iCs/>
          <w:sz w:val="22"/>
          <w:szCs w:val="22"/>
          <w:lang w:val="fr-CA"/>
        </w:rPr>
        <w:t> </w:t>
      </w:r>
      <w:r w:rsidRPr="00261B72">
        <w:rPr>
          <w:i/>
          <w:iCs/>
          <w:sz w:val="22"/>
          <w:szCs w:val="22"/>
          <w:lang w:val="fr-CA"/>
        </w:rPr>
        <w:t>1914-1918</w:t>
      </w:r>
      <w:r w:rsidRPr="00261B72">
        <w:rPr>
          <w:sz w:val="22"/>
          <w:szCs w:val="22"/>
          <w:lang w:val="fr-CA"/>
        </w:rPr>
        <w:t xml:space="preserve">. </w:t>
      </w:r>
      <w:r w:rsidRPr="003433E9">
        <w:rPr>
          <w:sz w:val="22"/>
          <w:szCs w:val="22"/>
        </w:rPr>
        <w:t>Coll Bouquins, Paris, Robert Lafont, 2008, 1120</w:t>
      </w:r>
      <w:r w:rsidR="00BE4B77" w:rsidRPr="003433E9">
        <w:rPr>
          <w:sz w:val="22"/>
          <w:szCs w:val="22"/>
        </w:rPr>
        <w:t> </w:t>
      </w:r>
      <w:r w:rsidRPr="003433E9">
        <w:rPr>
          <w:sz w:val="22"/>
          <w:szCs w:val="22"/>
        </w:rPr>
        <w:t>p.</w:t>
      </w:r>
    </w:p>
    <w:p w14:paraId="09F22809" w14:textId="77777777" w:rsidR="00B9356C" w:rsidRPr="00261B72" w:rsidRDefault="00556DD6" w:rsidP="00B9356C">
      <w:pPr>
        <w:tabs>
          <w:tab w:val="num" w:pos="720"/>
        </w:tabs>
        <w:spacing w:before="240" w:line="259" w:lineRule="auto"/>
        <w:rPr>
          <w:rFonts w:eastAsia="Calibri"/>
          <w:sz w:val="22"/>
          <w:szCs w:val="22"/>
          <w:u w:val="single"/>
          <w:lang w:eastAsia="en-US"/>
        </w:rPr>
      </w:pPr>
      <w:r w:rsidRPr="003433E9">
        <w:rPr>
          <w:sz w:val="22"/>
          <w:szCs w:val="22"/>
        </w:rPr>
        <w:t xml:space="preserve">DEVLIN, Patrick. </w:t>
      </w:r>
      <w:r w:rsidRPr="00261B72">
        <w:rPr>
          <w:i/>
          <w:sz w:val="22"/>
          <w:szCs w:val="22"/>
        </w:rPr>
        <w:t>Too Proud to Fight: Woodrow Wilson’s Neutrality</w:t>
      </w:r>
      <w:r w:rsidRPr="00261B72">
        <w:rPr>
          <w:sz w:val="22"/>
          <w:szCs w:val="22"/>
        </w:rPr>
        <w:t>.</w:t>
      </w:r>
      <w:r w:rsidRPr="00261B72">
        <w:rPr>
          <w:i/>
          <w:sz w:val="22"/>
          <w:szCs w:val="22"/>
        </w:rPr>
        <w:t xml:space="preserve"> </w:t>
      </w:r>
      <w:r w:rsidRPr="00261B72">
        <w:rPr>
          <w:sz w:val="22"/>
          <w:szCs w:val="22"/>
        </w:rPr>
        <w:t>New York: Oxford University Press, 1975. 731p.</w:t>
      </w:r>
      <w:bookmarkStart w:id="18" w:name="_Hlk27818802"/>
    </w:p>
    <w:p w14:paraId="29F6919A" w14:textId="77777777" w:rsidR="00B9356C" w:rsidRPr="00261B72" w:rsidRDefault="00EF02C7" w:rsidP="00B9356C">
      <w:pPr>
        <w:tabs>
          <w:tab w:val="num" w:pos="720"/>
        </w:tabs>
        <w:spacing w:before="240" w:line="259" w:lineRule="auto"/>
        <w:rPr>
          <w:rFonts w:eastAsia="Calibri"/>
          <w:sz w:val="22"/>
          <w:szCs w:val="22"/>
          <w:lang w:eastAsia="en-US"/>
        </w:rPr>
      </w:pPr>
      <w:r w:rsidRPr="00261B72">
        <w:rPr>
          <w:rFonts w:eastAsia="Calibri"/>
          <w:sz w:val="22"/>
          <w:szCs w:val="22"/>
          <w:lang w:eastAsia="en-US"/>
        </w:rPr>
        <w:t>DOTY</w:t>
      </w:r>
      <w:r w:rsidR="00B06BED" w:rsidRPr="00261B72">
        <w:rPr>
          <w:rFonts w:eastAsia="Calibri"/>
          <w:sz w:val="22"/>
          <w:szCs w:val="22"/>
          <w:lang w:eastAsia="en-US"/>
        </w:rPr>
        <w:t>, Charles Stewart</w:t>
      </w:r>
      <w:r w:rsidRPr="00261B72">
        <w:rPr>
          <w:rFonts w:eastAsia="Calibri"/>
          <w:sz w:val="22"/>
          <w:szCs w:val="22"/>
          <w:lang w:eastAsia="en-US"/>
        </w:rPr>
        <w:t xml:space="preserve">, </w:t>
      </w:r>
      <w:r w:rsidRPr="00261B72">
        <w:rPr>
          <w:rFonts w:eastAsia="Calibri"/>
          <w:i/>
          <w:sz w:val="22"/>
          <w:szCs w:val="22"/>
          <w:lang w:eastAsia="en-US"/>
        </w:rPr>
        <w:t>The First Franco-Americans: New England Life Histories From the Federal Writers</w:t>
      </w:r>
      <w:r w:rsidR="00BE4B77" w:rsidRPr="00261B72">
        <w:rPr>
          <w:rFonts w:eastAsia="Calibri"/>
          <w:i/>
          <w:sz w:val="22"/>
          <w:szCs w:val="22"/>
          <w:lang w:eastAsia="en-US"/>
        </w:rPr>
        <w:t>’</w:t>
      </w:r>
      <w:r w:rsidRPr="00261B72">
        <w:rPr>
          <w:rFonts w:eastAsia="Calibri"/>
          <w:i/>
          <w:sz w:val="22"/>
          <w:szCs w:val="22"/>
          <w:lang w:eastAsia="en-US"/>
        </w:rPr>
        <w:t xml:space="preserve"> Project, 1938</w:t>
      </w:r>
      <w:r w:rsidR="00BE4B77" w:rsidRPr="00261B72">
        <w:rPr>
          <w:rFonts w:eastAsia="Calibri"/>
          <w:i/>
          <w:sz w:val="22"/>
          <w:szCs w:val="22"/>
          <w:lang w:eastAsia="en-US"/>
        </w:rPr>
        <w:t>–</w:t>
      </w:r>
      <w:r w:rsidRPr="00261B72">
        <w:rPr>
          <w:rFonts w:eastAsia="Calibri"/>
          <w:i/>
          <w:sz w:val="22"/>
          <w:szCs w:val="22"/>
          <w:lang w:eastAsia="en-US"/>
        </w:rPr>
        <w:t>1939</w:t>
      </w:r>
      <w:r w:rsidRPr="00261B72">
        <w:rPr>
          <w:rFonts w:eastAsia="Calibri"/>
          <w:sz w:val="22"/>
          <w:szCs w:val="22"/>
          <w:lang w:eastAsia="en-US"/>
        </w:rPr>
        <w:t>. Orono, M</w:t>
      </w:r>
      <w:r w:rsidR="00D94799" w:rsidRPr="00261B72">
        <w:rPr>
          <w:rFonts w:eastAsia="Calibri"/>
          <w:sz w:val="22"/>
          <w:szCs w:val="22"/>
          <w:lang w:eastAsia="en-US"/>
        </w:rPr>
        <w:t>ain</w:t>
      </w:r>
      <w:r w:rsidRPr="00261B72">
        <w:rPr>
          <w:rFonts w:eastAsia="Calibri"/>
          <w:sz w:val="22"/>
          <w:szCs w:val="22"/>
          <w:lang w:eastAsia="en-US"/>
        </w:rPr>
        <w:t>e: University of Maine at Orono Press, 1985, 163p.</w:t>
      </w:r>
      <w:bookmarkEnd w:id="18"/>
    </w:p>
    <w:p w14:paraId="733C7A7D" w14:textId="77777777" w:rsidR="00B9356C" w:rsidRPr="003433E9" w:rsidRDefault="00B0701E" w:rsidP="00B9356C">
      <w:pPr>
        <w:tabs>
          <w:tab w:val="num" w:pos="720"/>
        </w:tabs>
        <w:spacing w:before="240" w:line="259" w:lineRule="auto"/>
        <w:rPr>
          <w:rFonts w:eastAsia="Calibri"/>
          <w:sz w:val="22"/>
          <w:szCs w:val="22"/>
          <w:lang w:val="fr-CA" w:eastAsia="en-US"/>
        </w:rPr>
      </w:pPr>
      <w:r w:rsidRPr="00261B72">
        <w:rPr>
          <w:rFonts w:eastAsia="Calibri"/>
          <w:sz w:val="22"/>
          <w:szCs w:val="22"/>
          <w:lang w:eastAsia="en-US"/>
        </w:rPr>
        <w:t xml:space="preserve">DRIEDGER, Sharon Doyle. </w:t>
      </w:r>
      <w:r w:rsidRPr="00261B72">
        <w:rPr>
          <w:rFonts w:eastAsia="Calibri"/>
          <w:i/>
          <w:sz w:val="22"/>
          <w:szCs w:val="22"/>
          <w:lang w:eastAsia="en-US"/>
        </w:rPr>
        <w:t>An Irish Heart: How a Small Immigrant Community Shaped Canada</w:t>
      </w:r>
      <w:r w:rsidRPr="00261B72">
        <w:rPr>
          <w:rFonts w:eastAsia="Calibri"/>
          <w:sz w:val="22"/>
          <w:szCs w:val="22"/>
          <w:lang w:eastAsia="en-US"/>
        </w:rPr>
        <w:t xml:space="preserve">. </w:t>
      </w:r>
      <w:r w:rsidRPr="003433E9">
        <w:rPr>
          <w:rFonts w:eastAsia="Calibri"/>
          <w:sz w:val="22"/>
          <w:szCs w:val="22"/>
          <w:lang w:val="fr-CA" w:eastAsia="en-US"/>
        </w:rPr>
        <w:t>Harper</w:t>
      </w:r>
      <w:r w:rsidR="00666654" w:rsidRPr="003433E9">
        <w:rPr>
          <w:rFonts w:eastAsia="Calibri"/>
          <w:sz w:val="22"/>
          <w:szCs w:val="22"/>
          <w:lang w:val="fr-CA" w:eastAsia="en-US"/>
        </w:rPr>
        <w:t xml:space="preserve"> </w:t>
      </w:r>
      <w:r w:rsidRPr="003433E9">
        <w:rPr>
          <w:rFonts w:eastAsia="Calibri"/>
          <w:sz w:val="22"/>
          <w:szCs w:val="22"/>
          <w:lang w:val="fr-CA" w:eastAsia="en-US"/>
        </w:rPr>
        <w:t>Collins, 2010, 404</w:t>
      </w:r>
      <w:r w:rsidR="00BE4B77" w:rsidRPr="003433E9">
        <w:rPr>
          <w:rFonts w:eastAsia="Calibri"/>
          <w:sz w:val="22"/>
          <w:szCs w:val="22"/>
          <w:lang w:val="fr-CA" w:eastAsia="en-US"/>
        </w:rPr>
        <w:t> </w:t>
      </w:r>
      <w:r w:rsidRPr="003433E9">
        <w:rPr>
          <w:rFonts w:eastAsia="Calibri"/>
          <w:sz w:val="22"/>
          <w:szCs w:val="22"/>
          <w:lang w:val="fr-CA" w:eastAsia="en-US"/>
        </w:rPr>
        <w:t>p.</w:t>
      </w:r>
    </w:p>
    <w:p w14:paraId="7233FA6E" w14:textId="77777777" w:rsidR="00B9356C" w:rsidRPr="00261B72" w:rsidRDefault="00CD1427" w:rsidP="00B9356C">
      <w:pPr>
        <w:tabs>
          <w:tab w:val="num" w:pos="720"/>
        </w:tabs>
        <w:spacing w:before="240" w:line="259" w:lineRule="auto"/>
        <w:rPr>
          <w:rFonts w:eastAsia="Calibri"/>
          <w:sz w:val="22"/>
          <w:szCs w:val="22"/>
          <w:lang w:val="fr-CA" w:eastAsia="en-US"/>
        </w:rPr>
      </w:pPr>
      <w:r w:rsidRPr="003433E9">
        <w:rPr>
          <w:rFonts w:eastAsia="Calibri"/>
          <w:sz w:val="22"/>
          <w:szCs w:val="22"/>
          <w:lang w:val="fr-CA" w:eastAsia="en-US"/>
        </w:rPr>
        <w:t xml:space="preserve">DUROSELLE, Jean-Baptiste. </w:t>
      </w:r>
      <w:r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sz w:val="22"/>
          <w:szCs w:val="22"/>
          <w:lang w:val="fr-CA" w:eastAsia="en-US"/>
        </w:rPr>
        <w:t>La guerre européenne et la neutralité américaine</w:t>
      </w:r>
      <w:r w:rsidR="00BE4B77" w:rsidRPr="00261B72">
        <w:rPr>
          <w:rFonts w:eastAsia="Calibri"/>
          <w:sz w:val="22"/>
          <w:szCs w:val="22"/>
          <w:lang w:val="fr-CA" w:eastAsia="en-US"/>
        </w:rPr>
        <w:t> </w:t>
      </w:r>
      <w:r w:rsidRPr="00261B72">
        <w:rPr>
          <w:rFonts w:eastAsia="Calibri"/>
          <w:sz w:val="22"/>
          <w:szCs w:val="22"/>
          <w:lang w:val="fr-CA" w:eastAsia="en-US"/>
        </w:rPr>
        <w:t xml:space="preserve">», </w:t>
      </w:r>
      <w:r w:rsidRPr="00261B72">
        <w:rPr>
          <w:rFonts w:eastAsia="Calibri"/>
          <w:i/>
          <w:sz w:val="22"/>
          <w:szCs w:val="22"/>
          <w:lang w:val="fr-CA" w:eastAsia="en-US"/>
        </w:rPr>
        <w:t>De Wilson à Roosevelt</w:t>
      </w:r>
      <w:r w:rsidR="00BE4B77" w:rsidRPr="00261B72">
        <w:rPr>
          <w:rFonts w:eastAsia="Calibri"/>
          <w:i/>
          <w:sz w:val="22"/>
          <w:szCs w:val="22"/>
          <w:lang w:val="fr-CA" w:eastAsia="en-US"/>
        </w:rPr>
        <w:t> </w:t>
      </w:r>
      <w:r w:rsidRPr="00261B72">
        <w:rPr>
          <w:rFonts w:eastAsia="Calibri"/>
          <w:i/>
          <w:sz w:val="22"/>
          <w:szCs w:val="22"/>
          <w:lang w:val="fr-CA" w:eastAsia="en-US"/>
        </w:rPr>
        <w:t>: La politique extérieure des États-Unis</w:t>
      </w:r>
      <w:r w:rsidR="00BE4B77" w:rsidRPr="00261B72">
        <w:rPr>
          <w:rFonts w:eastAsia="Calibri"/>
          <w:i/>
          <w:sz w:val="22"/>
          <w:szCs w:val="22"/>
          <w:lang w:val="fr-CA" w:eastAsia="en-US"/>
        </w:rPr>
        <w:t> </w:t>
      </w:r>
      <w:r w:rsidRPr="00261B72">
        <w:rPr>
          <w:rFonts w:eastAsia="Calibri"/>
          <w:i/>
          <w:sz w:val="22"/>
          <w:szCs w:val="22"/>
          <w:lang w:val="fr-CA" w:eastAsia="en-US"/>
        </w:rPr>
        <w:t>1913-1945</w:t>
      </w:r>
      <w:r w:rsidRPr="00261B72">
        <w:rPr>
          <w:rFonts w:eastAsia="Calibri"/>
          <w:sz w:val="22"/>
          <w:szCs w:val="22"/>
          <w:lang w:val="fr-CA" w:eastAsia="en-US"/>
        </w:rPr>
        <w:t>. Armand Colin, Paris, 1960, p</w:t>
      </w:r>
      <w:r w:rsidR="002C6F49" w:rsidRPr="00261B72">
        <w:rPr>
          <w:rFonts w:eastAsia="Calibri"/>
          <w:sz w:val="22"/>
          <w:szCs w:val="22"/>
          <w:lang w:val="fr-CA" w:eastAsia="en-US"/>
        </w:rPr>
        <w:t>p</w:t>
      </w:r>
      <w:r w:rsidRPr="00261B72">
        <w:rPr>
          <w:rFonts w:eastAsia="Calibri"/>
          <w:sz w:val="22"/>
          <w:szCs w:val="22"/>
          <w:lang w:val="fr-CA" w:eastAsia="en-US"/>
        </w:rPr>
        <w:t>. 53-53.</w:t>
      </w:r>
    </w:p>
    <w:p w14:paraId="4F1B32E4" w14:textId="77777777" w:rsidR="00B9356C" w:rsidRPr="00261B72" w:rsidRDefault="00B0701E" w:rsidP="00B9356C">
      <w:pPr>
        <w:tabs>
          <w:tab w:val="num" w:pos="720"/>
        </w:tabs>
        <w:spacing w:before="240" w:line="259" w:lineRule="auto"/>
        <w:rPr>
          <w:rFonts w:eastAsia="Calibri"/>
          <w:color w:val="000000"/>
          <w:sz w:val="22"/>
          <w:szCs w:val="22"/>
          <w:lang w:val="fr-CA" w:eastAsia="en-US"/>
        </w:rPr>
      </w:pPr>
      <w:r w:rsidRPr="00261B72">
        <w:rPr>
          <w:rFonts w:eastAsia="Calibri"/>
          <w:sz w:val="22"/>
          <w:szCs w:val="22"/>
          <w:lang w:val="fr-CA" w:eastAsia="en-US"/>
        </w:rPr>
        <w:lastRenderedPageBreak/>
        <w:t xml:space="preserve">GAGNON, </w:t>
      </w:r>
      <w:r w:rsidRPr="00261B72">
        <w:rPr>
          <w:rFonts w:eastAsia="Calibri"/>
          <w:color w:val="000000"/>
          <w:sz w:val="22"/>
          <w:szCs w:val="22"/>
          <w:lang w:val="fr-CA" w:eastAsia="en-US"/>
        </w:rPr>
        <w:t xml:space="preserve">Jean-Pierre. </w:t>
      </w:r>
      <w:r w:rsidRPr="00261B72">
        <w:rPr>
          <w:rFonts w:eastAsia="Calibri"/>
          <w:i/>
          <w:color w:val="000000"/>
          <w:sz w:val="22"/>
          <w:szCs w:val="22"/>
          <w:lang w:val="fr-CA" w:eastAsia="en-US"/>
        </w:rPr>
        <w:t>Le 22</w:t>
      </w:r>
      <w:r w:rsidRPr="00261B72">
        <w:rPr>
          <w:rFonts w:eastAsia="Calibri"/>
          <w:i/>
          <w:color w:val="000000"/>
          <w:sz w:val="22"/>
          <w:szCs w:val="22"/>
          <w:vertAlign w:val="superscript"/>
          <w:lang w:val="fr-CA" w:eastAsia="en-US"/>
        </w:rPr>
        <w:t>e</w:t>
      </w:r>
      <w:r w:rsidRPr="00261B72">
        <w:rPr>
          <w:rFonts w:eastAsia="Calibri"/>
          <w:i/>
          <w:color w:val="000000"/>
          <w:sz w:val="22"/>
          <w:szCs w:val="22"/>
          <w:lang w:val="fr-CA" w:eastAsia="en-US"/>
        </w:rPr>
        <w:t xml:space="preserve"> </w:t>
      </w:r>
      <w:r w:rsidR="00DB5AA0" w:rsidRPr="00261B72">
        <w:rPr>
          <w:rFonts w:eastAsia="Calibri"/>
          <w:i/>
          <w:color w:val="000000"/>
          <w:sz w:val="22"/>
          <w:szCs w:val="22"/>
          <w:lang w:val="fr-CA" w:eastAsia="en-US"/>
        </w:rPr>
        <w:t>bataillon</w:t>
      </w:r>
      <w:r w:rsidRPr="00261B72">
        <w:rPr>
          <w:rFonts w:eastAsia="Calibri"/>
          <w:i/>
          <w:color w:val="000000"/>
          <w:sz w:val="22"/>
          <w:szCs w:val="22"/>
          <w:lang w:val="fr-CA" w:eastAsia="en-US"/>
        </w:rPr>
        <w:t>, Québec</w:t>
      </w:r>
      <w:r w:rsidR="00DD0D52" w:rsidRPr="00261B72">
        <w:rPr>
          <w:rFonts w:eastAsia="Calibri"/>
          <w:i/>
          <w:color w:val="000000"/>
          <w:sz w:val="22"/>
          <w:szCs w:val="22"/>
          <w:lang w:val="fr-CA" w:eastAsia="en-US"/>
        </w:rPr>
        <w:t xml:space="preserve"> (canadien-français), 1914-1919</w:t>
      </w:r>
      <w:r w:rsidR="00BE4B77" w:rsidRPr="00261B72">
        <w:rPr>
          <w:rFonts w:eastAsia="Calibri"/>
          <w:i/>
          <w:color w:val="000000"/>
          <w:sz w:val="22"/>
          <w:szCs w:val="22"/>
          <w:lang w:val="fr-CA" w:eastAsia="en-US"/>
        </w:rPr>
        <w:t> </w:t>
      </w:r>
      <w:r w:rsidR="00DD0D52" w:rsidRPr="00261B72">
        <w:rPr>
          <w:rFonts w:eastAsia="Calibri"/>
          <w:i/>
          <w:color w:val="000000"/>
          <w:sz w:val="22"/>
          <w:szCs w:val="22"/>
          <w:lang w:val="fr-CA" w:eastAsia="en-US"/>
        </w:rPr>
        <w:t>: étude socio-militaire</w:t>
      </w:r>
      <w:r w:rsidRPr="00261B72">
        <w:rPr>
          <w:rFonts w:eastAsia="Calibri"/>
          <w:color w:val="000000"/>
          <w:sz w:val="22"/>
          <w:szCs w:val="22"/>
          <w:lang w:val="fr-CA" w:eastAsia="en-US"/>
        </w:rPr>
        <w:t xml:space="preserve">. </w:t>
      </w:r>
      <w:r w:rsidR="000F19FA" w:rsidRPr="00261B72">
        <w:rPr>
          <w:rFonts w:eastAsia="Calibri"/>
          <w:color w:val="000000"/>
          <w:sz w:val="22"/>
          <w:szCs w:val="22"/>
          <w:lang w:val="fr-CA" w:eastAsia="en-US"/>
        </w:rPr>
        <w:t>Ottawa</w:t>
      </w:r>
      <w:r w:rsidR="00BE4B77" w:rsidRPr="00261B72">
        <w:rPr>
          <w:rFonts w:eastAsia="Calibri"/>
          <w:color w:val="000000"/>
          <w:sz w:val="22"/>
          <w:szCs w:val="22"/>
          <w:lang w:val="fr-CA" w:eastAsia="en-US"/>
        </w:rPr>
        <w:t> </w:t>
      </w:r>
      <w:r w:rsidR="000F19FA" w:rsidRPr="00261B72">
        <w:rPr>
          <w:rFonts w:eastAsia="Calibri"/>
          <w:color w:val="000000"/>
          <w:sz w:val="22"/>
          <w:szCs w:val="22"/>
          <w:lang w:val="fr-CA" w:eastAsia="en-US"/>
        </w:rPr>
        <w:t>; Québec</w:t>
      </w:r>
      <w:r w:rsidR="009B6C9F" w:rsidRPr="00261B72">
        <w:rPr>
          <w:rFonts w:eastAsia="Calibri"/>
          <w:color w:val="000000"/>
          <w:sz w:val="22"/>
          <w:szCs w:val="22"/>
          <w:lang w:val="fr-CA" w:eastAsia="en-US"/>
        </w:rPr>
        <w:t xml:space="preserve">, </w:t>
      </w:r>
      <w:r w:rsidR="000F19FA" w:rsidRPr="00261B72">
        <w:rPr>
          <w:rFonts w:eastAsia="Calibri"/>
          <w:color w:val="000000"/>
          <w:sz w:val="22"/>
          <w:szCs w:val="22"/>
          <w:lang w:val="fr-CA" w:eastAsia="en-US"/>
        </w:rPr>
        <w:t>Presse</w:t>
      </w:r>
      <w:r w:rsidR="00B51434" w:rsidRPr="00261B72">
        <w:rPr>
          <w:rFonts w:eastAsia="Calibri"/>
          <w:color w:val="000000"/>
          <w:sz w:val="22"/>
          <w:szCs w:val="22"/>
          <w:lang w:val="fr-CA" w:eastAsia="en-US"/>
        </w:rPr>
        <w:t>s</w:t>
      </w:r>
      <w:r w:rsidR="000F19FA" w:rsidRPr="00261B72">
        <w:rPr>
          <w:rFonts w:eastAsia="Calibri"/>
          <w:color w:val="000000"/>
          <w:sz w:val="22"/>
          <w:szCs w:val="22"/>
          <w:lang w:val="fr-CA" w:eastAsia="en-US"/>
        </w:rPr>
        <w:t xml:space="preserve"> de l</w:t>
      </w:r>
      <w:r w:rsidR="00BE4B77" w:rsidRPr="00261B72">
        <w:rPr>
          <w:rFonts w:eastAsia="Calibri"/>
          <w:color w:val="000000"/>
          <w:sz w:val="22"/>
          <w:szCs w:val="22"/>
          <w:lang w:val="fr-CA" w:eastAsia="en-US"/>
        </w:rPr>
        <w:t>’</w:t>
      </w:r>
      <w:r w:rsidR="000F19FA" w:rsidRPr="00261B72">
        <w:rPr>
          <w:rFonts w:eastAsia="Calibri"/>
          <w:color w:val="000000"/>
          <w:sz w:val="22"/>
          <w:szCs w:val="22"/>
          <w:lang w:val="fr-CA" w:eastAsia="en-US"/>
        </w:rPr>
        <w:t xml:space="preserve">Université Laval en collaboration avec le Ministère de la </w:t>
      </w:r>
      <w:r w:rsidR="009D4AE6" w:rsidRPr="00261B72">
        <w:rPr>
          <w:rFonts w:eastAsia="Calibri"/>
          <w:color w:val="000000"/>
          <w:sz w:val="22"/>
          <w:szCs w:val="22"/>
          <w:lang w:val="fr-CA" w:eastAsia="en-US"/>
        </w:rPr>
        <w:t>D</w:t>
      </w:r>
      <w:r w:rsidR="000F19FA" w:rsidRPr="00261B72">
        <w:rPr>
          <w:rFonts w:eastAsia="Calibri"/>
          <w:color w:val="000000"/>
          <w:sz w:val="22"/>
          <w:szCs w:val="22"/>
          <w:lang w:val="fr-CA" w:eastAsia="en-US"/>
        </w:rPr>
        <w:t>éfense nationale et le Centre d</w:t>
      </w:r>
      <w:r w:rsidR="00BE4B77" w:rsidRPr="00261B72">
        <w:rPr>
          <w:rFonts w:eastAsia="Calibri"/>
          <w:color w:val="000000"/>
          <w:sz w:val="22"/>
          <w:szCs w:val="22"/>
          <w:lang w:val="fr-CA" w:eastAsia="en-US"/>
        </w:rPr>
        <w:t>’</w:t>
      </w:r>
      <w:r w:rsidR="000F19FA" w:rsidRPr="00261B72">
        <w:rPr>
          <w:rFonts w:eastAsia="Calibri"/>
          <w:color w:val="000000"/>
          <w:sz w:val="22"/>
          <w:szCs w:val="22"/>
          <w:lang w:val="fr-CA" w:eastAsia="en-US"/>
        </w:rPr>
        <w:t>édition du gouvernement du Canada</w:t>
      </w:r>
      <w:r w:rsidRPr="00261B72">
        <w:rPr>
          <w:rFonts w:eastAsia="Calibri"/>
          <w:color w:val="000000"/>
          <w:sz w:val="22"/>
          <w:szCs w:val="22"/>
          <w:lang w:val="fr-CA" w:eastAsia="en-US"/>
        </w:rPr>
        <w:t>, 1986, 450p.</w:t>
      </w:r>
    </w:p>
    <w:p w14:paraId="617C2214" w14:textId="77777777" w:rsidR="00B9356C" w:rsidRPr="00261B72" w:rsidRDefault="00A31DDE" w:rsidP="00B9356C">
      <w:pPr>
        <w:tabs>
          <w:tab w:val="num" w:pos="720"/>
        </w:tabs>
        <w:spacing w:before="240" w:line="259" w:lineRule="auto"/>
        <w:rPr>
          <w:rFonts w:eastAsia="Calibri"/>
          <w:sz w:val="22"/>
          <w:szCs w:val="22"/>
          <w:lang w:eastAsia="en-US"/>
        </w:rPr>
      </w:pPr>
      <w:r w:rsidRPr="00261B72">
        <w:rPr>
          <w:rFonts w:eastAsia="Calibri"/>
          <w:sz w:val="22"/>
          <w:szCs w:val="22"/>
          <w:lang w:eastAsia="en-US"/>
        </w:rPr>
        <w:t>HAREVEN, K, Tamara</w:t>
      </w:r>
      <w:r w:rsidRPr="00261B72">
        <w:rPr>
          <w:rFonts w:eastAsia="Calibri"/>
          <w:i/>
          <w:sz w:val="22"/>
          <w:szCs w:val="22"/>
          <w:lang w:eastAsia="en-US"/>
        </w:rPr>
        <w:t xml:space="preserve">. </w:t>
      </w:r>
      <w:r w:rsidR="00246DA6" w:rsidRPr="00261B72">
        <w:rPr>
          <w:rFonts w:eastAsia="Calibri"/>
          <w:i/>
          <w:sz w:val="22"/>
          <w:szCs w:val="22"/>
          <w:lang w:eastAsia="en-US"/>
        </w:rPr>
        <w:t>Amoskeag Life and Work in an American Factory-City</w:t>
      </w:r>
      <w:r w:rsidRPr="00261B72">
        <w:rPr>
          <w:rFonts w:eastAsia="Calibri"/>
          <w:i/>
          <w:sz w:val="22"/>
          <w:szCs w:val="22"/>
          <w:lang w:eastAsia="en-US"/>
        </w:rPr>
        <w:t>.</w:t>
      </w:r>
      <w:r w:rsidRPr="00261B72">
        <w:rPr>
          <w:rFonts w:eastAsia="Calibri"/>
          <w:sz w:val="22"/>
          <w:szCs w:val="22"/>
          <w:lang w:eastAsia="en-US"/>
        </w:rPr>
        <w:t xml:space="preserve"> New York, </w:t>
      </w:r>
      <w:r w:rsidR="002C6F49" w:rsidRPr="00261B72">
        <w:rPr>
          <w:rFonts w:eastAsia="Calibri"/>
          <w:sz w:val="22"/>
          <w:szCs w:val="22"/>
          <w:lang w:eastAsia="en-US"/>
        </w:rPr>
        <w:t xml:space="preserve">Pantheon Books, </w:t>
      </w:r>
      <w:r w:rsidRPr="00261B72">
        <w:rPr>
          <w:rFonts w:eastAsia="Calibri"/>
          <w:sz w:val="22"/>
          <w:szCs w:val="22"/>
          <w:lang w:eastAsia="en-US"/>
        </w:rPr>
        <w:t>1978, 394p.</w:t>
      </w:r>
    </w:p>
    <w:p w14:paraId="72343D84" w14:textId="77777777" w:rsidR="00B9356C" w:rsidRPr="00261B72" w:rsidRDefault="00EF02C7" w:rsidP="00B9356C">
      <w:pPr>
        <w:tabs>
          <w:tab w:val="num" w:pos="720"/>
        </w:tabs>
        <w:spacing w:before="240" w:line="259" w:lineRule="auto"/>
        <w:rPr>
          <w:rFonts w:eastAsia="Calibri"/>
          <w:sz w:val="22"/>
          <w:szCs w:val="22"/>
          <w:lang w:eastAsia="en-US"/>
        </w:rPr>
      </w:pPr>
      <w:r w:rsidRPr="00261B72">
        <w:rPr>
          <w:rFonts w:eastAsia="Calibri"/>
          <w:sz w:val="22"/>
          <w:szCs w:val="22"/>
          <w:lang w:eastAsia="en-US"/>
        </w:rPr>
        <w:t xml:space="preserve">HENDRICKSON, Dyke. </w:t>
      </w:r>
      <w:r w:rsidRPr="00261B72">
        <w:rPr>
          <w:rFonts w:eastAsia="Calibri"/>
          <w:i/>
          <w:sz w:val="22"/>
          <w:szCs w:val="22"/>
          <w:lang w:eastAsia="en-US"/>
        </w:rPr>
        <w:t>Quiet Presence: Dramatic, First-Person Accounts-The True Stories of Franco-Americans in New England</w:t>
      </w:r>
      <w:r w:rsidRPr="00261B72">
        <w:rPr>
          <w:rFonts w:eastAsia="Calibri"/>
          <w:sz w:val="22"/>
          <w:szCs w:val="22"/>
          <w:lang w:eastAsia="en-US"/>
        </w:rPr>
        <w:t>. Portland, M</w:t>
      </w:r>
      <w:r w:rsidR="00E65A61" w:rsidRPr="00261B72">
        <w:rPr>
          <w:rFonts w:eastAsia="Calibri"/>
          <w:sz w:val="22"/>
          <w:szCs w:val="22"/>
          <w:lang w:eastAsia="en-US"/>
        </w:rPr>
        <w:t>aine</w:t>
      </w:r>
      <w:r w:rsidRPr="00261B72">
        <w:rPr>
          <w:rFonts w:eastAsia="Calibri"/>
          <w:sz w:val="22"/>
          <w:szCs w:val="22"/>
          <w:lang w:eastAsia="en-US"/>
        </w:rPr>
        <w:t>: G. Gannett Pub. Co., 1980, 266p.</w:t>
      </w:r>
    </w:p>
    <w:p w14:paraId="5928F281" w14:textId="77777777" w:rsidR="00B9356C" w:rsidRPr="003433E9" w:rsidRDefault="005A740D" w:rsidP="00B9356C">
      <w:pPr>
        <w:tabs>
          <w:tab w:val="num" w:pos="720"/>
        </w:tabs>
        <w:spacing w:before="240" w:line="259" w:lineRule="auto"/>
        <w:rPr>
          <w:rFonts w:eastAsia="Calibri"/>
          <w:sz w:val="22"/>
          <w:szCs w:val="22"/>
          <w:lang w:val="fr-CA" w:eastAsia="en-US"/>
        </w:rPr>
      </w:pPr>
      <w:r w:rsidRPr="00261B72">
        <w:rPr>
          <w:rFonts w:eastAsia="Calibri"/>
          <w:sz w:val="22"/>
          <w:szCs w:val="22"/>
          <w:lang w:eastAsia="en-US"/>
        </w:rPr>
        <w:t xml:space="preserve">HIGHAM, John. </w:t>
      </w:r>
      <w:r w:rsidRPr="00261B72">
        <w:rPr>
          <w:rFonts w:eastAsia="Calibri"/>
          <w:i/>
          <w:sz w:val="22"/>
          <w:szCs w:val="22"/>
          <w:lang w:eastAsia="en-US"/>
        </w:rPr>
        <w:t>Strangers in the Land: Patterns of American Nativism, 1860</w:t>
      </w:r>
      <w:r w:rsidR="00BE4B77" w:rsidRPr="00261B72">
        <w:rPr>
          <w:rFonts w:eastAsia="Calibri"/>
          <w:i/>
          <w:sz w:val="22"/>
          <w:szCs w:val="22"/>
          <w:lang w:eastAsia="en-US"/>
        </w:rPr>
        <w:t>–</w:t>
      </w:r>
      <w:r w:rsidRPr="00261B72">
        <w:rPr>
          <w:rFonts w:eastAsia="Calibri"/>
          <w:i/>
          <w:sz w:val="22"/>
          <w:szCs w:val="22"/>
          <w:lang w:eastAsia="en-US"/>
        </w:rPr>
        <w:t>1925</w:t>
      </w:r>
      <w:r w:rsidRPr="00261B72">
        <w:rPr>
          <w:rFonts w:eastAsia="Calibri"/>
          <w:sz w:val="22"/>
          <w:szCs w:val="22"/>
          <w:lang w:eastAsia="en-US"/>
        </w:rPr>
        <w:t xml:space="preserve">. </w:t>
      </w:r>
      <w:r w:rsidRPr="003433E9">
        <w:rPr>
          <w:rFonts w:eastAsia="Calibri"/>
          <w:sz w:val="22"/>
          <w:szCs w:val="22"/>
          <w:lang w:val="fr-CA" w:eastAsia="en-US"/>
        </w:rPr>
        <w:t>New York: Atheneum, 1965, 431p.</w:t>
      </w:r>
    </w:p>
    <w:p w14:paraId="12EC1AF4" w14:textId="77777777" w:rsidR="00B9356C" w:rsidRPr="003433E9" w:rsidRDefault="005D605B" w:rsidP="00B9356C">
      <w:pPr>
        <w:tabs>
          <w:tab w:val="num" w:pos="720"/>
        </w:tabs>
        <w:spacing w:before="240" w:line="259" w:lineRule="auto"/>
        <w:rPr>
          <w:rFonts w:eastAsia="Calibri"/>
          <w:sz w:val="22"/>
          <w:szCs w:val="22"/>
          <w:lang w:eastAsia="en-US"/>
        </w:rPr>
      </w:pPr>
      <w:r w:rsidRPr="003433E9">
        <w:rPr>
          <w:rFonts w:eastAsia="Calibri"/>
          <w:sz w:val="22"/>
          <w:szCs w:val="22"/>
          <w:lang w:val="fr-CA" w:eastAsia="en-US"/>
        </w:rPr>
        <w:t>LACOUR-GAYET</w:t>
      </w:r>
      <w:r w:rsidR="00CD1427" w:rsidRPr="003433E9">
        <w:rPr>
          <w:rFonts w:eastAsia="Calibri"/>
          <w:sz w:val="22"/>
          <w:szCs w:val="22"/>
          <w:lang w:val="fr-CA" w:eastAsia="en-US"/>
        </w:rPr>
        <w:t xml:space="preserve">, Robert. </w:t>
      </w:r>
      <w:r w:rsidR="00CD1427" w:rsidRPr="00261B72">
        <w:rPr>
          <w:rFonts w:eastAsia="Calibri"/>
          <w:i/>
          <w:sz w:val="22"/>
          <w:szCs w:val="22"/>
          <w:lang w:val="fr-CA" w:eastAsia="en-US"/>
        </w:rPr>
        <w:t>Histoire des États-Unis : De la fin de la guerre civile à Pearl Harbor</w:t>
      </w:r>
      <w:r w:rsidR="00CD1427" w:rsidRPr="00261B72">
        <w:rPr>
          <w:rFonts w:eastAsia="Calibri"/>
          <w:sz w:val="22"/>
          <w:szCs w:val="22"/>
          <w:lang w:val="fr-CA" w:eastAsia="en-US"/>
        </w:rPr>
        <w:t xml:space="preserve">. </w:t>
      </w:r>
      <w:r w:rsidR="00CD1427" w:rsidRPr="003433E9">
        <w:rPr>
          <w:rFonts w:eastAsia="Calibri"/>
          <w:sz w:val="22"/>
          <w:szCs w:val="22"/>
          <w:lang w:eastAsia="en-US"/>
        </w:rPr>
        <w:t xml:space="preserve">Paris, </w:t>
      </w:r>
      <w:r w:rsidR="002C6F49" w:rsidRPr="003433E9">
        <w:rPr>
          <w:rFonts w:eastAsia="Calibri"/>
          <w:sz w:val="22"/>
          <w:szCs w:val="22"/>
          <w:lang w:eastAsia="en-US"/>
        </w:rPr>
        <w:t>Fayard,</w:t>
      </w:r>
      <w:r w:rsidR="00BE4B77" w:rsidRPr="003433E9">
        <w:rPr>
          <w:rFonts w:eastAsia="Calibri"/>
          <w:sz w:val="22"/>
          <w:szCs w:val="22"/>
          <w:lang w:eastAsia="en-US"/>
        </w:rPr>
        <w:t xml:space="preserve"> </w:t>
      </w:r>
      <w:r w:rsidR="00CD1427" w:rsidRPr="003433E9">
        <w:rPr>
          <w:rFonts w:eastAsia="Calibri"/>
          <w:sz w:val="22"/>
          <w:szCs w:val="22"/>
          <w:lang w:eastAsia="en-US"/>
        </w:rPr>
        <w:t>1977, 431 p.</w:t>
      </w:r>
    </w:p>
    <w:p w14:paraId="06D2BF30" w14:textId="77777777" w:rsidR="00B9356C" w:rsidRPr="00261B72" w:rsidRDefault="00CD1427" w:rsidP="00B9356C">
      <w:pPr>
        <w:tabs>
          <w:tab w:val="num" w:pos="720"/>
        </w:tabs>
        <w:spacing w:before="240" w:line="259" w:lineRule="auto"/>
        <w:rPr>
          <w:rFonts w:eastAsia="Calibri"/>
          <w:sz w:val="22"/>
          <w:szCs w:val="22"/>
          <w:lang w:eastAsia="en-US"/>
        </w:rPr>
      </w:pPr>
      <w:r w:rsidRPr="003433E9">
        <w:rPr>
          <w:rFonts w:eastAsia="Calibri"/>
          <w:sz w:val="22"/>
          <w:szCs w:val="22"/>
          <w:lang w:eastAsia="en-US"/>
        </w:rPr>
        <w:t xml:space="preserve">LAFEBER, Walter. </w:t>
      </w:r>
      <w:r w:rsidRPr="00261B72">
        <w:rPr>
          <w:rFonts w:eastAsia="Calibri"/>
          <w:i/>
          <w:sz w:val="22"/>
          <w:szCs w:val="22"/>
          <w:lang w:eastAsia="en-US"/>
        </w:rPr>
        <w:t>The American Age: United State Foreign Policy at Home and Abroad Since 1750</w:t>
      </w:r>
      <w:r w:rsidRPr="00261B72">
        <w:rPr>
          <w:rFonts w:eastAsia="Calibri"/>
          <w:sz w:val="22"/>
          <w:szCs w:val="22"/>
          <w:lang w:eastAsia="en-US"/>
        </w:rPr>
        <w:t xml:space="preserve">. New York, </w:t>
      </w:r>
      <w:r w:rsidR="002C6F49" w:rsidRPr="00261B72">
        <w:rPr>
          <w:rFonts w:eastAsia="Calibri"/>
          <w:sz w:val="22"/>
          <w:szCs w:val="22"/>
          <w:lang w:eastAsia="en-US"/>
        </w:rPr>
        <w:t xml:space="preserve">W.W. Norton &amp; Company, </w:t>
      </w:r>
      <w:r w:rsidRPr="00261B72">
        <w:rPr>
          <w:rFonts w:eastAsia="Calibri"/>
          <w:sz w:val="22"/>
          <w:szCs w:val="22"/>
          <w:lang w:eastAsia="en-US"/>
        </w:rPr>
        <w:t>1989, 759 p.</w:t>
      </w:r>
    </w:p>
    <w:p w14:paraId="5DFD3EEC" w14:textId="77777777" w:rsidR="00B9356C" w:rsidRPr="00261B72" w:rsidRDefault="00B0701E" w:rsidP="00B9356C">
      <w:pPr>
        <w:tabs>
          <w:tab w:val="num" w:pos="720"/>
        </w:tabs>
        <w:spacing w:before="240" w:line="259" w:lineRule="auto"/>
        <w:rPr>
          <w:rFonts w:eastAsia="Calibri"/>
          <w:sz w:val="22"/>
          <w:szCs w:val="22"/>
          <w:lang w:eastAsia="en-US"/>
        </w:rPr>
      </w:pPr>
      <w:r w:rsidRPr="00261B72">
        <w:rPr>
          <w:rFonts w:eastAsia="Calibri"/>
          <w:sz w:val="22"/>
          <w:szCs w:val="22"/>
          <w:lang w:eastAsia="en-US"/>
        </w:rPr>
        <w:t xml:space="preserve">MCLAUGHLIN, Robert. </w:t>
      </w:r>
      <w:r w:rsidRPr="00261B72">
        <w:rPr>
          <w:rFonts w:eastAsia="Calibri"/>
          <w:i/>
          <w:sz w:val="22"/>
          <w:szCs w:val="22"/>
          <w:lang w:eastAsia="en-US"/>
        </w:rPr>
        <w:t>Irish Canadian conflict and the struggle for Irish independence, 1912</w:t>
      </w:r>
      <w:r w:rsidR="00BE4B77" w:rsidRPr="00261B72">
        <w:rPr>
          <w:rFonts w:eastAsia="Calibri"/>
          <w:i/>
          <w:sz w:val="22"/>
          <w:szCs w:val="22"/>
          <w:lang w:eastAsia="en-US"/>
        </w:rPr>
        <w:t>–</w:t>
      </w:r>
      <w:r w:rsidRPr="00261B72">
        <w:rPr>
          <w:rFonts w:eastAsia="Calibri"/>
          <w:i/>
          <w:sz w:val="22"/>
          <w:szCs w:val="22"/>
          <w:lang w:eastAsia="en-US"/>
        </w:rPr>
        <w:t>1925</w:t>
      </w:r>
      <w:r w:rsidRPr="00261B72">
        <w:rPr>
          <w:rFonts w:eastAsia="Calibri"/>
          <w:sz w:val="22"/>
          <w:szCs w:val="22"/>
          <w:lang w:eastAsia="en-US"/>
        </w:rPr>
        <w:t xml:space="preserve">. </w:t>
      </w:r>
      <w:r w:rsidR="00E65A61" w:rsidRPr="00261B72">
        <w:rPr>
          <w:rFonts w:eastAsia="Calibri"/>
          <w:sz w:val="22"/>
          <w:szCs w:val="22"/>
          <w:lang w:eastAsia="en-US"/>
        </w:rPr>
        <w:t xml:space="preserve">Toronto, </w:t>
      </w:r>
      <w:r w:rsidRPr="00261B72">
        <w:rPr>
          <w:rFonts w:eastAsia="Calibri"/>
          <w:sz w:val="22"/>
          <w:szCs w:val="22"/>
          <w:lang w:eastAsia="en-US"/>
        </w:rPr>
        <w:t>University of Toronto Press, 2013, 275p.</w:t>
      </w:r>
    </w:p>
    <w:p w14:paraId="5763BD33" w14:textId="77777777" w:rsidR="00B9356C" w:rsidRPr="00261B72" w:rsidRDefault="00EF02C7" w:rsidP="00B9356C">
      <w:pPr>
        <w:tabs>
          <w:tab w:val="num" w:pos="720"/>
        </w:tabs>
        <w:spacing w:before="240" w:line="259" w:lineRule="auto"/>
        <w:rPr>
          <w:rFonts w:eastAsia="Calibri"/>
          <w:sz w:val="22"/>
          <w:szCs w:val="22"/>
          <w:lang w:eastAsia="en-US"/>
        </w:rPr>
      </w:pPr>
      <w:r w:rsidRPr="00261B72">
        <w:rPr>
          <w:rFonts w:eastAsia="Calibri"/>
          <w:sz w:val="22"/>
          <w:szCs w:val="22"/>
          <w:lang w:eastAsia="en-US"/>
        </w:rPr>
        <w:t xml:space="preserve">MONTGOMERY, David. </w:t>
      </w:r>
      <w:r w:rsidRPr="00261B72">
        <w:rPr>
          <w:rFonts w:eastAsia="Calibri"/>
          <w:i/>
          <w:sz w:val="22"/>
          <w:szCs w:val="22"/>
          <w:lang w:eastAsia="en-US"/>
        </w:rPr>
        <w:t>The Fall of the House of Labor: The Workplace, The State, and American Labor Activism, 1865</w:t>
      </w:r>
      <w:r w:rsidR="00BE4B77" w:rsidRPr="00261B72">
        <w:rPr>
          <w:rFonts w:eastAsia="Calibri"/>
          <w:i/>
          <w:sz w:val="22"/>
          <w:szCs w:val="22"/>
          <w:lang w:eastAsia="en-US"/>
        </w:rPr>
        <w:t>–</w:t>
      </w:r>
      <w:r w:rsidRPr="00261B72">
        <w:rPr>
          <w:rFonts w:eastAsia="Calibri"/>
          <w:i/>
          <w:sz w:val="22"/>
          <w:szCs w:val="22"/>
          <w:lang w:eastAsia="en-US"/>
        </w:rPr>
        <w:t>1925</w:t>
      </w:r>
      <w:r w:rsidRPr="00261B72">
        <w:rPr>
          <w:rFonts w:eastAsia="Calibri"/>
          <w:sz w:val="22"/>
          <w:szCs w:val="22"/>
          <w:lang w:eastAsia="en-US"/>
        </w:rPr>
        <w:t xml:space="preserve">. </w:t>
      </w:r>
      <w:r w:rsidR="007D1EBF" w:rsidRPr="00261B72">
        <w:rPr>
          <w:rFonts w:eastAsia="Calibri"/>
          <w:sz w:val="22"/>
          <w:szCs w:val="22"/>
          <w:lang w:eastAsia="en-US"/>
        </w:rPr>
        <w:t>New York: Cambridge University Press, 1987, 494p.</w:t>
      </w:r>
    </w:p>
    <w:p w14:paraId="285E22B9" w14:textId="77777777" w:rsidR="00B9356C" w:rsidRPr="00261B72" w:rsidRDefault="00B0701E" w:rsidP="00B9356C">
      <w:pPr>
        <w:tabs>
          <w:tab w:val="num" w:pos="720"/>
        </w:tabs>
        <w:spacing w:before="240" w:line="259" w:lineRule="auto"/>
        <w:rPr>
          <w:rFonts w:eastAsia="Calibri"/>
          <w:noProof/>
          <w:sz w:val="22"/>
          <w:szCs w:val="22"/>
          <w:lang w:eastAsia="en-US"/>
        </w:rPr>
      </w:pPr>
      <w:r w:rsidRPr="00261B72">
        <w:rPr>
          <w:rFonts w:eastAsia="Calibri"/>
          <w:noProof/>
          <w:sz w:val="22"/>
          <w:szCs w:val="22"/>
          <w:lang w:eastAsia="en-US"/>
        </w:rPr>
        <w:t xml:space="preserve">NICHOLSON, col </w:t>
      </w:r>
      <w:r w:rsidRPr="00261B72">
        <w:rPr>
          <w:rFonts w:eastAsia="Calibri"/>
          <w:sz w:val="22"/>
          <w:szCs w:val="22"/>
          <w:lang w:eastAsia="en-US"/>
        </w:rPr>
        <w:t>Gerald William Lingen</w:t>
      </w:r>
      <w:r w:rsidRPr="00261B72">
        <w:rPr>
          <w:rFonts w:eastAsia="Calibri"/>
          <w:noProof/>
          <w:sz w:val="22"/>
          <w:szCs w:val="22"/>
          <w:lang w:eastAsia="en-US"/>
        </w:rPr>
        <w:t xml:space="preserve">. </w:t>
      </w:r>
      <w:r w:rsidR="00031005" w:rsidRPr="00261B72">
        <w:rPr>
          <w:rFonts w:eastAsia="Calibri"/>
          <w:i/>
          <w:noProof/>
          <w:sz w:val="22"/>
          <w:szCs w:val="22"/>
          <w:lang w:eastAsia="en-US"/>
        </w:rPr>
        <w:t>Canadian Expeditionary Force, 1914</w:t>
      </w:r>
      <w:r w:rsidR="00BE4B77" w:rsidRPr="00261B72">
        <w:rPr>
          <w:rFonts w:eastAsia="Calibri"/>
          <w:i/>
          <w:noProof/>
          <w:sz w:val="22"/>
          <w:szCs w:val="22"/>
          <w:lang w:eastAsia="en-US"/>
        </w:rPr>
        <w:t>–</w:t>
      </w:r>
      <w:r w:rsidR="00031005" w:rsidRPr="00261B72">
        <w:rPr>
          <w:rFonts w:eastAsia="Calibri"/>
          <w:i/>
          <w:noProof/>
          <w:sz w:val="22"/>
          <w:szCs w:val="22"/>
          <w:lang w:eastAsia="en-US"/>
        </w:rPr>
        <w:t>1919: Official History of the Canadian Army in the First World War</w:t>
      </w:r>
      <w:r w:rsidRPr="00261B72">
        <w:rPr>
          <w:rFonts w:eastAsia="Calibri"/>
          <w:noProof/>
          <w:sz w:val="22"/>
          <w:szCs w:val="22"/>
          <w:lang w:eastAsia="en-US"/>
        </w:rPr>
        <w:t>, Ottawa, Roger Duhamel, Imprimeur de la reine et contrôleur de la papeterie, 196</w:t>
      </w:r>
      <w:r w:rsidR="00031005" w:rsidRPr="00261B72">
        <w:rPr>
          <w:rFonts w:eastAsia="Calibri"/>
          <w:noProof/>
          <w:sz w:val="22"/>
          <w:szCs w:val="22"/>
          <w:lang w:eastAsia="en-US"/>
        </w:rPr>
        <w:t>2</w:t>
      </w:r>
      <w:r w:rsidRPr="00261B72">
        <w:rPr>
          <w:rFonts w:eastAsia="Calibri"/>
          <w:noProof/>
          <w:sz w:val="22"/>
          <w:szCs w:val="22"/>
          <w:lang w:eastAsia="en-US"/>
        </w:rPr>
        <w:t>, 6</w:t>
      </w:r>
      <w:r w:rsidR="00031005" w:rsidRPr="00261B72">
        <w:rPr>
          <w:rFonts w:eastAsia="Calibri"/>
          <w:noProof/>
          <w:sz w:val="22"/>
          <w:szCs w:val="22"/>
          <w:lang w:eastAsia="en-US"/>
        </w:rPr>
        <w:t>2</w:t>
      </w:r>
      <w:r w:rsidRPr="00261B72">
        <w:rPr>
          <w:rFonts w:eastAsia="Calibri"/>
          <w:noProof/>
          <w:sz w:val="22"/>
          <w:szCs w:val="22"/>
          <w:lang w:eastAsia="en-US"/>
        </w:rPr>
        <w:t>1p.</w:t>
      </w:r>
    </w:p>
    <w:p w14:paraId="3E66DAD7" w14:textId="77777777" w:rsidR="00B9356C" w:rsidRPr="00261B72" w:rsidRDefault="005A740D" w:rsidP="00B9356C">
      <w:pPr>
        <w:tabs>
          <w:tab w:val="num" w:pos="720"/>
        </w:tabs>
        <w:spacing w:before="240" w:line="259" w:lineRule="auto"/>
        <w:rPr>
          <w:rFonts w:eastAsia="Calibri"/>
          <w:sz w:val="22"/>
          <w:szCs w:val="22"/>
          <w:lang w:val="fr-CA" w:eastAsia="en-US"/>
        </w:rPr>
      </w:pPr>
      <w:r w:rsidRPr="00261B72">
        <w:rPr>
          <w:rFonts w:eastAsia="Calibri"/>
          <w:sz w:val="22"/>
          <w:szCs w:val="22"/>
          <w:lang w:eastAsia="en-US"/>
        </w:rPr>
        <w:t xml:space="preserve">RICHARD, Mark Paul. </w:t>
      </w:r>
      <w:r w:rsidRPr="00261B72">
        <w:rPr>
          <w:rFonts w:eastAsia="Calibri"/>
          <w:i/>
          <w:sz w:val="22"/>
          <w:szCs w:val="22"/>
          <w:lang w:eastAsia="en-US"/>
        </w:rPr>
        <w:t>Loyal But French: The Negotiation of Identity by French-Canadian Descendants in the United States</w:t>
      </w:r>
      <w:r w:rsidRPr="00261B72">
        <w:rPr>
          <w:rFonts w:eastAsia="Calibri"/>
          <w:sz w:val="22"/>
          <w:szCs w:val="22"/>
          <w:lang w:eastAsia="en-US"/>
        </w:rPr>
        <w:t xml:space="preserve">. </w:t>
      </w:r>
      <w:r w:rsidRPr="00261B72">
        <w:rPr>
          <w:rFonts w:eastAsia="Calibri"/>
          <w:sz w:val="22"/>
          <w:szCs w:val="22"/>
          <w:lang w:val="fr-CA" w:eastAsia="en-US"/>
        </w:rPr>
        <w:t>East Lansing: Michigan State University Press, 2008, 388p.</w:t>
      </w:r>
    </w:p>
    <w:p w14:paraId="0AE63676" w14:textId="77777777" w:rsidR="00B9356C" w:rsidRPr="00261B72" w:rsidRDefault="00805281" w:rsidP="00B9356C">
      <w:pPr>
        <w:tabs>
          <w:tab w:val="num" w:pos="720"/>
        </w:tabs>
        <w:spacing w:before="240" w:line="259" w:lineRule="auto"/>
        <w:rPr>
          <w:sz w:val="22"/>
          <w:szCs w:val="22"/>
          <w:lang w:val="fr-CA"/>
        </w:rPr>
      </w:pPr>
      <w:r w:rsidRPr="00261B72">
        <w:rPr>
          <w:sz w:val="22"/>
          <w:szCs w:val="22"/>
          <w:lang w:val="fr-CA"/>
        </w:rPr>
        <w:t xml:space="preserve">ROBY, Yves. </w:t>
      </w:r>
      <w:r w:rsidRPr="00261B72">
        <w:rPr>
          <w:i/>
          <w:sz w:val="22"/>
          <w:szCs w:val="22"/>
          <w:lang w:val="fr-CA"/>
        </w:rPr>
        <w:t>Les Franco-Américains de la Nouvelle</w:t>
      </w:r>
      <w:r w:rsidR="00B51434" w:rsidRPr="00261B72">
        <w:rPr>
          <w:i/>
          <w:sz w:val="22"/>
          <w:szCs w:val="22"/>
          <w:lang w:val="fr-CA"/>
        </w:rPr>
        <w:t>-</w:t>
      </w:r>
      <w:r w:rsidRPr="00261B72">
        <w:rPr>
          <w:i/>
          <w:sz w:val="22"/>
          <w:szCs w:val="22"/>
          <w:lang w:val="fr-CA"/>
        </w:rPr>
        <w:t>Angleterre : 1776-1930</w:t>
      </w:r>
      <w:r w:rsidR="00901CF6" w:rsidRPr="00261B72">
        <w:rPr>
          <w:sz w:val="22"/>
          <w:szCs w:val="22"/>
          <w:lang w:val="fr-CA"/>
        </w:rPr>
        <w:t>.</w:t>
      </w:r>
      <w:r w:rsidRPr="00261B72">
        <w:rPr>
          <w:sz w:val="22"/>
          <w:szCs w:val="22"/>
          <w:lang w:val="fr-CA"/>
        </w:rPr>
        <w:t xml:space="preserve"> Sillery</w:t>
      </w:r>
      <w:r w:rsidR="00901CF6" w:rsidRPr="00261B72">
        <w:rPr>
          <w:sz w:val="22"/>
          <w:szCs w:val="22"/>
          <w:lang w:val="fr-CA"/>
        </w:rPr>
        <w:t>,</w:t>
      </w:r>
      <w:r w:rsidRPr="00261B72">
        <w:rPr>
          <w:sz w:val="22"/>
          <w:szCs w:val="22"/>
          <w:lang w:val="fr-CA"/>
        </w:rPr>
        <w:t xml:space="preserve"> Les éditions du Septentrion, 1990, 434 p.</w:t>
      </w:r>
    </w:p>
    <w:p w14:paraId="3CC403DD" w14:textId="77777777" w:rsidR="00B9356C" w:rsidRPr="00261B72" w:rsidRDefault="00556DD6" w:rsidP="00B9356C">
      <w:pPr>
        <w:tabs>
          <w:tab w:val="num" w:pos="720"/>
        </w:tabs>
        <w:spacing w:before="240" w:line="259" w:lineRule="auto"/>
        <w:rPr>
          <w:sz w:val="22"/>
          <w:szCs w:val="22"/>
          <w:lang w:val="fr-CA"/>
        </w:rPr>
      </w:pPr>
      <w:r w:rsidRPr="00261B72">
        <w:rPr>
          <w:sz w:val="22"/>
          <w:szCs w:val="22"/>
          <w:lang w:val="fr-CA"/>
        </w:rPr>
        <w:t xml:space="preserve">ROBY, Yves. </w:t>
      </w:r>
      <w:r w:rsidRPr="00261B72">
        <w:rPr>
          <w:i/>
          <w:sz w:val="22"/>
          <w:szCs w:val="22"/>
          <w:lang w:val="fr-CA"/>
        </w:rPr>
        <w:t>Les Franco-Américains de la Nouvelle-Angleterre : Rêves et réalités</w:t>
      </w:r>
      <w:r w:rsidRPr="00261B72">
        <w:rPr>
          <w:sz w:val="22"/>
          <w:szCs w:val="22"/>
          <w:lang w:val="fr-CA"/>
        </w:rPr>
        <w:t>. Sillery</w:t>
      </w:r>
      <w:r w:rsidR="00901CF6" w:rsidRPr="00261B72">
        <w:rPr>
          <w:sz w:val="22"/>
          <w:szCs w:val="22"/>
          <w:lang w:val="fr-CA"/>
        </w:rPr>
        <w:t>,</w:t>
      </w:r>
      <w:r w:rsidRPr="00261B72">
        <w:rPr>
          <w:sz w:val="22"/>
          <w:szCs w:val="22"/>
          <w:lang w:val="fr-CA"/>
        </w:rPr>
        <w:t xml:space="preserve"> Les éditions du Septentrion, 2000, 526</w:t>
      </w:r>
      <w:r w:rsidR="00BE4B77" w:rsidRPr="00261B72">
        <w:rPr>
          <w:sz w:val="22"/>
          <w:szCs w:val="22"/>
          <w:lang w:val="fr-CA"/>
        </w:rPr>
        <w:t> </w:t>
      </w:r>
      <w:r w:rsidRPr="00261B72">
        <w:rPr>
          <w:sz w:val="22"/>
          <w:szCs w:val="22"/>
          <w:lang w:val="fr-CA"/>
        </w:rPr>
        <w:t>p</w:t>
      </w:r>
      <w:r w:rsidR="000A5C53" w:rsidRPr="00261B72">
        <w:rPr>
          <w:sz w:val="22"/>
          <w:szCs w:val="22"/>
          <w:lang w:val="fr-CA"/>
        </w:rPr>
        <w:t>.</w:t>
      </w:r>
    </w:p>
    <w:p w14:paraId="46D51B90" w14:textId="77777777" w:rsidR="00B9356C" w:rsidRPr="003433E9" w:rsidRDefault="00805281" w:rsidP="00B9356C">
      <w:pPr>
        <w:tabs>
          <w:tab w:val="num" w:pos="720"/>
        </w:tabs>
        <w:spacing w:before="240" w:line="259" w:lineRule="auto"/>
        <w:rPr>
          <w:sz w:val="22"/>
          <w:szCs w:val="22"/>
        </w:rPr>
      </w:pPr>
      <w:r w:rsidRPr="00261B72">
        <w:rPr>
          <w:sz w:val="22"/>
          <w:szCs w:val="22"/>
          <w:lang w:val="fr-CA"/>
        </w:rPr>
        <w:t xml:space="preserve">ROBY, Yves. </w:t>
      </w:r>
      <w:r w:rsidRPr="00261B72">
        <w:rPr>
          <w:i/>
          <w:sz w:val="22"/>
          <w:szCs w:val="22"/>
          <w:lang w:val="fr-CA"/>
        </w:rPr>
        <w:t>Histoire d</w:t>
      </w:r>
      <w:r w:rsidR="00BE4B77" w:rsidRPr="00261B72">
        <w:rPr>
          <w:i/>
          <w:sz w:val="22"/>
          <w:szCs w:val="22"/>
          <w:lang w:val="fr-CA"/>
        </w:rPr>
        <w:t>’</w:t>
      </w:r>
      <w:r w:rsidRPr="00261B72">
        <w:rPr>
          <w:i/>
          <w:sz w:val="22"/>
          <w:szCs w:val="22"/>
          <w:lang w:val="fr-CA"/>
        </w:rPr>
        <w:t>un rêve brisé</w:t>
      </w:r>
      <w:r w:rsidR="00BE4B77" w:rsidRPr="00261B72">
        <w:rPr>
          <w:i/>
          <w:sz w:val="22"/>
          <w:szCs w:val="22"/>
          <w:lang w:val="fr-CA"/>
        </w:rPr>
        <w:t xml:space="preserve"> ? </w:t>
      </w:r>
      <w:r w:rsidRPr="00261B72">
        <w:rPr>
          <w:i/>
          <w:sz w:val="22"/>
          <w:szCs w:val="22"/>
          <w:lang w:val="fr-CA"/>
        </w:rPr>
        <w:t>: Les Canadiens français aux États-Unis</w:t>
      </w:r>
      <w:r w:rsidR="00901CF6" w:rsidRPr="00261B72">
        <w:rPr>
          <w:sz w:val="22"/>
          <w:szCs w:val="22"/>
          <w:lang w:val="fr-CA"/>
        </w:rPr>
        <w:t>.</w:t>
      </w:r>
      <w:r w:rsidRPr="00261B72">
        <w:rPr>
          <w:sz w:val="22"/>
          <w:szCs w:val="22"/>
          <w:lang w:val="fr-CA"/>
        </w:rPr>
        <w:t xml:space="preserve"> </w:t>
      </w:r>
      <w:r w:rsidRPr="003433E9">
        <w:rPr>
          <w:sz w:val="22"/>
          <w:szCs w:val="22"/>
        </w:rPr>
        <w:t>Sillery</w:t>
      </w:r>
      <w:r w:rsidR="00901CF6" w:rsidRPr="003433E9">
        <w:rPr>
          <w:sz w:val="22"/>
          <w:szCs w:val="22"/>
        </w:rPr>
        <w:t>,</w:t>
      </w:r>
      <w:r w:rsidRPr="003433E9">
        <w:rPr>
          <w:sz w:val="22"/>
          <w:szCs w:val="22"/>
        </w:rPr>
        <w:t xml:space="preserve"> Les éditions du Septentrion, 2007, 150 p.</w:t>
      </w:r>
    </w:p>
    <w:p w14:paraId="788F3AD3" w14:textId="77777777" w:rsidR="00B9356C" w:rsidRPr="003433E9" w:rsidRDefault="00CD1427" w:rsidP="00B9356C">
      <w:pPr>
        <w:tabs>
          <w:tab w:val="num" w:pos="720"/>
        </w:tabs>
        <w:spacing w:before="240" w:line="259" w:lineRule="auto"/>
        <w:rPr>
          <w:rFonts w:eastAsia="Calibri"/>
          <w:sz w:val="22"/>
          <w:szCs w:val="22"/>
          <w:lang w:val="fr-CA" w:eastAsia="en-US"/>
        </w:rPr>
      </w:pPr>
      <w:r w:rsidRPr="003433E9">
        <w:rPr>
          <w:rFonts w:eastAsia="Calibri"/>
          <w:sz w:val="22"/>
          <w:szCs w:val="22"/>
          <w:lang w:eastAsia="en-US"/>
        </w:rPr>
        <w:t xml:space="preserve">ROSS, Stewart Halsey. </w:t>
      </w:r>
      <w:r w:rsidRPr="00261B72">
        <w:rPr>
          <w:rFonts w:eastAsia="Calibri"/>
          <w:i/>
          <w:sz w:val="22"/>
          <w:szCs w:val="22"/>
          <w:lang w:eastAsia="en-US"/>
        </w:rPr>
        <w:t>Propaganda for War: How the United States Was Conditioned to Fight the Great War of 1914</w:t>
      </w:r>
      <w:r w:rsidR="00BE4B77" w:rsidRPr="00261B72">
        <w:rPr>
          <w:rFonts w:eastAsia="Calibri"/>
          <w:i/>
          <w:sz w:val="22"/>
          <w:szCs w:val="22"/>
          <w:lang w:eastAsia="en-US"/>
        </w:rPr>
        <w:t>–</w:t>
      </w:r>
      <w:r w:rsidRPr="00261B72">
        <w:rPr>
          <w:rFonts w:eastAsia="Calibri"/>
          <w:i/>
          <w:sz w:val="22"/>
          <w:szCs w:val="22"/>
          <w:lang w:eastAsia="en-US"/>
        </w:rPr>
        <w:t>1918</w:t>
      </w:r>
      <w:r w:rsidRPr="00261B72">
        <w:rPr>
          <w:rFonts w:eastAsia="Calibri"/>
          <w:sz w:val="22"/>
          <w:szCs w:val="22"/>
          <w:lang w:eastAsia="en-US"/>
        </w:rPr>
        <w:t xml:space="preserve">. </w:t>
      </w:r>
      <w:r w:rsidRPr="003433E9">
        <w:rPr>
          <w:rFonts w:eastAsia="Calibri"/>
          <w:sz w:val="22"/>
          <w:szCs w:val="22"/>
          <w:lang w:val="fr-CA" w:eastAsia="en-US"/>
        </w:rPr>
        <w:t>McFarland,</w:t>
      </w:r>
      <w:r w:rsidR="000A5C53" w:rsidRPr="003433E9">
        <w:rPr>
          <w:rFonts w:eastAsia="Calibri"/>
          <w:sz w:val="22"/>
          <w:szCs w:val="22"/>
          <w:lang w:val="fr-CA" w:eastAsia="en-US"/>
        </w:rPr>
        <w:t xml:space="preserve"> </w:t>
      </w:r>
      <w:r w:rsidRPr="003433E9">
        <w:rPr>
          <w:rFonts w:eastAsia="Calibri"/>
          <w:sz w:val="22"/>
          <w:szCs w:val="22"/>
          <w:lang w:val="fr-CA" w:eastAsia="en-US"/>
        </w:rPr>
        <w:t>1996, 341 p.</w:t>
      </w:r>
    </w:p>
    <w:p w14:paraId="29D0B6DA" w14:textId="77777777" w:rsidR="00B0701E" w:rsidRPr="003433E9" w:rsidRDefault="00261B72" w:rsidP="00B9356C">
      <w:pPr>
        <w:tabs>
          <w:tab w:val="num" w:pos="720"/>
        </w:tabs>
        <w:spacing w:before="240" w:line="259" w:lineRule="auto"/>
        <w:rPr>
          <w:rFonts w:eastAsia="Calibri"/>
          <w:sz w:val="22"/>
          <w:szCs w:val="22"/>
          <w:lang w:val="fr-CA" w:eastAsia="en-US"/>
        </w:rPr>
      </w:pPr>
      <w:r w:rsidRPr="003433E9">
        <w:rPr>
          <w:rFonts w:eastAsia="Calibri"/>
          <w:sz w:val="22"/>
          <w:szCs w:val="22"/>
          <w:u w:val="single"/>
          <w:lang w:val="fr-CA" w:eastAsia="en-US"/>
        </w:rPr>
        <w:br w:type="page"/>
      </w:r>
      <w:r w:rsidR="00B0701E" w:rsidRPr="003433E9">
        <w:rPr>
          <w:rFonts w:eastAsia="Calibri"/>
          <w:sz w:val="22"/>
          <w:szCs w:val="22"/>
          <w:u w:val="single"/>
          <w:lang w:val="fr-CA" w:eastAsia="en-US"/>
        </w:rPr>
        <w:lastRenderedPageBreak/>
        <w:t>Thèses</w:t>
      </w:r>
      <w:r w:rsidR="00E21DFD" w:rsidRPr="003433E9">
        <w:rPr>
          <w:rFonts w:eastAsia="Calibri"/>
          <w:sz w:val="22"/>
          <w:szCs w:val="22"/>
          <w:u w:val="single"/>
          <w:lang w:val="fr-CA" w:eastAsia="en-US"/>
        </w:rPr>
        <w:t> </w:t>
      </w:r>
      <w:r w:rsidR="00B0701E" w:rsidRPr="003433E9">
        <w:rPr>
          <w:rFonts w:eastAsia="Calibri"/>
          <w:sz w:val="22"/>
          <w:szCs w:val="22"/>
          <w:lang w:val="fr-CA" w:eastAsia="en-US"/>
        </w:rPr>
        <w:t>:</w:t>
      </w:r>
    </w:p>
    <w:p w14:paraId="470388F6" w14:textId="77777777" w:rsidR="000A5C53" w:rsidRPr="00261B72" w:rsidRDefault="00556DD6" w:rsidP="000A5C53">
      <w:pPr>
        <w:autoSpaceDE w:val="0"/>
        <w:autoSpaceDN w:val="0"/>
        <w:adjustRightInd w:val="0"/>
        <w:spacing w:before="240"/>
        <w:rPr>
          <w:sz w:val="22"/>
          <w:szCs w:val="22"/>
          <w:lang w:val="fr-CA"/>
        </w:rPr>
      </w:pPr>
      <w:r w:rsidRPr="003433E9">
        <w:rPr>
          <w:bCs/>
          <w:sz w:val="22"/>
          <w:szCs w:val="22"/>
          <w:lang w:val="fr-CA"/>
        </w:rPr>
        <w:t xml:space="preserve">LEMELIN, Bernard. </w:t>
      </w:r>
      <w:r w:rsidR="00A3391D" w:rsidRPr="00261B72">
        <w:rPr>
          <w:bCs/>
          <w:sz w:val="22"/>
          <w:szCs w:val="22"/>
          <w:lang w:val="fr-CA"/>
        </w:rPr>
        <w:t xml:space="preserve">« </w:t>
      </w:r>
      <w:r w:rsidRPr="00261B72">
        <w:rPr>
          <w:bCs/>
          <w:sz w:val="22"/>
          <w:szCs w:val="22"/>
          <w:lang w:val="fr-CA"/>
        </w:rPr>
        <w:t xml:space="preserve">Les Franco-Américains de Woonsocket, Rhode Island et la Première </w:t>
      </w:r>
      <w:r w:rsidRPr="00261B72">
        <w:rPr>
          <w:sz w:val="22"/>
          <w:szCs w:val="22"/>
          <w:lang w:val="fr-CA"/>
        </w:rPr>
        <w:t>Guerre mondiale</w:t>
      </w:r>
      <w:r w:rsidR="00A3391D" w:rsidRPr="00261B72">
        <w:rPr>
          <w:sz w:val="22"/>
          <w:szCs w:val="22"/>
          <w:lang w:val="fr-CA"/>
        </w:rPr>
        <w:t xml:space="preserve"> »</w:t>
      </w:r>
      <w:r w:rsidRPr="00261B72">
        <w:rPr>
          <w:i/>
          <w:iCs/>
          <w:sz w:val="22"/>
          <w:szCs w:val="22"/>
          <w:lang w:val="fr-CA"/>
        </w:rPr>
        <w:t xml:space="preserve">, </w:t>
      </w:r>
      <w:r w:rsidRPr="00261B72">
        <w:rPr>
          <w:sz w:val="22"/>
          <w:szCs w:val="22"/>
          <w:lang w:val="fr-CA"/>
        </w:rPr>
        <w:t>M. A</w:t>
      </w:r>
      <w:r w:rsidR="00A3391D" w:rsidRPr="00261B72">
        <w:rPr>
          <w:sz w:val="22"/>
          <w:szCs w:val="22"/>
          <w:lang w:val="fr-CA"/>
        </w:rPr>
        <w:t xml:space="preserve"> (</w:t>
      </w:r>
      <w:r w:rsidR="000A5C53" w:rsidRPr="00261B72">
        <w:rPr>
          <w:sz w:val="22"/>
          <w:szCs w:val="22"/>
          <w:lang w:val="fr-CA"/>
        </w:rPr>
        <w:t>H</w:t>
      </w:r>
      <w:r w:rsidR="00A3391D" w:rsidRPr="00261B72">
        <w:rPr>
          <w:sz w:val="22"/>
          <w:szCs w:val="22"/>
          <w:lang w:val="fr-CA"/>
        </w:rPr>
        <w:t>istoire)</w:t>
      </w:r>
      <w:r w:rsidRPr="00261B72">
        <w:rPr>
          <w:sz w:val="22"/>
          <w:szCs w:val="22"/>
          <w:lang w:val="fr-CA"/>
        </w:rPr>
        <w:t>. Université Laval, 198</w:t>
      </w:r>
      <w:r w:rsidR="00C42131" w:rsidRPr="00261B72">
        <w:rPr>
          <w:sz w:val="22"/>
          <w:szCs w:val="22"/>
          <w:lang w:val="fr-CA"/>
        </w:rPr>
        <w:t>7</w:t>
      </w:r>
      <w:r w:rsidR="00A3391D" w:rsidRPr="00261B72">
        <w:rPr>
          <w:sz w:val="22"/>
          <w:szCs w:val="22"/>
          <w:lang w:val="fr-CA"/>
        </w:rPr>
        <w:t>,</w:t>
      </w:r>
      <w:r w:rsidRPr="00261B72">
        <w:rPr>
          <w:sz w:val="22"/>
          <w:szCs w:val="22"/>
          <w:lang w:val="fr-CA"/>
        </w:rPr>
        <w:t xml:space="preserve"> 155</w:t>
      </w:r>
      <w:r w:rsidR="00BE4B77" w:rsidRPr="00261B72">
        <w:rPr>
          <w:sz w:val="22"/>
          <w:szCs w:val="22"/>
          <w:lang w:val="fr-CA"/>
        </w:rPr>
        <w:t> </w:t>
      </w:r>
      <w:r w:rsidRPr="00261B72">
        <w:rPr>
          <w:sz w:val="22"/>
          <w:szCs w:val="22"/>
          <w:lang w:val="fr-CA"/>
        </w:rPr>
        <w:t>p.</w:t>
      </w:r>
    </w:p>
    <w:p w14:paraId="6DAA0EF2" w14:textId="77777777" w:rsidR="00B0701E" w:rsidRPr="00261B72" w:rsidRDefault="00B0701E" w:rsidP="000A5C53">
      <w:pPr>
        <w:autoSpaceDE w:val="0"/>
        <w:autoSpaceDN w:val="0"/>
        <w:adjustRightInd w:val="0"/>
        <w:spacing w:before="240"/>
        <w:rPr>
          <w:sz w:val="22"/>
          <w:szCs w:val="22"/>
          <w:lang w:val="fr-CA"/>
        </w:rPr>
      </w:pPr>
      <w:r w:rsidRPr="00261B72">
        <w:rPr>
          <w:rFonts w:eastAsia="Calibri"/>
          <w:sz w:val="22"/>
          <w:szCs w:val="22"/>
          <w:lang w:val="fr-CA" w:eastAsia="en-US"/>
        </w:rPr>
        <w:t xml:space="preserve">PINSONNEAULT, Gérald, </w:t>
      </w:r>
      <w:r w:rsidR="000A5C53"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iCs/>
          <w:sz w:val="22"/>
          <w:szCs w:val="22"/>
          <w:lang w:val="fr-CA" w:eastAsia="en-US"/>
        </w:rPr>
        <w:t>La propagande de recrutement militaire au Canada, 1914-1917, Essai en histoire des mentalités</w:t>
      </w:r>
      <w:r w:rsidR="00BE4B77" w:rsidRPr="00261B72">
        <w:rPr>
          <w:rFonts w:eastAsia="Calibri"/>
          <w:i/>
          <w:sz w:val="22"/>
          <w:szCs w:val="22"/>
          <w:lang w:val="fr-CA" w:eastAsia="en-US"/>
        </w:rPr>
        <w:t> </w:t>
      </w:r>
      <w:r w:rsidR="000A5C53" w:rsidRPr="00261B72">
        <w:rPr>
          <w:rFonts w:eastAsia="Calibri"/>
          <w:iCs/>
          <w:sz w:val="22"/>
          <w:szCs w:val="22"/>
          <w:lang w:val="fr-CA" w:eastAsia="en-US"/>
        </w:rPr>
        <w:t>»,</w:t>
      </w:r>
      <w:r w:rsidR="000A5C53" w:rsidRPr="00261B72">
        <w:rPr>
          <w:rFonts w:eastAsia="Calibri"/>
          <w:i/>
          <w:sz w:val="22"/>
          <w:szCs w:val="22"/>
          <w:lang w:val="fr-CA" w:eastAsia="en-US"/>
        </w:rPr>
        <w:t xml:space="preserve"> </w:t>
      </w:r>
      <w:r w:rsidRPr="00261B72">
        <w:rPr>
          <w:rFonts w:eastAsia="Calibri"/>
          <w:sz w:val="22"/>
          <w:szCs w:val="22"/>
          <w:lang w:val="fr-CA" w:eastAsia="en-US"/>
        </w:rPr>
        <w:t>mémoire de maîtrise</w:t>
      </w:r>
      <w:r w:rsidR="000A5C53" w:rsidRPr="00261B72">
        <w:rPr>
          <w:rFonts w:eastAsia="Calibri"/>
          <w:sz w:val="22"/>
          <w:szCs w:val="22"/>
          <w:lang w:val="fr-CA" w:eastAsia="en-US"/>
        </w:rPr>
        <w:t xml:space="preserve"> (Histoire)</w:t>
      </w:r>
      <w:r w:rsidR="00CD4F71" w:rsidRPr="00261B72">
        <w:rPr>
          <w:rFonts w:eastAsia="Calibri"/>
          <w:sz w:val="22"/>
          <w:szCs w:val="22"/>
          <w:lang w:val="fr-CA" w:eastAsia="en-US"/>
        </w:rPr>
        <w:t>,</w:t>
      </w:r>
      <w:r w:rsidR="000A5C53" w:rsidRPr="00261B72">
        <w:rPr>
          <w:rFonts w:eastAsia="Calibri"/>
          <w:sz w:val="22"/>
          <w:szCs w:val="22"/>
          <w:lang w:val="fr-CA" w:eastAsia="en-US"/>
        </w:rPr>
        <w:t xml:space="preserve"> </w:t>
      </w:r>
      <w:r w:rsidRPr="00261B72">
        <w:rPr>
          <w:rFonts w:eastAsia="Calibri"/>
          <w:sz w:val="22"/>
          <w:szCs w:val="22"/>
          <w:lang w:val="fr-CA" w:eastAsia="en-US"/>
        </w:rPr>
        <w:t>Université de Sherbrooke, 1981, 111</w:t>
      </w:r>
      <w:r w:rsidR="00BE4B77" w:rsidRPr="00261B72">
        <w:rPr>
          <w:rFonts w:eastAsia="Calibri"/>
          <w:sz w:val="22"/>
          <w:szCs w:val="22"/>
          <w:lang w:val="fr-CA" w:eastAsia="en-US"/>
        </w:rPr>
        <w:t> </w:t>
      </w:r>
      <w:r w:rsidRPr="00261B72">
        <w:rPr>
          <w:rFonts w:eastAsia="Calibri"/>
          <w:sz w:val="22"/>
          <w:szCs w:val="22"/>
          <w:lang w:val="fr-CA" w:eastAsia="en-US"/>
        </w:rPr>
        <w:t>p.</w:t>
      </w:r>
    </w:p>
    <w:p w14:paraId="300C41FE" w14:textId="77777777" w:rsidR="00B0701E" w:rsidRPr="00261B72" w:rsidRDefault="00B0701E" w:rsidP="001732FE">
      <w:pPr>
        <w:autoSpaceDE w:val="0"/>
        <w:autoSpaceDN w:val="0"/>
        <w:adjustRightInd w:val="0"/>
        <w:spacing w:before="240"/>
        <w:rPr>
          <w:rFonts w:eastAsia="Calibri"/>
          <w:sz w:val="22"/>
          <w:szCs w:val="22"/>
          <w:lang w:val="fr-CA" w:eastAsia="en-US"/>
        </w:rPr>
      </w:pPr>
      <w:r w:rsidRPr="00261B72">
        <w:rPr>
          <w:rFonts w:eastAsia="Calibri"/>
          <w:sz w:val="22"/>
          <w:szCs w:val="22"/>
          <w:u w:val="single"/>
          <w:lang w:val="fr-CA" w:eastAsia="en-US"/>
        </w:rPr>
        <w:t>Articles de revues scientifiques</w:t>
      </w:r>
      <w:r w:rsidRPr="00261B72">
        <w:rPr>
          <w:rFonts w:eastAsia="Calibri"/>
          <w:sz w:val="22"/>
          <w:szCs w:val="22"/>
          <w:lang w:val="fr-CA" w:eastAsia="en-US"/>
        </w:rPr>
        <w:t> :</w:t>
      </w:r>
    </w:p>
    <w:p w14:paraId="614C6C49" w14:textId="77777777" w:rsidR="001B4402" w:rsidRPr="00261B72" w:rsidRDefault="001B4402" w:rsidP="001732FE">
      <w:pPr>
        <w:spacing w:before="240" w:after="160" w:line="259" w:lineRule="auto"/>
        <w:rPr>
          <w:rFonts w:eastAsia="Calibri"/>
          <w:sz w:val="22"/>
          <w:szCs w:val="22"/>
          <w:lang w:val="fr-CA" w:eastAsia="en-US"/>
        </w:rPr>
      </w:pPr>
      <w:r w:rsidRPr="00261B72">
        <w:rPr>
          <w:rFonts w:eastAsia="Calibri"/>
          <w:sz w:val="22"/>
          <w:szCs w:val="22"/>
          <w:lang w:val="fr-CA" w:eastAsia="en-US"/>
        </w:rPr>
        <w:t xml:space="preserve">ANCTIL, Pierre. </w:t>
      </w:r>
      <w:r w:rsidR="00A77E37"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sz w:val="22"/>
          <w:szCs w:val="22"/>
          <w:lang w:val="fr-CA" w:eastAsia="en-US"/>
        </w:rPr>
        <w:t>L</w:t>
      </w:r>
      <w:r w:rsidR="00BE4B77" w:rsidRPr="00261B72">
        <w:rPr>
          <w:rFonts w:eastAsia="Calibri"/>
          <w:sz w:val="22"/>
          <w:szCs w:val="22"/>
          <w:lang w:val="fr-CA" w:eastAsia="en-US"/>
        </w:rPr>
        <w:t>’</w:t>
      </w:r>
      <w:r w:rsidRPr="00261B72">
        <w:rPr>
          <w:rFonts w:eastAsia="Calibri"/>
          <w:sz w:val="22"/>
          <w:szCs w:val="22"/>
          <w:lang w:val="fr-CA" w:eastAsia="en-US"/>
        </w:rPr>
        <w:t>identité de l</w:t>
      </w:r>
      <w:r w:rsidR="00BE4B77" w:rsidRPr="00261B72">
        <w:rPr>
          <w:rFonts w:eastAsia="Calibri"/>
          <w:sz w:val="22"/>
          <w:szCs w:val="22"/>
          <w:lang w:val="fr-CA" w:eastAsia="en-US"/>
        </w:rPr>
        <w:t>’</w:t>
      </w:r>
      <w:r w:rsidRPr="00261B72">
        <w:rPr>
          <w:rFonts w:eastAsia="Calibri"/>
          <w:sz w:val="22"/>
          <w:szCs w:val="22"/>
          <w:lang w:val="fr-CA" w:eastAsia="en-US"/>
        </w:rPr>
        <w:t>immigrant québécois en Nouvelle-Angleterre. Le rapport Wright de 1882</w:t>
      </w:r>
      <w:r w:rsidR="00BE4B77" w:rsidRPr="00261B72">
        <w:rPr>
          <w:rFonts w:eastAsia="Calibri"/>
          <w:sz w:val="22"/>
          <w:szCs w:val="22"/>
          <w:lang w:val="fr-CA" w:eastAsia="en-US"/>
        </w:rPr>
        <w:t> </w:t>
      </w:r>
      <w:r w:rsidR="00A77E37" w:rsidRPr="00261B72">
        <w:rPr>
          <w:rFonts w:eastAsia="Calibri"/>
          <w:sz w:val="22"/>
          <w:szCs w:val="22"/>
          <w:lang w:val="fr-CA" w:eastAsia="en-US"/>
        </w:rPr>
        <w:t>»</w:t>
      </w:r>
      <w:r w:rsidRPr="00261B72">
        <w:rPr>
          <w:rFonts w:eastAsia="Calibri"/>
          <w:sz w:val="22"/>
          <w:szCs w:val="22"/>
          <w:lang w:val="fr-CA" w:eastAsia="en-US"/>
        </w:rPr>
        <w:t xml:space="preserve">. </w:t>
      </w:r>
      <w:r w:rsidRPr="00261B72">
        <w:rPr>
          <w:rFonts w:eastAsia="Calibri"/>
          <w:i/>
          <w:iCs/>
          <w:sz w:val="22"/>
          <w:szCs w:val="22"/>
          <w:lang w:val="fr-CA" w:eastAsia="en-US"/>
        </w:rPr>
        <w:t>Recherches sociographiques</w:t>
      </w:r>
      <w:r w:rsidRPr="00261B72">
        <w:rPr>
          <w:rFonts w:eastAsia="Calibri"/>
          <w:sz w:val="22"/>
          <w:szCs w:val="22"/>
          <w:lang w:val="fr-CA" w:eastAsia="en-US"/>
        </w:rPr>
        <w:t>, 1981, vol</w:t>
      </w:r>
      <w:r w:rsidR="00BE4B77" w:rsidRPr="00261B72">
        <w:rPr>
          <w:rFonts w:eastAsia="Calibri"/>
          <w:sz w:val="22"/>
          <w:szCs w:val="22"/>
          <w:lang w:val="fr-CA" w:eastAsia="en-US"/>
        </w:rPr>
        <w:t> </w:t>
      </w:r>
      <w:r w:rsidRPr="00261B72">
        <w:rPr>
          <w:rFonts w:eastAsia="Calibri"/>
          <w:iCs/>
          <w:sz w:val="22"/>
          <w:szCs w:val="22"/>
          <w:lang w:val="fr-CA" w:eastAsia="en-US"/>
        </w:rPr>
        <w:t>22</w:t>
      </w:r>
      <w:r w:rsidRPr="00261B72">
        <w:rPr>
          <w:rFonts w:eastAsia="Calibri"/>
          <w:sz w:val="22"/>
          <w:szCs w:val="22"/>
          <w:lang w:val="fr-CA" w:eastAsia="en-US"/>
        </w:rPr>
        <w:t xml:space="preserve"> (3), p</w:t>
      </w:r>
      <w:r w:rsidR="00A77E37" w:rsidRPr="00261B72">
        <w:rPr>
          <w:rFonts w:eastAsia="Calibri"/>
          <w:sz w:val="22"/>
          <w:szCs w:val="22"/>
          <w:lang w:val="fr-CA" w:eastAsia="en-US"/>
        </w:rPr>
        <w:t>p</w:t>
      </w:r>
      <w:r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sz w:val="22"/>
          <w:szCs w:val="22"/>
          <w:lang w:val="fr-CA" w:eastAsia="en-US"/>
        </w:rPr>
        <w:t>331–359.</w:t>
      </w:r>
    </w:p>
    <w:p w14:paraId="4BE32381" w14:textId="77777777" w:rsidR="000B5C23" w:rsidRPr="00261B72" w:rsidRDefault="00B0701E" w:rsidP="001732FE">
      <w:pPr>
        <w:spacing w:before="240" w:after="160" w:line="259" w:lineRule="auto"/>
        <w:rPr>
          <w:rFonts w:eastAsia="Calibri"/>
          <w:sz w:val="22"/>
          <w:szCs w:val="22"/>
          <w:lang w:val="fr-CA" w:eastAsia="en-US"/>
        </w:rPr>
      </w:pPr>
      <w:r w:rsidRPr="003433E9">
        <w:rPr>
          <w:rFonts w:eastAsia="Calibri"/>
          <w:sz w:val="22"/>
          <w:szCs w:val="22"/>
          <w:lang w:val="fr-CA" w:eastAsia="en-US"/>
        </w:rPr>
        <w:t xml:space="preserve">BROWN, Robert Craig; Donald Loveridge, </w:t>
      </w:r>
      <w:r w:rsidR="000A5C53" w:rsidRPr="003433E9">
        <w:rPr>
          <w:rFonts w:eastAsia="Calibri"/>
          <w:bCs/>
          <w:color w:val="000000"/>
          <w:sz w:val="22"/>
          <w:szCs w:val="22"/>
          <w:lang w:val="fr-CA" w:eastAsia="en-US"/>
        </w:rPr>
        <w:t>«</w:t>
      </w:r>
      <w:r w:rsidR="00BE4B77" w:rsidRPr="003433E9">
        <w:rPr>
          <w:rFonts w:eastAsia="Calibri"/>
          <w:bCs/>
          <w:color w:val="000000"/>
          <w:sz w:val="22"/>
          <w:szCs w:val="22"/>
          <w:lang w:val="fr-CA" w:eastAsia="en-US"/>
        </w:rPr>
        <w:t> </w:t>
      </w:r>
      <w:r w:rsidRPr="003433E9">
        <w:rPr>
          <w:rFonts w:eastAsia="Calibri"/>
          <w:sz w:val="22"/>
          <w:szCs w:val="22"/>
          <w:lang w:val="fr-CA" w:eastAsia="en-US"/>
        </w:rPr>
        <w:t>Unrequited Faith: Recruiting the CEF 1914</w:t>
      </w:r>
      <w:r w:rsidR="00BE4B77" w:rsidRPr="003433E9">
        <w:rPr>
          <w:rFonts w:eastAsia="Calibri"/>
          <w:sz w:val="22"/>
          <w:szCs w:val="22"/>
          <w:lang w:val="fr-CA" w:eastAsia="en-US"/>
        </w:rPr>
        <w:t>–</w:t>
      </w:r>
      <w:r w:rsidRPr="003433E9">
        <w:rPr>
          <w:rFonts w:eastAsia="Calibri"/>
          <w:sz w:val="22"/>
          <w:szCs w:val="22"/>
          <w:lang w:val="fr-CA" w:eastAsia="en-US"/>
        </w:rPr>
        <w:t>1918</w:t>
      </w:r>
      <w:r w:rsidR="00BE4B77" w:rsidRPr="003433E9">
        <w:rPr>
          <w:rFonts w:eastAsia="Calibri"/>
          <w:sz w:val="22"/>
          <w:szCs w:val="22"/>
          <w:lang w:val="fr-CA" w:eastAsia="en-US"/>
        </w:rPr>
        <w:t> </w:t>
      </w:r>
      <w:r w:rsidR="000A5C53" w:rsidRPr="003433E9">
        <w:rPr>
          <w:rFonts w:eastAsia="Calibri"/>
          <w:sz w:val="22"/>
          <w:szCs w:val="22"/>
          <w:lang w:val="fr-CA" w:eastAsia="en-US"/>
        </w:rPr>
        <w:t>».</w:t>
      </w:r>
      <w:r w:rsidR="000B5C23" w:rsidRPr="003433E9">
        <w:rPr>
          <w:rFonts w:eastAsia="Calibri"/>
          <w:sz w:val="22"/>
          <w:szCs w:val="22"/>
          <w:lang w:val="fr-CA" w:eastAsia="en-US"/>
        </w:rPr>
        <w:t xml:space="preserve"> </w:t>
      </w:r>
      <w:r w:rsidRPr="00261B72">
        <w:rPr>
          <w:rFonts w:eastAsia="Calibri"/>
          <w:i/>
          <w:sz w:val="22"/>
          <w:szCs w:val="22"/>
          <w:lang w:val="fr-CA" w:eastAsia="en-US"/>
        </w:rPr>
        <w:t>Revue internationale d’histoire militaire</w:t>
      </w:r>
      <w:r w:rsidRPr="00261B72">
        <w:rPr>
          <w:rFonts w:eastAsia="Calibri"/>
          <w:sz w:val="22"/>
          <w:szCs w:val="22"/>
          <w:lang w:val="fr-CA" w:eastAsia="en-US"/>
        </w:rPr>
        <w:t xml:space="preserve">, </w:t>
      </w:r>
      <w:r w:rsidR="000A1673" w:rsidRPr="00261B72">
        <w:rPr>
          <w:rFonts w:eastAsia="Calibri"/>
          <w:sz w:val="22"/>
          <w:szCs w:val="22"/>
          <w:lang w:val="fr-CA" w:eastAsia="en-US"/>
        </w:rPr>
        <w:t>n</w:t>
      </w:r>
      <w:r w:rsidRPr="00261B72">
        <w:rPr>
          <w:rFonts w:eastAsia="Calibri"/>
          <w:sz w:val="22"/>
          <w:szCs w:val="22"/>
          <w:lang w:val="fr-CA" w:eastAsia="en-US"/>
        </w:rPr>
        <w:t>o.</w:t>
      </w:r>
      <w:r w:rsidR="00BE4B77" w:rsidRPr="00261B72">
        <w:rPr>
          <w:rFonts w:eastAsia="Calibri"/>
          <w:sz w:val="22"/>
          <w:szCs w:val="22"/>
          <w:lang w:val="fr-CA" w:eastAsia="en-US"/>
        </w:rPr>
        <w:t> </w:t>
      </w:r>
      <w:r w:rsidRPr="00261B72">
        <w:rPr>
          <w:rFonts w:eastAsia="Calibri"/>
          <w:sz w:val="22"/>
          <w:szCs w:val="22"/>
          <w:lang w:val="fr-CA" w:eastAsia="en-US"/>
        </w:rPr>
        <w:t>51, 1982.</w:t>
      </w:r>
      <w:r w:rsidR="000B5C23" w:rsidRPr="00261B72">
        <w:rPr>
          <w:rFonts w:eastAsia="Calibri"/>
          <w:sz w:val="22"/>
          <w:szCs w:val="22"/>
          <w:lang w:val="fr-CA" w:eastAsia="en-US"/>
        </w:rPr>
        <w:t xml:space="preserve"> Article</w:t>
      </w:r>
      <w:r w:rsidR="00BE4B77" w:rsidRPr="00261B72">
        <w:rPr>
          <w:rFonts w:eastAsia="Calibri"/>
          <w:sz w:val="22"/>
          <w:szCs w:val="22"/>
          <w:lang w:val="fr-CA" w:eastAsia="en-US"/>
        </w:rPr>
        <w:t> </w:t>
      </w:r>
      <w:r w:rsidR="000B5C23" w:rsidRPr="00261B72">
        <w:rPr>
          <w:rFonts w:eastAsia="Calibri"/>
          <w:sz w:val="22"/>
          <w:szCs w:val="22"/>
          <w:lang w:val="fr-CA" w:eastAsia="en-US"/>
        </w:rPr>
        <w:t xml:space="preserve">24. </w:t>
      </w:r>
      <w:hyperlink r:id="rId20" w:history="1">
        <w:r w:rsidR="000B5C23" w:rsidRPr="00261B72">
          <w:rPr>
            <w:rStyle w:val="Hyperlink"/>
            <w:rFonts w:eastAsia="Calibri"/>
            <w:sz w:val="22"/>
            <w:szCs w:val="22"/>
            <w:lang w:val="fr-CA" w:eastAsia="en-US"/>
          </w:rPr>
          <w:t>https://scholars.wlu.ca/cmh/vol24/iss1/24</w:t>
        </w:r>
      </w:hyperlink>
      <w:r w:rsidR="000B5C23" w:rsidRPr="00261B72">
        <w:rPr>
          <w:rFonts w:eastAsia="Calibri"/>
          <w:sz w:val="22"/>
          <w:szCs w:val="22"/>
          <w:lang w:val="fr-CA" w:eastAsia="en-US"/>
        </w:rPr>
        <w:t xml:space="preserve"> </w:t>
      </w:r>
    </w:p>
    <w:p w14:paraId="63D5F6C9" w14:textId="77777777" w:rsidR="00DC6B70" w:rsidRPr="00261B72" w:rsidRDefault="00DC6B70" w:rsidP="00DC6B70">
      <w:pPr>
        <w:spacing w:after="200" w:line="276" w:lineRule="auto"/>
        <w:rPr>
          <w:rFonts w:eastAsia="Calibri"/>
          <w:sz w:val="22"/>
          <w:szCs w:val="22"/>
          <w:lang w:val="fr-CA" w:eastAsia="en-US"/>
        </w:rPr>
      </w:pPr>
      <w:r w:rsidRPr="00261B72">
        <w:rPr>
          <w:rFonts w:eastAsia="Calibri"/>
          <w:sz w:val="22"/>
          <w:szCs w:val="22"/>
          <w:lang w:val="fr-CA" w:eastAsia="en-US"/>
        </w:rPr>
        <w:t>CARON</w:t>
      </w:r>
      <w:r w:rsidR="00BB5FCB" w:rsidRPr="00261B72">
        <w:rPr>
          <w:rFonts w:eastAsia="Calibri"/>
          <w:sz w:val="22"/>
          <w:szCs w:val="22"/>
          <w:lang w:val="fr-CA" w:eastAsia="en-US"/>
        </w:rPr>
        <w:t>,</w:t>
      </w:r>
      <w:r w:rsidRPr="00261B72">
        <w:rPr>
          <w:rFonts w:eastAsia="Calibri"/>
          <w:sz w:val="22"/>
          <w:szCs w:val="22"/>
          <w:lang w:val="fr-CA" w:eastAsia="en-US"/>
        </w:rPr>
        <w:t xml:space="preserve"> Jean-François. «</w:t>
      </w:r>
      <w:r w:rsidR="00BE4B77" w:rsidRPr="00261B72">
        <w:rPr>
          <w:rFonts w:eastAsia="Calibri"/>
          <w:sz w:val="22"/>
          <w:szCs w:val="22"/>
          <w:lang w:val="fr-CA" w:eastAsia="en-US"/>
        </w:rPr>
        <w:t> </w:t>
      </w:r>
      <w:r w:rsidRPr="00261B72">
        <w:rPr>
          <w:rFonts w:eastAsia="Calibri"/>
          <w:sz w:val="22"/>
          <w:szCs w:val="22"/>
          <w:lang w:val="fr-CA" w:eastAsia="en-US"/>
        </w:rPr>
        <w:t>Les gens de Bellechasse à Manchester, New Hampshire, en 1894</w:t>
      </w:r>
      <w:r w:rsidR="00BE4B77" w:rsidRPr="00261B72">
        <w:rPr>
          <w:rFonts w:eastAsia="Calibri"/>
          <w:sz w:val="22"/>
          <w:szCs w:val="22"/>
          <w:lang w:val="fr-CA" w:eastAsia="en-US"/>
        </w:rPr>
        <w:t> </w:t>
      </w:r>
      <w:r w:rsidRPr="00261B72">
        <w:rPr>
          <w:rFonts w:eastAsia="Calibri"/>
          <w:sz w:val="22"/>
          <w:szCs w:val="22"/>
          <w:lang w:val="fr-CA" w:eastAsia="en-US"/>
        </w:rPr>
        <w:t xml:space="preserve">». </w:t>
      </w:r>
      <w:r w:rsidRPr="00261B72">
        <w:rPr>
          <w:rFonts w:eastAsia="Calibri"/>
          <w:i/>
          <w:sz w:val="22"/>
          <w:szCs w:val="22"/>
          <w:lang w:val="fr-CA" w:eastAsia="en-US"/>
        </w:rPr>
        <w:t>Au fil des ans,</w:t>
      </w:r>
      <w:r w:rsidRPr="00261B72">
        <w:rPr>
          <w:rFonts w:eastAsia="Calibri"/>
          <w:sz w:val="22"/>
          <w:szCs w:val="22"/>
          <w:lang w:val="fr-CA" w:eastAsia="en-US"/>
        </w:rPr>
        <w:t xml:space="preserve"> </w:t>
      </w:r>
      <w:r w:rsidRPr="00261B72">
        <w:rPr>
          <w:rFonts w:eastAsia="Calibri"/>
          <w:i/>
          <w:sz w:val="22"/>
          <w:szCs w:val="22"/>
          <w:lang w:val="fr-CA" w:eastAsia="en-US"/>
        </w:rPr>
        <w:t>Bulletin de la Société historique de Bellechasse</w:t>
      </w:r>
      <w:r w:rsidRPr="00261B72">
        <w:rPr>
          <w:rFonts w:eastAsia="Calibri"/>
          <w:sz w:val="22"/>
          <w:szCs w:val="22"/>
          <w:lang w:val="fr-CA" w:eastAsia="en-US"/>
        </w:rPr>
        <w:t xml:space="preserve">, </w:t>
      </w:r>
      <w:r w:rsidR="00CF536C" w:rsidRPr="00261B72">
        <w:rPr>
          <w:rFonts w:eastAsia="Calibri"/>
          <w:sz w:val="22"/>
          <w:szCs w:val="22"/>
          <w:lang w:val="fr-CA" w:eastAsia="en-US"/>
        </w:rPr>
        <w:t>v</w:t>
      </w:r>
      <w:r w:rsidRPr="00261B72">
        <w:rPr>
          <w:rFonts w:eastAsia="Calibri"/>
          <w:sz w:val="22"/>
          <w:szCs w:val="22"/>
          <w:lang w:val="fr-CA" w:eastAsia="en-US"/>
        </w:rPr>
        <w:t>ol</w:t>
      </w:r>
      <w:r w:rsidR="00BE4B77" w:rsidRPr="00261B72">
        <w:rPr>
          <w:rFonts w:eastAsia="Calibri"/>
          <w:sz w:val="22"/>
          <w:szCs w:val="22"/>
          <w:lang w:val="fr-CA" w:eastAsia="en-US"/>
        </w:rPr>
        <w:t> </w:t>
      </w:r>
      <w:r w:rsidRPr="00261B72">
        <w:rPr>
          <w:rFonts w:eastAsia="Calibri"/>
          <w:sz w:val="22"/>
          <w:szCs w:val="22"/>
          <w:lang w:val="fr-CA" w:eastAsia="en-US"/>
        </w:rPr>
        <w:t>10</w:t>
      </w:r>
      <w:r w:rsidR="00CF536C" w:rsidRPr="00261B72">
        <w:rPr>
          <w:rFonts w:eastAsia="Calibri"/>
          <w:sz w:val="22"/>
          <w:szCs w:val="22"/>
          <w:lang w:val="fr-CA" w:eastAsia="en-US"/>
        </w:rPr>
        <w:t>,</w:t>
      </w:r>
      <w:r w:rsidRPr="00261B72">
        <w:rPr>
          <w:rFonts w:eastAsia="Calibri"/>
          <w:sz w:val="22"/>
          <w:szCs w:val="22"/>
          <w:lang w:val="fr-CA" w:eastAsia="en-US"/>
        </w:rPr>
        <w:t xml:space="preserve"> </w:t>
      </w:r>
      <w:r w:rsidR="00CF536C" w:rsidRPr="00261B72">
        <w:rPr>
          <w:rFonts w:eastAsia="Calibri"/>
          <w:bCs/>
          <w:color w:val="000000"/>
          <w:sz w:val="22"/>
          <w:szCs w:val="22"/>
          <w:lang w:val="fr-CA" w:eastAsia="en-US"/>
        </w:rPr>
        <w:t>n°</w:t>
      </w:r>
      <w:r w:rsidR="00BE4B77" w:rsidRPr="00261B72">
        <w:rPr>
          <w:rFonts w:eastAsia="Calibri"/>
          <w:bCs/>
          <w:color w:val="000000"/>
          <w:sz w:val="22"/>
          <w:szCs w:val="22"/>
          <w:lang w:val="fr-CA" w:eastAsia="en-US"/>
        </w:rPr>
        <w:t> </w:t>
      </w:r>
      <w:r w:rsidRPr="00261B72">
        <w:rPr>
          <w:rFonts w:eastAsia="Calibri"/>
          <w:sz w:val="22"/>
          <w:szCs w:val="22"/>
          <w:lang w:val="fr-CA" w:eastAsia="en-US"/>
        </w:rPr>
        <w:t>4, Automne 1998, Saint-Lazare (Qué.), p</w:t>
      </w:r>
      <w:r w:rsidR="00BB5FCB" w:rsidRPr="00261B72">
        <w:rPr>
          <w:rFonts w:eastAsia="Calibri"/>
          <w:sz w:val="22"/>
          <w:szCs w:val="22"/>
          <w:lang w:val="fr-CA" w:eastAsia="en-US"/>
        </w:rPr>
        <w:t>p</w:t>
      </w:r>
      <w:r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sz w:val="22"/>
          <w:szCs w:val="22"/>
          <w:lang w:val="fr-CA" w:eastAsia="en-US"/>
        </w:rPr>
        <w:t>100-101.</w:t>
      </w:r>
    </w:p>
    <w:p w14:paraId="22695E94" w14:textId="77777777" w:rsidR="00CB4476" w:rsidRPr="00261B72" w:rsidRDefault="0016552A" w:rsidP="00B0701E">
      <w:pPr>
        <w:spacing w:after="200" w:line="276" w:lineRule="auto"/>
        <w:rPr>
          <w:rFonts w:eastAsia="Calibri"/>
          <w:bCs/>
          <w:color w:val="000000"/>
          <w:sz w:val="22"/>
          <w:szCs w:val="22"/>
          <w:lang w:val="fr-CA" w:eastAsia="en-US"/>
        </w:rPr>
      </w:pPr>
      <w:r w:rsidRPr="00261B72">
        <w:rPr>
          <w:rFonts w:eastAsia="Calibri"/>
          <w:bCs/>
          <w:color w:val="000000"/>
          <w:sz w:val="22"/>
          <w:szCs w:val="22"/>
          <w:lang w:val="fr-CA" w:eastAsia="en-US"/>
        </w:rPr>
        <w:t xml:space="preserve">COUTARD, </w:t>
      </w:r>
      <w:r w:rsidR="00CB4476" w:rsidRPr="00261B72">
        <w:rPr>
          <w:rFonts w:eastAsia="Calibri"/>
          <w:bCs/>
          <w:color w:val="000000"/>
          <w:sz w:val="22"/>
          <w:szCs w:val="22"/>
          <w:lang w:val="fr-CA" w:eastAsia="en-US"/>
        </w:rPr>
        <w:t xml:space="preserve">Jérôme. </w:t>
      </w:r>
      <w:r w:rsidR="000A5C53" w:rsidRPr="00261B72">
        <w:rPr>
          <w:rFonts w:eastAsia="Calibri"/>
          <w:bCs/>
          <w:color w:val="000000"/>
          <w:sz w:val="22"/>
          <w:szCs w:val="22"/>
          <w:lang w:val="fr-CA" w:eastAsia="en-US"/>
        </w:rPr>
        <w:t>«</w:t>
      </w:r>
      <w:r w:rsidR="00BE4B77" w:rsidRPr="00261B72">
        <w:rPr>
          <w:rFonts w:eastAsia="Calibri"/>
          <w:bCs/>
          <w:color w:val="000000"/>
          <w:sz w:val="22"/>
          <w:szCs w:val="22"/>
          <w:lang w:val="fr-CA" w:eastAsia="en-US"/>
        </w:rPr>
        <w:t> </w:t>
      </w:r>
      <w:r w:rsidR="00CB4476" w:rsidRPr="00261B72">
        <w:rPr>
          <w:rFonts w:eastAsia="Calibri"/>
          <w:bCs/>
          <w:color w:val="000000"/>
          <w:sz w:val="22"/>
          <w:szCs w:val="22"/>
          <w:lang w:val="fr-CA" w:eastAsia="en-US"/>
        </w:rPr>
        <w:t>Presse, censure et propagande en 1914-1918</w:t>
      </w:r>
      <w:r w:rsidR="00BE4B77" w:rsidRPr="00261B72">
        <w:rPr>
          <w:rFonts w:eastAsia="Calibri"/>
          <w:bCs/>
          <w:color w:val="000000"/>
          <w:sz w:val="22"/>
          <w:szCs w:val="22"/>
          <w:lang w:val="fr-CA" w:eastAsia="en-US"/>
        </w:rPr>
        <w:t> </w:t>
      </w:r>
      <w:r w:rsidR="00CB4476" w:rsidRPr="00261B72">
        <w:rPr>
          <w:rFonts w:eastAsia="Calibri"/>
          <w:bCs/>
          <w:color w:val="000000"/>
          <w:sz w:val="22"/>
          <w:szCs w:val="22"/>
          <w:lang w:val="fr-CA" w:eastAsia="en-US"/>
        </w:rPr>
        <w:t>:</w:t>
      </w:r>
      <w:r w:rsidRPr="00261B72">
        <w:rPr>
          <w:rFonts w:eastAsia="Calibri"/>
          <w:bCs/>
          <w:color w:val="000000"/>
          <w:sz w:val="22"/>
          <w:szCs w:val="22"/>
          <w:lang w:val="fr-CA" w:eastAsia="en-US"/>
        </w:rPr>
        <w:t xml:space="preserve"> </w:t>
      </w:r>
      <w:r w:rsidR="00CB4476" w:rsidRPr="00261B72">
        <w:rPr>
          <w:rFonts w:eastAsia="Calibri"/>
          <w:bCs/>
          <w:color w:val="000000"/>
          <w:sz w:val="22"/>
          <w:szCs w:val="22"/>
          <w:lang w:val="fr-CA" w:eastAsia="en-US"/>
        </w:rPr>
        <w:t>la construction d’une culture de guerre</w:t>
      </w:r>
      <w:r w:rsidR="00BE4B77" w:rsidRPr="00261B72">
        <w:rPr>
          <w:rFonts w:eastAsia="Calibri"/>
          <w:bCs/>
          <w:color w:val="000000"/>
          <w:sz w:val="22"/>
          <w:szCs w:val="22"/>
          <w:lang w:val="fr-CA" w:eastAsia="en-US"/>
        </w:rPr>
        <w:t> </w:t>
      </w:r>
      <w:r w:rsidR="000A5C53" w:rsidRPr="00261B72">
        <w:rPr>
          <w:rFonts w:eastAsia="Calibri"/>
          <w:bCs/>
          <w:color w:val="000000"/>
          <w:sz w:val="22"/>
          <w:szCs w:val="22"/>
          <w:lang w:val="fr-CA" w:eastAsia="en-US"/>
        </w:rPr>
        <w:t>»</w:t>
      </w:r>
      <w:r w:rsidRPr="00261B72">
        <w:rPr>
          <w:rFonts w:eastAsia="Calibri"/>
          <w:bCs/>
          <w:color w:val="000000"/>
          <w:sz w:val="22"/>
          <w:szCs w:val="22"/>
          <w:lang w:val="fr-CA" w:eastAsia="en-US"/>
        </w:rPr>
        <w:t xml:space="preserve">. </w:t>
      </w:r>
      <w:r w:rsidRPr="00261B72">
        <w:rPr>
          <w:rFonts w:eastAsia="Calibri"/>
          <w:bCs/>
          <w:i/>
          <w:color w:val="000000"/>
          <w:sz w:val="22"/>
          <w:szCs w:val="22"/>
          <w:lang w:val="fr-CA" w:eastAsia="en-US"/>
        </w:rPr>
        <w:t>Bulletin d’histoire politique</w:t>
      </w:r>
      <w:r w:rsidRPr="00261B72">
        <w:rPr>
          <w:rFonts w:eastAsia="Calibri"/>
          <w:bCs/>
          <w:color w:val="000000"/>
          <w:sz w:val="22"/>
          <w:szCs w:val="22"/>
          <w:lang w:val="fr-CA" w:eastAsia="en-US"/>
        </w:rPr>
        <w:t xml:space="preserve">, </w:t>
      </w:r>
      <w:r w:rsidR="000A1673" w:rsidRPr="00261B72">
        <w:rPr>
          <w:rFonts w:eastAsia="Calibri"/>
          <w:bCs/>
          <w:color w:val="000000"/>
          <w:sz w:val="22"/>
          <w:szCs w:val="22"/>
          <w:lang w:val="fr-CA" w:eastAsia="en-US"/>
        </w:rPr>
        <w:t>v</w:t>
      </w:r>
      <w:r w:rsidR="000B5C23" w:rsidRPr="00261B72">
        <w:rPr>
          <w:rFonts w:eastAsia="Calibri"/>
          <w:bCs/>
          <w:color w:val="000000"/>
          <w:sz w:val="22"/>
          <w:szCs w:val="22"/>
          <w:lang w:val="fr-CA" w:eastAsia="en-US"/>
        </w:rPr>
        <w:t>ol</w:t>
      </w:r>
      <w:r w:rsidR="00BE4B77" w:rsidRPr="00261B72">
        <w:rPr>
          <w:rFonts w:eastAsia="Calibri"/>
          <w:bCs/>
          <w:color w:val="000000"/>
          <w:sz w:val="22"/>
          <w:szCs w:val="22"/>
          <w:lang w:val="fr-CA" w:eastAsia="en-US"/>
        </w:rPr>
        <w:t> </w:t>
      </w:r>
      <w:r w:rsidRPr="00261B72">
        <w:rPr>
          <w:rFonts w:eastAsia="Calibri"/>
          <w:bCs/>
          <w:color w:val="000000"/>
          <w:sz w:val="22"/>
          <w:szCs w:val="22"/>
          <w:lang w:val="fr-CA" w:eastAsia="en-US"/>
        </w:rPr>
        <w:t xml:space="preserve">8, </w:t>
      </w:r>
      <w:r w:rsidR="00CF536C" w:rsidRPr="00261B72">
        <w:rPr>
          <w:rFonts w:eastAsia="Calibri"/>
          <w:bCs/>
          <w:color w:val="000000"/>
          <w:sz w:val="22"/>
          <w:szCs w:val="22"/>
          <w:lang w:val="fr-CA" w:eastAsia="en-US"/>
        </w:rPr>
        <w:t>n°</w:t>
      </w:r>
      <w:r w:rsidR="00BE4B77" w:rsidRPr="00261B72">
        <w:rPr>
          <w:rFonts w:eastAsia="Calibri"/>
          <w:bCs/>
          <w:color w:val="000000"/>
          <w:sz w:val="22"/>
          <w:szCs w:val="22"/>
          <w:lang w:val="fr-CA" w:eastAsia="en-US"/>
        </w:rPr>
        <w:t> </w:t>
      </w:r>
      <w:r w:rsidRPr="00261B72">
        <w:rPr>
          <w:rFonts w:eastAsia="Calibri"/>
          <w:bCs/>
          <w:color w:val="000000"/>
          <w:sz w:val="22"/>
          <w:szCs w:val="22"/>
          <w:lang w:val="fr-CA" w:eastAsia="en-US"/>
        </w:rPr>
        <w:t>2-3, printemps</w:t>
      </w:r>
      <w:r w:rsidR="00BE4B77" w:rsidRPr="00261B72">
        <w:rPr>
          <w:rFonts w:eastAsia="Calibri"/>
          <w:bCs/>
          <w:color w:val="000000"/>
          <w:sz w:val="22"/>
          <w:szCs w:val="22"/>
          <w:lang w:val="fr-CA" w:eastAsia="en-US"/>
        </w:rPr>
        <w:t> </w:t>
      </w:r>
      <w:r w:rsidRPr="00261B72">
        <w:rPr>
          <w:rFonts w:eastAsia="Calibri"/>
          <w:bCs/>
          <w:color w:val="000000"/>
          <w:sz w:val="22"/>
          <w:szCs w:val="22"/>
          <w:lang w:val="fr-CA" w:eastAsia="en-US"/>
        </w:rPr>
        <w:t xml:space="preserve">2000, </w:t>
      </w:r>
      <w:r w:rsidR="00CB4476" w:rsidRPr="00261B72">
        <w:rPr>
          <w:rFonts w:eastAsia="Calibri"/>
          <w:bCs/>
          <w:color w:val="000000"/>
          <w:sz w:val="22"/>
          <w:szCs w:val="22"/>
          <w:lang w:val="fr-CA" w:eastAsia="en-US"/>
        </w:rPr>
        <w:t>p</w:t>
      </w:r>
      <w:r w:rsidR="000A5C53" w:rsidRPr="00261B72">
        <w:rPr>
          <w:rFonts w:eastAsia="Calibri"/>
          <w:bCs/>
          <w:color w:val="000000"/>
          <w:sz w:val="22"/>
          <w:szCs w:val="22"/>
          <w:lang w:val="fr-CA" w:eastAsia="en-US"/>
        </w:rPr>
        <w:t>p</w:t>
      </w:r>
      <w:r w:rsidRPr="00261B72">
        <w:rPr>
          <w:rFonts w:eastAsia="Calibri"/>
          <w:bCs/>
          <w:color w:val="000000"/>
          <w:sz w:val="22"/>
          <w:szCs w:val="22"/>
          <w:lang w:val="fr-CA" w:eastAsia="en-US"/>
        </w:rPr>
        <w:t>.</w:t>
      </w:r>
      <w:r w:rsidR="00BE4B77" w:rsidRPr="00261B72">
        <w:rPr>
          <w:rFonts w:eastAsia="Calibri"/>
          <w:bCs/>
          <w:color w:val="000000"/>
          <w:sz w:val="22"/>
          <w:szCs w:val="22"/>
          <w:lang w:val="fr-CA" w:eastAsia="en-US"/>
        </w:rPr>
        <w:t> </w:t>
      </w:r>
      <w:r w:rsidR="00CB4476" w:rsidRPr="00261B72">
        <w:rPr>
          <w:rFonts w:eastAsia="Calibri"/>
          <w:bCs/>
          <w:color w:val="000000"/>
          <w:sz w:val="22"/>
          <w:szCs w:val="22"/>
          <w:lang w:val="fr-CA" w:eastAsia="en-US"/>
        </w:rPr>
        <w:t>150</w:t>
      </w:r>
      <w:r w:rsidRPr="00261B72">
        <w:rPr>
          <w:rFonts w:eastAsia="Calibri"/>
          <w:bCs/>
          <w:color w:val="000000"/>
          <w:sz w:val="22"/>
          <w:szCs w:val="22"/>
          <w:lang w:val="fr-CA" w:eastAsia="en-US"/>
        </w:rPr>
        <w:t>-171.</w:t>
      </w:r>
    </w:p>
    <w:p w14:paraId="3F5E1A46" w14:textId="77777777" w:rsidR="00B0701E" w:rsidRPr="00261B72" w:rsidRDefault="00B0701E" w:rsidP="00B0701E">
      <w:pPr>
        <w:spacing w:after="200" w:line="276" w:lineRule="auto"/>
        <w:rPr>
          <w:rFonts w:eastAsia="Calibri"/>
          <w:bCs/>
          <w:color w:val="000000"/>
          <w:sz w:val="22"/>
          <w:szCs w:val="22"/>
          <w:lang w:val="fr-CA" w:eastAsia="en-US"/>
        </w:rPr>
      </w:pPr>
      <w:r w:rsidRPr="00261B72">
        <w:rPr>
          <w:rFonts w:eastAsia="Calibri"/>
          <w:bCs/>
          <w:color w:val="000000"/>
          <w:sz w:val="22"/>
          <w:szCs w:val="22"/>
          <w:lang w:val="fr-CA" w:eastAsia="en-US"/>
        </w:rPr>
        <w:t xml:space="preserve">DJEBABLA, Mourad. </w:t>
      </w:r>
      <w:r w:rsidR="000A5C53" w:rsidRPr="00261B72">
        <w:rPr>
          <w:rFonts w:eastAsia="Calibri"/>
          <w:bCs/>
          <w:color w:val="000000"/>
          <w:sz w:val="22"/>
          <w:szCs w:val="22"/>
          <w:lang w:val="fr-CA" w:eastAsia="en-US"/>
        </w:rPr>
        <w:t>«</w:t>
      </w:r>
      <w:r w:rsidR="00BE4B77" w:rsidRPr="00261B72">
        <w:rPr>
          <w:rFonts w:eastAsia="Calibri"/>
          <w:bCs/>
          <w:color w:val="000000"/>
          <w:sz w:val="22"/>
          <w:szCs w:val="22"/>
          <w:lang w:val="fr-CA" w:eastAsia="en-US"/>
        </w:rPr>
        <w:t> “</w:t>
      </w:r>
      <w:r w:rsidRPr="00261B72">
        <w:rPr>
          <w:rFonts w:eastAsia="Calibri"/>
          <w:bCs/>
          <w:color w:val="000000"/>
          <w:sz w:val="22"/>
          <w:szCs w:val="22"/>
          <w:lang w:val="fr-CA" w:eastAsia="en-US"/>
        </w:rPr>
        <w:t>Combattre ou cultiver</w:t>
      </w:r>
      <w:r w:rsidR="00BE4B77" w:rsidRPr="00261B72">
        <w:rPr>
          <w:sz w:val="22"/>
          <w:szCs w:val="22"/>
          <w:lang w:val="fr-CA"/>
        </w:rPr>
        <w:t>”</w:t>
      </w:r>
      <w:r w:rsidRPr="00261B72">
        <w:rPr>
          <w:rFonts w:eastAsia="Calibri"/>
          <w:bCs/>
          <w:color w:val="000000"/>
          <w:sz w:val="22"/>
          <w:szCs w:val="22"/>
          <w:lang w:val="fr-CA" w:eastAsia="en-US"/>
        </w:rPr>
        <w:t> : Les agriculteurs canadiens face aux dilemmes de l’effort de guerre pendant la Première Guerre mondiale (1914-1918)</w:t>
      </w:r>
      <w:r w:rsidR="00BE4B77" w:rsidRPr="00261B72">
        <w:rPr>
          <w:rFonts w:eastAsia="Calibri"/>
          <w:bCs/>
          <w:color w:val="000000"/>
          <w:sz w:val="22"/>
          <w:szCs w:val="22"/>
          <w:lang w:val="fr-CA" w:eastAsia="en-US"/>
        </w:rPr>
        <w:t> </w:t>
      </w:r>
      <w:r w:rsidR="000A5C53" w:rsidRPr="00261B72">
        <w:rPr>
          <w:rFonts w:eastAsia="Calibri"/>
          <w:bCs/>
          <w:color w:val="000000"/>
          <w:sz w:val="22"/>
          <w:szCs w:val="22"/>
          <w:lang w:val="fr-CA" w:eastAsia="en-US"/>
        </w:rPr>
        <w:t>»</w:t>
      </w:r>
      <w:r w:rsidRPr="00261B72">
        <w:rPr>
          <w:rFonts w:eastAsia="Calibri"/>
          <w:bCs/>
          <w:color w:val="000000"/>
          <w:sz w:val="22"/>
          <w:szCs w:val="22"/>
          <w:lang w:val="fr-CA" w:eastAsia="en-US"/>
        </w:rPr>
        <w:t xml:space="preserve">. </w:t>
      </w:r>
      <w:r w:rsidRPr="00261B72">
        <w:rPr>
          <w:rFonts w:eastAsia="Calibri"/>
          <w:bCs/>
          <w:i/>
          <w:color w:val="000000"/>
          <w:sz w:val="22"/>
          <w:szCs w:val="22"/>
          <w:lang w:val="fr-CA" w:eastAsia="en-US"/>
        </w:rPr>
        <w:t>Revue d’histoire militaire</w:t>
      </w:r>
      <w:r w:rsidR="000A1673" w:rsidRPr="00261B72">
        <w:rPr>
          <w:rFonts w:eastAsia="Calibri"/>
          <w:bCs/>
          <w:color w:val="000000"/>
          <w:sz w:val="22"/>
          <w:szCs w:val="22"/>
          <w:lang w:val="fr-CA" w:eastAsia="en-US"/>
        </w:rPr>
        <w:t>, v</w:t>
      </w:r>
      <w:r w:rsidRPr="00261B72">
        <w:rPr>
          <w:rFonts w:eastAsia="Calibri"/>
          <w:bCs/>
          <w:color w:val="000000"/>
          <w:sz w:val="22"/>
          <w:szCs w:val="22"/>
          <w:lang w:val="fr-CA" w:eastAsia="en-US"/>
        </w:rPr>
        <w:t>ol</w:t>
      </w:r>
      <w:r w:rsidR="000A1673" w:rsidRPr="00261B72">
        <w:rPr>
          <w:rFonts w:eastAsia="Calibri"/>
          <w:bCs/>
          <w:color w:val="000000"/>
          <w:sz w:val="22"/>
          <w:szCs w:val="22"/>
          <w:lang w:val="fr-CA" w:eastAsia="en-US"/>
        </w:rPr>
        <w:t> </w:t>
      </w:r>
      <w:r w:rsidRPr="00261B72">
        <w:rPr>
          <w:rFonts w:eastAsia="Calibri"/>
          <w:bCs/>
          <w:color w:val="000000"/>
          <w:sz w:val="22"/>
          <w:szCs w:val="22"/>
          <w:lang w:val="fr-CA" w:eastAsia="en-US"/>
        </w:rPr>
        <w:t>13</w:t>
      </w:r>
      <w:r w:rsidR="00CF536C" w:rsidRPr="00261B72">
        <w:rPr>
          <w:rFonts w:eastAsia="Calibri"/>
          <w:bCs/>
          <w:color w:val="000000"/>
          <w:sz w:val="22"/>
          <w:szCs w:val="22"/>
          <w:lang w:val="fr-CA" w:eastAsia="en-US"/>
        </w:rPr>
        <w:t>,</w:t>
      </w:r>
      <w:r w:rsidRPr="00261B72">
        <w:rPr>
          <w:rFonts w:eastAsia="Calibri"/>
          <w:bCs/>
          <w:color w:val="000000"/>
          <w:sz w:val="22"/>
          <w:szCs w:val="22"/>
          <w:lang w:val="fr-CA" w:eastAsia="en-US"/>
        </w:rPr>
        <w:t xml:space="preserve"> n°</w:t>
      </w:r>
      <w:r w:rsidR="00BE4B77" w:rsidRPr="00261B72">
        <w:rPr>
          <w:rFonts w:eastAsia="Calibri"/>
          <w:bCs/>
          <w:color w:val="000000"/>
          <w:sz w:val="22"/>
          <w:szCs w:val="22"/>
          <w:lang w:val="fr-CA" w:eastAsia="en-US"/>
        </w:rPr>
        <w:t> </w:t>
      </w:r>
      <w:r w:rsidRPr="00261B72">
        <w:rPr>
          <w:rFonts w:eastAsia="Calibri"/>
          <w:bCs/>
          <w:color w:val="000000"/>
          <w:sz w:val="22"/>
          <w:szCs w:val="22"/>
          <w:lang w:val="fr-CA" w:eastAsia="en-US"/>
        </w:rPr>
        <w:t>2 printemps</w:t>
      </w:r>
      <w:r w:rsidR="00CF536C" w:rsidRPr="00261B72">
        <w:rPr>
          <w:rFonts w:eastAsia="Calibri"/>
          <w:bCs/>
          <w:color w:val="000000"/>
          <w:sz w:val="22"/>
          <w:szCs w:val="22"/>
          <w:lang w:val="fr-CA" w:eastAsia="en-US"/>
        </w:rPr>
        <w:t>,</w:t>
      </w:r>
      <w:r w:rsidRPr="00261B72">
        <w:rPr>
          <w:rFonts w:eastAsia="Calibri"/>
          <w:bCs/>
          <w:color w:val="000000"/>
          <w:sz w:val="22"/>
          <w:szCs w:val="22"/>
          <w:lang w:val="fr-CA" w:eastAsia="en-US"/>
        </w:rPr>
        <w:t xml:space="preserve"> 2013, p</w:t>
      </w:r>
      <w:r w:rsidR="000A5C53" w:rsidRPr="00261B72">
        <w:rPr>
          <w:rFonts w:eastAsia="Calibri"/>
          <w:bCs/>
          <w:color w:val="000000"/>
          <w:sz w:val="22"/>
          <w:szCs w:val="22"/>
          <w:lang w:val="fr-CA" w:eastAsia="en-US"/>
        </w:rPr>
        <w:t>p</w:t>
      </w:r>
      <w:r w:rsidRPr="00261B72">
        <w:rPr>
          <w:rFonts w:eastAsia="Calibri"/>
          <w:bCs/>
          <w:color w:val="000000"/>
          <w:sz w:val="22"/>
          <w:szCs w:val="22"/>
          <w:lang w:val="fr-CA" w:eastAsia="en-US"/>
        </w:rPr>
        <w:t>. 57</w:t>
      </w:r>
      <w:r w:rsidR="00BE4B77" w:rsidRPr="00261B72">
        <w:rPr>
          <w:rFonts w:eastAsia="Calibri"/>
          <w:bCs/>
          <w:color w:val="000000"/>
          <w:sz w:val="22"/>
          <w:szCs w:val="22"/>
          <w:lang w:val="fr-CA" w:eastAsia="en-US"/>
        </w:rPr>
        <w:t xml:space="preserve"> —</w:t>
      </w:r>
      <w:r w:rsidRPr="00261B72">
        <w:rPr>
          <w:rFonts w:eastAsia="Calibri"/>
          <w:bCs/>
          <w:color w:val="000000"/>
          <w:sz w:val="22"/>
          <w:szCs w:val="22"/>
          <w:lang w:val="fr-CA" w:eastAsia="en-US"/>
        </w:rPr>
        <w:t xml:space="preserve"> 67.</w:t>
      </w:r>
    </w:p>
    <w:p w14:paraId="1822C659" w14:textId="77777777" w:rsidR="00C25403" w:rsidRPr="003433E9" w:rsidRDefault="00C25403" w:rsidP="00C25403">
      <w:pPr>
        <w:spacing w:after="200" w:line="276" w:lineRule="auto"/>
        <w:rPr>
          <w:rFonts w:eastAsia="Calibri"/>
          <w:bCs/>
          <w:color w:val="000000"/>
          <w:sz w:val="22"/>
          <w:szCs w:val="22"/>
          <w:lang w:val="fr-CA" w:eastAsia="en-US"/>
        </w:rPr>
      </w:pPr>
      <w:r w:rsidRPr="00261B72">
        <w:rPr>
          <w:rFonts w:eastAsia="Calibri"/>
          <w:bCs/>
          <w:color w:val="000000"/>
          <w:sz w:val="22"/>
          <w:szCs w:val="22"/>
          <w:lang w:val="fr-CA" w:eastAsia="en-US"/>
        </w:rPr>
        <w:t xml:space="preserve">DANIEL, Dominique. </w:t>
      </w:r>
      <w:r w:rsidRPr="00261B72">
        <w:rPr>
          <w:rFonts w:eastAsia="Calibri"/>
          <w:bCs/>
          <w:i/>
          <w:color w:val="000000"/>
          <w:sz w:val="22"/>
          <w:szCs w:val="22"/>
          <w:lang w:val="fr-CA" w:eastAsia="en-US"/>
        </w:rPr>
        <w:t>L</w:t>
      </w:r>
      <w:r w:rsidR="00BE4B77" w:rsidRPr="00261B72">
        <w:rPr>
          <w:rFonts w:eastAsia="Calibri"/>
          <w:bCs/>
          <w:i/>
          <w:color w:val="000000"/>
          <w:sz w:val="22"/>
          <w:szCs w:val="22"/>
          <w:lang w:val="fr-CA" w:eastAsia="en-US"/>
        </w:rPr>
        <w:t>’</w:t>
      </w:r>
      <w:r w:rsidRPr="00261B72">
        <w:rPr>
          <w:rFonts w:eastAsia="Calibri"/>
          <w:bCs/>
          <w:i/>
          <w:color w:val="000000"/>
          <w:sz w:val="22"/>
          <w:szCs w:val="22"/>
          <w:lang w:val="fr-CA" w:eastAsia="en-US"/>
        </w:rPr>
        <w:t>immigration aux États-Unis</w:t>
      </w:r>
      <w:r w:rsidR="00BE4B77" w:rsidRPr="00261B72">
        <w:rPr>
          <w:rFonts w:eastAsia="Calibri"/>
          <w:bCs/>
          <w:i/>
          <w:color w:val="000000"/>
          <w:sz w:val="22"/>
          <w:szCs w:val="22"/>
          <w:lang w:val="fr-CA" w:eastAsia="en-US"/>
        </w:rPr>
        <w:t> </w:t>
      </w:r>
      <w:r w:rsidRPr="00261B72">
        <w:rPr>
          <w:rFonts w:eastAsia="Calibri"/>
          <w:bCs/>
          <w:i/>
          <w:color w:val="000000"/>
          <w:sz w:val="22"/>
          <w:szCs w:val="22"/>
          <w:lang w:val="fr-CA" w:eastAsia="en-US"/>
        </w:rPr>
        <w:t>: de 1607 à nos jours</w:t>
      </w:r>
      <w:r w:rsidRPr="00261B72">
        <w:rPr>
          <w:rFonts w:eastAsia="Calibri"/>
          <w:bCs/>
          <w:color w:val="000000"/>
          <w:sz w:val="22"/>
          <w:szCs w:val="22"/>
          <w:lang w:val="fr-CA" w:eastAsia="en-US"/>
        </w:rPr>
        <w:t xml:space="preserve">. </w:t>
      </w:r>
      <w:r w:rsidRPr="003433E9">
        <w:rPr>
          <w:rFonts w:eastAsia="Calibri"/>
          <w:bCs/>
          <w:color w:val="000000"/>
          <w:sz w:val="22"/>
          <w:szCs w:val="22"/>
          <w:lang w:val="fr-CA" w:eastAsia="en-US"/>
        </w:rPr>
        <w:t>Ellipses, 1998, 156 p.</w:t>
      </w:r>
    </w:p>
    <w:p w14:paraId="092012C9" w14:textId="77777777" w:rsidR="00B0701E" w:rsidRPr="00261B72" w:rsidRDefault="00B0701E" w:rsidP="00B0701E">
      <w:pPr>
        <w:spacing w:after="200" w:line="276" w:lineRule="auto"/>
        <w:rPr>
          <w:rFonts w:eastAsia="Calibri"/>
          <w:sz w:val="22"/>
          <w:szCs w:val="22"/>
          <w:lang w:val="fr-CA" w:eastAsia="en-US"/>
        </w:rPr>
      </w:pPr>
      <w:r w:rsidRPr="00261B72">
        <w:rPr>
          <w:rFonts w:eastAsia="Calibri"/>
          <w:sz w:val="22"/>
          <w:szCs w:val="22"/>
          <w:lang w:val="fr-CA" w:eastAsia="en-US"/>
        </w:rPr>
        <w:t>DUMONT, Fernand (dir) et Jean-Charles Falardeau (dir).</w:t>
      </w:r>
      <w:r w:rsidR="00474127" w:rsidRPr="00261B72">
        <w:rPr>
          <w:rFonts w:eastAsia="Calibri"/>
          <w:sz w:val="22"/>
          <w:szCs w:val="22"/>
          <w:lang w:val="fr-CA" w:eastAsia="en-US"/>
        </w:rPr>
        <w:t xml:space="preserve"> «</w:t>
      </w:r>
      <w:r w:rsidR="00BE4B77" w:rsidRPr="00261B72">
        <w:rPr>
          <w:rFonts w:eastAsia="Calibri"/>
          <w:sz w:val="22"/>
          <w:szCs w:val="22"/>
          <w:lang w:val="fr-CA" w:eastAsia="en-US"/>
        </w:rPr>
        <w:t> </w:t>
      </w:r>
      <w:r w:rsidRPr="00261B72">
        <w:rPr>
          <w:rFonts w:eastAsia="Calibri"/>
          <w:sz w:val="22"/>
          <w:szCs w:val="22"/>
          <w:lang w:val="fr-CA" w:eastAsia="en-US"/>
        </w:rPr>
        <w:t>Idéologies au Canada français, 1850-1900 : quelques réflexions d’ensemble</w:t>
      </w:r>
      <w:r w:rsidR="00BE4B77" w:rsidRPr="00261B72">
        <w:rPr>
          <w:rFonts w:eastAsia="Calibri"/>
          <w:sz w:val="22"/>
          <w:szCs w:val="22"/>
          <w:lang w:val="fr-CA" w:eastAsia="en-US"/>
        </w:rPr>
        <w:t> </w:t>
      </w:r>
      <w:r w:rsidR="00474127" w:rsidRPr="00261B72">
        <w:rPr>
          <w:rFonts w:eastAsia="Calibri"/>
          <w:sz w:val="22"/>
          <w:szCs w:val="22"/>
          <w:lang w:val="fr-CA" w:eastAsia="en-US"/>
        </w:rPr>
        <w:t>»</w:t>
      </w:r>
      <w:r w:rsidRPr="00261B72">
        <w:rPr>
          <w:rFonts w:eastAsia="Calibri"/>
          <w:sz w:val="22"/>
          <w:szCs w:val="22"/>
          <w:lang w:val="fr-CA" w:eastAsia="en-US"/>
        </w:rPr>
        <w:t xml:space="preserve">, </w:t>
      </w:r>
      <w:r w:rsidRPr="00261B72">
        <w:rPr>
          <w:rFonts w:eastAsia="Calibri"/>
          <w:i/>
          <w:sz w:val="22"/>
          <w:szCs w:val="22"/>
          <w:lang w:val="fr-CA" w:eastAsia="en-US"/>
        </w:rPr>
        <w:t>Revue </w:t>
      </w:r>
      <w:r w:rsidRPr="00261B72">
        <w:rPr>
          <w:rFonts w:eastAsia="Calibri"/>
          <w:sz w:val="22"/>
          <w:szCs w:val="22"/>
          <w:lang w:val="fr-CA" w:eastAsia="en-US"/>
        </w:rPr>
        <w:t xml:space="preserve">: Département de sociologie, Faculté des sciences sociales, Université Laval, </w:t>
      </w:r>
      <w:r w:rsidR="000A1673" w:rsidRPr="00261B72">
        <w:rPr>
          <w:rFonts w:eastAsia="Calibri"/>
          <w:sz w:val="22"/>
          <w:szCs w:val="22"/>
          <w:lang w:val="fr-CA" w:eastAsia="en-US"/>
        </w:rPr>
        <w:t>v</w:t>
      </w:r>
      <w:r w:rsidRPr="00261B72">
        <w:rPr>
          <w:rFonts w:eastAsia="Calibri"/>
          <w:sz w:val="22"/>
          <w:szCs w:val="22"/>
          <w:lang w:val="fr-CA" w:eastAsia="en-US"/>
        </w:rPr>
        <w:t xml:space="preserve">ol 10, </w:t>
      </w:r>
      <w:r w:rsidR="00CF536C" w:rsidRPr="00261B72">
        <w:rPr>
          <w:rFonts w:eastAsia="Calibri"/>
          <w:bCs/>
          <w:color w:val="000000"/>
          <w:sz w:val="22"/>
          <w:szCs w:val="22"/>
          <w:lang w:val="fr-CA" w:eastAsia="en-US"/>
        </w:rPr>
        <w:t>n°</w:t>
      </w:r>
      <w:r w:rsidRPr="00261B72">
        <w:rPr>
          <w:rFonts w:eastAsia="Calibri"/>
          <w:sz w:val="22"/>
          <w:szCs w:val="22"/>
          <w:lang w:val="fr-CA" w:eastAsia="en-US"/>
        </w:rPr>
        <w:t> 2-3, 1969, p</w:t>
      </w:r>
      <w:r w:rsidR="000A5C53" w:rsidRPr="00261B72">
        <w:rPr>
          <w:rFonts w:eastAsia="Calibri"/>
          <w:sz w:val="22"/>
          <w:szCs w:val="22"/>
          <w:lang w:val="fr-CA" w:eastAsia="en-US"/>
        </w:rPr>
        <w:t>p</w:t>
      </w:r>
      <w:r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sz w:val="22"/>
          <w:szCs w:val="22"/>
          <w:lang w:val="fr-CA" w:eastAsia="en-US"/>
        </w:rPr>
        <w:t>145-156.</w:t>
      </w:r>
    </w:p>
    <w:p w14:paraId="2E7D6351" w14:textId="77777777" w:rsidR="00BB42B6" w:rsidRPr="00261B72" w:rsidRDefault="00F91171" w:rsidP="001732FE">
      <w:pPr>
        <w:spacing w:before="240"/>
        <w:rPr>
          <w:sz w:val="22"/>
          <w:szCs w:val="22"/>
          <w:lang w:val="fr-CA"/>
        </w:rPr>
      </w:pPr>
      <w:r w:rsidRPr="00261B72">
        <w:rPr>
          <w:sz w:val="22"/>
          <w:szCs w:val="22"/>
          <w:lang w:val="fr-CA"/>
        </w:rPr>
        <w:t>FAHRNI</w:t>
      </w:r>
      <w:r w:rsidR="00BB42B6" w:rsidRPr="00261B72">
        <w:rPr>
          <w:sz w:val="22"/>
          <w:szCs w:val="22"/>
          <w:lang w:val="fr-CA"/>
        </w:rPr>
        <w:t xml:space="preserve">, Magda &amp; Frenette, Yves. </w:t>
      </w:r>
      <w:r w:rsidR="00474127" w:rsidRPr="00261B72">
        <w:rPr>
          <w:sz w:val="22"/>
          <w:szCs w:val="22"/>
          <w:lang w:val="fr-CA"/>
        </w:rPr>
        <w:t>«</w:t>
      </w:r>
      <w:r w:rsidR="00BE4B77" w:rsidRPr="00261B72">
        <w:rPr>
          <w:sz w:val="22"/>
          <w:szCs w:val="22"/>
          <w:lang w:val="fr-CA"/>
        </w:rPr>
        <w:t> “</w:t>
      </w:r>
      <w:r w:rsidR="00BB42B6" w:rsidRPr="00261B72">
        <w:rPr>
          <w:sz w:val="22"/>
          <w:szCs w:val="22"/>
          <w:lang w:val="fr-CA"/>
        </w:rPr>
        <w:t>Don</w:t>
      </w:r>
      <w:r w:rsidR="00BE4B77" w:rsidRPr="00261B72">
        <w:rPr>
          <w:sz w:val="22"/>
          <w:szCs w:val="22"/>
          <w:lang w:val="fr-CA"/>
        </w:rPr>
        <w:t>’</w:t>
      </w:r>
      <w:r w:rsidR="00BB42B6" w:rsidRPr="00261B72">
        <w:rPr>
          <w:sz w:val="22"/>
          <w:szCs w:val="22"/>
          <w:lang w:val="fr-CA"/>
        </w:rPr>
        <w:t>t I long for Montreal</w:t>
      </w:r>
      <w:r w:rsidR="00BE4B77" w:rsidRPr="00261B72">
        <w:rPr>
          <w:sz w:val="22"/>
          <w:szCs w:val="22"/>
          <w:lang w:val="fr-CA"/>
        </w:rPr>
        <w:t>” </w:t>
      </w:r>
      <w:r w:rsidR="00BB42B6" w:rsidRPr="00261B72">
        <w:rPr>
          <w:sz w:val="22"/>
          <w:szCs w:val="22"/>
          <w:lang w:val="fr-CA"/>
        </w:rPr>
        <w:t>: L</w:t>
      </w:r>
      <w:r w:rsidR="00BE4B77" w:rsidRPr="00261B72">
        <w:rPr>
          <w:sz w:val="22"/>
          <w:szCs w:val="22"/>
          <w:lang w:val="fr-CA"/>
        </w:rPr>
        <w:t>’</w:t>
      </w:r>
      <w:r w:rsidR="00BB42B6" w:rsidRPr="00261B72">
        <w:rPr>
          <w:sz w:val="22"/>
          <w:szCs w:val="22"/>
          <w:lang w:val="fr-CA"/>
        </w:rPr>
        <w:t>identité hybride d</w:t>
      </w:r>
      <w:r w:rsidR="00BE4B77" w:rsidRPr="00261B72">
        <w:rPr>
          <w:sz w:val="22"/>
          <w:szCs w:val="22"/>
          <w:lang w:val="fr-CA"/>
        </w:rPr>
        <w:t>’</w:t>
      </w:r>
      <w:r w:rsidR="00BB42B6" w:rsidRPr="00261B72">
        <w:rPr>
          <w:sz w:val="22"/>
          <w:szCs w:val="22"/>
          <w:lang w:val="fr-CA"/>
        </w:rPr>
        <w:t>une jeune migrante franco-américaine pendant la Première Guerre mondiale</w:t>
      </w:r>
      <w:r w:rsidR="00BE4B77" w:rsidRPr="00261B72">
        <w:rPr>
          <w:sz w:val="22"/>
          <w:szCs w:val="22"/>
          <w:lang w:val="fr-CA"/>
        </w:rPr>
        <w:t> </w:t>
      </w:r>
      <w:r w:rsidR="00474127" w:rsidRPr="00261B72">
        <w:rPr>
          <w:sz w:val="22"/>
          <w:szCs w:val="22"/>
          <w:lang w:val="fr-CA"/>
        </w:rPr>
        <w:t>»</w:t>
      </w:r>
      <w:r w:rsidR="001E4410" w:rsidRPr="00261B72">
        <w:rPr>
          <w:sz w:val="22"/>
          <w:szCs w:val="22"/>
          <w:lang w:val="fr-CA"/>
        </w:rPr>
        <w:t xml:space="preserve">. </w:t>
      </w:r>
      <w:r w:rsidR="00BB42B6" w:rsidRPr="00261B72">
        <w:rPr>
          <w:i/>
          <w:sz w:val="22"/>
          <w:szCs w:val="22"/>
          <w:lang w:val="fr-CA"/>
        </w:rPr>
        <w:t>Histoire sociale/Social history</w:t>
      </w:r>
      <w:r w:rsidR="00BB42B6" w:rsidRPr="00261B72">
        <w:rPr>
          <w:sz w:val="22"/>
          <w:szCs w:val="22"/>
          <w:lang w:val="fr-CA"/>
        </w:rPr>
        <w:t xml:space="preserve">, </w:t>
      </w:r>
      <w:r w:rsidR="000A1673" w:rsidRPr="00261B72">
        <w:rPr>
          <w:sz w:val="22"/>
          <w:szCs w:val="22"/>
          <w:lang w:val="fr-CA"/>
        </w:rPr>
        <w:t>v</w:t>
      </w:r>
      <w:r w:rsidR="00BB42B6" w:rsidRPr="00261B72">
        <w:rPr>
          <w:sz w:val="22"/>
          <w:szCs w:val="22"/>
          <w:lang w:val="fr-CA"/>
        </w:rPr>
        <w:t>ol 41</w:t>
      </w:r>
      <w:r w:rsidR="00CF536C" w:rsidRPr="00261B72">
        <w:rPr>
          <w:sz w:val="22"/>
          <w:szCs w:val="22"/>
          <w:lang w:val="fr-CA"/>
        </w:rPr>
        <w:t>,</w:t>
      </w:r>
      <w:r w:rsidR="00BB42B6" w:rsidRPr="00261B72">
        <w:rPr>
          <w:sz w:val="22"/>
          <w:szCs w:val="22"/>
          <w:lang w:val="fr-CA"/>
        </w:rPr>
        <w:t xml:space="preserve"> </w:t>
      </w:r>
      <w:r w:rsidR="00CF536C" w:rsidRPr="00261B72">
        <w:rPr>
          <w:rFonts w:eastAsia="Calibri"/>
          <w:bCs/>
          <w:color w:val="000000"/>
          <w:sz w:val="22"/>
          <w:szCs w:val="22"/>
          <w:lang w:val="fr-CA" w:eastAsia="en-US"/>
        </w:rPr>
        <w:t>n°</w:t>
      </w:r>
      <w:r w:rsidR="00BE4B77" w:rsidRPr="00261B72">
        <w:rPr>
          <w:sz w:val="22"/>
          <w:szCs w:val="22"/>
          <w:lang w:val="fr-CA"/>
        </w:rPr>
        <w:t> </w:t>
      </w:r>
      <w:r w:rsidR="00BB42B6" w:rsidRPr="00261B72">
        <w:rPr>
          <w:sz w:val="22"/>
          <w:szCs w:val="22"/>
          <w:lang w:val="fr-CA"/>
        </w:rPr>
        <w:t>81, 2008, pp.</w:t>
      </w:r>
      <w:r w:rsidR="00BE4B77" w:rsidRPr="00261B72">
        <w:rPr>
          <w:sz w:val="22"/>
          <w:szCs w:val="22"/>
          <w:lang w:val="fr-CA"/>
        </w:rPr>
        <w:t> </w:t>
      </w:r>
      <w:r w:rsidR="00BB42B6" w:rsidRPr="00261B72">
        <w:rPr>
          <w:sz w:val="22"/>
          <w:szCs w:val="22"/>
          <w:lang w:val="fr-CA"/>
        </w:rPr>
        <w:t>75-98.</w:t>
      </w:r>
      <w:r w:rsidR="00CF536C" w:rsidRPr="00261B72">
        <w:rPr>
          <w:sz w:val="22"/>
          <w:szCs w:val="22"/>
          <w:lang w:val="fr-CA"/>
        </w:rPr>
        <w:t xml:space="preserve"> </w:t>
      </w:r>
    </w:p>
    <w:p w14:paraId="1B57DA0B" w14:textId="77777777" w:rsidR="00A77E37" w:rsidRPr="00261B72" w:rsidRDefault="00A77E37" w:rsidP="00A77E37">
      <w:pPr>
        <w:spacing w:before="240" w:after="200" w:line="276" w:lineRule="auto"/>
        <w:rPr>
          <w:rFonts w:eastAsia="Calibri"/>
          <w:bCs/>
          <w:color w:val="000000"/>
          <w:sz w:val="22"/>
          <w:szCs w:val="22"/>
          <w:lang w:val="fr-CA" w:eastAsia="en-US"/>
        </w:rPr>
      </w:pPr>
      <w:r w:rsidRPr="00261B72">
        <w:rPr>
          <w:rFonts w:eastAsia="Calibri"/>
          <w:bCs/>
          <w:color w:val="000000"/>
          <w:sz w:val="22"/>
          <w:szCs w:val="22"/>
          <w:lang w:val="fr-CA" w:eastAsia="en-US"/>
        </w:rPr>
        <w:t>FAUCHER, Albert</w:t>
      </w:r>
      <w:r w:rsidR="00474127" w:rsidRPr="00261B72">
        <w:rPr>
          <w:rFonts w:eastAsia="Calibri"/>
          <w:bCs/>
          <w:color w:val="000000"/>
          <w:sz w:val="22"/>
          <w:szCs w:val="22"/>
          <w:lang w:val="fr-CA" w:eastAsia="en-US"/>
        </w:rPr>
        <w:t>.</w:t>
      </w:r>
      <w:r w:rsidRPr="00261B72">
        <w:rPr>
          <w:rFonts w:eastAsia="Calibri"/>
          <w:bCs/>
          <w:color w:val="000000"/>
          <w:sz w:val="22"/>
          <w:szCs w:val="22"/>
          <w:lang w:val="fr-CA" w:eastAsia="en-US"/>
        </w:rPr>
        <w:t xml:space="preserve"> « Projet de recherche historique : l’émigration des Canadiens français au XIX</w:t>
      </w:r>
      <w:r w:rsidRPr="00261B72">
        <w:rPr>
          <w:rFonts w:eastAsia="Calibri"/>
          <w:bCs/>
          <w:color w:val="000000"/>
          <w:sz w:val="22"/>
          <w:szCs w:val="22"/>
          <w:vertAlign w:val="superscript"/>
          <w:lang w:val="fr-CA" w:eastAsia="en-US"/>
        </w:rPr>
        <w:t>e</w:t>
      </w:r>
      <w:r w:rsidRPr="00261B72">
        <w:rPr>
          <w:rFonts w:eastAsia="Calibri"/>
          <w:bCs/>
          <w:color w:val="000000"/>
          <w:sz w:val="22"/>
          <w:szCs w:val="22"/>
          <w:lang w:val="fr-CA" w:eastAsia="en-US"/>
        </w:rPr>
        <w:t xml:space="preserve"> siècle »</w:t>
      </w:r>
      <w:r w:rsidR="00474127" w:rsidRPr="00261B72">
        <w:rPr>
          <w:rFonts w:eastAsia="Calibri"/>
          <w:bCs/>
          <w:color w:val="000000"/>
          <w:sz w:val="22"/>
          <w:szCs w:val="22"/>
          <w:lang w:val="fr-CA" w:eastAsia="en-US"/>
        </w:rPr>
        <w:t>.</w:t>
      </w:r>
      <w:r w:rsidRPr="00261B72">
        <w:rPr>
          <w:rFonts w:eastAsia="Calibri"/>
          <w:bCs/>
          <w:color w:val="000000"/>
          <w:sz w:val="22"/>
          <w:szCs w:val="22"/>
          <w:lang w:val="fr-CA" w:eastAsia="en-US"/>
        </w:rPr>
        <w:t xml:space="preserve"> </w:t>
      </w:r>
      <w:r w:rsidRPr="00261B72">
        <w:rPr>
          <w:rFonts w:eastAsia="Calibri"/>
          <w:bCs/>
          <w:i/>
          <w:iCs/>
          <w:color w:val="000000"/>
          <w:sz w:val="22"/>
          <w:szCs w:val="22"/>
          <w:lang w:val="fr-CA" w:eastAsia="en-US"/>
        </w:rPr>
        <w:t>Recherches sociographiques</w:t>
      </w:r>
      <w:r w:rsidRPr="00261B72">
        <w:rPr>
          <w:rFonts w:eastAsia="Calibri"/>
          <w:bCs/>
          <w:color w:val="000000"/>
          <w:sz w:val="22"/>
          <w:szCs w:val="22"/>
          <w:lang w:val="fr-CA" w:eastAsia="en-US"/>
        </w:rPr>
        <w:t xml:space="preserve">, vol II, </w:t>
      </w:r>
      <w:r w:rsidR="00CF536C" w:rsidRPr="00261B72">
        <w:rPr>
          <w:rFonts w:eastAsia="Calibri"/>
          <w:bCs/>
          <w:color w:val="000000"/>
          <w:sz w:val="22"/>
          <w:szCs w:val="22"/>
          <w:lang w:val="fr-CA" w:eastAsia="en-US"/>
        </w:rPr>
        <w:t>n°</w:t>
      </w:r>
      <w:r w:rsidRPr="00261B72">
        <w:rPr>
          <w:rFonts w:eastAsia="Calibri"/>
          <w:bCs/>
          <w:color w:val="000000"/>
          <w:sz w:val="22"/>
          <w:szCs w:val="22"/>
          <w:lang w:val="fr-CA" w:eastAsia="en-US"/>
        </w:rPr>
        <w:t> 2, 1961, p. 241-245.</w:t>
      </w:r>
    </w:p>
    <w:p w14:paraId="145493A4" w14:textId="77777777" w:rsidR="00E02354" w:rsidRPr="00261B72" w:rsidRDefault="00E02354" w:rsidP="001732FE">
      <w:pPr>
        <w:spacing w:before="240" w:after="200" w:line="276" w:lineRule="auto"/>
        <w:rPr>
          <w:rFonts w:eastAsia="Calibri"/>
          <w:bCs/>
          <w:color w:val="000000"/>
          <w:sz w:val="22"/>
          <w:szCs w:val="22"/>
          <w:lang w:val="fr-CA" w:eastAsia="en-US"/>
        </w:rPr>
      </w:pPr>
      <w:r w:rsidRPr="00261B72">
        <w:rPr>
          <w:rFonts w:eastAsia="Calibri"/>
          <w:bCs/>
          <w:color w:val="000000"/>
          <w:sz w:val="22"/>
          <w:szCs w:val="22"/>
          <w:lang w:val="fr-CA" w:eastAsia="en-US"/>
        </w:rPr>
        <w:t xml:space="preserve">FERLAND, Raphaël Dallaire. </w:t>
      </w:r>
      <w:r w:rsidR="00474127" w:rsidRPr="00261B72">
        <w:rPr>
          <w:rFonts w:eastAsia="Calibri"/>
          <w:bCs/>
          <w:color w:val="000000"/>
          <w:sz w:val="22"/>
          <w:szCs w:val="22"/>
          <w:lang w:val="fr-CA" w:eastAsia="en-US"/>
        </w:rPr>
        <w:t>«</w:t>
      </w:r>
      <w:r w:rsidR="00BE4B77" w:rsidRPr="00261B72">
        <w:rPr>
          <w:rFonts w:eastAsia="Calibri"/>
          <w:bCs/>
          <w:color w:val="000000"/>
          <w:sz w:val="22"/>
          <w:szCs w:val="22"/>
          <w:lang w:val="fr-CA" w:eastAsia="en-US"/>
        </w:rPr>
        <w:t> </w:t>
      </w:r>
      <w:r w:rsidRPr="00261B72">
        <w:rPr>
          <w:rFonts w:eastAsia="Calibri"/>
          <w:bCs/>
          <w:color w:val="000000"/>
          <w:sz w:val="22"/>
          <w:szCs w:val="22"/>
          <w:lang w:val="fr-CA" w:eastAsia="en-US"/>
        </w:rPr>
        <w:t xml:space="preserve">Patriotisme et allégeances du 22e </w:t>
      </w:r>
      <w:r w:rsidR="00DB5AA0" w:rsidRPr="00261B72">
        <w:rPr>
          <w:rFonts w:eastAsia="Calibri"/>
          <w:bCs/>
          <w:color w:val="000000"/>
          <w:sz w:val="22"/>
          <w:szCs w:val="22"/>
          <w:lang w:val="fr-CA" w:eastAsia="en-US"/>
        </w:rPr>
        <w:t>bataillon</w:t>
      </w:r>
      <w:r w:rsidRPr="00261B72">
        <w:rPr>
          <w:rFonts w:eastAsia="Calibri"/>
          <w:bCs/>
          <w:color w:val="000000"/>
          <w:sz w:val="22"/>
          <w:szCs w:val="22"/>
          <w:lang w:val="fr-CA" w:eastAsia="en-US"/>
        </w:rPr>
        <w:t xml:space="preserve"> (canadien-français), 1914-1918</w:t>
      </w:r>
      <w:r w:rsidR="00BE4B77" w:rsidRPr="00261B72">
        <w:rPr>
          <w:rFonts w:eastAsia="Calibri"/>
          <w:bCs/>
          <w:color w:val="000000"/>
          <w:sz w:val="22"/>
          <w:szCs w:val="22"/>
          <w:lang w:val="fr-CA" w:eastAsia="en-US"/>
        </w:rPr>
        <w:t> </w:t>
      </w:r>
      <w:r w:rsidR="00474127" w:rsidRPr="00261B72">
        <w:rPr>
          <w:rFonts w:eastAsia="Calibri"/>
          <w:bCs/>
          <w:color w:val="000000"/>
          <w:sz w:val="22"/>
          <w:szCs w:val="22"/>
          <w:lang w:val="fr-CA" w:eastAsia="en-US"/>
        </w:rPr>
        <w:t>»</w:t>
      </w:r>
      <w:r w:rsidRPr="00261B72">
        <w:rPr>
          <w:rFonts w:eastAsia="Calibri"/>
          <w:bCs/>
          <w:color w:val="000000"/>
          <w:sz w:val="22"/>
          <w:szCs w:val="22"/>
          <w:lang w:val="fr-CA" w:eastAsia="en-US"/>
        </w:rPr>
        <w:t xml:space="preserve">. </w:t>
      </w:r>
      <w:r w:rsidRPr="00261B72">
        <w:rPr>
          <w:rFonts w:eastAsia="Calibri"/>
          <w:bCs/>
          <w:i/>
          <w:color w:val="000000"/>
          <w:sz w:val="22"/>
          <w:szCs w:val="22"/>
          <w:lang w:val="fr-CA" w:eastAsia="en-US"/>
        </w:rPr>
        <w:t>Revue d’histoire militaire</w:t>
      </w:r>
      <w:r w:rsidR="000A1673" w:rsidRPr="00261B72">
        <w:rPr>
          <w:rFonts w:eastAsia="Calibri"/>
          <w:bCs/>
          <w:color w:val="000000"/>
          <w:sz w:val="22"/>
          <w:szCs w:val="22"/>
          <w:lang w:val="fr-CA" w:eastAsia="en-US"/>
        </w:rPr>
        <w:t>, v</w:t>
      </w:r>
      <w:r w:rsidRPr="00261B72">
        <w:rPr>
          <w:rFonts w:eastAsia="Calibri"/>
          <w:bCs/>
          <w:color w:val="000000"/>
          <w:sz w:val="22"/>
          <w:szCs w:val="22"/>
          <w:lang w:val="fr-CA" w:eastAsia="en-US"/>
        </w:rPr>
        <w:t>ol</w:t>
      </w:r>
      <w:r w:rsidR="00BE4B77" w:rsidRPr="00261B72">
        <w:rPr>
          <w:rFonts w:eastAsia="Calibri"/>
          <w:bCs/>
          <w:color w:val="000000"/>
          <w:sz w:val="22"/>
          <w:szCs w:val="22"/>
          <w:lang w:val="fr-CA" w:eastAsia="en-US"/>
        </w:rPr>
        <w:t> </w:t>
      </w:r>
      <w:r w:rsidRPr="00261B72">
        <w:rPr>
          <w:rFonts w:eastAsia="Calibri"/>
          <w:bCs/>
          <w:color w:val="000000"/>
          <w:sz w:val="22"/>
          <w:szCs w:val="22"/>
          <w:lang w:val="fr-CA" w:eastAsia="en-US"/>
        </w:rPr>
        <w:t>12</w:t>
      </w:r>
      <w:r w:rsidR="00CF536C" w:rsidRPr="00261B72">
        <w:rPr>
          <w:rFonts w:eastAsia="Calibri"/>
          <w:bCs/>
          <w:color w:val="000000"/>
          <w:sz w:val="22"/>
          <w:szCs w:val="22"/>
          <w:lang w:val="fr-CA" w:eastAsia="en-US"/>
        </w:rPr>
        <w:t>,</w:t>
      </w:r>
      <w:r w:rsidRPr="00261B72">
        <w:rPr>
          <w:rFonts w:eastAsia="Calibri"/>
          <w:bCs/>
          <w:color w:val="000000"/>
          <w:sz w:val="22"/>
          <w:szCs w:val="22"/>
          <w:lang w:val="fr-CA" w:eastAsia="en-US"/>
        </w:rPr>
        <w:t xml:space="preserve"> n°</w:t>
      </w:r>
      <w:r w:rsidR="00BE4B77" w:rsidRPr="00261B72">
        <w:rPr>
          <w:rFonts w:eastAsia="Calibri"/>
          <w:bCs/>
          <w:color w:val="000000"/>
          <w:sz w:val="22"/>
          <w:szCs w:val="22"/>
          <w:lang w:val="fr-CA" w:eastAsia="en-US"/>
        </w:rPr>
        <w:t> </w:t>
      </w:r>
      <w:r w:rsidRPr="00261B72">
        <w:rPr>
          <w:rFonts w:eastAsia="Calibri"/>
          <w:bCs/>
          <w:color w:val="000000"/>
          <w:sz w:val="22"/>
          <w:szCs w:val="22"/>
          <w:lang w:val="fr-CA" w:eastAsia="en-US"/>
        </w:rPr>
        <w:t>1 hivers</w:t>
      </w:r>
      <w:r w:rsidR="00BE4B77" w:rsidRPr="00261B72">
        <w:rPr>
          <w:rFonts w:eastAsia="Calibri"/>
          <w:bCs/>
          <w:color w:val="000000"/>
          <w:sz w:val="22"/>
          <w:szCs w:val="22"/>
          <w:lang w:val="fr-CA" w:eastAsia="en-US"/>
        </w:rPr>
        <w:t> </w:t>
      </w:r>
      <w:r w:rsidRPr="00261B72">
        <w:rPr>
          <w:rFonts w:eastAsia="Calibri"/>
          <w:bCs/>
          <w:color w:val="000000"/>
          <w:sz w:val="22"/>
          <w:szCs w:val="22"/>
          <w:lang w:val="fr-CA" w:eastAsia="en-US"/>
        </w:rPr>
        <w:t>2013, p</w:t>
      </w:r>
      <w:r w:rsidR="000A5C53" w:rsidRPr="00261B72">
        <w:rPr>
          <w:rFonts w:eastAsia="Calibri"/>
          <w:bCs/>
          <w:color w:val="000000"/>
          <w:sz w:val="22"/>
          <w:szCs w:val="22"/>
          <w:lang w:val="fr-CA" w:eastAsia="en-US"/>
        </w:rPr>
        <w:t>p</w:t>
      </w:r>
      <w:r w:rsidRPr="00261B72">
        <w:rPr>
          <w:rFonts w:eastAsia="Calibri"/>
          <w:bCs/>
          <w:color w:val="000000"/>
          <w:sz w:val="22"/>
          <w:szCs w:val="22"/>
          <w:lang w:val="fr-CA" w:eastAsia="en-US"/>
        </w:rPr>
        <w:t>. 51</w:t>
      </w:r>
      <w:r w:rsidR="00BE4B77" w:rsidRPr="00261B72">
        <w:rPr>
          <w:rFonts w:eastAsia="Calibri"/>
          <w:bCs/>
          <w:color w:val="000000"/>
          <w:sz w:val="22"/>
          <w:szCs w:val="22"/>
          <w:lang w:val="fr-CA" w:eastAsia="en-US"/>
        </w:rPr>
        <w:t xml:space="preserve"> —</w:t>
      </w:r>
      <w:r w:rsidRPr="00261B72">
        <w:rPr>
          <w:rFonts w:eastAsia="Calibri"/>
          <w:bCs/>
          <w:color w:val="000000"/>
          <w:sz w:val="22"/>
          <w:szCs w:val="22"/>
          <w:lang w:val="fr-CA" w:eastAsia="en-US"/>
        </w:rPr>
        <w:t xml:space="preserve"> 60.</w:t>
      </w:r>
    </w:p>
    <w:p w14:paraId="0BB0C489" w14:textId="77777777" w:rsidR="00D557A6" w:rsidRPr="00261B72" w:rsidRDefault="00D557A6" w:rsidP="00B0701E">
      <w:pPr>
        <w:spacing w:after="200" w:line="276" w:lineRule="auto"/>
        <w:rPr>
          <w:color w:val="000000"/>
          <w:sz w:val="22"/>
          <w:szCs w:val="22"/>
          <w:shd w:val="clear" w:color="auto" w:fill="FFFFFF"/>
          <w:lang w:val="fr-CA"/>
        </w:rPr>
      </w:pPr>
      <w:r w:rsidRPr="00261B72">
        <w:rPr>
          <w:color w:val="000000"/>
          <w:sz w:val="22"/>
          <w:szCs w:val="22"/>
          <w:shd w:val="clear" w:color="auto" w:fill="FFFFFF"/>
          <w:lang w:val="fr-CA"/>
        </w:rPr>
        <w:lastRenderedPageBreak/>
        <w:t xml:space="preserve">FRENETTE, Yves. </w:t>
      </w:r>
      <w:r w:rsidR="006C195E" w:rsidRPr="00261B72">
        <w:rPr>
          <w:color w:val="000000"/>
          <w:sz w:val="22"/>
          <w:szCs w:val="22"/>
          <w:shd w:val="clear" w:color="auto" w:fill="FFFFFF"/>
          <w:lang w:val="fr-CA"/>
        </w:rPr>
        <w:t>«</w:t>
      </w:r>
      <w:r w:rsidR="00BE4B77" w:rsidRPr="00261B72">
        <w:rPr>
          <w:color w:val="000000"/>
          <w:sz w:val="22"/>
          <w:szCs w:val="22"/>
          <w:shd w:val="clear" w:color="auto" w:fill="FFFFFF"/>
          <w:lang w:val="fr-CA"/>
        </w:rPr>
        <w:t> </w:t>
      </w:r>
      <w:r w:rsidRPr="00261B72">
        <w:rPr>
          <w:color w:val="000000"/>
          <w:sz w:val="22"/>
          <w:szCs w:val="22"/>
          <w:shd w:val="clear" w:color="auto" w:fill="FFFFFF"/>
          <w:lang w:val="fr-CA"/>
        </w:rPr>
        <w:t>La genèse d’une communauté canadienne-française en Nouvelle-Angleterre : Lewiston, Maine, 1800</w:t>
      </w:r>
      <w:r w:rsidR="00BE4B77" w:rsidRPr="00261B72">
        <w:rPr>
          <w:color w:val="000000"/>
          <w:sz w:val="22"/>
          <w:szCs w:val="22"/>
          <w:shd w:val="clear" w:color="auto" w:fill="FFFFFF"/>
          <w:lang w:val="fr-CA"/>
        </w:rPr>
        <w:t>–</w:t>
      </w:r>
      <w:r w:rsidRPr="00261B72">
        <w:rPr>
          <w:color w:val="000000"/>
          <w:sz w:val="22"/>
          <w:szCs w:val="22"/>
          <w:shd w:val="clear" w:color="auto" w:fill="FFFFFF"/>
          <w:lang w:val="fr-CA"/>
        </w:rPr>
        <w:t>1880</w:t>
      </w:r>
      <w:r w:rsidR="00BE4B77" w:rsidRPr="00261B72">
        <w:rPr>
          <w:color w:val="000000"/>
          <w:sz w:val="22"/>
          <w:szCs w:val="22"/>
          <w:shd w:val="clear" w:color="auto" w:fill="FFFFFF"/>
          <w:lang w:val="fr-CA"/>
        </w:rPr>
        <w:t> </w:t>
      </w:r>
      <w:r w:rsidR="006C195E" w:rsidRPr="00261B72">
        <w:rPr>
          <w:color w:val="000000"/>
          <w:sz w:val="22"/>
          <w:szCs w:val="22"/>
          <w:shd w:val="clear" w:color="auto" w:fill="FFFFFF"/>
          <w:lang w:val="fr-CA"/>
        </w:rPr>
        <w:t>»</w:t>
      </w:r>
      <w:r w:rsidRPr="00261B72">
        <w:rPr>
          <w:color w:val="000000"/>
          <w:sz w:val="22"/>
          <w:szCs w:val="22"/>
          <w:shd w:val="clear" w:color="auto" w:fill="FFFFFF"/>
          <w:lang w:val="fr-CA"/>
        </w:rPr>
        <w:t>.</w:t>
      </w:r>
      <w:r w:rsidR="00BE4B77" w:rsidRPr="00261B72">
        <w:rPr>
          <w:color w:val="000000"/>
          <w:sz w:val="22"/>
          <w:szCs w:val="22"/>
          <w:shd w:val="clear" w:color="auto" w:fill="FFFFFF"/>
          <w:lang w:val="fr-CA"/>
        </w:rPr>
        <w:t xml:space="preserve"> </w:t>
      </w:r>
      <w:r w:rsidRPr="00261B72">
        <w:rPr>
          <w:rStyle w:val="Emphasis"/>
          <w:color w:val="000000"/>
          <w:sz w:val="22"/>
          <w:szCs w:val="22"/>
          <w:shd w:val="clear" w:color="auto" w:fill="FFFFFF"/>
          <w:lang w:val="fr-CA"/>
        </w:rPr>
        <w:t>Historical Papers</w:t>
      </w:r>
      <w:r w:rsidRPr="00261B72">
        <w:rPr>
          <w:color w:val="000000"/>
          <w:sz w:val="22"/>
          <w:szCs w:val="22"/>
          <w:shd w:val="clear" w:color="auto" w:fill="FFFFFF"/>
          <w:lang w:val="fr-CA"/>
        </w:rPr>
        <w:t>, vol</w:t>
      </w:r>
      <w:r w:rsidR="00BE4B77" w:rsidRPr="00261B72">
        <w:rPr>
          <w:color w:val="000000"/>
          <w:sz w:val="22"/>
          <w:szCs w:val="22"/>
          <w:shd w:val="clear" w:color="auto" w:fill="FFFFFF"/>
          <w:lang w:val="fr-CA"/>
        </w:rPr>
        <w:t> </w:t>
      </w:r>
      <w:r w:rsidRPr="00261B72">
        <w:rPr>
          <w:color w:val="000000"/>
          <w:sz w:val="22"/>
          <w:szCs w:val="22"/>
          <w:shd w:val="clear" w:color="auto" w:fill="FFFFFF"/>
          <w:lang w:val="fr-CA"/>
        </w:rPr>
        <w:t xml:space="preserve">24, </w:t>
      </w:r>
      <w:r w:rsidR="00CF536C" w:rsidRPr="00261B72">
        <w:rPr>
          <w:rFonts w:eastAsia="Calibri"/>
          <w:bCs/>
          <w:color w:val="000000"/>
          <w:sz w:val="22"/>
          <w:szCs w:val="22"/>
          <w:lang w:val="fr-CA" w:eastAsia="en-US"/>
        </w:rPr>
        <w:t>n°</w:t>
      </w:r>
      <w:r w:rsidR="00BE4B77" w:rsidRPr="00261B72">
        <w:rPr>
          <w:color w:val="000000"/>
          <w:sz w:val="22"/>
          <w:szCs w:val="22"/>
          <w:shd w:val="clear" w:color="auto" w:fill="FFFFFF"/>
          <w:lang w:val="fr-CA"/>
        </w:rPr>
        <w:t> </w:t>
      </w:r>
      <w:r w:rsidRPr="00261B72">
        <w:rPr>
          <w:color w:val="000000"/>
          <w:sz w:val="22"/>
          <w:szCs w:val="22"/>
          <w:shd w:val="clear" w:color="auto" w:fill="FFFFFF"/>
          <w:lang w:val="fr-CA"/>
        </w:rPr>
        <w:t>1, 1989, p</w:t>
      </w:r>
      <w:r w:rsidR="006C195E" w:rsidRPr="00261B72">
        <w:rPr>
          <w:color w:val="000000"/>
          <w:sz w:val="22"/>
          <w:szCs w:val="22"/>
          <w:shd w:val="clear" w:color="auto" w:fill="FFFFFF"/>
          <w:lang w:val="fr-CA"/>
        </w:rPr>
        <w:t>p</w:t>
      </w:r>
      <w:r w:rsidRPr="00261B72">
        <w:rPr>
          <w:color w:val="000000"/>
          <w:sz w:val="22"/>
          <w:szCs w:val="22"/>
          <w:shd w:val="clear" w:color="auto" w:fill="FFFFFF"/>
          <w:lang w:val="fr-CA"/>
        </w:rPr>
        <w:t xml:space="preserve">. 75–99. </w:t>
      </w:r>
      <w:hyperlink r:id="rId21" w:history="1">
        <w:r w:rsidR="00586FD9" w:rsidRPr="00261B72">
          <w:rPr>
            <w:rStyle w:val="Hyperlink"/>
            <w:sz w:val="22"/>
            <w:szCs w:val="22"/>
            <w:shd w:val="clear" w:color="auto" w:fill="FFFFFF"/>
            <w:lang w:val="fr-CA"/>
          </w:rPr>
          <w:t>https://doi.org/10.7202/030997ar</w:t>
        </w:r>
      </w:hyperlink>
    </w:p>
    <w:p w14:paraId="177079F6" w14:textId="77777777" w:rsidR="00576E87" w:rsidRPr="00261B72" w:rsidRDefault="00576E87" w:rsidP="00B0701E">
      <w:pPr>
        <w:spacing w:after="200" w:line="276" w:lineRule="auto"/>
        <w:rPr>
          <w:color w:val="333333"/>
          <w:sz w:val="22"/>
          <w:szCs w:val="22"/>
          <w:shd w:val="clear" w:color="auto" w:fill="FFFFFF"/>
          <w:lang w:val="fr-CA"/>
        </w:rPr>
      </w:pPr>
      <w:r w:rsidRPr="00261B72">
        <w:rPr>
          <w:sz w:val="22"/>
          <w:szCs w:val="22"/>
          <w:lang w:val="fr-CA"/>
        </w:rPr>
        <w:t>FRENETTE, Yves et Yves Roby. «</w:t>
      </w:r>
      <w:r w:rsidR="00BE4B77" w:rsidRPr="00261B72">
        <w:rPr>
          <w:sz w:val="22"/>
          <w:szCs w:val="22"/>
          <w:lang w:val="fr-CA"/>
        </w:rPr>
        <w:t> </w:t>
      </w:r>
      <w:r w:rsidRPr="00261B72">
        <w:rPr>
          <w:sz w:val="22"/>
          <w:szCs w:val="22"/>
          <w:lang w:val="fr-CA"/>
        </w:rPr>
        <w:t>Guide du chercheur en études franco-américaines</w:t>
      </w:r>
      <w:r w:rsidR="00BE4B77" w:rsidRPr="00261B72">
        <w:rPr>
          <w:sz w:val="22"/>
          <w:szCs w:val="22"/>
          <w:lang w:val="fr-CA"/>
        </w:rPr>
        <w:t> </w:t>
      </w:r>
      <w:r w:rsidRPr="00261B72">
        <w:rPr>
          <w:sz w:val="22"/>
          <w:szCs w:val="22"/>
          <w:lang w:val="fr-CA"/>
        </w:rPr>
        <w:t>: un projet</w:t>
      </w:r>
      <w:r w:rsidR="00BE4B77" w:rsidRPr="00261B72">
        <w:rPr>
          <w:sz w:val="22"/>
          <w:szCs w:val="22"/>
          <w:lang w:val="fr-CA"/>
        </w:rPr>
        <w:t> </w:t>
      </w:r>
      <w:r w:rsidRPr="00261B72">
        <w:rPr>
          <w:sz w:val="22"/>
          <w:szCs w:val="22"/>
          <w:lang w:val="fr-CA"/>
        </w:rPr>
        <w:t xml:space="preserve">». </w:t>
      </w:r>
      <w:r w:rsidRPr="00261B72">
        <w:rPr>
          <w:i/>
          <w:sz w:val="22"/>
          <w:szCs w:val="22"/>
          <w:lang w:val="fr-CA"/>
        </w:rPr>
        <w:t>Le Québec et les francophones de la Nouvelle-Angleterre</w:t>
      </w:r>
      <w:r w:rsidR="006C195E" w:rsidRPr="00261B72">
        <w:rPr>
          <w:i/>
          <w:sz w:val="22"/>
          <w:szCs w:val="22"/>
          <w:lang w:val="fr-CA"/>
        </w:rPr>
        <w:t>,</w:t>
      </w:r>
      <w:r w:rsidRPr="00261B72">
        <w:rPr>
          <w:sz w:val="22"/>
          <w:szCs w:val="22"/>
          <w:lang w:val="fr-CA"/>
        </w:rPr>
        <w:t xml:space="preserve"> Col. Culture française d’Amérique</w:t>
      </w:r>
      <w:r w:rsidR="006C195E" w:rsidRPr="00261B72">
        <w:rPr>
          <w:sz w:val="22"/>
          <w:szCs w:val="22"/>
          <w:lang w:val="fr-CA"/>
        </w:rPr>
        <w:t>,</w:t>
      </w:r>
      <w:r w:rsidRPr="00261B72">
        <w:rPr>
          <w:sz w:val="22"/>
          <w:szCs w:val="22"/>
          <w:lang w:val="fr-CA"/>
        </w:rPr>
        <w:t xml:space="preserve"> Les Presses de l’Université Laval, 1991</w:t>
      </w:r>
      <w:r w:rsidR="006C195E" w:rsidRPr="00261B72">
        <w:rPr>
          <w:sz w:val="22"/>
          <w:szCs w:val="22"/>
          <w:lang w:val="fr-CA"/>
        </w:rPr>
        <w:t>,</w:t>
      </w:r>
      <w:r w:rsidRPr="00261B72">
        <w:rPr>
          <w:sz w:val="22"/>
          <w:szCs w:val="22"/>
          <w:lang w:val="fr-CA"/>
        </w:rPr>
        <w:t xml:space="preserve"> </w:t>
      </w:r>
      <w:r w:rsidR="006C195E" w:rsidRPr="00261B72">
        <w:rPr>
          <w:sz w:val="22"/>
          <w:szCs w:val="22"/>
          <w:lang w:val="fr-CA"/>
        </w:rPr>
        <w:t>pp</w:t>
      </w:r>
      <w:r w:rsidRPr="00261B72">
        <w:rPr>
          <w:sz w:val="22"/>
          <w:szCs w:val="22"/>
          <w:lang w:val="fr-CA"/>
        </w:rPr>
        <w:t>.</w:t>
      </w:r>
      <w:r w:rsidR="00BE4B77" w:rsidRPr="00261B72">
        <w:rPr>
          <w:sz w:val="22"/>
          <w:szCs w:val="22"/>
          <w:lang w:val="fr-CA"/>
        </w:rPr>
        <w:t> </w:t>
      </w:r>
      <w:r w:rsidRPr="00261B72">
        <w:rPr>
          <w:sz w:val="22"/>
          <w:szCs w:val="22"/>
          <w:lang w:val="fr-CA"/>
        </w:rPr>
        <w:t>129-164.</w:t>
      </w:r>
    </w:p>
    <w:p w14:paraId="5103A310" w14:textId="77777777" w:rsidR="00586FD9" w:rsidRPr="00261B72" w:rsidRDefault="00586FD9" w:rsidP="00B0701E">
      <w:pPr>
        <w:spacing w:after="200" w:line="276" w:lineRule="auto"/>
        <w:rPr>
          <w:color w:val="333333"/>
          <w:sz w:val="22"/>
          <w:szCs w:val="22"/>
          <w:shd w:val="clear" w:color="auto" w:fill="FFFFFF"/>
          <w:lang w:val="fr-CA"/>
        </w:rPr>
      </w:pPr>
      <w:r w:rsidRPr="00261B72">
        <w:rPr>
          <w:color w:val="333333"/>
          <w:sz w:val="22"/>
          <w:szCs w:val="22"/>
          <w:shd w:val="clear" w:color="auto" w:fill="FFFFFF"/>
          <w:lang w:val="fr-CA"/>
        </w:rPr>
        <w:t>FRENETTE, Yves. «</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L’historiographie des Franco-Américains de la Nouvelle-Angleterre, 1872-2015</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w:t>
      </w:r>
      <w:r w:rsidR="006C195E" w:rsidRPr="00261B72">
        <w:rPr>
          <w:color w:val="333333"/>
          <w:sz w:val="22"/>
          <w:szCs w:val="22"/>
          <w:shd w:val="clear" w:color="auto" w:fill="FFFFFF"/>
          <w:lang w:val="fr-CA"/>
        </w:rPr>
        <w:t>.</w:t>
      </w:r>
      <w:r w:rsidR="00BE4B77" w:rsidRPr="00261B72">
        <w:rPr>
          <w:color w:val="333333"/>
          <w:sz w:val="22"/>
          <w:szCs w:val="22"/>
          <w:shd w:val="clear" w:color="auto" w:fill="FFFFFF"/>
          <w:lang w:val="fr-CA"/>
        </w:rPr>
        <w:t xml:space="preserve"> </w:t>
      </w:r>
      <w:r w:rsidRPr="00261B72">
        <w:rPr>
          <w:i/>
          <w:iCs/>
          <w:color w:val="333333"/>
          <w:sz w:val="22"/>
          <w:szCs w:val="22"/>
          <w:shd w:val="clear" w:color="auto" w:fill="FFFFFF"/>
          <w:lang w:val="fr-CA"/>
        </w:rPr>
        <w:t>Bulletin d</w:t>
      </w:r>
      <w:r w:rsidR="00BE4B77" w:rsidRPr="00261B72">
        <w:rPr>
          <w:i/>
          <w:iCs/>
          <w:color w:val="333333"/>
          <w:sz w:val="22"/>
          <w:szCs w:val="22"/>
          <w:shd w:val="clear" w:color="auto" w:fill="FFFFFF"/>
          <w:lang w:val="fr-CA"/>
        </w:rPr>
        <w:t>’</w:t>
      </w:r>
      <w:r w:rsidRPr="00261B72">
        <w:rPr>
          <w:i/>
          <w:iCs/>
          <w:color w:val="333333"/>
          <w:sz w:val="22"/>
          <w:szCs w:val="22"/>
          <w:shd w:val="clear" w:color="auto" w:fill="FFFFFF"/>
          <w:lang w:val="fr-CA"/>
        </w:rPr>
        <w:t>histoire politique</w:t>
      </w:r>
      <w:r w:rsidRPr="00261B72">
        <w:rPr>
          <w:color w:val="333333"/>
          <w:sz w:val="22"/>
          <w:szCs w:val="22"/>
          <w:shd w:val="clear" w:color="auto" w:fill="FFFFFF"/>
          <w:lang w:val="fr-CA"/>
        </w:rPr>
        <w:t>, vol</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 xml:space="preserve">24, </w:t>
      </w:r>
      <w:r w:rsidR="00CF536C" w:rsidRPr="00261B72">
        <w:rPr>
          <w:rFonts w:eastAsia="Calibri"/>
          <w:bCs/>
          <w:color w:val="000000"/>
          <w:sz w:val="22"/>
          <w:szCs w:val="22"/>
          <w:lang w:val="fr-CA" w:eastAsia="en-US"/>
        </w:rPr>
        <w:t>n°</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2, hiver</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2016, p</w:t>
      </w:r>
      <w:r w:rsidR="006C195E" w:rsidRPr="00261B72">
        <w:rPr>
          <w:color w:val="333333"/>
          <w:sz w:val="22"/>
          <w:szCs w:val="22"/>
          <w:shd w:val="clear" w:color="auto" w:fill="FFFFFF"/>
          <w:lang w:val="fr-CA"/>
        </w:rPr>
        <w:t>p</w:t>
      </w:r>
      <w:r w:rsidRPr="00261B72">
        <w:rPr>
          <w:color w:val="333333"/>
          <w:sz w:val="22"/>
          <w:szCs w:val="22"/>
          <w:shd w:val="clear" w:color="auto" w:fill="FFFFFF"/>
          <w:lang w:val="fr-CA"/>
        </w:rPr>
        <w:t>. 75–103.</w:t>
      </w:r>
    </w:p>
    <w:p w14:paraId="13938EB5" w14:textId="77777777" w:rsidR="00D854CF" w:rsidRPr="00261B72" w:rsidRDefault="00D854CF" w:rsidP="00B0701E">
      <w:pPr>
        <w:spacing w:after="200" w:line="276" w:lineRule="auto"/>
        <w:rPr>
          <w:color w:val="333333"/>
          <w:sz w:val="22"/>
          <w:szCs w:val="22"/>
          <w:shd w:val="clear" w:color="auto" w:fill="FFFFFF"/>
          <w:lang w:val="fr-CA"/>
        </w:rPr>
      </w:pPr>
      <w:r w:rsidRPr="00261B72">
        <w:rPr>
          <w:color w:val="333333"/>
          <w:sz w:val="22"/>
          <w:szCs w:val="22"/>
          <w:shd w:val="clear" w:color="auto" w:fill="FFFFFF"/>
          <w:lang w:val="fr-CA"/>
        </w:rPr>
        <w:t>FRENETTE, Yves. «</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L’histoire sociale de l’Amérique française de 1763 à 1914. État des lieux</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w:t>
      </w:r>
      <w:r w:rsidR="00BE4B77" w:rsidRPr="00261B72">
        <w:rPr>
          <w:color w:val="333333"/>
          <w:sz w:val="22"/>
          <w:szCs w:val="22"/>
          <w:shd w:val="clear" w:color="auto" w:fill="FFFFFF"/>
          <w:lang w:val="fr-CA"/>
        </w:rPr>
        <w:t xml:space="preserve"> </w:t>
      </w:r>
      <w:r w:rsidRPr="00261B72">
        <w:rPr>
          <w:i/>
          <w:iCs/>
          <w:color w:val="333333"/>
          <w:sz w:val="22"/>
          <w:szCs w:val="22"/>
          <w:shd w:val="clear" w:color="auto" w:fill="FFFFFF"/>
          <w:lang w:val="fr-CA"/>
        </w:rPr>
        <w:t>Cahiers Charlevoix</w:t>
      </w:r>
      <w:r w:rsidRPr="00261B72">
        <w:rPr>
          <w:color w:val="333333"/>
          <w:sz w:val="22"/>
          <w:szCs w:val="22"/>
          <w:shd w:val="clear" w:color="auto" w:fill="FFFFFF"/>
          <w:lang w:val="fr-CA"/>
        </w:rPr>
        <w:t>, vol</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11, 2016, p</w:t>
      </w:r>
      <w:r w:rsidR="006C195E" w:rsidRPr="00261B72">
        <w:rPr>
          <w:color w:val="333333"/>
          <w:sz w:val="22"/>
          <w:szCs w:val="22"/>
          <w:shd w:val="clear" w:color="auto" w:fill="FFFFFF"/>
          <w:lang w:val="fr-CA"/>
        </w:rPr>
        <w:t>p</w:t>
      </w:r>
      <w:r w:rsidRPr="00261B72">
        <w:rPr>
          <w:color w:val="333333"/>
          <w:sz w:val="22"/>
          <w:szCs w:val="22"/>
          <w:shd w:val="clear" w:color="auto" w:fill="FFFFFF"/>
          <w:lang w:val="fr-CA"/>
        </w:rPr>
        <w:t>. 115–155.</w:t>
      </w:r>
    </w:p>
    <w:p w14:paraId="1ED66CD4" w14:textId="77777777" w:rsidR="00F925A9" w:rsidRPr="00261B72" w:rsidRDefault="00A03A98" w:rsidP="00B0701E">
      <w:pPr>
        <w:spacing w:after="200" w:line="276" w:lineRule="auto"/>
        <w:rPr>
          <w:rFonts w:eastAsia="Calibri"/>
          <w:sz w:val="22"/>
          <w:szCs w:val="22"/>
          <w:lang w:eastAsia="en-US"/>
        </w:rPr>
      </w:pPr>
      <w:r w:rsidRPr="003433E9">
        <w:rPr>
          <w:color w:val="333333"/>
          <w:sz w:val="22"/>
          <w:szCs w:val="22"/>
          <w:shd w:val="clear" w:color="auto" w:fill="FFFFFF"/>
          <w:lang w:val="fr-CA"/>
        </w:rPr>
        <w:t>HAM</w:t>
      </w:r>
      <w:r w:rsidR="00F925A9" w:rsidRPr="003433E9">
        <w:rPr>
          <w:color w:val="333333"/>
          <w:sz w:val="22"/>
          <w:szCs w:val="22"/>
          <w:shd w:val="clear" w:color="auto" w:fill="FFFFFF"/>
          <w:lang w:val="fr-CA"/>
        </w:rPr>
        <w:t xml:space="preserve">, Edward Billings. </w:t>
      </w:r>
      <w:r w:rsidR="00474127" w:rsidRPr="00261B72">
        <w:rPr>
          <w:rFonts w:eastAsia="Calibri"/>
          <w:sz w:val="22"/>
          <w:szCs w:val="22"/>
          <w:lang w:eastAsia="en-US"/>
        </w:rPr>
        <w:t>«</w:t>
      </w:r>
      <w:r w:rsidR="00F925A9" w:rsidRPr="00261B72">
        <w:rPr>
          <w:color w:val="333333"/>
          <w:sz w:val="22"/>
          <w:szCs w:val="22"/>
          <w:shd w:val="clear" w:color="auto" w:fill="FFFFFF"/>
        </w:rPr>
        <w:t>Journalism and the French Survival in New England</w:t>
      </w:r>
      <w:r w:rsidR="00BE4B77" w:rsidRPr="00261B72">
        <w:rPr>
          <w:color w:val="333333"/>
          <w:sz w:val="22"/>
          <w:szCs w:val="22"/>
          <w:shd w:val="clear" w:color="auto" w:fill="FFFFFF"/>
        </w:rPr>
        <w:t>»</w:t>
      </w:r>
      <w:r w:rsidR="000A1673" w:rsidRPr="00261B72">
        <w:rPr>
          <w:rFonts w:eastAsia="Calibri"/>
          <w:sz w:val="22"/>
          <w:szCs w:val="22"/>
          <w:lang w:eastAsia="en-US"/>
        </w:rPr>
        <w:t>.</w:t>
      </w:r>
      <w:r w:rsidR="00F925A9" w:rsidRPr="00261B72">
        <w:rPr>
          <w:color w:val="333333"/>
          <w:sz w:val="22"/>
          <w:szCs w:val="22"/>
          <w:shd w:val="clear" w:color="auto" w:fill="FFFFFF"/>
        </w:rPr>
        <w:t> </w:t>
      </w:r>
      <w:r w:rsidR="00F925A9" w:rsidRPr="00261B72">
        <w:rPr>
          <w:i/>
          <w:iCs/>
          <w:color w:val="333333"/>
          <w:sz w:val="22"/>
          <w:szCs w:val="22"/>
          <w:shd w:val="clear" w:color="auto" w:fill="FFFFFF"/>
        </w:rPr>
        <w:t>The New England Quarterly</w:t>
      </w:r>
      <w:r w:rsidR="00F925A9" w:rsidRPr="00261B72">
        <w:rPr>
          <w:color w:val="333333"/>
          <w:sz w:val="22"/>
          <w:szCs w:val="22"/>
          <w:shd w:val="clear" w:color="auto" w:fill="FFFFFF"/>
        </w:rPr>
        <w:t>, vol</w:t>
      </w:r>
      <w:r w:rsidR="00E21DFD" w:rsidRPr="00261B72">
        <w:rPr>
          <w:color w:val="333333"/>
          <w:sz w:val="22"/>
          <w:szCs w:val="22"/>
          <w:shd w:val="clear" w:color="auto" w:fill="FFFFFF"/>
        </w:rPr>
        <w:t> </w:t>
      </w:r>
      <w:r w:rsidR="00F925A9" w:rsidRPr="00261B72">
        <w:rPr>
          <w:color w:val="333333"/>
          <w:sz w:val="22"/>
          <w:szCs w:val="22"/>
          <w:shd w:val="clear" w:color="auto" w:fill="FFFFFF"/>
        </w:rPr>
        <w:t>11, no.</w:t>
      </w:r>
      <w:r w:rsidR="00E21DFD" w:rsidRPr="00261B72">
        <w:rPr>
          <w:color w:val="333333"/>
          <w:sz w:val="22"/>
          <w:szCs w:val="22"/>
          <w:shd w:val="clear" w:color="auto" w:fill="FFFFFF"/>
        </w:rPr>
        <w:t> </w:t>
      </w:r>
      <w:r w:rsidR="00F925A9" w:rsidRPr="00261B72">
        <w:rPr>
          <w:color w:val="333333"/>
          <w:sz w:val="22"/>
          <w:szCs w:val="22"/>
          <w:shd w:val="clear" w:color="auto" w:fill="FFFFFF"/>
        </w:rPr>
        <w:t>1, 1938, pp. 89–107.</w:t>
      </w:r>
    </w:p>
    <w:p w14:paraId="2319C7E6" w14:textId="77777777" w:rsidR="005125EF" w:rsidRPr="00261B72" w:rsidRDefault="00C74987" w:rsidP="00B0701E">
      <w:pPr>
        <w:spacing w:after="200" w:line="276" w:lineRule="auto"/>
        <w:rPr>
          <w:rFonts w:eastAsia="Calibri"/>
          <w:sz w:val="22"/>
          <w:szCs w:val="22"/>
          <w:lang w:eastAsia="en-US"/>
        </w:rPr>
      </w:pPr>
      <w:r w:rsidRPr="00261B72">
        <w:rPr>
          <w:rFonts w:eastAsia="Calibri"/>
          <w:sz w:val="22"/>
          <w:szCs w:val="22"/>
          <w:lang w:eastAsia="en-US"/>
        </w:rPr>
        <w:t>KALIJARVI</w:t>
      </w:r>
      <w:r w:rsidR="005125EF" w:rsidRPr="00261B72">
        <w:rPr>
          <w:rFonts w:eastAsia="Calibri"/>
          <w:sz w:val="22"/>
          <w:szCs w:val="22"/>
          <w:lang w:eastAsia="en-US"/>
        </w:rPr>
        <w:t xml:space="preserve">, Thorsten V. </w:t>
      </w:r>
      <w:r w:rsidR="00474127" w:rsidRPr="00261B72">
        <w:rPr>
          <w:rFonts w:eastAsia="Calibri"/>
          <w:sz w:val="22"/>
          <w:szCs w:val="22"/>
          <w:lang w:eastAsia="en-US"/>
        </w:rPr>
        <w:t>«</w:t>
      </w:r>
      <w:r w:rsidR="005125EF" w:rsidRPr="00261B72">
        <w:rPr>
          <w:rFonts w:eastAsia="Calibri"/>
          <w:sz w:val="22"/>
          <w:szCs w:val="22"/>
          <w:lang w:eastAsia="en-US"/>
        </w:rPr>
        <w:t>French Canadians in the United States</w:t>
      </w:r>
      <w:r w:rsidR="00474127" w:rsidRPr="00261B72">
        <w:rPr>
          <w:rFonts w:eastAsia="Calibri"/>
          <w:sz w:val="22"/>
          <w:szCs w:val="22"/>
          <w:lang w:eastAsia="en-US"/>
        </w:rPr>
        <w:t>»</w:t>
      </w:r>
      <w:r w:rsidR="005125EF" w:rsidRPr="00261B72">
        <w:rPr>
          <w:rFonts w:eastAsia="Calibri"/>
          <w:sz w:val="22"/>
          <w:szCs w:val="22"/>
          <w:lang w:eastAsia="en-US"/>
        </w:rPr>
        <w:t>. </w:t>
      </w:r>
      <w:r w:rsidR="005125EF" w:rsidRPr="00261B72">
        <w:rPr>
          <w:rFonts w:eastAsia="Calibri"/>
          <w:i/>
          <w:iCs/>
          <w:sz w:val="22"/>
          <w:szCs w:val="22"/>
          <w:lang w:eastAsia="en-US"/>
        </w:rPr>
        <w:t>The Annals of the American Academy of Political and Social Science</w:t>
      </w:r>
      <w:r w:rsidR="005125EF" w:rsidRPr="00261B72">
        <w:rPr>
          <w:rFonts w:eastAsia="Calibri"/>
          <w:sz w:val="22"/>
          <w:szCs w:val="22"/>
          <w:lang w:eastAsia="en-US"/>
        </w:rPr>
        <w:t>, vol</w:t>
      </w:r>
      <w:r w:rsidR="00E21DFD" w:rsidRPr="00261B72">
        <w:rPr>
          <w:rFonts w:eastAsia="Calibri"/>
          <w:sz w:val="22"/>
          <w:szCs w:val="22"/>
          <w:lang w:eastAsia="en-US"/>
        </w:rPr>
        <w:t> </w:t>
      </w:r>
      <w:r w:rsidR="005125EF" w:rsidRPr="00261B72">
        <w:rPr>
          <w:rFonts w:eastAsia="Calibri"/>
          <w:sz w:val="22"/>
          <w:szCs w:val="22"/>
          <w:lang w:eastAsia="en-US"/>
        </w:rPr>
        <w:t>223, 1942, pp. 132–137.</w:t>
      </w:r>
    </w:p>
    <w:p w14:paraId="2F1695F4" w14:textId="77777777" w:rsidR="0055674C" w:rsidRPr="00261B72" w:rsidRDefault="0055674C" w:rsidP="00B0701E">
      <w:pPr>
        <w:spacing w:after="200" w:line="276" w:lineRule="auto"/>
        <w:rPr>
          <w:rFonts w:eastAsia="Calibri"/>
          <w:sz w:val="22"/>
          <w:szCs w:val="22"/>
          <w:lang w:eastAsia="en-US"/>
        </w:rPr>
      </w:pPr>
      <w:r w:rsidRPr="00261B72">
        <w:rPr>
          <w:sz w:val="22"/>
          <w:szCs w:val="22"/>
        </w:rPr>
        <w:t>KEEKLAN, Geoff. « ¨Il a bien merité de la Partie¨ The</w:t>
      </w:r>
      <w:r w:rsidR="00BE4B77" w:rsidRPr="00261B72">
        <w:rPr>
          <w:sz w:val="22"/>
          <w:szCs w:val="22"/>
        </w:rPr>
        <w:t> </w:t>
      </w:r>
      <w:r w:rsidRPr="00261B72">
        <w:rPr>
          <w:sz w:val="22"/>
          <w:szCs w:val="22"/>
        </w:rPr>
        <w:t>22</w:t>
      </w:r>
      <w:r w:rsidRPr="00261B72">
        <w:rPr>
          <w:sz w:val="22"/>
          <w:szCs w:val="22"/>
          <w:vertAlign w:val="superscript"/>
        </w:rPr>
        <w:t>nd</w:t>
      </w:r>
      <w:r w:rsidRPr="00261B72">
        <w:rPr>
          <w:sz w:val="22"/>
          <w:szCs w:val="22"/>
        </w:rPr>
        <w:t xml:space="preserve"> Battalion and the Memory of </w:t>
      </w:r>
      <w:r w:rsidR="00043679" w:rsidRPr="00261B72">
        <w:rPr>
          <w:sz w:val="22"/>
          <w:szCs w:val="22"/>
        </w:rPr>
        <w:t>C</w:t>
      </w:r>
      <w:r w:rsidRPr="00261B72">
        <w:rPr>
          <w:sz w:val="22"/>
          <w:szCs w:val="22"/>
        </w:rPr>
        <w:t xml:space="preserve">ourcelette », </w:t>
      </w:r>
      <w:r w:rsidRPr="00261B72">
        <w:rPr>
          <w:i/>
          <w:sz w:val="22"/>
          <w:szCs w:val="22"/>
        </w:rPr>
        <w:t>Canadian Military Mistory</w:t>
      </w:r>
      <w:r w:rsidR="008E79C5" w:rsidRPr="00261B72">
        <w:rPr>
          <w:sz w:val="22"/>
          <w:szCs w:val="22"/>
        </w:rPr>
        <w:t>,</w:t>
      </w:r>
      <w:r w:rsidRPr="00261B72">
        <w:rPr>
          <w:sz w:val="22"/>
          <w:szCs w:val="22"/>
        </w:rPr>
        <w:t xml:space="preserve"> Vol</w:t>
      </w:r>
      <w:r w:rsidR="00E21DFD" w:rsidRPr="00261B72">
        <w:rPr>
          <w:sz w:val="22"/>
          <w:szCs w:val="22"/>
        </w:rPr>
        <w:t> </w:t>
      </w:r>
      <w:r w:rsidRPr="00261B72">
        <w:rPr>
          <w:sz w:val="22"/>
          <w:szCs w:val="22"/>
        </w:rPr>
        <w:t xml:space="preserve">19, </w:t>
      </w:r>
      <w:r w:rsidR="00CF536C" w:rsidRPr="00261B72">
        <w:rPr>
          <w:rFonts w:eastAsia="Calibri"/>
          <w:bCs/>
          <w:color w:val="000000"/>
          <w:sz w:val="22"/>
          <w:szCs w:val="22"/>
          <w:lang w:eastAsia="en-US"/>
        </w:rPr>
        <w:t>n°</w:t>
      </w:r>
      <w:r w:rsidRPr="00261B72">
        <w:rPr>
          <w:sz w:val="22"/>
          <w:szCs w:val="22"/>
        </w:rPr>
        <w:t xml:space="preserve"> 3, Summer</w:t>
      </w:r>
      <w:r w:rsidR="00E21DFD" w:rsidRPr="00261B72">
        <w:rPr>
          <w:sz w:val="22"/>
          <w:szCs w:val="22"/>
        </w:rPr>
        <w:t> </w:t>
      </w:r>
      <w:r w:rsidRPr="00261B72">
        <w:rPr>
          <w:sz w:val="22"/>
          <w:szCs w:val="22"/>
        </w:rPr>
        <w:t>2010. pp. 29</w:t>
      </w:r>
      <w:r w:rsidR="00BE4B77" w:rsidRPr="00261B72">
        <w:rPr>
          <w:sz w:val="22"/>
          <w:szCs w:val="22"/>
        </w:rPr>
        <w:t>–</w:t>
      </w:r>
      <w:r w:rsidRPr="00261B72">
        <w:rPr>
          <w:sz w:val="22"/>
          <w:szCs w:val="22"/>
        </w:rPr>
        <w:t>40.</w:t>
      </w:r>
    </w:p>
    <w:p w14:paraId="10836B7D" w14:textId="77777777" w:rsidR="00EA7EC6" w:rsidRPr="00261B72" w:rsidRDefault="00EA7EC6" w:rsidP="0072367F">
      <w:pPr>
        <w:spacing w:after="200" w:line="276" w:lineRule="auto"/>
        <w:rPr>
          <w:color w:val="333333"/>
          <w:sz w:val="22"/>
          <w:szCs w:val="22"/>
          <w:shd w:val="clear" w:color="auto" w:fill="FFFFFF"/>
        </w:rPr>
      </w:pPr>
      <w:r w:rsidRPr="00261B72">
        <w:rPr>
          <w:color w:val="333333"/>
          <w:sz w:val="22"/>
          <w:szCs w:val="22"/>
          <w:shd w:val="clear" w:color="auto" w:fill="FFFFFF"/>
          <w:lang w:val="fr-CA"/>
        </w:rPr>
        <w:t xml:space="preserve">LAVOIE, Yolande. </w:t>
      </w:r>
      <w:r w:rsidRPr="00261B72">
        <w:rPr>
          <w:bCs/>
          <w:i/>
          <w:color w:val="333333"/>
          <w:sz w:val="22"/>
          <w:szCs w:val="22"/>
          <w:shd w:val="clear" w:color="auto" w:fill="FFFFFF"/>
          <w:lang w:val="fr-CA"/>
        </w:rPr>
        <w:t>L</w:t>
      </w:r>
      <w:r w:rsidR="00BE4B77" w:rsidRPr="00261B72">
        <w:rPr>
          <w:bCs/>
          <w:i/>
          <w:color w:val="333333"/>
          <w:sz w:val="22"/>
          <w:szCs w:val="22"/>
          <w:shd w:val="clear" w:color="auto" w:fill="FFFFFF"/>
          <w:lang w:val="fr-CA"/>
        </w:rPr>
        <w:t>’</w:t>
      </w:r>
      <w:r w:rsidRPr="00261B72">
        <w:rPr>
          <w:bCs/>
          <w:i/>
          <w:color w:val="333333"/>
          <w:sz w:val="22"/>
          <w:szCs w:val="22"/>
          <w:shd w:val="clear" w:color="auto" w:fill="FFFFFF"/>
          <w:lang w:val="fr-CA"/>
        </w:rPr>
        <w:t>émigration des Québécois aux États-Unis de 1840 à 1930</w:t>
      </w:r>
      <w:r w:rsidRPr="00261B72">
        <w:rPr>
          <w:bCs/>
          <w:color w:val="333333"/>
          <w:sz w:val="22"/>
          <w:szCs w:val="22"/>
          <w:shd w:val="clear" w:color="auto" w:fill="FFFFFF"/>
          <w:lang w:val="fr-CA"/>
        </w:rPr>
        <w:t>. 1981 Éditeur officiels du Québec, 1981, version électronique</w:t>
      </w:r>
      <w:r w:rsidR="00BE4B77" w:rsidRPr="00261B72">
        <w:rPr>
          <w:bCs/>
          <w:color w:val="333333"/>
          <w:sz w:val="22"/>
          <w:szCs w:val="22"/>
          <w:shd w:val="clear" w:color="auto" w:fill="FFFFFF"/>
          <w:lang w:val="fr-CA"/>
        </w:rPr>
        <w:t> </w:t>
      </w:r>
      <w:hyperlink r:id="rId22" w:history="1">
        <w:r w:rsidRPr="00261B72">
          <w:rPr>
            <w:rStyle w:val="Hyperlink"/>
            <w:sz w:val="22"/>
            <w:szCs w:val="22"/>
            <w:lang w:val="fr-CA"/>
          </w:rPr>
          <w:t>http://www.cslf.gouv.qc.ca/bibliotheque-virtuelle/publication-html/?tx_iggcpplus_pi4%5Bfile%5D=publications/pubd101/d101ch1.html</w:t>
        </w:r>
      </w:hyperlink>
      <w:r w:rsidR="00474127" w:rsidRPr="00261B72">
        <w:rPr>
          <w:sz w:val="22"/>
          <w:szCs w:val="22"/>
          <w:lang w:val="fr-CA"/>
        </w:rPr>
        <w:t xml:space="preserve">. </w:t>
      </w:r>
      <w:r w:rsidR="00474127" w:rsidRPr="00261B72">
        <w:rPr>
          <w:sz w:val="22"/>
          <w:szCs w:val="22"/>
        </w:rPr>
        <w:t>C</w:t>
      </w:r>
      <w:r w:rsidRPr="00261B72">
        <w:rPr>
          <w:sz w:val="22"/>
          <w:szCs w:val="22"/>
        </w:rPr>
        <w:t>onsulté le 19 mai 2019.</w:t>
      </w:r>
    </w:p>
    <w:p w14:paraId="1CBF5694" w14:textId="77777777" w:rsidR="005579CC" w:rsidRPr="00261B72" w:rsidRDefault="005579CC" w:rsidP="0072367F">
      <w:pPr>
        <w:spacing w:after="200" w:line="276" w:lineRule="auto"/>
        <w:rPr>
          <w:color w:val="333333"/>
          <w:sz w:val="22"/>
          <w:szCs w:val="22"/>
          <w:shd w:val="clear" w:color="auto" w:fill="FFFFFF"/>
        </w:rPr>
      </w:pPr>
      <w:r w:rsidRPr="00261B72">
        <w:rPr>
          <w:color w:val="333333"/>
          <w:sz w:val="22"/>
          <w:szCs w:val="22"/>
          <w:shd w:val="clear" w:color="auto" w:fill="FFFFFF"/>
        </w:rPr>
        <w:t>LEBLANC, R. Robert</w:t>
      </w:r>
      <w:r w:rsidR="0072367F" w:rsidRPr="00261B72">
        <w:rPr>
          <w:color w:val="333333"/>
          <w:sz w:val="22"/>
          <w:szCs w:val="22"/>
          <w:shd w:val="clear" w:color="auto" w:fill="FFFFFF"/>
        </w:rPr>
        <w:t xml:space="preserve">. </w:t>
      </w:r>
      <w:r w:rsidR="00474127" w:rsidRPr="00261B72">
        <w:rPr>
          <w:rFonts w:eastAsia="Calibri"/>
          <w:sz w:val="22"/>
          <w:szCs w:val="22"/>
          <w:lang w:eastAsia="en-US"/>
        </w:rPr>
        <w:t>«</w:t>
      </w:r>
      <w:r w:rsidR="00BE4B77" w:rsidRPr="00261B72">
        <w:rPr>
          <w:rFonts w:eastAsia="Calibri"/>
          <w:sz w:val="22"/>
          <w:szCs w:val="22"/>
          <w:lang w:eastAsia="en-US"/>
        </w:rPr>
        <w:t> </w:t>
      </w:r>
      <w:r w:rsidR="0072367F" w:rsidRPr="00261B72">
        <w:rPr>
          <w:color w:val="333333"/>
          <w:sz w:val="22"/>
          <w:szCs w:val="22"/>
          <w:shd w:val="clear" w:color="auto" w:fill="FFFFFF"/>
        </w:rPr>
        <w:t>The </w:t>
      </w:r>
      <w:r w:rsidR="0072367F" w:rsidRPr="00261B72">
        <w:rPr>
          <w:bCs/>
          <w:color w:val="333333"/>
          <w:sz w:val="22"/>
          <w:szCs w:val="22"/>
          <w:shd w:val="clear" w:color="auto" w:fill="FFFFFF"/>
        </w:rPr>
        <w:t>Franco</w:t>
      </w:r>
      <w:r w:rsidR="0072367F" w:rsidRPr="00261B72">
        <w:rPr>
          <w:color w:val="333333"/>
          <w:sz w:val="22"/>
          <w:szCs w:val="22"/>
          <w:shd w:val="clear" w:color="auto" w:fill="FFFFFF"/>
        </w:rPr>
        <w:t>-</w:t>
      </w:r>
      <w:r w:rsidR="0072367F" w:rsidRPr="00261B72">
        <w:rPr>
          <w:bCs/>
          <w:color w:val="333333"/>
          <w:sz w:val="22"/>
          <w:szCs w:val="22"/>
          <w:shd w:val="clear" w:color="auto" w:fill="FFFFFF"/>
        </w:rPr>
        <w:t>American</w:t>
      </w:r>
      <w:r w:rsidR="0072367F" w:rsidRPr="00261B72">
        <w:rPr>
          <w:color w:val="333333"/>
          <w:sz w:val="22"/>
          <w:szCs w:val="22"/>
          <w:shd w:val="clear" w:color="auto" w:fill="FFFFFF"/>
        </w:rPr>
        <w:t> </w:t>
      </w:r>
      <w:r w:rsidR="0072367F" w:rsidRPr="00261B72">
        <w:rPr>
          <w:bCs/>
          <w:color w:val="333333"/>
          <w:sz w:val="22"/>
          <w:szCs w:val="22"/>
          <w:shd w:val="clear" w:color="auto" w:fill="FFFFFF"/>
        </w:rPr>
        <w:t>Response</w:t>
      </w:r>
      <w:r w:rsidR="0072367F" w:rsidRPr="00261B72">
        <w:rPr>
          <w:color w:val="333333"/>
          <w:sz w:val="22"/>
          <w:szCs w:val="22"/>
          <w:shd w:val="clear" w:color="auto" w:fill="FFFFFF"/>
        </w:rPr>
        <w:t> to the </w:t>
      </w:r>
      <w:r w:rsidR="0072367F" w:rsidRPr="00261B72">
        <w:rPr>
          <w:bCs/>
          <w:color w:val="333333"/>
          <w:sz w:val="22"/>
          <w:szCs w:val="22"/>
          <w:shd w:val="clear" w:color="auto" w:fill="FFFFFF"/>
        </w:rPr>
        <w:t>Conscription</w:t>
      </w:r>
      <w:r w:rsidR="0072367F" w:rsidRPr="00261B72">
        <w:rPr>
          <w:color w:val="333333"/>
          <w:sz w:val="22"/>
          <w:szCs w:val="22"/>
          <w:shd w:val="clear" w:color="auto" w:fill="FFFFFF"/>
        </w:rPr>
        <w:t> </w:t>
      </w:r>
      <w:r w:rsidR="0072367F" w:rsidRPr="00261B72">
        <w:rPr>
          <w:bCs/>
          <w:color w:val="333333"/>
          <w:sz w:val="22"/>
          <w:szCs w:val="22"/>
          <w:shd w:val="clear" w:color="auto" w:fill="FFFFFF"/>
        </w:rPr>
        <w:t>Crisis</w:t>
      </w:r>
      <w:r w:rsidR="0072367F" w:rsidRPr="00261B72">
        <w:rPr>
          <w:color w:val="333333"/>
          <w:sz w:val="22"/>
          <w:szCs w:val="22"/>
          <w:shd w:val="clear" w:color="auto" w:fill="FFFFFF"/>
        </w:rPr>
        <w:t> in </w:t>
      </w:r>
      <w:r w:rsidR="0072367F" w:rsidRPr="00261B72">
        <w:rPr>
          <w:bCs/>
          <w:color w:val="333333"/>
          <w:sz w:val="22"/>
          <w:szCs w:val="22"/>
          <w:shd w:val="clear" w:color="auto" w:fill="FFFFFF"/>
        </w:rPr>
        <w:t>Canada</w:t>
      </w:r>
      <w:r w:rsidR="0072367F" w:rsidRPr="00261B72">
        <w:rPr>
          <w:color w:val="333333"/>
          <w:sz w:val="22"/>
          <w:szCs w:val="22"/>
          <w:shd w:val="clear" w:color="auto" w:fill="FFFFFF"/>
        </w:rPr>
        <w:t>, 1916–1918</w:t>
      </w:r>
      <w:r w:rsidR="00BE4B77" w:rsidRPr="00261B72">
        <w:rPr>
          <w:color w:val="333333"/>
          <w:sz w:val="22"/>
          <w:szCs w:val="22"/>
          <w:shd w:val="clear" w:color="auto" w:fill="FFFFFF"/>
        </w:rPr>
        <w:t> </w:t>
      </w:r>
      <w:r w:rsidR="00474127" w:rsidRPr="00261B72">
        <w:rPr>
          <w:color w:val="333333"/>
          <w:sz w:val="22"/>
          <w:szCs w:val="22"/>
          <w:shd w:val="clear" w:color="auto" w:fill="FFFFFF"/>
        </w:rPr>
        <w:t>»</w:t>
      </w:r>
      <w:r w:rsidR="000A1673" w:rsidRPr="00261B72">
        <w:rPr>
          <w:rFonts w:eastAsia="Calibri"/>
          <w:sz w:val="22"/>
          <w:szCs w:val="22"/>
          <w:lang w:eastAsia="en-US"/>
        </w:rPr>
        <w:t>.</w:t>
      </w:r>
      <w:r w:rsidR="0072367F" w:rsidRPr="00261B72">
        <w:rPr>
          <w:rFonts w:eastAsia="Calibri"/>
          <w:sz w:val="22"/>
          <w:szCs w:val="22"/>
          <w:lang w:eastAsia="en-US"/>
        </w:rPr>
        <w:t xml:space="preserve"> </w:t>
      </w:r>
      <w:r w:rsidR="0072367F" w:rsidRPr="00261B72">
        <w:rPr>
          <w:i/>
          <w:color w:val="333333"/>
          <w:sz w:val="22"/>
          <w:szCs w:val="22"/>
          <w:shd w:val="clear" w:color="auto" w:fill="FFFFFF"/>
        </w:rPr>
        <w:t>The American Review of Canadian Studies</w:t>
      </w:r>
      <w:r w:rsidR="0072367F" w:rsidRPr="00261B72">
        <w:rPr>
          <w:color w:val="333333"/>
          <w:sz w:val="22"/>
          <w:szCs w:val="22"/>
          <w:shd w:val="clear" w:color="auto" w:fill="FFFFFF"/>
        </w:rPr>
        <w:t xml:space="preserve">, </w:t>
      </w:r>
      <w:r w:rsidR="000A1673" w:rsidRPr="00261B72">
        <w:rPr>
          <w:color w:val="333333"/>
          <w:sz w:val="22"/>
          <w:szCs w:val="22"/>
          <w:shd w:val="clear" w:color="auto" w:fill="FFFFFF"/>
        </w:rPr>
        <w:t>v</w:t>
      </w:r>
      <w:r w:rsidR="0072367F" w:rsidRPr="00261B72">
        <w:rPr>
          <w:color w:val="333333"/>
          <w:sz w:val="22"/>
          <w:szCs w:val="22"/>
          <w:shd w:val="clear" w:color="auto" w:fill="FFFFFF"/>
        </w:rPr>
        <w:t>ol</w:t>
      </w:r>
      <w:r w:rsidR="00E21DFD" w:rsidRPr="00261B72">
        <w:rPr>
          <w:color w:val="333333"/>
          <w:sz w:val="22"/>
          <w:szCs w:val="22"/>
          <w:shd w:val="clear" w:color="auto" w:fill="FFFFFF"/>
        </w:rPr>
        <w:t> </w:t>
      </w:r>
      <w:r w:rsidR="0072367F" w:rsidRPr="00261B72">
        <w:rPr>
          <w:color w:val="333333"/>
          <w:sz w:val="22"/>
          <w:szCs w:val="22"/>
          <w:shd w:val="clear" w:color="auto" w:fill="FFFFFF"/>
        </w:rPr>
        <w:t>23, Issue</w:t>
      </w:r>
      <w:r w:rsidR="00E21DFD" w:rsidRPr="00261B72">
        <w:rPr>
          <w:color w:val="333333"/>
          <w:sz w:val="22"/>
          <w:szCs w:val="22"/>
          <w:shd w:val="clear" w:color="auto" w:fill="FFFFFF"/>
        </w:rPr>
        <w:t> </w:t>
      </w:r>
      <w:r w:rsidR="0072367F" w:rsidRPr="00261B72">
        <w:rPr>
          <w:color w:val="333333"/>
          <w:sz w:val="22"/>
          <w:szCs w:val="22"/>
          <w:shd w:val="clear" w:color="auto" w:fill="FFFFFF"/>
        </w:rPr>
        <w:t xml:space="preserve">3, </w:t>
      </w:r>
      <w:r w:rsidR="000A1673" w:rsidRPr="00261B72">
        <w:rPr>
          <w:color w:val="333333"/>
          <w:sz w:val="22"/>
          <w:szCs w:val="22"/>
          <w:shd w:val="clear" w:color="auto" w:fill="FFFFFF"/>
        </w:rPr>
        <w:t xml:space="preserve">10/1993, </w:t>
      </w:r>
      <w:r w:rsidR="0072367F" w:rsidRPr="00261B72">
        <w:rPr>
          <w:color w:val="333333"/>
          <w:sz w:val="22"/>
          <w:szCs w:val="22"/>
          <w:shd w:val="clear" w:color="auto" w:fill="FFFFFF"/>
        </w:rPr>
        <w:t>pp.</w:t>
      </w:r>
      <w:r w:rsidRPr="00261B72">
        <w:rPr>
          <w:color w:val="333333"/>
          <w:sz w:val="22"/>
          <w:szCs w:val="22"/>
          <w:shd w:val="clear" w:color="auto" w:fill="FFFFFF"/>
        </w:rPr>
        <w:t xml:space="preserve"> </w:t>
      </w:r>
      <w:r w:rsidR="0072367F" w:rsidRPr="00261B72">
        <w:rPr>
          <w:color w:val="333333"/>
          <w:sz w:val="22"/>
          <w:szCs w:val="22"/>
          <w:shd w:val="clear" w:color="auto" w:fill="FFFFFF"/>
        </w:rPr>
        <w:t>343</w:t>
      </w:r>
      <w:r w:rsidR="00BE4B77" w:rsidRPr="00261B72">
        <w:rPr>
          <w:color w:val="333333"/>
          <w:sz w:val="22"/>
          <w:szCs w:val="22"/>
          <w:shd w:val="clear" w:color="auto" w:fill="FFFFFF"/>
        </w:rPr>
        <w:t>–</w:t>
      </w:r>
      <w:r w:rsidR="0072367F" w:rsidRPr="00261B72">
        <w:rPr>
          <w:color w:val="333333"/>
          <w:sz w:val="22"/>
          <w:szCs w:val="22"/>
          <w:shd w:val="clear" w:color="auto" w:fill="FFFFFF"/>
        </w:rPr>
        <w:t>372.</w:t>
      </w:r>
    </w:p>
    <w:p w14:paraId="73694022" w14:textId="77777777" w:rsidR="00B22AEB" w:rsidRPr="003433E9" w:rsidRDefault="00B22AEB" w:rsidP="00B0701E">
      <w:pPr>
        <w:spacing w:after="200" w:line="276" w:lineRule="auto"/>
        <w:rPr>
          <w:color w:val="333333"/>
          <w:sz w:val="22"/>
          <w:szCs w:val="22"/>
          <w:shd w:val="clear" w:color="auto" w:fill="FFFFFF"/>
        </w:rPr>
      </w:pPr>
      <w:r w:rsidRPr="003433E9">
        <w:rPr>
          <w:color w:val="333333"/>
          <w:sz w:val="22"/>
          <w:szCs w:val="22"/>
          <w:shd w:val="clear" w:color="auto" w:fill="FFFFFF"/>
          <w:lang w:val="fr-CA"/>
        </w:rPr>
        <w:t xml:space="preserve">MARTIN, Jean. </w:t>
      </w:r>
      <w:r w:rsidR="00474127" w:rsidRPr="00261B72">
        <w:rPr>
          <w:color w:val="333333"/>
          <w:sz w:val="22"/>
          <w:szCs w:val="22"/>
          <w:shd w:val="clear" w:color="auto" w:fill="FFFFFF"/>
          <w:lang w:val="fr-CA"/>
        </w:rPr>
        <w:t>«</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La participation des francophones dans le Corps expéditionnaire canadien (1914–1919)</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 il faut réviser à la hausse</w:t>
      </w:r>
      <w:r w:rsidR="00BE4B77" w:rsidRPr="00261B72">
        <w:rPr>
          <w:color w:val="333333"/>
          <w:sz w:val="22"/>
          <w:szCs w:val="22"/>
          <w:shd w:val="clear" w:color="auto" w:fill="FFFFFF"/>
          <w:lang w:val="fr-CA"/>
        </w:rPr>
        <w:t> </w:t>
      </w:r>
      <w:r w:rsidR="00474127" w:rsidRPr="00261B72">
        <w:rPr>
          <w:color w:val="333333"/>
          <w:sz w:val="22"/>
          <w:szCs w:val="22"/>
          <w:shd w:val="clear" w:color="auto" w:fill="FFFFFF"/>
          <w:lang w:val="fr-CA"/>
        </w:rPr>
        <w:t>»</w:t>
      </w:r>
      <w:r w:rsidR="000A1673" w:rsidRPr="00261B72">
        <w:rPr>
          <w:color w:val="333333"/>
          <w:sz w:val="22"/>
          <w:szCs w:val="22"/>
          <w:shd w:val="clear" w:color="auto" w:fill="FFFFFF"/>
          <w:lang w:val="fr-CA"/>
        </w:rPr>
        <w:t xml:space="preserve">. </w:t>
      </w:r>
      <w:r w:rsidRPr="003433E9">
        <w:rPr>
          <w:i/>
          <w:iCs/>
          <w:color w:val="333333"/>
          <w:sz w:val="22"/>
          <w:szCs w:val="22"/>
          <w:shd w:val="clear" w:color="auto" w:fill="FFFFFF"/>
        </w:rPr>
        <w:t>The Canadian Historical Review</w:t>
      </w:r>
      <w:r w:rsidRPr="003433E9">
        <w:rPr>
          <w:color w:val="333333"/>
          <w:sz w:val="22"/>
          <w:szCs w:val="22"/>
          <w:shd w:val="clear" w:color="auto" w:fill="FFFFFF"/>
        </w:rPr>
        <w:t>, vol</w:t>
      </w:r>
      <w:r w:rsidR="00E21DFD" w:rsidRPr="003433E9">
        <w:rPr>
          <w:color w:val="333333"/>
          <w:sz w:val="22"/>
          <w:szCs w:val="22"/>
          <w:shd w:val="clear" w:color="auto" w:fill="FFFFFF"/>
        </w:rPr>
        <w:t> </w:t>
      </w:r>
      <w:r w:rsidRPr="003433E9">
        <w:rPr>
          <w:color w:val="333333"/>
          <w:sz w:val="22"/>
          <w:szCs w:val="22"/>
          <w:shd w:val="clear" w:color="auto" w:fill="FFFFFF"/>
        </w:rPr>
        <w:t>96</w:t>
      </w:r>
      <w:r w:rsidR="00CF536C" w:rsidRPr="003433E9">
        <w:rPr>
          <w:color w:val="333333"/>
          <w:sz w:val="22"/>
          <w:szCs w:val="22"/>
          <w:shd w:val="clear" w:color="auto" w:fill="FFFFFF"/>
        </w:rPr>
        <w:t>,</w:t>
      </w:r>
      <w:r w:rsidRPr="003433E9">
        <w:rPr>
          <w:color w:val="333333"/>
          <w:sz w:val="22"/>
          <w:szCs w:val="22"/>
          <w:shd w:val="clear" w:color="auto" w:fill="FFFFFF"/>
        </w:rPr>
        <w:t xml:space="preserve"> </w:t>
      </w:r>
      <w:r w:rsidR="00CF536C" w:rsidRPr="003433E9">
        <w:rPr>
          <w:rFonts w:eastAsia="Calibri"/>
          <w:bCs/>
          <w:color w:val="000000"/>
          <w:sz w:val="22"/>
          <w:szCs w:val="22"/>
          <w:lang w:eastAsia="en-US"/>
        </w:rPr>
        <w:t>n°</w:t>
      </w:r>
      <w:r w:rsidRPr="003433E9">
        <w:rPr>
          <w:color w:val="333333"/>
          <w:sz w:val="22"/>
          <w:szCs w:val="22"/>
          <w:shd w:val="clear" w:color="auto" w:fill="FFFFFF"/>
        </w:rPr>
        <w:t xml:space="preserve"> 3, 2015, pp. 405</w:t>
      </w:r>
      <w:r w:rsidR="00BE4B77" w:rsidRPr="003433E9">
        <w:rPr>
          <w:color w:val="333333"/>
          <w:sz w:val="22"/>
          <w:szCs w:val="22"/>
          <w:shd w:val="clear" w:color="auto" w:fill="FFFFFF"/>
        </w:rPr>
        <w:t>–</w:t>
      </w:r>
      <w:r w:rsidRPr="003433E9">
        <w:rPr>
          <w:color w:val="333333"/>
          <w:sz w:val="22"/>
          <w:szCs w:val="22"/>
          <w:shd w:val="clear" w:color="auto" w:fill="FFFFFF"/>
        </w:rPr>
        <w:t>423.</w:t>
      </w:r>
    </w:p>
    <w:p w14:paraId="27CE466C" w14:textId="77777777" w:rsidR="00E9360A" w:rsidRPr="00261B72" w:rsidRDefault="000A1673" w:rsidP="00B0701E">
      <w:pPr>
        <w:spacing w:after="200" w:line="276" w:lineRule="auto"/>
        <w:rPr>
          <w:rFonts w:eastAsia="Calibri"/>
          <w:sz w:val="22"/>
          <w:szCs w:val="22"/>
          <w:lang w:eastAsia="en-US"/>
        </w:rPr>
      </w:pPr>
      <w:r w:rsidRPr="00261B72">
        <w:rPr>
          <w:color w:val="333333"/>
          <w:sz w:val="22"/>
          <w:szCs w:val="22"/>
          <w:shd w:val="clear" w:color="auto" w:fill="FFFFFF"/>
        </w:rPr>
        <w:t>NOUAILHAT</w:t>
      </w:r>
      <w:r w:rsidR="00E9360A" w:rsidRPr="00261B72">
        <w:rPr>
          <w:color w:val="333333"/>
          <w:sz w:val="22"/>
          <w:szCs w:val="22"/>
          <w:shd w:val="clear" w:color="auto" w:fill="FFFFFF"/>
        </w:rPr>
        <w:t>, Yves-Henri.</w:t>
      </w:r>
      <w:r w:rsidRPr="00261B72">
        <w:rPr>
          <w:color w:val="333333"/>
          <w:sz w:val="22"/>
          <w:szCs w:val="22"/>
          <w:shd w:val="clear" w:color="auto" w:fill="FFFFFF"/>
        </w:rPr>
        <w:t xml:space="preserve"> </w:t>
      </w:r>
      <w:r w:rsidR="00474127" w:rsidRPr="00261B72">
        <w:rPr>
          <w:color w:val="333333"/>
          <w:sz w:val="22"/>
          <w:szCs w:val="22"/>
          <w:shd w:val="clear" w:color="auto" w:fill="FFFFFF"/>
        </w:rPr>
        <w:t>«</w:t>
      </w:r>
      <w:r w:rsidR="00BE4B77" w:rsidRPr="00261B72">
        <w:rPr>
          <w:color w:val="333333"/>
          <w:sz w:val="22"/>
          <w:szCs w:val="22"/>
          <w:shd w:val="clear" w:color="auto" w:fill="FFFFFF"/>
        </w:rPr>
        <w:t> </w:t>
      </w:r>
      <w:r w:rsidR="00E9360A" w:rsidRPr="00261B72">
        <w:rPr>
          <w:color w:val="333333"/>
          <w:sz w:val="22"/>
          <w:szCs w:val="22"/>
          <w:shd w:val="clear" w:color="auto" w:fill="FFFFFF"/>
        </w:rPr>
        <w:t>Franco-American Relations: French Perspectives</w:t>
      </w:r>
      <w:r w:rsidR="00BE4B77" w:rsidRPr="00261B72">
        <w:rPr>
          <w:color w:val="333333"/>
          <w:sz w:val="22"/>
          <w:szCs w:val="22"/>
          <w:shd w:val="clear" w:color="auto" w:fill="FFFFFF"/>
        </w:rPr>
        <w:t> </w:t>
      </w:r>
      <w:r w:rsidR="00474127" w:rsidRPr="00261B72">
        <w:rPr>
          <w:color w:val="333333"/>
          <w:sz w:val="22"/>
          <w:szCs w:val="22"/>
          <w:shd w:val="clear" w:color="auto" w:fill="FFFFFF"/>
        </w:rPr>
        <w:t>»</w:t>
      </w:r>
      <w:r w:rsidR="00E9360A" w:rsidRPr="00261B72">
        <w:rPr>
          <w:color w:val="333333"/>
          <w:sz w:val="22"/>
          <w:szCs w:val="22"/>
          <w:shd w:val="clear" w:color="auto" w:fill="FFFFFF"/>
        </w:rPr>
        <w:t>.</w:t>
      </w:r>
      <w:r w:rsidRPr="00261B72">
        <w:rPr>
          <w:color w:val="333333"/>
          <w:sz w:val="22"/>
          <w:szCs w:val="22"/>
          <w:shd w:val="clear" w:color="auto" w:fill="FFFFFF"/>
        </w:rPr>
        <w:t xml:space="preserve"> </w:t>
      </w:r>
      <w:r w:rsidR="00E9360A" w:rsidRPr="00261B72">
        <w:rPr>
          <w:i/>
          <w:iCs/>
          <w:color w:val="333333"/>
          <w:sz w:val="22"/>
          <w:szCs w:val="22"/>
          <w:shd w:val="clear" w:color="auto" w:fill="FFFFFF"/>
        </w:rPr>
        <w:t>Reviews in American History</w:t>
      </w:r>
      <w:r w:rsidR="00E9360A" w:rsidRPr="00261B72">
        <w:rPr>
          <w:color w:val="333333"/>
          <w:sz w:val="22"/>
          <w:szCs w:val="22"/>
          <w:shd w:val="clear" w:color="auto" w:fill="FFFFFF"/>
        </w:rPr>
        <w:t>, vol</w:t>
      </w:r>
      <w:r w:rsidR="00E21DFD" w:rsidRPr="00261B72">
        <w:rPr>
          <w:color w:val="333333"/>
          <w:sz w:val="22"/>
          <w:szCs w:val="22"/>
          <w:shd w:val="clear" w:color="auto" w:fill="FFFFFF"/>
        </w:rPr>
        <w:t> </w:t>
      </w:r>
      <w:r w:rsidR="00E9360A" w:rsidRPr="00261B72">
        <w:rPr>
          <w:color w:val="333333"/>
          <w:sz w:val="22"/>
          <w:szCs w:val="22"/>
          <w:shd w:val="clear" w:color="auto" w:fill="FFFFFF"/>
        </w:rPr>
        <w:t xml:space="preserve">14, </w:t>
      </w:r>
      <w:r w:rsidR="00CF536C" w:rsidRPr="00261B72">
        <w:rPr>
          <w:rFonts w:eastAsia="Calibri"/>
          <w:bCs/>
          <w:color w:val="000000"/>
          <w:sz w:val="22"/>
          <w:szCs w:val="22"/>
          <w:lang w:eastAsia="en-US"/>
        </w:rPr>
        <w:t>n°</w:t>
      </w:r>
      <w:r w:rsidR="00E9360A" w:rsidRPr="00261B72">
        <w:rPr>
          <w:color w:val="333333"/>
          <w:sz w:val="22"/>
          <w:szCs w:val="22"/>
          <w:shd w:val="clear" w:color="auto" w:fill="FFFFFF"/>
        </w:rPr>
        <w:t xml:space="preserve"> 4, 1986, pp. 653–668.</w:t>
      </w:r>
    </w:p>
    <w:p w14:paraId="2F7070A2" w14:textId="77777777" w:rsidR="00C74987" w:rsidRPr="00261B72" w:rsidRDefault="00C74987" w:rsidP="00C74987">
      <w:pPr>
        <w:spacing w:after="200" w:line="276" w:lineRule="auto"/>
        <w:rPr>
          <w:rFonts w:eastAsia="Calibri"/>
          <w:sz w:val="22"/>
          <w:szCs w:val="22"/>
          <w:lang w:val="fr-CA" w:eastAsia="en-US"/>
        </w:rPr>
      </w:pPr>
      <w:r w:rsidRPr="00261B72">
        <w:rPr>
          <w:color w:val="333333"/>
          <w:sz w:val="22"/>
          <w:szCs w:val="22"/>
          <w:shd w:val="clear" w:color="auto" w:fill="FFFFFF"/>
          <w:lang w:val="fr-CA"/>
        </w:rPr>
        <w:t xml:space="preserve">NOUAILHAT, Yves-Henri. </w:t>
      </w:r>
      <w:r w:rsidR="00474127" w:rsidRPr="00261B72">
        <w:rPr>
          <w:color w:val="333333"/>
          <w:sz w:val="22"/>
          <w:szCs w:val="22"/>
          <w:shd w:val="clear" w:color="auto" w:fill="FFFFFF"/>
          <w:lang w:val="fr-CA"/>
        </w:rPr>
        <w:t>«</w:t>
      </w:r>
      <w:r w:rsidR="00BE4B77" w:rsidRPr="00261B72">
        <w:rPr>
          <w:color w:val="333333"/>
          <w:sz w:val="22"/>
          <w:szCs w:val="22"/>
          <w:shd w:val="clear" w:color="auto" w:fill="FFFFFF"/>
          <w:lang w:val="fr-CA"/>
        </w:rPr>
        <w:t> </w:t>
      </w:r>
      <w:r w:rsidRPr="00261B72">
        <w:rPr>
          <w:rFonts w:eastAsia="Calibri"/>
          <w:sz w:val="22"/>
          <w:szCs w:val="22"/>
          <w:lang w:val="fr-CA" w:eastAsia="en-US"/>
        </w:rPr>
        <w:t xml:space="preserve">La propagande française aux </w:t>
      </w:r>
      <w:r w:rsidR="005D605B" w:rsidRPr="00261B72">
        <w:rPr>
          <w:rFonts w:eastAsia="Calibri"/>
          <w:sz w:val="22"/>
          <w:szCs w:val="22"/>
          <w:lang w:val="fr-CA" w:eastAsia="en-US"/>
        </w:rPr>
        <w:t>É</w:t>
      </w:r>
      <w:r w:rsidRPr="00261B72">
        <w:rPr>
          <w:rFonts w:eastAsia="Calibri"/>
          <w:sz w:val="22"/>
          <w:szCs w:val="22"/>
          <w:lang w:val="fr-CA" w:eastAsia="en-US"/>
        </w:rPr>
        <w:t>tats-Unis</w:t>
      </w:r>
      <w:r w:rsidR="00474127" w:rsidRPr="00261B72">
        <w:rPr>
          <w:rFonts w:eastAsia="Calibri"/>
          <w:sz w:val="22"/>
          <w:szCs w:val="22"/>
          <w:lang w:val="fr-CA" w:eastAsia="en-US"/>
        </w:rPr>
        <w:t xml:space="preserve"> </w:t>
      </w:r>
      <w:r w:rsidRPr="00261B72">
        <w:rPr>
          <w:rFonts w:eastAsia="Calibri"/>
          <w:sz w:val="22"/>
          <w:szCs w:val="22"/>
          <w:lang w:val="fr-CA" w:eastAsia="en-US"/>
        </w:rPr>
        <w:t>(août 1914 - avril 1917)</w:t>
      </w:r>
      <w:r w:rsidR="00BE4B77" w:rsidRPr="00261B72">
        <w:rPr>
          <w:rFonts w:eastAsia="Calibri"/>
          <w:sz w:val="22"/>
          <w:szCs w:val="22"/>
          <w:lang w:val="fr-CA" w:eastAsia="en-US"/>
        </w:rPr>
        <w:t> </w:t>
      </w:r>
      <w:r w:rsidR="00474127" w:rsidRPr="00261B72">
        <w:rPr>
          <w:rFonts w:eastAsia="Calibri"/>
          <w:sz w:val="22"/>
          <w:szCs w:val="22"/>
          <w:lang w:val="fr-CA" w:eastAsia="en-US"/>
        </w:rPr>
        <w:t>»</w:t>
      </w:r>
      <w:r w:rsidRPr="00261B72">
        <w:rPr>
          <w:rFonts w:eastAsia="Calibri"/>
          <w:sz w:val="22"/>
          <w:szCs w:val="22"/>
          <w:lang w:val="fr-CA" w:eastAsia="en-US"/>
        </w:rPr>
        <w:t xml:space="preserve">. </w:t>
      </w:r>
      <w:r w:rsidRPr="00261B72">
        <w:rPr>
          <w:rFonts w:eastAsia="Calibri"/>
          <w:i/>
          <w:sz w:val="22"/>
          <w:szCs w:val="22"/>
          <w:lang w:val="fr-CA" w:eastAsia="en-US"/>
        </w:rPr>
        <w:t>Institut de Stratégie Comparée (ISC)</w:t>
      </w:r>
      <w:r w:rsidRPr="00261B72">
        <w:rPr>
          <w:rFonts w:eastAsia="Calibri"/>
          <w:sz w:val="22"/>
          <w:szCs w:val="22"/>
          <w:lang w:val="fr-CA" w:eastAsia="en-US"/>
        </w:rPr>
        <w:t xml:space="preserve">. </w:t>
      </w:r>
      <w:hyperlink r:id="rId23" w:history="1">
        <w:r w:rsidRPr="00261B72">
          <w:rPr>
            <w:rStyle w:val="Hyperlink"/>
            <w:rFonts w:eastAsia="Calibri"/>
            <w:sz w:val="22"/>
            <w:szCs w:val="22"/>
            <w:lang w:val="fr-CA" w:eastAsia="en-US"/>
          </w:rPr>
          <w:t>http://www.institut-strategie.fr/ihcc_eu1gm_Nouilhat.html</w:t>
        </w:r>
      </w:hyperlink>
      <w:r w:rsidR="00474127" w:rsidRPr="00261B72">
        <w:rPr>
          <w:rFonts w:eastAsia="Calibri"/>
          <w:sz w:val="22"/>
          <w:szCs w:val="22"/>
          <w:lang w:val="fr-CA" w:eastAsia="en-US"/>
        </w:rPr>
        <w:t>. C</w:t>
      </w:r>
      <w:r w:rsidRPr="00261B72">
        <w:rPr>
          <w:rFonts w:eastAsia="Calibri"/>
          <w:sz w:val="22"/>
          <w:szCs w:val="22"/>
          <w:lang w:val="fr-CA" w:eastAsia="en-US"/>
        </w:rPr>
        <w:t>onsulté le 25 février 2019.</w:t>
      </w:r>
    </w:p>
    <w:p w14:paraId="079DB0B3" w14:textId="77777777" w:rsidR="00BE68B1" w:rsidRPr="00261B72" w:rsidRDefault="00BE68B1" w:rsidP="00BE68B1">
      <w:pPr>
        <w:spacing w:line="276" w:lineRule="auto"/>
        <w:rPr>
          <w:color w:val="000000"/>
          <w:sz w:val="22"/>
          <w:szCs w:val="22"/>
          <w:shd w:val="clear" w:color="auto" w:fill="FFFFFF"/>
          <w:lang w:val="fr-CA"/>
        </w:rPr>
      </w:pPr>
      <w:r w:rsidRPr="00261B72">
        <w:rPr>
          <w:color w:val="000000"/>
          <w:sz w:val="22"/>
          <w:szCs w:val="22"/>
          <w:shd w:val="clear" w:color="auto" w:fill="FFFFFF"/>
          <w:lang w:val="fr-CA"/>
        </w:rPr>
        <w:t xml:space="preserve">PAQUET, Gilles et Smith, W. R. </w:t>
      </w:r>
      <w:r w:rsidR="00761149" w:rsidRPr="00261B72">
        <w:rPr>
          <w:color w:val="000000"/>
          <w:sz w:val="22"/>
          <w:szCs w:val="22"/>
          <w:shd w:val="clear" w:color="auto" w:fill="FFFFFF"/>
          <w:lang w:val="fr-CA"/>
        </w:rPr>
        <w:t>«</w:t>
      </w:r>
      <w:r w:rsidR="00BE4B77" w:rsidRPr="00261B72">
        <w:rPr>
          <w:color w:val="000000"/>
          <w:sz w:val="22"/>
          <w:szCs w:val="22"/>
          <w:shd w:val="clear" w:color="auto" w:fill="FFFFFF"/>
          <w:lang w:val="fr-CA"/>
        </w:rPr>
        <w:t> </w:t>
      </w:r>
      <w:r w:rsidRPr="00261B72">
        <w:rPr>
          <w:color w:val="000000"/>
          <w:sz w:val="22"/>
          <w:szCs w:val="22"/>
          <w:shd w:val="clear" w:color="auto" w:fill="FFFFFF"/>
          <w:lang w:val="fr-CA"/>
        </w:rPr>
        <w:t>L’émigration des Canadiens français vers les</w:t>
      </w:r>
    </w:p>
    <w:p w14:paraId="47907F32" w14:textId="77777777" w:rsidR="00BA113F" w:rsidRPr="00261B72" w:rsidRDefault="00BE68B1" w:rsidP="00BA113F">
      <w:pPr>
        <w:spacing w:after="240" w:line="276" w:lineRule="auto"/>
        <w:rPr>
          <w:color w:val="000000"/>
          <w:sz w:val="22"/>
          <w:szCs w:val="22"/>
          <w:shd w:val="clear" w:color="auto" w:fill="FFFFFF"/>
          <w:lang w:val="fr-CA"/>
        </w:rPr>
      </w:pPr>
      <w:r w:rsidRPr="00261B72">
        <w:rPr>
          <w:color w:val="000000"/>
          <w:sz w:val="22"/>
          <w:szCs w:val="22"/>
          <w:shd w:val="clear" w:color="auto" w:fill="FFFFFF"/>
          <w:lang w:val="fr-CA"/>
        </w:rPr>
        <w:t>États-Unis, 1790-1940</w:t>
      </w:r>
      <w:r w:rsidR="00BE4B77" w:rsidRPr="00261B72">
        <w:rPr>
          <w:color w:val="000000"/>
          <w:sz w:val="22"/>
          <w:szCs w:val="22"/>
          <w:shd w:val="clear" w:color="auto" w:fill="FFFFFF"/>
          <w:lang w:val="fr-CA"/>
        </w:rPr>
        <w:t> </w:t>
      </w:r>
      <w:r w:rsidRPr="00261B72">
        <w:rPr>
          <w:color w:val="000000"/>
          <w:sz w:val="22"/>
          <w:szCs w:val="22"/>
          <w:shd w:val="clear" w:color="auto" w:fill="FFFFFF"/>
          <w:lang w:val="fr-CA"/>
        </w:rPr>
        <w:t>: problématique et coups de sonde</w:t>
      </w:r>
      <w:r w:rsidR="00BE4B77" w:rsidRPr="00261B72">
        <w:rPr>
          <w:color w:val="000000"/>
          <w:sz w:val="22"/>
          <w:szCs w:val="22"/>
          <w:shd w:val="clear" w:color="auto" w:fill="FFFFFF"/>
          <w:lang w:val="fr-CA"/>
        </w:rPr>
        <w:t> </w:t>
      </w:r>
      <w:r w:rsidR="00761149" w:rsidRPr="00261B72">
        <w:rPr>
          <w:color w:val="000000"/>
          <w:sz w:val="22"/>
          <w:szCs w:val="22"/>
          <w:shd w:val="clear" w:color="auto" w:fill="FFFFFF"/>
          <w:lang w:val="fr-CA"/>
        </w:rPr>
        <w:t>»</w:t>
      </w:r>
      <w:r w:rsidRPr="00261B72">
        <w:rPr>
          <w:color w:val="000000"/>
          <w:sz w:val="22"/>
          <w:szCs w:val="22"/>
          <w:shd w:val="clear" w:color="auto" w:fill="FFFFFF"/>
          <w:lang w:val="fr-CA"/>
        </w:rPr>
        <w:t xml:space="preserve">. </w:t>
      </w:r>
      <w:r w:rsidRPr="00261B72">
        <w:rPr>
          <w:i/>
          <w:iCs/>
          <w:color w:val="000000"/>
          <w:sz w:val="22"/>
          <w:szCs w:val="22"/>
          <w:shd w:val="clear" w:color="auto" w:fill="FFFFFF"/>
          <w:lang w:val="fr-CA"/>
        </w:rPr>
        <w:t>L</w:t>
      </w:r>
      <w:r w:rsidR="00BE4B77" w:rsidRPr="00261B72">
        <w:rPr>
          <w:i/>
          <w:iCs/>
          <w:color w:val="000000"/>
          <w:sz w:val="22"/>
          <w:szCs w:val="22"/>
          <w:shd w:val="clear" w:color="auto" w:fill="FFFFFF"/>
          <w:lang w:val="fr-CA"/>
        </w:rPr>
        <w:t>’</w:t>
      </w:r>
      <w:r w:rsidRPr="00261B72">
        <w:rPr>
          <w:i/>
          <w:iCs/>
          <w:color w:val="000000"/>
          <w:sz w:val="22"/>
          <w:szCs w:val="22"/>
          <w:shd w:val="clear" w:color="auto" w:fill="FFFFFF"/>
          <w:lang w:val="fr-CA"/>
        </w:rPr>
        <w:t>Actualité économique</w:t>
      </w:r>
      <w:r w:rsidRPr="00261B72">
        <w:rPr>
          <w:color w:val="000000"/>
          <w:sz w:val="22"/>
          <w:szCs w:val="22"/>
          <w:shd w:val="clear" w:color="auto" w:fill="FFFFFF"/>
          <w:lang w:val="fr-CA"/>
        </w:rPr>
        <w:t xml:space="preserve">, 1983, </w:t>
      </w:r>
      <w:r w:rsidR="00CF536C" w:rsidRPr="00261B72">
        <w:rPr>
          <w:color w:val="000000"/>
          <w:sz w:val="22"/>
          <w:szCs w:val="22"/>
          <w:shd w:val="clear" w:color="auto" w:fill="FFFFFF"/>
          <w:lang w:val="fr-CA"/>
        </w:rPr>
        <w:t>v</w:t>
      </w:r>
      <w:r w:rsidRPr="00261B72">
        <w:rPr>
          <w:color w:val="000000"/>
          <w:sz w:val="22"/>
          <w:szCs w:val="22"/>
          <w:shd w:val="clear" w:color="auto" w:fill="FFFFFF"/>
          <w:lang w:val="fr-CA"/>
        </w:rPr>
        <w:t>ol</w:t>
      </w:r>
      <w:r w:rsidR="00BE4B77" w:rsidRPr="00261B72">
        <w:rPr>
          <w:color w:val="000000"/>
          <w:sz w:val="22"/>
          <w:szCs w:val="22"/>
          <w:shd w:val="clear" w:color="auto" w:fill="FFFFFF"/>
          <w:lang w:val="fr-CA"/>
        </w:rPr>
        <w:t> </w:t>
      </w:r>
      <w:r w:rsidRPr="00261B72">
        <w:rPr>
          <w:iCs/>
          <w:color w:val="000000"/>
          <w:sz w:val="22"/>
          <w:szCs w:val="22"/>
          <w:shd w:val="clear" w:color="auto" w:fill="FFFFFF"/>
          <w:lang w:val="fr-CA"/>
        </w:rPr>
        <w:t>59</w:t>
      </w:r>
      <w:r w:rsidRPr="00261B72">
        <w:rPr>
          <w:color w:val="000000"/>
          <w:sz w:val="22"/>
          <w:szCs w:val="22"/>
          <w:shd w:val="clear" w:color="auto" w:fill="FFFFFF"/>
          <w:lang w:val="fr-CA"/>
        </w:rPr>
        <w:t xml:space="preserve"> (3), p</w:t>
      </w:r>
      <w:r w:rsidR="00761149" w:rsidRPr="00261B72">
        <w:rPr>
          <w:color w:val="000000"/>
          <w:sz w:val="22"/>
          <w:szCs w:val="22"/>
          <w:shd w:val="clear" w:color="auto" w:fill="FFFFFF"/>
          <w:lang w:val="fr-CA"/>
        </w:rPr>
        <w:t>p</w:t>
      </w:r>
      <w:r w:rsidRPr="00261B72">
        <w:rPr>
          <w:color w:val="000000"/>
          <w:sz w:val="22"/>
          <w:szCs w:val="22"/>
          <w:shd w:val="clear" w:color="auto" w:fill="FFFFFF"/>
          <w:lang w:val="fr-CA"/>
        </w:rPr>
        <w:t>.</w:t>
      </w:r>
      <w:r w:rsidR="00BE4B77" w:rsidRPr="00261B72">
        <w:rPr>
          <w:color w:val="000000"/>
          <w:sz w:val="22"/>
          <w:szCs w:val="22"/>
          <w:shd w:val="clear" w:color="auto" w:fill="FFFFFF"/>
          <w:lang w:val="fr-CA"/>
        </w:rPr>
        <w:t> </w:t>
      </w:r>
      <w:r w:rsidRPr="00261B72">
        <w:rPr>
          <w:color w:val="000000"/>
          <w:sz w:val="22"/>
          <w:szCs w:val="22"/>
          <w:shd w:val="clear" w:color="auto" w:fill="FFFFFF"/>
          <w:lang w:val="fr-CA"/>
        </w:rPr>
        <w:t>423–453.</w:t>
      </w:r>
    </w:p>
    <w:p w14:paraId="0D6C7589" w14:textId="77777777" w:rsidR="003C0EE3" w:rsidRPr="00261B72" w:rsidRDefault="003C0EE3" w:rsidP="00BA113F">
      <w:pPr>
        <w:spacing w:after="240" w:line="276" w:lineRule="auto"/>
        <w:rPr>
          <w:color w:val="000000"/>
          <w:sz w:val="22"/>
          <w:szCs w:val="22"/>
          <w:shd w:val="clear" w:color="auto" w:fill="FFFFFF"/>
          <w:lang w:val="fr-CA"/>
        </w:rPr>
      </w:pPr>
      <w:r w:rsidRPr="00261B72">
        <w:rPr>
          <w:color w:val="000000"/>
          <w:sz w:val="22"/>
          <w:szCs w:val="22"/>
          <w:shd w:val="clear" w:color="auto" w:fill="FFFFFF"/>
          <w:lang w:val="fr-CA"/>
        </w:rPr>
        <w:lastRenderedPageBreak/>
        <w:t xml:space="preserve">PENISSON, Bernard. </w:t>
      </w:r>
      <w:r w:rsidR="00474127" w:rsidRPr="00261B72">
        <w:rPr>
          <w:color w:val="333333"/>
          <w:sz w:val="22"/>
          <w:szCs w:val="22"/>
          <w:shd w:val="clear" w:color="auto" w:fill="FFFFFF"/>
          <w:lang w:val="fr-CA"/>
        </w:rPr>
        <w:t>«</w:t>
      </w:r>
      <w:r w:rsidR="00BE4B77" w:rsidRPr="00261B72">
        <w:rPr>
          <w:color w:val="333333"/>
          <w:sz w:val="22"/>
          <w:szCs w:val="22"/>
          <w:shd w:val="clear" w:color="auto" w:fill="FFFFFF"/>
          <w:lang w:val="fr-CA"/>
        </w:rPr>
        <w:t> </w:t>
      </w:r>
      <w:r w:rsidRPr="00261B72">
        <w:rPr>
          <w:color w:val="000000"/>
          <w:sz w:val="22"/>
          <w:szCs w:val="22"/>
          <w:shd w:val="clear" w:color="auto" w:fill="FFFFFF"/>
          <w:lang w:val="fr-CA"/>
        </w:rPr>
        <w:t>Un siècle d</w:t>
      </w:r>
      <w:r w:rsidR="00BE4B77" w:rsidRPr="00261B72">
        <w:rPr>
          <w:color w:val="000000"/>
          <w:sz w:val="22"/>
          <w:szCs w:val="22"/>
          <w:shd w:val="clear" w:color="auto" w:fill="FFFFFF"/>
          <w:lang w:val="fr-CA"/>
        </w:rPr>
        <w:t>’</w:t>
      </w:r>
      <w:r w:rsidRPr="00261B72">
        <w:rPr>
          <w:color w:val="000000"/>
          <w:sz w:val="22"/>
          <w:szCs w:val="22"/>
          <w:shd w:val="clear" w:color="auto" w:fill="FFFFFF"/>
          <w:lang w:val="fr-CA"/>
        </w:rPr>
        <w:t>immigration française au Canada (1881-1980)</w:t>
      </w:r>
      <w:r w:rsidR="00BE4B77" w:rsidRPr="00261B72">
        <w:rPr>
          <w:color w:val="000000"/>
          <w:sz w:val="22"/>
          <w:szCs w:val="22"/>
          <w:shd w:val="clear" w:color="auto" w:fill="FFFFFF"/>
          <w:lang w:val="fr-CA"/>
        </w:rPr>
        <w:t> </w:t>
      </w:r>
      <w:r w:rsidR="00474127" w:rsidRPr="00261B72">
        <w:rPr>
          <w:color w:val="000000"/>
          <w:sz w:val="22"/>
          <w:szCs w:val="22"/>
          <w:shd w:val="clear" w:color="auto" w:fill="FFFFFF"/>
          <w:lang w:val="fr-CA"/>
        </w:rPr>
        <w:t>»</w:t>
      </w:r>
      <w:r w:rsidRPr="00261B72">
        <w:rPr>
          <w:color w:val="000000"/>
          <w:sz w:val="22"/>
          <w:szCs w:val="22"/>
          <w:shd w:val="clear" w:color="auto" w:fill="FFFFFF"/>
          <w:lang w:val="fr-CA"/>
        </w:rPr>
        <w:t>.</w:t>
      </w:r>
      <w:r w:rsidR="00474127" w:rsidRPr="00261B72">
        <w:rPr>
          <w:color w:val="000000"/>
          <w:sz w:val="22"/>
          <w:szCs w:val="22"/>
          <w:shd w:val="clear" w:color="auto" w:fill="FFFFFF"/>
          <w:lang w:val="fr-CA"/>
        </w:rPr>
        <w:t xml:space="preserve"> </w:t>
      </w:r>
      <w:r w:rsidRPr="00261B72">
        <w:rPr>
          <w:rStyle w:val="Emphasis"/>
          <w:color w:val="000000"/>
          <w:sz w:val="22"/>
          <w:szCs w:val="22"/>
          <w:shd w:val="clear" w:color="auto" w:fill="FFFFFF"/>
          <w:lang w:val="fr-CA"/>
        </w:rPr>
        <w:t>Revue européenne des migrations internationales</w:t>
      </w:r>
      <w:r w:rsidRPr="00261B72">
        <w:rPr>
          <w:color w:val="000000"/>
          <w:sz w:val="22"/>
          <w:szCs w:val="22"/>
          <w:shd w:val="clear" w:color="auto" w:fill="FFFFFF"/>
          <w:lang w:val="fr-CA"/>
        </w:rPr>
        <w:t>, vol</w:t>
      </w:r>
      <w:r w:rsidR="00BE4B77" w:rsidRPr="00261B72">
        <w:rPr>
          <w:color w:val="000000"/>
          <w:sz w:val="22"/>
          <w:szCs w:val="22"/>
          <w:shd w:val="clear" w:color="auto" w:fill="FFFFFF"/>
          <w:lang w:val="fr-CA"/>
        </w:rPr>
        <w:t> </w:t>
      </w:r>
      <w:r w:rsidRPr="00261B72">
        <w:rPr>
          <w:color w:val="000000"/>
          <w:sz w:val="22"/>
          <w:szCs w:val="22"/>
          <w:shd w:val="clear" w:color="auto" w:fill="FFFFFF"/>
          <w:lang w:val="fr-CA"/>
        </w:rPr>
        <w:t>2, n°</w:t>
      </w:r>
      <w:r w:rsidR="00BE4B77" w:rsidRPr="00261B72">
        <w:rPr>
          <w:color w:val="000000"/>
          <w:sz w:val="22"/>
          <w:szCs w:val="22"/>
          <w:shd w:val="clear" w:color="auto" w:fill="FFFFFF"/>
          <w:lang w:val="fr-CA"/>
        </w:rPr>
        <w:t> </w:t>
      </w:r>
      <w:r w:rsidRPr="00261B72">
        <w:rPr>
          <w:color w:val="000000"/>
          <w:sz w:val="22"/>
          <w:szCs w:val="22"/>
          <w:shd w:val="clear" w:color="auto" w:fill="FFFFFF"/>
          <w:lang w:val="fr-CA"/>
        </w:rPr>
        <w:t xml:space="preserve">2, </w:t>
      </w:r>
      <w:r w:rsidR="007B5754" w:rsidRPr="00261B72">
        <w:rPr>
          <w:color w:val="000000"/>
          <w:sz w:val="22"/>
          <w:szCs w:val="22"/>
          <w:shd w:val="clear" w:color="auto" w:fill="FFFFFF"/>
          <w:lang w:val="fr-CA"/>
        </w:rPr>
        <w:t>n</w:t>
      </w:r>
      <w:r w:rsidRPr="00261B72">
        <w:rPr>
          <w:color w:val="000000"/>
          <w:sz w:val="22"/>
          <w:szCs w:val="22"/>
          <w:shd w:val="clear" w:color="auto" w:fill="FFFFFF"/>
          <w:lang w:val="fr-CA"/>
        </w:rPr>
        <w:t>ovembre 1986. Amériques, sous la direction de Yves Charbit et Jacqueline Costa-Lascoux. pp.</w:t>
      </w:r>
      <w:r w:rsidR="00BE4B77" w:rsidRPr="00261B72">
        <w:rPr>
          <w:color w:val="000000"/>
          <w:sz w:val="22"/>
          <w:szCs w:val="22"/>
          <w:shd w:val="clear" w:color="auto" w:fill="FFFFFF"/>
          <w:lang w:val="fr-CA"/>
        </w:rPr>
        <w:t> </w:t>
      </w:r>
      <w:r w:rsidRPr="00261B72">
        <w:rPr>
          <w:color w:val="000000"/>
          <w:sz w:val="22"/>
          <w:szCs w:val="22"/>
          <w:shd w:val="clear" w:color="auto" w:fill="FFFFFF"/>
          <w:lang w:val="fr-CA"/>
        </w:rPr>
        <w:t>111-125.</w:t>
      </w:r>
    </w:p>
    <w:p w14:paraId="14E5D07B" w14:textId="77777777" w:rsidR="00BF632A" w:rsidRPr="003433E9" w:rsidRDefault="00BF632A" w:rsidP="00B0701E">
      <w:pPr>
        <w:spacing w:after="200" w:line="276" w:lineRule="auto"/>
        <w:rPr>
          <w:color w:val="333333"/>
          <w:sz w:val="22"/>
          <w:szCs w:val="22"/>
          <w:shd w:val="clear" w:color="auto" w:fill="FFFFFF"/>
        </w:rPr>
      </w:pPr>
      <w:r w:rsidRPr="00261B72">
        <w:rPr>
          <w:color w:val="333333"/>
          <w:sz w:val="22"/>
          <w:szCs w:val="22"/>
          <w:shd w:val="clear" w:color="auto" w:fill="FFFFFF"/>
          <w:lang w:val="fr-CA"/>
        </w:rPr>
        <w:t xml:space="preserve">PERREAULT, Robert B. </w:t>
      </w:r>
      <w:r w:rsidR="00474127" w:rsidRPr="00261B72">
        <w:rPr>
          <w:color w:val="333333"/>
          <w:sz w:val="22"/>
          <w:szCs w:val="22"/>
          <w:shd w:val="clear" w:color="auto" w:fill="FFFFFF"/>
          <w:lang w:val="fr-CA"/>
        </w:rPr>
        <w:t>«</w:t>
      </w:r>
      <w:r w:rsidR="00BE4B77" w:rsidRPr="00261B72">
        <w:rPr>
          <w:color w:val="333333"/>
          <w:sz w:val="22"/>
          <w:szCs w:val="22"/>
          <w:shd w:val="clear" w:color="auto" w:fill="FFFFFF"/>
          <w:lang w:val="fr-CA"/>
        </w:rPr>
        <w:t> </w:t>
      </w:r>
      <w:r w:rsidRPr="00261B72">
        <w:rPr>
          <w:color w:val="333333"/>
          <w:sz w:val="22"/>
          <w:szCs w:val="22"/>
          <w:shd w:val="clear" w:color="auto" w:fill="FFFFFF"/>
          <w:lang w:val="fr-CA"/>
        </w:rPr>
        <w:t>Les Franco-Américains de Manchester, New Hampshire : réalités en 2011</w:t>
      </w:r>
      <w:r w:rsidR="00BE4B77" w:rsidRPr="00261B72">
        <w:rPr>
          <w:color w:val="333333"/>
          <w:sz w:val="22"/>
          <w:szCs w:val="22"/>
          <w:shd w:val="clear" w:color="auto" w:fill="FFFFFF"/>
          <w:lang w:val="fr-CA"/>
        </w:rPr>
        <w:t> </w:t>
      </w:r>
      <w:r w:rsidR="00474127" w:rsidRPr="00261B72">
        <w:rPr>
          <w:color w:val="333333"/>
          <w:sz w:val="22"/>
          <w:szCs w:val="22"/>
          <w:shd w:val="clear" w:color="auto" w:fill="FFFFFF"/>
          <w:lang w:val="fr-CA"/>
        </w:rPr>
        <w:t>»</w:t>
      </w:r>
      <w:r w:rsidRPr="00261B72">
        <w:rPr>
          <w:color w:val="333333"/>
          <w:sz w:val="22"/>
          <w:szCs w:val="22"/>
          <w:shd w:val="clear" w:color="auto" w:fill="FFFFFF"/>
          <w:lang w:val="fr-CA"/>
        </w:rPr>
        <w:t>.</w:t>
      </w:r>
      <w:r w:rsidR="000A1673" w:rsidRPr="00261B72">
        <w:rPr>
          <w:color w:val="333333"/>
          <w:sz w:val="22"/>
          <w:szCs w:val="22"/>
          <w:shd w:val="clear" w:color="auto" w:fill="FFFFFF"/>
          <w:lang w:val="fr-CA"/>
        </w:rPr>
        <w:t xml:space="preserve"> </w:t>
      </w:r>
      <w:r w:rsidRPr="003433E9">
        <w:rPr>
          <w:i/>
          <w:iCs/>
          <w:color w:val="333333"/>
          <w:sz w:val="22"/>
          <w:szCs w:val="22"/>
          <w:shd w:val="clear" w:color="auto" w:fill="FFFFFF"/>
        </w:rPr>
        <w:t>International Journal of Canadian Studies</w:t>
      </w:r>
      <w:r w:rsidRPr="003433E9">
        <w:rPr>
          <w:color w:val="333333"/>
          <w:sz w:val="22"/>
          <w:szCs w:val="22"/>
          <w:shd w:val="clear" w:color="auto" w:fill="FFFFFF"/>
        </w:rPr>
        <w:t xml:space="preserve">, </w:t>
      </w:r>
      <w:r w:rsidR="00CF536C" w:rsidRPr="003433E9">
        <w:rPr>
          <w:rFonts w:eastAsia="Calibri"/>
          <w:bCs/>
          <w:color w:val="000000"/>
          <w:sz w:val="22"/>
          <w:szCs w:val="22"/>
          <w:lang w:eastAsia="en-US"/>
        </w:rPr>
        <w:t>n°</w:t>
      </w:r>
      <w:r w:rsidRPr="003433E9">
        <w:rPr>
          <w:color w:val="333333"/>
          <w:sz w:val="22"/>
          <w:szCs w:val="22"/>
          <w:shd w:val="clear" w:color="auto" w:fill="FFFFFF"/>
        </w:rPr>
        <w:t xml:space="preserve"> 44, 2011, p. 23–32.</w:t>
      </w:r>
    </w:p>
    <w:p w14:paraId="4F7BABA4" w14:textId="77777777" w:rsidR="00C341FD" w:rsidRPr="003433E9" w:rsidRDefault="00680F13" w:rsidP="00B0701E">
      <w:pPr>
        <w:spacing w:after="200" w:line="276" w:lineRule="auto"/>
        <w:rPr>
          <w:color w:val="333333"/>
          <w:sz w:val="22"/>
          <w:szCs w:val="22"/>
          <w:shd w:val="clear" w:color="auto" w:fill="FFFFFF"/>
          <w:lang w:val="fr-CA"/>
        </w:rPr>
      </w:pPr>
      <w:r w:rsidRPr="003433E9">
        <w:rPr>
          <w:color w:val="333333"/>
          <w:sz w:val="22"/>
          <w:szCs w:val="22"/>
          <w:shd w:val="clear" w:color="auto" w:fill="FFFFFF"/>
        </w:rPr>
        <w:t>PETERS</w:t>
      </w:r>
      <w:r w:rsidR="00C341FD" w:rsidRPr="003433E9">
        <w:rPr>
          <w:color w:val="333333"/>
          <w:sz w:val="22"/>
          <w:szCs w:val="22"/>
          <w:shd w:val="clear" w:color="auto" w:fill="FFFFFF"/>
        </w:rPr>
        <w:t xml:space="preserve">, Jason. </w:t>
      </w:r>
      <w:r w:rsidR="00474127" w:rsidRPr="00261B72">
        <w:rPr>
          <w:color w:val="333333"/>
          <w:sz w:val="22"/>
          <w:szCs w:val="22"/>
          <w:shd w:val="clear" w:color="auto" w:fill="FFFFFF"/>
        </w:rPr>
        <w:t xml:space="preserve">« </w:t>
      </w:r>
      <w:r w:rsidR="00C341FD" w:rsidRPr="00261B72">
        <w:rPr>
          <w:color w:val="333333"/>
          <w:sz w:val="22"/>
          <w:szCs w:val="22"/>
          <w:shd w:val="clear" w:color="auto" w:fill="FFFFFF"/>
        </w:rPr>
        <w:t>‘Speak White’: Language Policy, Immigration Discourse, and Tactical Authenticity in a French Enclave in New England</w:t>
      </w:r>
      <w:r w:rsidR="00474127" w:rsidRPr="00261B72">
        <w:rPr>
          <w:color w:val="333333"/>
          <w:sz w:val="22"/>
          <w:szCs w:val="22"/>
          <w:shd w:val="clear" w:color="auto" w:fill="FFFFFF"/>
        </w:rPr>
        <w:t>».</w:t>
      </w:r>
      <w:r w:rsidR="000A1673" w:rsidRPr="00261B72">
        <w:rPr>
          <w:color w:val="333333"/>
          <w:sz w:val="22"/>
          <w:szCs w:val="22"/>
          <w:shd w:val="clear" w:color="auto" w:fill="FFFFFF"/>
        </w:rPr>
        <w:t xml:space="preserve"> </w:t>
      </w:r>
      <w:r w:rsidR="00C341FD" w:rsidRPr="003433E9">
        <w:rPr>
          <w:i/>
          <w:iCs/>
          <w:color w:val="333333"/>
          <w:sz w:val="22"/>
          <w:szCs w:val="22"/>
          <w:shd w:val="clear" w:color="auto" w:fill="FFFFFF"/>
          <w:lang w:val="fr-CA"/>
        </w:rPr>
        <w:t>College English</w:t>
      </w:r>
      <w:r w:rsidR="00C341FD" w:rsidRPr="003433E9">
        <w:rPr>
          <w:color w:val="333333"/>
          <w:sz w:val="22"/>
          <w:szCs w:val="22"/>
          <w:shd w:val="clear" w:color="auto" w:fill="FFFFFF"/>
          <w:lang w:val="fr-CA"/>
        </w:rPr>
        <w:t>, vol</w:t>
      </w:r>
      <w:r w:rsidR="00E21DFD" w:rsidRPr="003433E9">
        <w:rPr>
          <w:color w:val="333333"/>
          <w:sz w:val="22"/>
          <w:szCs w:val="22"/>
          <w:shd w:val="clear" w:color="auto" w:fill="FFFFFF"/>
          <w:lang w:val="fr-CA"/>
        </w:rPr>
        <w:t> </w:t>
      </w:r>
      <w:r w:rsidR="00C341FD" w:rsidRPr="003433E9">
        <w:rPr>
          <w:color w:val="333333"/>
          <w:sz w:val="22"/>
          <w:szCs w:val="22"/>
          <w:shd w:val="clear" w:color="auto" w:fill="FFFFFF"/>
          <w:lang w:val="fr-CA"/>
        </w:rPr>
        <w:t xml:space="preserve">75, </w:t>
      </w:r>
      <w:r w:rsidR="00CF536C" w:rsidRPr="003433E9">
        <w:rPr>
          <w:rFonts w:eastAsia="Calibri"/>
          <w:bCs/>
          <w:color w:val="000000"/>
          <w:sz w:val="22"/>
          <w:szCs w:val="22"/>
          <w:lang w:val="fr-CA" w:eastAsia="en-US"/>
        </w:rPr>
        <w:t xml:space="preserve">n° </w:t>
      </w:r>
      <w:r w:rsidR="00C341FD" w:rsidRPr="003433E9">
        <w:rPr>
          <w:color w:val="333333"/>
          <w:sz w:val="22"/>
          <w:szCs w:val="22"/>
          <w:shd w:val="clear" w:color="auto" w:fill="FFFFFF"/>
          <w:lang w:val="fr-CA"/>
        </w:rPr>
        <w:t>6, 2013, pp. 563–581.</w:t>
      </w:r>
    </w:p>
    <w:p w14:paraId="56748BD1" w14:textId="77777777" w:rsidR="00BA113F" w:rsidRPr="003433E9" w:rsidRDefault="00F7000C" w:rsidP="00680F13">
      <w:pPr>
        <w:spacing w:after="200" w:line="276" w:lineRule="auto"/>
        <w:rPr>
          <w:sz w:val="22"/>
          <w:szCs w:val="22"/>
          <w:lang w:val="fr-CA"/>
        </w:rPr>
      </w:pPr>
      <w:r w:rsidRPr="00261B72">
        <w:rPr>
          <w:sz w:val="22"/>
          <w:szCs w:val="22"/>
          <w:lang w:val="fr-CA"/>
        </w:rPr>
        <w:t>QUINTAL, Claire. «</w:t>
      </w:r>
      <w:r w:rsidR="00BE4B77" w:rsidRPr="00261B72">
        <w:rPr>
          <w:sz w:val="22"/>
          <w:szCs w:val="22"/>
          <w:lang w:val="fr-CA"/>
        </w:rPr>
        <w:t> </w:t>
      </w:r>
      <w:r w:rsidRPr="00261B72">
        <w:rPr>
          <w:sz w:val="22"/>
          <w:szCs w:val="22"/>
          <w:lang w:val="fr-CA"/>
        </w:rPr>
        <w:t>Les archives des Franco-Américains et des Acadiens de la Nouvelle-Angleterre</w:t>
      </w:r>
      <w:r w:rsidR="00BE4B77" w:rsidRPr="00261B72">
        <w:rPr>
          <w:sz w:val="22"/>
          <w:szCs w:val="22"/>
          <w:lang w:val="fr-CA"/>
        </w:rPr>
        <w:t> </w:t>
      </w:r>
      <w:r w:rsidR="00474127" w:rsidRPr="00261B72">
        <w:rPr>
          <w:sz w:val="22"/>
          <w:szCs w:val="22"/>
          <w:lang w:val="fr-CA"/>
        </w:rPr>
        <w:t xml:space="preserve">» </w:t>
      </w:r>
      <w:r w:rsidRPr="00261B72">
        <w:rPr>
          <w:i/>
          <w:iCs/>
          <w:sz w:val="22"/>
          <w:szCs w:val="22"/>
          <w:lang w:val="fr-CA"/>
        </w:rPr>
        <w:t>Archives</w:t>
      </w:r>
      <w:r w:rsidR="008E79C5" w:rsidRPr="00261B72">
        <w:rPr>
          <w:sz w:val="22"/>
          <w:szCs w:val="22"/>
          <w:lang w:val="fr-CA"/>
        </w:rPr>
        <w:t xml:space="preserve">, </w:t>
      </w:r>
      <w:r w:rsidR="009C487F" w:rsidRPr="00261B72">
        <w:rPr>
          <w:sz w:val="22"/>
          <w:szCs w:val="22"/>
          <w:lang w:val="fr-CA"/>
        </w:rPr>
        <w:t>v</w:t>
      </w:r>
      <w:r w:rsidRPr="00261B72">
        <w:rPr>
          <w:sz w:val="22"/>
          <w:szCs w:val="22"/>
          <w:lang w:val="fr-CA"/>
        </w:rPr>
        <w:t>ol</w:t>
      </w:r>
      <w:r w:rsidR="00CF536C" w:rsidRPr="00261B72">
        <w:rPr>
          <w:sz w:val="22"/>
          <w:szCs w:val="22"/>
          <w:lang w:val="fr-CA"/>
        </w:rPr>
        <w:t xml:space="preserve"> </w:t>
      </w:r>
      <w:r w:rsidRPr="00261B72">
        <w:rPr>
          <w:sz w:val="22"/>
          <w:szCs w:val="22"/>
          <w:lang w:val="fr-CA"/>
        </w:rPr>
        <w:t xml:space="preserve">36, </w:t>
      </w:r>
      <w:r w:rsidR="00CF536C" w:rsidRPr="00261B72">
        <w:rPr>
          <w:rFonts w:eastAsia="Calibri"/>
          <w:bCs/>
          <w:color w:val="000000"/>
          <w:sz w:val="22"/>
          <w:szCs w:val="22"/>
          <w:lang w:val="fr-CA" w:eastAsia="en-US"/>
        </w:rPr>
        <w:t>n°</w:t>
      </w:r>
      <w:r w:rsidR="00BE4B77" w:rsidRPr="00261B72">
        <w:rPr>
          <w:sz w:val="22"/>
          <w:szCs w:val="22"/>
          <w:lang w:val="fr-CA"/>
        </w:rPr>
        <w:t> </w:t>
      </w:r>
      <w:r w:rsidRPr="00261B72">
        <w:rPr>
          <w:sz w:val="22"/>
          <w:szCs w:val="22"/>
          <w:lang w:val="fr-CA"/>
        </w:rPr>
        <w:t>2, 2004-2005</w:t>
      </w:r>
      <w:r w:rsidR="00CF536C" w:rsidRPr="00261B72">
        <w:rPr>
          <w:sz w:val="22"/>
          <w:szCs w:val="22"/>
          <w:lang w:val="fr-CA"/>
        </w:rPr>
        <w:t>,</w:t>
      </w:r>
      <w:r w:rsidRPr="00261B72">
        <w:rPr>
          <w:sz w:val="22"/>
          <w:szCs w:val="22"/>
          <w:lang w:val="fr-CA"/>
        </w:rPr>
        <w:t xml:space="preserve"> p</w:t>
      </w:r>
      <w:r w:rsidR="00CF536C" w:rsidRPr="00261B72">
        <w:rPr>
          <w:sz w:val="22"/>
          <w:szCs w:val="22"/>
          <w:lang w:val="fr-CA"/>
        </w:rPr>
        <w:t>p</w:t>
      </w:r>
      <w:r w:rsidRPr="00261B72">
        <w:rPr>
          <w:sz w:val="22"/>
          <w:szCs w:val="22"/>
          <w:lang w:val="fr-CA"/>
        </w:rPr>
        <w:t>.</w:t>
      </w:r>
      <w:r w:rsidR="00BE4B77" w:rsidRPr="00261B72">
        <w:rPr>
          <w:sz w:val="22"/>
          <w:szCs w:val="22"/>
          <w:lang w:val="fr-CA"/>
        </w:rPr>
        <w:t> </w:t>
      </w:r>
      <w:r w:rsidRPr="00261B72">
        <w:rPr>
          <w:sz w:val="22"/>
          <w:szCs w:val="22"/>
          <w:lang w:val="fr-CA"/>
        </w:rPr>
        <w:t xml:space="preserve">39-57. </w:t>
      </w:r>
      <w:hyperlink r:id="rId24" w:history="1">
        <w:r w:rsidRPr="00261B72">
          <w:rPr>
            <w:rStyle w:val="Hyperlink"/>
            <w:sz w:val="22"/>
            <w:szCs w:val="22"/>
            <w:lang w:val="fr-CA"/>
          </w:rPr>
          <w:t>http://www.archivistes.qc.ca/revuearchives/vol36_2/36-2_quintal.pdf</w:t>
        </w:r>
      </w:hyperlink>
      <w:r w:rsidRPr="00261B72">
        <w:rPr>
          <w:sz w:val="22"/>
          <w:szCs w:val="22"/>
          <w:lang w:val="fr-CA"/>
        </w:rPr>
        <w:t>.</w:t>
      </w:r>
      <w:r w:rsidR="00474127" w:rsidRPr="00261B72">
        <w:rPr>
          <w:sz w:val="22"/>
          <w:szCs w:val="22"/>
          <w:lang w:val="fr-CA"/>
        </w:rPr>
        <w:t xml:space="preserve"> </w:t>
      </w:r>
      <w:r w:rsidR="00474127" w:rsidRPr="003433E9">
        <w:rPr>
          <w:sz w:val="22"/>
          <w:szCs w:val="22"/>
          <w:lang w:val="fr-CA"/>
        </w:rPr>
        <w:t>Consulté le 3 août 2019.</w:t>
      </w:r>
    </w:p>
    <w:p w14:paraId="5024B794" w14:textId="77777777" w:rsidR="00680F13" w:rsidRPr="003433E9" w:rsidRDefault="00680F13" w:rsidP="00680F13">
      <w:pPr>
        <w:spacing w:after="200" w:line="276" w:lineRule="auto"/>
        <w:rPr>
          <w:rFonts w:eastAsia="Calibri"/>
          <w:sz w:val="22"/>
          <w:szCs w:val="22"/>
          <w:lang w:val="fr-CA" w:eastAsia="en-US"/>
        </w:rPr>
      </w:pPr>
      <w:r w:rsidRPr="00261B72">
        <w:rPr>
          <w:rFonts w:eastAsia="Calibri"/>
          <w:sz w:val="22"/>
          <w:szCs w:val="22"/>
          <w:lang w:eastAsia="en-US"/>
        </w:rPr>
        <w:t xml:space="preserve">RAMIREZ, Bruno. «French Canadian Immigrants in the New England Cotton Industry: A Socioeconimic Profile», Research Reports. </w:t>
      </w:r>
      <w:r w:rsidRPr="003433E9">
        <w:rPr>
          <w:rFonts w:eastAsia="Calibri"/>
          <w:i/>
          <w:sz w:val="22"/>
          <w:szCs w:val="22"/>
          <w:lang w:val="fr-CA" w:eastAsia="en-US"/>
        </w:rPr>
        <w:t>Labour</w:t>
      </w:r>
      <w:r w:rsidR="008E79C5" w:rsidRPr="003433E9">
        <w:rPr>
          <w:rFonts w:eastAsia="Calibri"/>
          <w:i/>
          <w:sz w:val="22"/>
          <w:szCs w:val="22"/>
          <w:lang w:val="fr-CA" w:eastAsia="en-US"/>
        </w:rPr>
        <w:t>,</w:t>
      </w:r>
      <w:r w:rsidRPr="003433E9">
        <w:rPr>
          <w:rFonts w:eastAsia="Calibri"/>
          <w:sz w:val="22"/>
          <w:szCs w:val="22"/>
          <w:lang w:val="fr-CA" w:eastAsia="en-US"/>
        </w:rPr>
        <w:t xml:space="preserve"> </w:t>
      </w:r>
      <w:r w:rsidR="009C487F" w:rsidRPr="003433E9">
        <w:rPr>
          <w:rFonts w:eastAsia="Calibri"/>
          <w:sz w:val="22"/>
          <w:szCs w:val="22"/>
          <w:lang w:val="fr-CA" w:eastAsia="en-US"/>
        </w:rPr>
        <w:t>v</w:t>
      </w:r>
      <w:r w:rsidRPr="003433E9">
        <w:rPr>
          <w:rFonts w:eastAsia="Calibri"/>
          <w:sz w:val="22"/>
          <w:szCs w:val="22"/>
          <w:lang w:val="fr-CA" w:eastAsia="en-US"/>
        </w:rPr>
        <w:t>ol</w:t>
      </w:r>
      <w:r w:rsidR="00E21DFD" w:rsidRPr="003433E9">
        <w:rPr>
          <w:rFonts w:eastAsia="Calibri"/>
          <w:sz w:val="22"/>
          <w:szCs w:val="22"/>
          <w:lang w:val="fr-CA" w:eastAsia="en-US"/>
        </w:rPr>
        <w:t> </w:t>
      </w:r>
      <w:r w:rsidRPr="003433E9">
        <w:rPr>
          <w:rFonts w:eastAsia="Calibri"/>
          <w:sz w:val="22"/>
          <w:szCs w:val="22"/>
          <w:lang w:val="fr-CA" w:eastAsia="en-US"/>
        </w:rPr>
        <w:t xml:space="preserve">11, 1983. </w:t>
      </w:r>
      <w:r w:rsidR="005D605B" w:rsidRPr="003433E9">
        <w:rPr>
          <w:rFonts w:eastAsia="Calibri"/>
          <w:sz w:val="22"/>
          <w:szCs w:val="22"/>
          <w:lang w:val="fr-CA" w:eastAsia="en-US"/>
        </w:rPr>
        <w:t>pp. 125</w:t>
      </w:r>
      <w:r w:rsidR="00BE4B77" w:rsidRPr="003433E9">
        <w:rPr>
          <w:rFonts w:eastAsia="Calibri"/>
          <w:sz w:val="22"/>
          <w:szCs w:val="22"/>
          <w:lang w:val="fr-CA" w:eastAsia="en-US"/>
        </w:rPr>
        <w:t>–</w:t>
      </w:r>
      <w:r w:rsidR="005D605B" w:rsidRPr="003433E9">
        <w:rPr>
          <w:rFonts w:eastAsia="Calibri"/>
          <w:sz w:val="22"/>
          <w:szCs w:val="22"/>
          <w:lang w:val="fr-CA" w:eastAsia="en-US"/>
        </w:rPr>
        <w:t>142</w:t>
      </w:r>
      <w:r w:rsidRPr="003433E9">
        <w:rPr>
          <w:rFonts w:eastAsia="Calibri"/>
          <w:sz w:val="22"/>
          <w:szCs w:val="22"/>
          <w:lang w:val="fr-CA" w:eastAsia="en-US"/>
        </w:rPr>
        <w:t>.</w:t>
      </w:r>
    </w:p>
    <w:p w14:paraId="2BA37CC3" w14:textId="77777777" w:rsidR="00B0701E" w:rsidRPr="00261B72" w:rsidRDefault="00B0701E" w:rsidP="00E9360A">
      <w:pPr>
        <w:spacing w:after="200" w:line="276" w:lineRule="auto"/>
        <w:rPr>
          <w:rFonts w:eastAsia="Calibri"/>
          <w:sz w:val="22"/>
          <w:szCs w:val="22"/>
          <w:lang w:eastAsia="en-US"/>
        </w:rPr>
      </w:pPr>
      <w:r w:rsidRPr="00261B72">
        <w:rPr>
          <w:rFonts w:eastAsia="Calibri"/>
          <w:sz w:val="22"/>
          <w:szCs w:val="22"/>
          <w:lang w:val="fr-CA" w:eastAsia="en-US"/>
        </w:rPr>
        <w:t xml:space="preserve">RICHARD Béatrice. </w:t>
      </w:r>
      <w:r w:rsidR="00BA113F"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sz w:val="22"/>
          <w:szCs w:val="22"/>
          <w:lang w:val="fr-CA" w:eastAsia="en-US"/>
        </w:rPr>
        <w:t>Henri</w:t>
      </w:r>
      <w:r w:rsidR="005D605B" w:rsidRPr="00261B72">
        <w:rPr>
          <w:rFonts w:eastAsia="Calibri"/>
          <w:sz w:val="22"/>
          <w:szCs w:val="22"/>
          <w:lang w:val="fr-CA" w:eastAsia="en-US"/>
        </w:rPr>
        <w:t xml:space="preserve"> </w:t>
      </w:r>
      <w:r w:rsidRPr="00261B72">
        <w:rPr>
          <w:rFonts w:eastAsia="Calibri"/>
          <w:sz w:val="22"/>
          <w:szCs w:val="22"/>
          <w:lang w:val="fr-CA" w:eastAsia="en-US"/>
        </w:rPr>
        <w:t>Bourassa et la conscription de 1917 : traître ou sauveur</w:t>
      </w:r>
      <w:r w:rsidR="00BE4B77" w:rsidRPr="00261B72">
        <w:rPr>
          <w:rFonts w:eastAsia="Calibri"/>
          <w:sz w:val="22"/>
          <w:szCs w:val="22"/>
          <w:lang w:val="fr-CA" w:eastAsia="en-US"/>
        </w:rPr>
        <w:t> </w:t>
      </w:r>
      <w:r w:rsidRPr="00261B72">
        <w:rPr>
          <w:rFonts w:eastAsia="Calibri"/>
          <w:sz w:val="22"/>
          <w:szCs w:val="22"/>
          <w:lang w:val="fr-CA" w:eastAsia="en-US"/>
        </w:rPr>
        <w:t>?</w:t>
      </w:r>
      <w:r w:rsidR="00BA113F" w:rsidRPr="00261B72">
        <w:rPr>
          <w:rFonts w:eastAsia="Calibri"/>
          <w:sz w:val="22"/>
          <w:szCs w:val="22"/>
          <w:lang w:val="fr-CA" w:eastAsia="en-US"/>
        </w:rPr>
        <w:t xml:space="preserve"> »</w:t>
      </w:r>
      <w:r w:rsidRPr="00261B72">
        <w:rPr>
          <w:rFonts w:eastAsia="Calibri"/>
          <w:sz w:val="22"/>
          <w:szCs w:val="22"/>
          <w:lang w:val="fr-CA" w:eastAsia="en-US"/>
        </w:rPr>
        <w:t xml:space="preserve">. </w:t>
      </w:r>
      <w:r w:rsidRPr="00261B72">
        <w:rPr>
          <w:rFonts w:eastAsia="Calibri"/>
          <w:i/>
          <w:sz w:val="22"/>
          <w:szCs w:val="22"/>
          <w:lang w:eastAsia="en-US"/>
        </w:rPr>
        <w:t>Revue militaire canadienne</w:t>
      </w:r>
      <w:r w:rsidRPr="00261B72">
        <w:rPr>
          <w:rFonts w:eastAsia="Calibri"/>
          <w:sz w:val="22"/>
          <w:szCs w:val="22"/>
          <w:lang w:eastAsia="en-US"/>
        </w:rPr>
        <w:t xml:space="preserve">, </w:t>
      </w:r>
      <w:r w:rsidR="000A1673" w:rsidRPr="00261B72">
        <w:rPr>
          <w:rFonts w:eastAsia="Calibri"/>
          <w:sz w:val="22"/>
          <w:szCs w:val="22"/>
          <w:lang w:eastAsia="en-US"/>
        </w:rPr>
        <w:t>v</w:t>
      </w:r>
      <w:r w:rsidRPr="00261B72">
        <w:rPr>
          <w:rFonts w:eastAsia="Calibri"/>
          <w:sz w:val="22"/>
          <w:szCs w:val="22"/>
          <w:lang w:eastAsia="en-US"/>
        </w:rPr>
        <w:t>ol 7, 4 (Winter/Hiver 2006/2007).</w:t>
      </w:r>
    </w:p>
    <w:p w14:paraId="39F61012" w14:textId="77777777" w:rsidR="001D32C1" w:rsidRPr="00261B72" w:rsidRDefault="001D32C1" w:rsidP="00B0701E">
      <w:pPr>
        <w:spacing w:after="200" w:line="276" w:lineRule="auto"/>
        <w:rPr>
          <w:rFonts w:eastAsia="Calibri"/>
          <w:sz w:val="22"/>
          <w:szCs w:val="22"/>
          <w:lang w:eastAsia="en-US"/>
        </w:rPr>
      </w:pPr>
      <w:r w:rsidRPr="00261B72">
        <w:rPr>
          <w:rFonts w:eastAsia="Calibri"/>
          <w:sz w:val="22"/>
          <w:szCs w:val="22"/>
          <w:lang w:eastAsia="en-US"/>
        </w:rPr>
        <w:t xml:space="preserve">RICHARD, </w:t>
      </w:r>
      <w:r w:rsidR="00BF632A" w:rsidRPr="00261B72">
        <w:rPr>
          <w:rFonts w:eastAsia="Calibri"/>
          <w:sz w:val="22"/>
          <w:szCs w:val="22"/>
          <w:lang w:eastAsia="en-US"/>
        </w:rPr>
        <w:t>Mark Paul</w:t>
      </w:r>
      <w:r w:rsidRPr="00261B72">
        <w:rPr>
          <w:rFonts w:eastAsia="Calibri"/>
          <w:sz w:val="22"/>
          <w:szCs w:val="22"/>
          <w:lang w:eastAsia="en-US"/>
        </w:rPr>
        <w:t xml:space="preserve">. </w:t>
      </w:r>
      <w:r w:rsidR="00BA113F" w:rsidRPr="00261B72">
        <w:rPr>
          <w:rFonts w:eastAsia="Calibri"/>
          <w:sz w:val="22"/>
          <w:szCs w:val="22"/>
          <w:lang w:eastAsia="en-US"/>
        </w:rPr>
        <w:t>«</w:t>
      </w:r>
      <w:r w:rsidR="00BE4B77" w:rsidRPr="00261B72">
        <w:rPr>
          <w:rFonts w:eastAsia="Calibri"/>
          <w:sz w:val="22"/>
          <w:szCs w:val="22"/>
          <w:lang w:eastAsia="en-US"/>
        </w:rPr>
        <w:t>“</w:t>
      </w:r>
      <w:r w:rsidRPr="00261B72">
        <w:rPr>
          <w:rFonts w:eastAsia="Calibri"/>
          <w:sz w:val="22"/>
          <w:szCs w:val="22"/>
          <w:lang w:eastAsia="en-US"/>
        </w:rPr>
        <w:t>This Is Not a Catholic Nation</w:t>
      </w:r>
      <w:r w:rsidR="00BE4B77" w:rsidRPr="00261B72">
        <w:rPr>
          <w:rFonts w:eastAsia="Calibri"/>
          <w:sz w:val="22"/>
          <w:szCs w:val="22"/>
          <w:lang w:eastAsia="en-US"/>
        </w:rPr>
        <w:t>” </w:t>
      </w:r>
      <w:r w:rsidRPr="00261B72">
        <w:rPr>
          <w:rFonts w:eastAsia="Calibri"/>
          <w:sz w:val="22"/>
          <w:szCs w:val="22"/>
          <w:lang w:eastAsia="en-US"/>
        </w:rPr>
        <w:t>: The Ku Klux Klan Confronts Franco-Americans in Maine</w:t>
      </w:r>
      <w:r w:rsidR="00BA113F" w:rsidRPr="00261B72">
        <w:rPr>
          <w:rFonts w:eastAsia="Calibri"/>
          <w:sz w:val="22"/>
          <w:szCs w:val="22"/>
          <w:lang w:eastAsia="en-US"/>
        </w:rPr>
        <w:t>»</w:t>
      </w:r>
      <w:r w:rsidRPr="00261B72">
        <w:rPr>
          <w:rFonts w:eastAsia="Calibri"/>
          <w:sz w:val="22"/>
          <w:szCs w:val="22"/>
          <w:lang w:eastAsia="en-US"/>
        </w:rPr>
        <w:t>.</w:t>
      </w:r>
      <w:r w:rsidR="000A1673" w:rsidRPr="00261B72">
        <w:rPr>
          <w:rFonts w:eastAsia="Calibri"/>
          <w:sz w:val="22"/>
          <w:szCs w:val="22"/>
          <w:lang w:eastAsia="en-US"/>
        </w:rPr>
        <w:t xml:space="preserve"> </w:t>
      </w:r>
      <w:r w:rsidRPr="00261B72">
        <w:rPr>
          <w:rFonts w:eastAsia="Calibri"/>
          <w:i/>
          <w:iCs/>
          <w:sz w:val="22"/>
          <w:szCs w:val="22"/>
          <w:lang w:eastAsia="en-US"/>
        </w:rPr>
        <w:t>The New England Quarterly</w:t>
      </w:r>
      <w:r w:rsidRPr="00261B72">
        <w:rPr>
          <w:rFonts w:eastAsia="Calibri"/>
          <w:sz w:val="22"/>
          <w:szCs w:val="22"/>
          <w:lang w:eastAsia="en-US"/>
        </w:rPr>
        <w:t>, vol</w:t>
      </w:r>
      <w:r w:rsidR="00E21DFD" w:rsidRPr="00261B72">
        <w:rPr>
          <w:rFonts w:eastAsia="Calibri"/>
          <w:sz w:val="22"/>
          <w:szCs w:val="22"/>
          <w:lang w:eastAsia="en-US"/>
        </w:rPr>
        <w:t> </w:t>
      </w:r>
      <w:r w:rsidRPr="00261B72">
        <w:rPr>
          <w:rFonts w:eastAsia="Calibri"/>
          <w:sz w:val="22"/>
          <w:szCs w:val="22"/>
          <w:lang w:eastAsia="en-US"/>
        </w:rPr>
        <w:t xml:space="preserve">82, </w:t>
      </w:r>
      <w:r w:rsidR="009C487F" w:rsidRPr="00261B72">
        <w:rPr>
          <w:rFonts w:eastAsia="Calibri"/>
          <w:bCs/>
          <w:color w:val="000000"/>
          <w:sz w:val="22"/>
          <w:szCs w:val="22"/>
          <w:lang w:eastAsia="en-US"/>
        </w:rPr>
        <w:t>n°</w:t>
      </w:r>
      <w:r w:rsidRPr="00261B72">
        <w:rPr>
          <w:rFonts w:eastAsia="Calibri"/>
          <w:sz w:val="22"/>
          <w:szCs w:val="22"/>
          <w:lang w:eastAsia="en-US"/>
        </w:rPr>
        <w:t xml:space="preserve"> 2, 2009, pp. 285</w:t>
      </w:r>
      <w:r w:rsidR="00BE4B77" w:rsidRPr="00261B72">
        <w:rPr>
          <w:rFonts w:eastAsia="Calibri"/>
          <w:sz w:val="22"/>
          <w:szCs w:val="22"/>
          <w:lang w:eastAsia="en-US"/>
        </w:rPr>
        <w:t>–</w:t>
      </w:r>
      <w:r w:rsidRPr="00261B72">
        <w:rPr>
          <w:rFonts w:eastAsia="Calibri"/>
          <w:sz w:val="22"/>
          <w:szCs w:val="22"/>
          <w:lang w:eastAsia="en-US"/>
        </w:rPr>
        <w:t>303.</w:t>
      </w:r>
    </w:p>
    <w:p w14:paraId="2FD3441A" w14:textId="77777777" w:rsidR="001D32C1" w:rsidRPr="003433E9" w:rsidRDefault="00D57786" w:rsidP="00B0701E">
      <w:pPr>
        <w:spacing w:after="200" w:line="276" w:lineRule="auto"/>
        <w:rPr>
          <w:rFonts w:eastAsia="Calibri"/>
          <w:sz w:val="22"/>
          <w:szCs w:val="22"/>
          <w:lang w:val="fr-CA" w:eastAsia="en-US"/>
        </w:rPr>
      </w:pPr>
      <w:r w:rsidRPr="00261B72">
        <w:rPr>
          <w:rFonts w:eastAsia="Calibri"/>
          <w:sz w:val="22"/>
          <w:szCs w:val="22"/>
          <w:lang w:eastAsia="en-US"/>
        </w:rPr>
        <w:t xml:space="preserve">RICHARD, </w:t>
      </w:r>
      <w:r w:rsidR="00BF632A" w:rsidRPr="00261B72">
        <w:rPr>
          <w:rFonts w:eastAsia="Calibri"/>
          <w:sz w:val="22"/>
          <w:szCs w:val="22"/>
          <w:lang w:eastAsia="en-US"/>
        </w:rPr>
        <w:t>Mark Paul</w:t>
      </w:r>
      <w:r w:rsidRPr="00261B72">
        <w:rPr>
          <w:rFonts w:eastAsia="Calibri"/>
          <w:sz w:val="22"/>
          <w:szCs w:val="22"/>
          <w:lang w:eastAsia="en-US"/>
        </w:rPr>
        <w:t xml:space="preserve">. </w:t>
      </w:r>
      <w:r w:rsidR="00BA113F" w:rsidRPr="00261B72">
        <w:rPr>
          <w:rFonts w:eastAsia="Calibri"/>
          <w:sz w:val="22"/>
          <w:szCs w:val="22"/>
          <w:lang w:eastAsia="en-US"/>
        </w:rPr>
        <w:t>«</w:t>
      </w:r>
      <w:r w:rsidRPr="00261B72">
        <w:rPr>
          <w:rFonts w:eastAsia="Calibri"/>
          <w:sz w:val="22"/>
          <w:szCs w:val="22"/>
          <w:lang w:eastAsia="en-US"/>
        </w:rPr>
        <w:t>‘The Humble Parish Bank’: The Cultural Origins of the U.S. Credit Union Movement</w:t>
      </w:r>
      <w:r w:rsidR="00BA113F" w:rsidRPr="00261B72">
        <w:rPr>
          <w:rFonts w:eastAsia="Calibri"/>
          <w:sz w:val="22"/>
          <w:szCs w:val="22"/>
          <w:lang w:eastAsia="en-US"/>
        </w:rPr>
        <w:t>»</w:t>
      </w:r>
      <w:r w:rsidRPr="00261B72">
        <w:rPr>
          <w:rFonts w:eastAsia="Calibri"/>
          <w:sz w:val="22"/>
          <w:szCs w:val="22"/>
          <w:lang w:eastAsia="en-US"/>
        </w:rPr>
        <w:t>.</w:t>
      </w:r>
      <w:r w:rsidR="000A1673" w:rsidRPr="00261B72">
        <w:rPr>
          <w:rFonts w:eastAsia="Calibri"/>
          <w:sz w:val="22"/>
          <w:szCs w:val="22"/>
          <w:lang w:eastAsia="en-US"/>
        </w:rPr>
        <w:t xml:space="preserve"> </w:t>
      </w:r>
      <w:r w:rsidRPr="003433E9">
        <w:rPr>
          <w:rFonts w:eastAsia="Calibri"/>
          <w:i/>
          <w:iCs/>
          <w:sz w:val="22"/>
          <w:szCs w:val="22"/>
          <w:lang w:val="fr-CA" w:eastAsia="en-US"/>
        </w:rPr>
        <w:t>The New England Quarterly</w:t>
      </w:r>
      <w:r w:rsidRPr="003433E9">
        <w:rPr>
          <w:rFonts w:eastAsia="Calibri"/>
          <w:sz w:val="22"/>
          <w:szCs w:val="22"/>
          <w:lang w:val="fr-CA" w:eastAsia="en-US"/>
        </w:rPr>
        <w:t>, vol</w:t>
      </w:r>
      <w:r w:rsidR="00E21DFD" w:rsidRPr="003433E9">
        <w:rPr>
          <w:rFonts w:eastAsia="Calibri"/>
          <w:sz w:val="22"/>
          <w:szCs w:val="22"/>
          <w:lang w:val="fr-CA" w:eastAsia="en-US"/>
        </w:rPr>
        <w:t> </w:t>
      </w:r>
      <w:r w:rsidRPr="003433E9">
        <w:rPr>
          <w:rFonts w:eastAsia="Calibri"/>
          <w:sz w:val="22"/>
          <w:szCs w:val="22"/>
          <w:lang w:val="fr-CA" w:eastAsia="en-US"/>
        </w:rPr>
        <w:t xml:space="preserve">88, </w:t>
      </w:r>
      <w:r w:rsidR="009C487F" w:rsidRPr="003433E9">
        <w:rPr>
          <w:rFonts w:eastAsia="Calibri"/>
          <w:bCs/>
          <w:color w:val="000000"/>
          <w:sz w:val="22"/>
          <w:szCs w:val="22"/>
          <w:lang w:val="fr-CA" w:eastAsia="en-US"/>
        </w:rPr>
        <w:t>n°</w:t>
      </w:r>
      <w:r w:rsidRPr="003433E9">
        <w:rPr>
          <w:rFonts w:eastAsia="Calibri"/>
          <w:sz w:val="22"/>
          <w:szCs w:val="22"/>
          <w:lang w:val="fr-CA" w:eastAsia="en-US"/>
        </w:rPr>
        <w:t xml:space="preserve"> 3, 2015, pp. 449–482.</w:t>
      </w:r>
    </w:p>
    <w:p w14:paraId="56E870D0" w14:textId="77777777" w:rsidR="00BA113F" w:rsidRPr="00261B72" w:rsidRDefault="00EB5F75" w:rsidP="00BA113F">
      <w:pPr>
        <w:spacing w:after="240"/>
        <w:rPr>
          <w:rFonts w:eastAsia="Calibri"/>
          <w:sz w:val="22"/>
          <w:szCs w:val="22"/>
          <w:lang w:val="fr-CA" w:eastAsia="en-US"/>
        </w:rPr>
      </w:pPr>
      <w:r w:rsidRPr="00261B72">
        <w:rPr>
          <w:rFonts w:eastAsia="Calibri"/>
          <w:sz w:val="22"/>
          <w:szCs w:val="22"/>
          <w:lang w:val="fr-CA" w:eastAsia="en-US"/>
        </w:rPr>
        <w:t xml:space="preserve">SÉNÉCAL, André. </w:t>
      </w:r>
      <w:r w:rsidR="00761149"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sz w:val="22"/>
          <w:szCs w:val="22"/>
          <w:lang w:val="fr-CA" w:eastAsia="en-US"/>
        </w:rPr>
        <w:t>La thèse messianique et les Franco-Américains</w:t>
      </w:r>
      <w:r w:rsidR="00BE4B77" w:rsidRPr="00261B72">
        <w:rPr>
          <w:rFonts w:eastAsia="Calibri"/>
          <w:sz w:val="22"/>
          <w:szCs w:val="22"/>
          <w:lang w:val="fr-CA" w:eastAsia="en-US"/>
        </w:rPr>
        <w:t> </w:t>
      </w:r>
      <w:r w:rsidR="00761149" w:rsidRPr="00261B72">
        <w:rPr>
          <w:rFonts w:eastAsia="Calibri"/>
          <w:sz w:val="22"/>
          <w:szCs w:val="22"/>
          <w:lang w:val="fr-CA" w:eastAsia="en-US"/>
        </w:rPr>
        <w:t>»</w:t>
      </w:r>
      <w:r w:rsidRPr="00261B72">
        <w:rPr>
          <w:rFonts w:eastAsia="Calibri"/>
          <w:sz w:val="22"/>
          <w:szCs w:val="22"/>
          <w:lang w:val="fr-CA" w:eastAsia="en-US"/>
        </w:rPr>
        <w:t xml:space="preserve">. </w:t>
      </w:r>
      <w:r w:rsidRPr="00261B72">
        <w:rPr>
          <w:rFonts w:eastAsia="Calibri"/>
          <w:i/>
          <w:iCs/>
          <w:sz w:val="22"/>
          <w:szCs w:val="22"/>
          <w:lang w:val="fr-CA" w:eastAsia="en-US"/>
        </w:rPr>
        <w:t>Revue d’histoire de</w:t>
      </w:r>
      <w:r w:rsidR="00761149" w:rsidRPr="00261B72">
        <w:rPr>
          <w:rFonts w:eastAsia="Calibri"/>
          <w:i/>
          <w:iCs/>
          <w:sz w:val="22"/>
          <w:szCs w:val="22"/>
          <w:lang w:val="fr-CA" w:eastAsia="en-US"/>
        </w:rPr>
        <w:t xml:space="preserve"> </w:t>
      </w:r>
      <w:r w:rsidRPr="00261B72">
        <w:rPr>
          <w:rFonts w:eastAsia="Calibri"/>
          <w:i/>
          <w:iCs/>
          <w:sz w:val="22"/>
          <w:szCs w:val="22"/>
          <w:lang w:val="fr-CA" w:eastAsia="en-US"/>
        </w:rPr>
        <w:t>l’Amérique française</w:t>
      </w:r>
      <w:r w:rsidR="008E79C5" w:rsidRPr="00261B72">
        <w:rPr>
          <w:rFonts w:eastAsia="Calibri"/>
          <w:sz w:val="22"/>
          <w:szCs w:val="22"/>
          <w:lang w:val="fr-CA" w:eastAsia="en-US"/>
        </w:rPr>
        <w:t>,</w:t>
      </w:r>
      <w:r w:rsidRPr="00261B72">
        <w:rPr>
          <w:rFonts w:eastAsia="Calibri"/>
          <w:sz w:val="22"/>
          <w:szCs w:val="22"/>
          <w:lang w:val="fr-CA" w:eastAsia="en-US"/>
        </w:rPr>
        <w:t xml:space="preserve"> </w:t>
      </w:r>
      <w:r w:rsidR="009C487F" w:rsidRPr="00261B72">
        <w:rPr>
          <w:rFonts w:eastAsia="Calibri"/>
          <w:sz w:val="22"/>
          <w:szCs w:val="22"/>
          <w:lang w:val="fr-CA" w:eastAsia="en-US"/>
        </w:rPr>
        <w:t>v</w:t>
      </w:r>
      <w:r w:rsidRPr="00261B72">
        <w:rPr>
          <w:rFonts w:eastAsia="Calibri"/>
          <w:sz w:val="22"/>
          <w:szCs w:val="22"/>
          <w:lang w:val="fr-CA" w:eastAsia="en-US"/>
        </w:rPr>
        <w:t>ol</w:t>
      </w:r>
      <w:r w:rsidR="00BE4B77" w:rsidRPr="00261B72">
        <w:rPr>
          <w:rFonts w:eastAsia="Calibri"/>
          <w:sz w:val="22"/>
          <w:szCs w:val="22"/>
          <w:lang w:val="fr-CA" w:eastAsia="en-US"/>
        </w:rPr>
        <w:t> </w:t>
      </w:r>
      <w:r w:rsidRPr="00261B72">
        <w:rPr>
          <w:rFonts w:eastAsia="Calibri"/>
          <w:iCs/>
          <w:sz w:val="22"/>
          <w:szCs w:val="22"/>
          <w:lang w:val="fr-CA" w:eastAsia="en-US"/>
        </w:rPr>
        <w:t>34</w:t>
      </w:r>
      <w:r w:rsidRPr="00261B72">
        <w:rPr>
          <w:rFonts w:eastAsia="Calibri"/>
          <w:sz w:val="22"/>
          <w:szCs w:val="22"/>
          <w:lang w:val="fr-CA" w:eastAsia="en-US"/>
        </w:rPr>
        <w:t xml:space="preserve"> (4),</w:t>
      </w:r>
      <w:r w:rsidR="008E79C5" w:rsidRPr="00261B72">
        <w:rPr>
          <w:rFonts w:eastAsia="Calibri"/>
          <w:sz w:val="22"/>
          <w:szCs w:val="22"/>
          <w:lang w:val="fr-CA" w:eastAsia="en-US"/>
        </w:rPr>
        <w:t xml:space="preserve"> 1981. </w:t>
      </w:r>
      <w:r w:rsidRPr="00261B72">
        <w:rPr>
          <w:rFonts w:eastAsia="Calibri"/>
          <w:sz w:val="22"/>
          <w:szCs w:val="22"/>
          <w:lang w:val="fr-CA" w:eastAsia="en-US"/>
        </w:rPr>
        <w:t>p</w:t>
      </w:r>
      <w:r w:rsidR="008E79C5" w:rsidRPr="00261B72">
        <w:rPr>
          <w:rFonts w:eastAsia="Calibri"/>
          <w:sz w:val="22"/>
          <w:szCs w:val="22"/>
          <w:lang w:val="fr-CA" w:eastAsia="en-US"/>
        </w:rPr>
        <w:t>p</w:t>
      </w:r>
      <w:r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sz w:val="22"/>
          <w:szCs w:val="22"/>
          <w:lang w:val="fr-CA" w:eastAsia="en-US"/>
        </w:rPr>
        <w:t>557</w:t>
      </w:r>
      <w:r w:rsidR="009C487F" w:rsidRPr="00261B72">
        <w:rPr>
          <w:rFonts w:eastAsia="Calibri"/>
          <w:sz w:val="22"/>
          <w:szCs w:val="22"/>
          <w:lang w:val="fr-CA" w:eastAsia="en-US"/>
        </w:rPr>
        <w:t>-</w:t>
      </w:r>
      <w:r w:rsidRPr="00261B72">
        <w:rPr>
          <w:rFonts w:eastAsia="Calibri"/>
          <w:sz w:val="22"/>
          <w:szCs w:val="22"/>
          <w:lang w:val="fr-CA" w:eastAsia="en-US"/>
        </w:rPr>
        <w:t>567.</w:t>
      </w:r>
    </w:p>
    <w:p w14:paraId="2E3CAD76" w14:textId="77777777" w:rsidR="00B0701E" w:rsidRPr="00813DB8" w:rsidRDefault="00B0701E" w:rsidP="00BA113F">
      <w:pPr>
        <w:spacing w:after="240"/>
        <w:rPr>
          <w:rFonts w:eastAsia="Calibri"/>
          <w:sz w:val="22"/>
          <w:szCs w:val="22"/>
          <w:lang w:val="fr-CA" w:eastAsia="en-US"/>
        </w:rPr>
      </w:pPr>
      <w:r w:rsidRPr="00813DB8">
        <w:rPr>
          <w:rFonts w:eastAsia="Calibri"/>
          <w:sz w:val="22"/>
          <w:szCs w:val="22"/>
          <w:lang w:val="fr-CA" w:eastAsia="en-US"/>
        </w:rPr>
        <w:t xml:space="preserve">SHARPE, C.A. </w:t>
      </w:r>
      <w:r w:rsidR="00BA113F" w:rsidRPr="00813DB8">
        <w:rPr>
          <w:color w:val="333333"/>
          <w:sz w:val="22"/>
          <w:szCs w:val="22"/>
          <w:shd w:val="clear" w:color="auto" w:fill="FFFFFF"/>
          <w:lang w:val="fr-CA"/>
        </w:rPr>
        <w:t>«</w:t>
      </w:r>
      <w:r w:rsidRPr="00813DB8">
        <w:rPr>
          <w:rFonts w:eastAsia="Calibri"/>
          <w:sz w:val="22"/>
          <w:szCs w:val="22"/>
          <w:lang w:val="fr-CA" w:eastAsia="en-US"/>
        </w:rPr>
        <w:t>Enlistment in the Canadian Expeditionary Force 1914</w:t>
      </w:r>
      <w:r w:rsidR="00BE4B77" w:rsidRPr="00813DB8">
        <w:rPr>
          <w:rFonts w:eastAsia="Calibri"/>
          <w:sz w:val="22"/>
          <w:szCs w:val="22"/>
          <w:lang w:val="fr-CA" w:eastAsia="en-US"/>
        </w:rPr>
        <w:t>–</w:t>
      </w:r>
      <w:r w:rsidRPr="00813DB8">
        <w:rPr>
          <w:rFonts w:eastAsia="Calibri"/>
          <w:sz w:val="22"/>
          <w:szCs w:val="22"/>
          <w:lang w:val="fr-CA" w:eastAsia="en-US"/>
        </w:rPr>
        <w:t xml:space="preserve">1918: A </w:t>
      </w:r>
      <w:r w:rsidR="00B26819" w:rsidRPr="00813DB8">
        <w:rPr>
          <w:rFonts w:eastAsia="Calibri"/>
          <w:sz w:val="22"/>
          <w:szCs w:val="22"/>
          <w:lang w:val="fr-CA" w:eastAsia="en-US"/>
        </w:rPr>
        <w:t>R</w:t>
      </w:r>
      <w:r w:rsidRPr="00813DB8">
        <w:rPr>
          <w:rFonts w:eastAsia="Calibri"/>
          <w:sz w:val="22"/>
          <w:szCs w:val="22"/>
          <w:lang w:val="fr-CA" w:eastAsia="en-US"/>
        </w:rPr>
        <w:t>egional Analysis</w:t>
      </w:r>
      <w:r w:rsidR="00BA113F" w:rsidRPr="00813DB8">
        <w:rPr>
          <w:rFonts w:eastAsia="Calibri"/>
          <w:sz w:val="22"/>
          <w:szCs w:val="22"/>
          <w:lang w:val="fr-CA" w:eastAsia="en-US"/>
        </w:rPr>
        <w:t>»</w:t>
      </w:r>
      <w:r w:rsidR="00902FDE" w:rsidRPr="00813DB8">
        <w:rPr>
          <w:color w:val="333333"/>
          <w:sz w:val="22"/>
          <w:szCs w:val="22"/>
          <w:shd w:val="clear" w:color="auto" w:fill="FFFFFF"/>
          <w:lang w:val="fr-CA"/>
        </w:rPr>
        <w:t>.</w:t>
      </w:r>
      <w:r w:rsidRPr="00813DB8">
        <w:rPr>
          <w:rFonts w:eastAsia="Calibri"/>
          <w:sz w:val="22"/>
          <w:szCs w:val="22"/>
          <w:lang w:val="fr-CA" w:eastAsia="en-US"/>
        </w:rPr>
        <w:t xml:space="preserve"> </w:t>
      </w:r>
      <w:r w:rsidRPr="00813DB8">
        <w:rPr>
          <w:rFonts w:eastAsia="Calibri"/>
          <w:i/>
          <w:sz w:val="22"/>
          <w:szCs w:val="22"/>
          <w:lang w:val="fr-CA" w:eastAsia="en-US"/>
        </w:rPr>
        <w:t>Revue d’études canadiennes</w:t>
      </w:r>
      <w:r w:rsidRPr="00813DB8">
        <w:rPr>
          <w:rFonts w:eastAsia="Calibri"/>
          <w:sz w:val="22"/>
          <w:szCs w:val="22"/>
          <w:lang w:val="fr-CA" w:eastAsia="en-US"/>
        </w:rPr>
        <w:t xml:space="preserve">, vol 18 </w:t>
      </w:r>
      <w:r w:rsidR="00BE4B77" w:rsidRPr="00813DB8">
        <w:rPr>
          <w:rFonts w:eastAsia="Calibri"/>
          <w:sz w:val="22"/>
          <w:szCs w:val="22"/>
          <w:lang w:val="fr-CA" w:eastAsia="en-US"/>
        </w:rPr>
        <w:t>n</w:t>
      </w:r>
      <w:r w:rsidR="00BE4B77" w:rsidRPr="00813DB8">
        <w:rPr>
          <w:rFonts w:eastAsia="Calibri"/>
          <w:sz w:val="22"/>
          <w:szCs w:val="22"/>
          <w:vertAlign w:val="superscript"/>
          <w:lang w:val="fr-CA" w:eastAsia="en-US"/>
        </w:rPr>
        <w:t>o</w:t>
      </w:r>
      <w:r w:rsidR="00BE4B77" w:rsidRPr="00813DB8">
        <w:rPr>
          <w:rFonts w:eastAsia="Calibri"/>
          <w:bCs/>
          <w:color w:val="000000"/>
          <w:sz w:val="22"/>
          <w:szCs w:val="22"/>
          <w:lang w:val="fr-CA" w:eastAsia="en-US"/>
        </w:rPr>
        <w:t> </w:t>
      </w:r>
      <w:r w:rsidRPr="00813DB8">
        <w:rPr>
          <w:rFonts w:eastAsia="Calibri"/>
          <w:sz w:val="22"/>
          <w:szCs w:val="22"/>
          <w:lang w:val="fr-CA" w:eastAsia="en-US"/>
        </w:rPr>
        <w:t>41 (hiver</w:t>
      </w:r>
      <w:r w:rsidR="00BE4B77" w:rsidRPr="00813DB8">
        <w:rPr>
          <w:rFonts w:eastAsia="Calibri"/>
          <w:sz w:val="22"/>
          <w:szCs w:val="22"/>
          <w:lang w:val="fr-CA" w:eastAsia="en-US"/>
        </w:rPr>
        <w:t> </w:t>
      </w:r>
      <w:r w:rsidRPr="00813DB8">
        <w:rPr>
          <w:rFonts w:eastAsia="Calibri"/>
          <w:sz w:val="22"/>
          <w:szCs w:val="22"/>
          <w:lang w:val="fr-CA" w:eastAsia="en-US"/>
        </w:rPr>
        <w:t>1983-1884), p</w:t>
      </w:r>
      <w:r w:rsidR="009C487F" w:rsidRPr="00813DB8">
        <w:rPr>
          <w:rFonts w:eastAsia="Calibri"/>
          <w:sz w:val="22"/>
          <w:szCs w:val="22"/>
          <w:lang w:val="fr-CA" w:eastAsia="en-US"/>
        </w:rPr>
        <w:t>p</w:t>
      </w:r>
      <w:r w:rsidRPr="00813DB8">
        <w:rPr>
          <w:rFonts w:eastAsia="Calibri"/>
          <w:sz w:val="22"/>
          <w:szCs w:val="22"/>
          <w:lang w:val="fr-CA" w:eastAsia="en-US"/>
        </w:rPr>
        <w:t>.</w:t>
      </w:r>
      <w:r w:rsidR="00BE4B77" w:rsidRPr="00813DB8">
        <w:rPr>
          <w:rFonts w:eastAsia="Calibri"/>
          <w:sz w:val="22"/>
          <w:szCs w:val="22"/>
          <w:lang w:val="fr-CA" w:eastAsia="en-US"/>
        </w:rPr>
        <w:t> </w:t>
      </w:r>
      <w:r w:rsidRPr="00813DB8">
        <w:rPr>
          <w:rFonts w:eastAsia="Calibri"/>
          <w:sz w:val="22"/>
          <w:szCs w:val="22"/>
          <w:lang w:val="fr-CA" w:eastAsia="en-US"/>
        </w:rPr>
        <w:t>15-29.</w:t>
      </w:r>
    </w:p>
    <w:p w14:paraId="68D74FCC" w14:textId="77777777" w:rsidR="00B0701E" w:rsidRPr="003433E9" w:rsidRDefault="00B0701E" w:rsidP="00B0701E">
      <w:pPr>
        <w:spacing w:after="200" w:line="276" w:lineRule="auto"/>
        <w:rPr>
          <w:rFonts w:eastAsia="Calibri"/>
          <w:sz w:val="22"/>
          <w:szCs w:val="22"/>
          <w:lang w:val="fr-CA" w:eastAsia="en-US"/>
        </w:rPr>
      </w:pPr>
      <w:r w:rsidRPr="00261B72">
        <w:rPr>
          <w:rFonts w:eastAsia="Calibri"/>
          <w:sz w:val="22"/>
          <w:szCs w:val="22"/>
          <w:lang w:eastAsia="en-US"/>
        </w:rPr>
        <w:t xml:space="preserve">VANCE, Jonathan F. </w:t>
      </w:r>
      <w:r w:rsidR="00BA113F" w:rsidRPr="00261B72">
        <w:rPr>
          <w:rFonts w:eastAsia="Calibri"/>
          <w:sz w:val="22"/>
          <w:szCs w:val="22"/>
          <w:lang w:eastAsia="en-US"/>
        </w:rPr>
        <w:t>«</w:t>
      </w:r>
      <w:r w:rsidRPr="00261B72">
        <w:rPr>
          <w:rFonts w:eastAsia="Calibri"/>
          <w:sz w:val="22"/>
          <w:szCs w:val="22"/>
          <w:lang w:eastAsia="en-US"/>
        </w:rPr>
        <w:t>Provincial Patterns of Enlistment in the Canadian Expeditionary Force</w:t>
      </w:r>
      <w:r w:rsidR="00BA113F" w:rsidRPr="00261B72">
        <w:rPr>
          <w:rFonts w:eastAsia="Calibri"/>
          <w:sz w:val="22"/>
          <w:szCs w:val="22"/>
          <w:lang w:eastAsia="en-US"/>
        </w:rPr>
        <w:t>»</w:t>
      </w:r>
      <w:r w:rsidR="00902FDE" w:rsidRPr="00261B72">
        <w:rPr>
          <w:color w:val="333333"/>
          <w:sz w:val="22"/>
          <w:szCs w:val="22"/>
          <w:shd w:val="clear" w:color="auto" w:fill="FFFFFF"/>
        </w:rPr>
        <w:t xml:space="preserve">. </w:t>
      </w:r>
      <w:r w:rsidRPr="003433E9">
        <w:rPr>
          <w:rFonts w:eastAsia="Calibri"/>
          <w:i/>
          <w:iCs/>
          <w:sz w:val="22"/>
          <w:szCs w:val="22"/>
          <w:lang w:val="fr-CA" w:eastAsia="en-US"/>
        </w:rPr>
        <w:t>Canadian Military History</w:t>
      </w:r>
      <w:r w:rsidR="008E79C5" w:rsidRPr="003433E9">
        <w:rPr>
          <w:rFonts w:eastAsia="Calibri"/>
          <w:iCs/>
          <w:sz w:val="22"/>
          <w:szCs w:val="22"/>
          <w:lang w:val="fr-CA" w:eastAsia="en-US"/>
        </w:rPr>
        <w:t xml:space="preserve">, </w:t>
      </w:r>
      <w:r w:rsidR="00902FDE" w:rsidRPr="003433E9">
        <w:rPr>
          <w:rFonts w:eastAsia="Calibri"/>
          <w:iCs/>
          <w:sz w:val="22"/>
          <w:szCs w:val="22"/>
          <w:lang w:val="fr-CA" w:eastAsia="en-US"/>
        </w:rPr>
        <w:t>v</w:t>
      </w:r>
      <w:r w:rsidRPr="003433E9">
        <w:rPr>
          <w:rFonts w:eastAsia="Calibri"/>
          <w:sz w:val="22"/>
          <w:szCs w:val="22"/>
          <w:lang w:val="fr-CA" w:eastAsia="en-US"/>
        </w:rPr>
        <w:t>ol</w:t>
      </w:r>
      <w:r w:rsidR="00E21DFD" w:rsidRPr="003433E9">
        <w:rPr>
          <w:rFonts w:eastAsia="Calibri"/>
          <w:sz w:val="22"/>
          <w:szCs w:val="22"/>
          <w:lang w:val="fr-CA" w:eastAsia="en-US"/>
        </w:rPr>
        <w:t> </w:t>
      </w:r>
      <w:r w:rsidRPr="003433E9">
        <w:rPr>
          <w:rFonts w:eastAsia="Calibri"/>
          <w:sz w:val="22"/>
          <w:szCs w:val="22"/>
          <w:lang w:val="fr-CA" w:eastAsia="en-US"/>
        </w:rPr>
        <w:t>17: Issue 2, Article 8.</w:t>
      </w:r>
    </w:p>
    <w:p w14:paraId="271D2D56" w14:textId="77777777" w:rsidR="00B04B54" w:rsidRPr="00261B72" w:rsidRDefault="00896039" w:rsidP="00B04B54">
      <w:pPr>
        <w:spacing w:after="200" w:line="276" w:lineRule="auto"/>
        <w:rPr>
          <w:rFonts w:eastAsia="Calibri"/>
          <w:sz w:val="22"/>
          <w:szCs w:val="22"/>
          <w:lang w:val="fr-CA" w:eastAsia="en-US"/>
        </w:rPr>
      </w:pPr>
      <w:r w:rsidRPr="003433E9">
        <w:rPr>
          <w:rFonts w:eastAsia="Calibri"/>
          <w:sz w:val="22"/>
          <w:szCs w:val="22"/>
          <w:lang w:val="fr-CA" w:eastAsia="en-US"/>
        </w:rPr>
        <w:t xml:space="preserve">WEIL, François. </w:t>
      </w:r>
      <w:r w:rsidR="00BA113F" w:rsidRPr="00261B72">
        <w:rPr>
          <w:rFonts w:eastAsia="Calibri"/>
          <w:sz w:val="22"/>
          <w:szCs w:val="22"/>
          <w:lang w:val="fr-CA" w:eastAsia="en-US"/>
        </w:rPr>
        <w:t>«</w:t>
      </w:r>
      <w:r w:rsidR="00BE4B77" w:rsidRPr="00261B72">
        <w:rPr>
          <w:rFonts w:eastAsia="Calibri"/>
          <w:sz w:val="22"/>
          <w:szCs w:val="22"/>
          <w:lang w:val="fr-CA" w:eastAsia="en-US"/>
        </w:rPr>
        <w:t> </w:t>
      </w:r>
      <w:r w:rsidRPr="00261B72">
        <w:rPr>
          <w:rFonts w:eastAsia="Calibri"/>
          <w:sz w:val="22"/>
          <w:szCs w:val="22"/>
          <w:lang w:val="fr-CA" w:eastAsia="en-US"/>
        </w:rPr>
        <w:t xml:space="preserve">Religion et ethnicité </w:t>
      </w:r>
      <w:r w:rsidR="00B26819" w:rsidRPr="00261B72">
        <w:rPr>
          <w:rFonts w:eastAsia="Calibri"/>
          <w:sz w:val="22"/>
          <w:szCs w:val="22"/>
          <w:lang w:val="fr-CA" w:eastAsia="en-US"/>
        </w:rPr>
        <w:t>f</w:t>
      </w:r>
      <w:r w:rsidRPr="00261B72">
        <w:rPr>
          <w:rFonts w:eastAsia="Calibri"/>
          <w:sz w:val="22"/>
          <w:szCs w:val="22"/>
          <w:lang w:val="fr-CA" w:eastAsia="en-US"/>
        </w:rPr>
        <w:t>ranco-</w:t>
      </w:r>
      <w:r w:rsidR="00B26819" w:rsidRPr="00261B72">
        <w:rPr>
          <w:rFonts w:eastAsia="Calibri"/>
          <w:sz w:val="22"/>
          <w:szCs w:val="22"/>
          <w:lang w:val="fr-CA" w:eastAsia="en-US"/>
        </w:rPr>
        <w:t>a</w:t>
      </w:r>
      <w:r w:rsidRPr="00261B72">
        <w:rPr>
          <w:rFonts w:eastAsia="Calibri"/>
          <w:sz w:val="22"/>
          <w:szCs w:val="22"/>
          <w:lang w:val="fr-CA" w:eastAsia="en-US"/>
        </w:rPr>
        <w:t>méricaines en Nouvelle-Angleterre, 1860-1930</w:t>
      </w:r>
      <w:r w:rsidR="00BE4B77" w:rsidRPr="00261B72">
        <w:rPr>
          <w:rFonts w:eastAsia="Calibri"/>
          <w:sz w:val="22"/>
          <w:szCs w:val="22"/>
          <w:lang w:val="fr-CA" w:eastAsia="en-US"/>
        </w:rPr>
        <w:t> </w:t>
      </w:r>
      <w:r w:rsidR="00BA113F" w:rsidRPr="00261B72">
        <w:rPr>
          <w:rFonts w:eastAsia="Calibri"/>
          <w:sz w:val="22"/>
          <w:szCs w:val="22"/>
          <w:lang w:val="fr-CA" w:eastAsia="en-US"/>
        </w:rPr>
        <w:t>»</w:t>
      </w:r>
      <w:r w:rsidRPr="00261B72">
        <w:rPr>
          <w:rFonts w:eastAsia="Calibri"/>
          <w:sz w:val="22"/>
          <w:szCs w:val="22"/>
          <w:lang w:val="fr-CA" w:eastAsia="en-US"/>
        </w:rPr>
        <w:t>.</w:t>
      </w:r>
      <w:r w:rsidR="00902FDE" w:rsidRPr="00261B72">
        <w:rPr>
          <w:rFonts w:eastAsia="Calibri"/>
          <w:sz w:val="22"/>
          <w:szCs w:val="22"/>
          <w:lang w:val="fr-CA" w:eastAsia="en-US"/>
        </w:rPr>
        <w:t xml:space="preserve"> </w:t>
      </w:r>
      <w:r w:rsidRPr="00261B72">
        <w:rPr>
          <w:rFonts w:eastAsia="Calibri"/>
          <w:i/>
          <w:iCs/>
          <w:sz w:val="22"/>
          <w:szCs w:val="22"/>
          <w:lang w:val="fr-CA" w:eastAsia="en-US"/>
        </w:rPr>
        <w:t xml:space="preserve">Archives </w:t>
      </w:r>
      <w:r w:rsidR="00902FDE" w:rsidRPr="00261B72">
        <w:rPr>
          <w:rFonts w:eastAsia="Calibri"/>
          <w:i/>
          <w:iCs/>
          <w:sz w:val="22"/>
          <w:szCs w:val="22"/>
          <w:lang w:val="fr-CA" w:eastAsia="en-US"/>
        </w:rPr>
        <w:t>d</w:t>
      </w:r>
      <w:r w:rsidRPr="00261B72">
        <w:rPr>
          <w:rFonts w:eastAsia="Calibri"/>
          <w:i/>
          <w:iCs/>
          <w:sz w:val="22"/>
          <w:szCs w:val="22"/>
          <w:lang w:val="fr-CA" w:eastAsia="en-US"/>
        </w:rPr>
        <w:t xml:space="preserve">e </w:t>
      </w:r>
      <w:r w:rsidR="00902FDE" w:rsidRPr="00261B72">
        <w:rPr>
          <w:rFonts w:eastAsia="Calibri"/>
          <w:i/>
          <w:iCs/>
          <w:sz w:val="22"/>
          <w:szCs w:val="22"/>
          <w:lang w:val="fr-CA" w:eastAsia="en-US"/>
        </w:rPr>
        <w:t>s</w:t>
      </w:r>
      <w:r w:rsidRPr="00261B72">
        <w:rPr>
          <w:rFonts w:eastAsia="Calibri"/>
          <w:i/>
          <w:iCs/>
          <w:sz w:val="22"/>
          <w:szCs w:val="22"/>
          <w:lang w:val="fr-CA" w:eastAsia="en-US"/>
        </w:rPr>
        <w:t xml:space="preserve">ciences </w:t>
      </w:r>
      <w:r w:rsidR="00902FDE" w:rsidRPr="00261B72">
        <w:rPr>
          <w:rFonts w:eastAsia="Calibri"/>
          <w:i/>
          <w:iCs/>
          <w:sz w:val="22"/>
          <w:szCs w:val="22"/>
          <w:lang w:val="fr-CA" w:eastAsia="en-US"/>
        </w:rPr>
        <w:t>s</w:t>
      </w:r>
      <w:r w:rsidRPr="00261B72">
        <w:rPr>
          <w:rFonts w:eastAsia="Calibri"/>
          <w:i/>
          <w:iCs/>
          <w:sz w:val="22"/>
          <w:szCs w:val="22"/>
          <w:lang w:val="fr-CA" w:eastAsia="en-US"/>
        </w:rPr>
        <w:t xml:space="preserve">ociales </w:t>
      </w:r>
      <w:r w:rsidR="00902FDE" w:rsidRPr="00261B72">
        <w:rPr>
          <w:rFonts w:eastAsia="Calibri"/>
          <w:i/>
          <w:iCs/>
          <w:sz w:val="22"/>
          <w:szCs w:val="22"/>
          <w:lang w:val="fr-CA" w:eastAsia="en-US"/>
        </w:rPr>
        <w:t>d</w:t>
      </w:r>
      <w:r w:rsidRPr="00261B72">
        <w:rPr>
          <w:rFonts w:eastAsia="Calibri"/>
          <w:i/>
          <w:iCs/>
          <w:sz w:val="22"/>
          <w:szCs w:val="22"/>
          <w:lang w:val="fr-CA" w:eastAsia="en-US"/>
        </w:rPr>
        <w:t xml:space="preserve">es </w:t>
      </w:r>
      <w:r w:rsidR="00902FDE" w:rsidRPr="00261B72">
        <w:rPr>
          <w:rFonts w:eastAsia="Calibri"/>
          <w:i/>
          <w:iCs/>
          <w:sz w:val="22"/>
          <w:szCs w:val="22"/>
          <w:lang w:val="fr-CA" w:eastAsia="en-US"/>
        </w:rPr>
        <w:t>r</w:t>
      </w:r>
      <w:r w:rsidRPr="00261B72">
        <w:rPr>
          <w:rFonts w:eastAsia="Calibri"/>
          <w:i/>
          <w:iCs/>
          <w:sz w:val="22"/>
          <w:szCs w:val="22"/>
          <w:lang w:val="fr-CA" w:eastAsia="en-US"/>
        </w:rPr>
        <w:t>eligions</w:t>
      </w:r>
      <w:r w:rsidRPr="00261B72">
        <w:rPr>
          <w:rFonts w:eastAsia="Calibri"/>
          <w:sz w:val="22"/>
          <w:szCs w:val="22"/>
          <w:lang w:val="fr-CA" w:eastAsia="en-US"/>
        </w:rPr>
        <w:t>, vol</w:t>
      </w:r>
      <w:r w:rsidR="00BE4B77" w:rsidRPr="00261B72">
        <w:rPr>
          <w:rFonts w:eastAsia="Calibri"/>
          <w:sz w:val="22"/>
          <w:szCs w:val="22"/>
          <w:lang w:val="fr-CA" w:eastAsia="en-US"/>
        </w:rPr>
        <w:t> </w:t>
      </w:r>
      <w:r w:rsidRPr="00261B72">
        <w:rPr>
          <w:rFonts w:eastAsia="Calibri"/>
          <w:sz w:val="22"/>
          <w:szCs w:val="22"/>
          <w:lang w:val="fr-CA" w:eastAsia="en-US"/>
        </w:rPr>
        <w:t xml:space="preserve">38 </w:t>
      </w:r>
      <w:r w:rsidR="009C487F" w:rsidRPr="00261B72">
        <w:rPr>
          <w:rFonts w:eastAsia="Calibri"/>
          <w:bCs/>
          <w:color w:val="000000"/>
          <w:sz w:val="22"/>
          <w:szCs w:val="22"/>
          <w:lang w:val="fr-CA" w:eastAsia="en-US"/>
        </w:rPr>
        <w:t>n</w:t>
      </w:r>
      <w:r w:rsidR="00E21DFD" w:rsidRPr="00261B72">
        <w:rPr>
          <w:rFonts w:eastAsia="Calibri"/>
          <w:bCs/>
          <w:color w:val="000000"/>
          <w:sz w:val="22"/>
          <w:szCs w:val="22"/>
          <w:vertAlign w:val="superscript"/>
          <w:lang w:val="fr-CA" w:eastAsia="en-US"/>
        </w:rPr>
        <w:t>o</w:t>
      </w:r>
      <w:r w:rsidR="00BE4B77" w:rsidRPr="00261B72">
        <w:rPr>
          <w:rFonts w:eastAsia="Calibri"/>
          <w:sz w:val="22"/>
          <w:szCs w:val="22"/>
          <w:lang w:val="fr-CA" w:eastAsia="en-US"/>
        </w:rPr>
        <w:t> </w:t>
      </w:r>
      <w:r w:rsidRPr="00261B72">
        <w:rPr>
          <w:rFonts w:eastAsia="Calibri"/>
          <w:sz w:val="22"/>
          <w:szCs w:val="22"/>
          <w:lang w:val="fr-CA" w:eastAsia="en-US"/>
        </w:rPr>
        <w:t>84, 1993, pp.</w:t>
      </w:r>
      <w:r w:rsidR="00BE4B77" w:rsidRPr="00261B72">
        <w:rPr>
          <w:rFonts w:eastAsia="Calibri"/>
          <w:sz w:val="22"/>
          <w:szCs w:val="22"/>
          <w:lang w:val="fr-CA" w:eastAsia="en-US"/>
        </w:rPr>
        <w:t> </w:t>
      </w:r>
      <w:r w:rsidRPr="00261B72">
        <w:rPr>
          <w:rFonts w:eastAsia="Calibri"/>
          <w:sz w:val="22"/>
          <w:szCs w:val="22"/>
          <w:lang w:val="fr-CA" w:eastAsia="en-US"/>
        </w:rPr>
        <w:t>189</w:t>
      </w:r>
      <w:r w:rsidR="009C487F" w:rsidRPr="00261B72">
        <w:rPr>
          <w:rFonts w:eastAsia="Calibri"/>
          <w:sz w:val="22"/>
          <w:szCs w:val="22"/>
          <w:lang w:val="fr-CA" w:eastAsia="en-US"/>
        </w:rPr>
        <w:t>-</w:t>
      </w:r>
      <w:r w:rsidRPr="00261B72">
        <w:rPr>
          <w:rFonts w:eastAsia="Calibri"/>
          <w:sz w:val="22"/>
          <w:szCs w:val="22"/>
          <w:lang w:val="fr-CA" w:eastAsia="en-US"/>
        </w:rPr>
        <w:t>199.</w:t>
      </w:r>
    </w:p>
    <w:p w14:paraId="2561091F" w14:textId="77777777" w:rsidR="00901CF6" w:rsidRPr="00261B72" w:rsidRDefault="00BA113F" w:rsidP="00B04B54">
      <w:pPr>
        <w:spacing w:after="200" w:line="276" w:lineRule="auto"/>
        <w:rPr>
          <w:color w:val="333333"/>
          <w:sz w:val="22"/>
          <w:szCs w:val="22"/>
          <w:u w:val="single"/>
          <w:shd w:val="clear" w:color="auto" w:fill="FFFFFF"/>
          <w:lang w:val="fr-CA"/>
        </w:rPr>
      </w:pPr>
      <w:r w:rsidRPr="00261B72">
        <w:rPr>
          <w:color w:val="333333"/>
          <w:sz w:val="22"/>
          <w:szCs w:val="22"/>
          <w:u w:val="single"/>
          <w:shd w:val="clear" w:color="auto" w:fill="FFFFFF"/>
          <w:lang w:val="fr-CA"/>
        </w:rPr>
        <w:t>Documents électroniques sur Internet</w:t>
      </w:r>
    </w:p>
    <w:p w14:paraId="16A7ABAD" w14:textId="77777777" w:rsidR="009C487F" w:rsidRPr="003433E9" w:rsidRDefault="00901CF6" w:rsidP="009C487F">
      <w:pPr>
        <w:pStyle w:val="FootnoteText"/>
        <w:spacing w:after="240"/>
        <w:rPr>
          <w:sz w:val="22"/>
          <w:szCs w:val="22"/>
        </w:rPr>
      </w:pPr>
      <w:r w:rsidRPr="00261B72">
        <w:rPr>
          <w:sz w:val="22"/>
          <w:szCs w:val="22"/>
        </w:rPr>
        <w:t>U.S. Department of Home</w:t>
      </w:r>
      <w:r w:rsidR="00BA113F" w:rsidRPr="00261B72">
        <w:rPr>
          <w:sz w:val="22"/>
          <w:szCs w:val="22"/>
        </w:rPr>
        <w:t>l</w:t>
      </w:r>
      <w:r w:rsidRPr="00261B72">
        <w:rPr>
          <w:sz w:val="22"/>
          <w:szCs w:val="22"/>
        </w:rPr>
        <w:t xml:space="preserve">and Security, </w:t>
      </w:r>
      <w:r w:rsidRPr="00261B72">
        <w:rPr>
          <w:i/>
          <w:sz w:val="22"/>
          <w:szCs w:val="22"/>
        </w:rPr>
        <w:t>Fiscal Year 1998 Statistical Yearbook</w:t>
      </w:r>
      <w:r w:rsidR="00BE4B77" w:rsidRPr="00261B72">
        <w:rPr>
          <w:i/>
          <w:sz w:val="22"/>
          <w:szCs w:val="22"/>
        </w:rPr>
        <w:t>—</w:t>
      </w:r>
      <w:r w:rsidRPr="00261B72">
        <w:rPr>
          <w:i/>
          <w:sz w:val="22"/>
          <w:szCs w:val="22"/>
        </w:rPr>
        <w:t>Immigrant Tables</w:t>
      </w:r>
      <w:r w:rsidRPr="00261B72">
        <w:rPr>
          <w:sz w:val="22"/>
          <w:szCs w:val="22"/>
        </w:rPr>
        <w:t xml:space="preserve">. Collections: Immigration Data and Statistics. Last Published Date: May 7, 2019, </w:t>
      </w:r>
      <w:hyperlink r:id="rId25" w:history="1">
        <w:r w:rsidRPr="00261B72">
          <w:rPr>
            <w:rStyle w:val="Hyperlink"/>
            <w:sz w:val="22"/>
            <w:szCs w:val="22"/>
          </w:rPr>
          <w:t>https://www.dhs.gov/publication/fiscal-year-1998-statistical-yearbook-immigrant-tables</w:t>
        </w:r>
      </w:hyperlink>
      <w:r w:rsidRPr="00261B72">
        <w:rPr>
          <w:sz w:val="22"/>
          <w:szCs w:val="22"/>
        </w:rPr>
        <w:t xml:space="preserve">. </w:t>
      </w:r>
      <w:r w:rsidRPr="003433E9">
        <w:rPr>
          <w:sz w:val="22"/>
          <w:szCs w:val="22"/>
        </w:rPr>
        <w:t>Consulté le 15 mai 2019.</w:t>
      </w:r>
    </w:p>
    <w:p w14:paraId="3971D547" w14:textId="77777777" w:rsidR="00BB5FCB" w:rsidRPr="00261B72" w:rsidRDefault="00BB5FCB" w:rsidP="009C487F">
      <w:pPr>
        <w:pStyle w:val="FootnoteText"/>
        <w:spacing w:after="240"/>
        <w:rPr>
          <w:sz w:val="22"/>
          <w:szCs w:val="22"/>
        </w:rPr>
      </w:pPr>
      <w:r w:rsidRPr="00261B72">
        <w:rPr>
          <w:sz w:val="22"/>
          <w:szCs w:val="22"/>
        </w:rPr>
        <w:lastRenderedPageBreak/>
        <w:t xml:space="preserve">NH Office of Strategic Initiatives. US Decennial Census, </w:t>
      </w:r>
      <w:hyperlink r:id="rId26" w:history="1">
        <w:r w:rsidRPr="00261B72">
          <w:rPr>
            <w:rStyle w:val="Hyperlink"/>
            <w:sz w:val="22"/>
            <w:szCs w:val="22"/>
          </w:rPr>
          <w:t>https://www.nh.gov/osi/data-center/documents/1830-1920-historic.pdf</w:t>
        </w:r>
      </w:hyperlink>
      <w:r w:rsidRPr="00261B72">
        <w:rPr>
          <w:sz w:val="22"/>
          <w:szCs w:val="22"/>
        </w:rPr>
        <w:t>. Consulté le 14 avril 2019</w:t>
      </w:r>
      <w:r w:rsidR="00BE4B77" w:rsidRPr="00261B72">
        <w:rPr>
          <w:sz w:val="22"/>
          <w:szCs w:val="22"/>
        </w:rPr>
        <w:t>.</w:t>
      </w:r>
    </w:p>
    <w:p w14:paraId="5F0FDEEE" w14:textId="77777777" w:rsidR="00354A2E" w:rsidRPr="00261B72" w:rsidRDefault="00354A2E" w:rsidP="00354A2E">
      <w:pPr>
        <w:pStyle w:val="EndnoteText"/>
        <w:rPr>
          <w:sz w:val="22"/>
          <w:szCs w:val="22"/>
        </w:rPr>
      </w:pPr>
      <w:r w:rsidRPr="00261B72">
        <w:rPr>
          <w:sz w:val="22"/>
          <w:szCs w:val="22"/>
        </w:rPr>
        <w:t xml:space="preserve">Rhode Island Statewide Planning, One Capitol Hill, Providence, RI </w:t>
      </w:r>
      <w:r w:rsidR="00E21DFD" w:rsidRPr="00261B72">
        <w:rPr>
          <w:sz w:val="22"/>
          <w:szCs w:val="22"/>
        </w:rPr>
        <w:t xml:space="preserve"> </w:t>
      </w:r>
      <w:r w:rsidRPr="00261B72">
        <w:rPr>
          <w:sz w:val="22"/>
          <w:szCs w:val="22"/>
        </w:rPr>
        <w:t xml:space="preserve">02908, </w:t>
      </w:r>
      <w:hyperlink r:id="rId27" w:history="1">
        <w:r w:rsidRPr="00261B72">
          <w:rPr>
            <w:rStyle w:val="Hyperlink"/>
            <w:sz w:val="22"/>
            <w:szCs w:val="22"/>
          </w:rPr>
          <w:t>http://www.planning.ri.gov/documents/census/popcounts_est/pop_cities_towns_historic_1790-2010.pdf</w:t>
        </w:r>
      </w:hyperlink>
      <w:r w:rsidR="009C487F" w:rsidRPr="00261B72">
        <w:rPr>
          <w:sz w:val="22"/>
          <w:szCs w:val="22"/>
        </w:rPr>
        <w:t>.</w:t>
      </w:r>
      <w:r w:rsidRPr="00261B72">
        <w:rPr>
          <w:sz w:val="22"/>
          <w:szCs w:val="22"/>
        </w:rPr>
        <w:t xml:space="preserve"> Consulté le 23 octobre 2019.</w:t>
      </w:r>
    </w:p>
    <w:p w14:paraId="7EE83E01" w14:textId="77777777" w:rsidR="00354A2E" w:rsidRPr="00354A2E" w:rsidRDefault="00354A2E" w:rsidP="00B04B54">
      <w:pPr>
        <w:spacing w:after="200" w:line="276" w:lineRule="auto"/>
        <w:rPr>
          <w:rFonts w:eastAsia="Calibri"/>
          <w:lang w:eastAsia="en-US"/>
        </w:rPr>
      </w:pPr>
    </w:p>
    <w:sectPr w:rsidR="00354A2E" w:rsidRPr="00354A2E" w:rsidSect="0060206E">
      <w:endnotePr>
        <w:numFmt w:val="decimal"/>
      </w:endnotePr>
      <w:pgSz w:w="12240" w:h="15840" w:code="1"/>
      <w:pgMar w:top="1814" w:right="1814" w:bottom="1814" w:left="181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4690" w14:textId="77777777" w:rsidR="001858C6" w:rsidRDefault="001858C6">
      <w:r>
        <w:separator/>
      </w:r>
    </w:p>
  </w:endnote>
  <w:endnote w:type="continuationSeparator" w:id="0">
    <w:p w14:paraId="30556BA1" w14:textId="77777777" w:rsidR="001858C6" w:rsidRDefault="001858C6">
      <w:r>
        <w:continuationSeparator/>
      </w:r>
    </w:p>
  </w:endnote>
  <w:endnote w:type="continuationNotice" w:id="1">
    <w:p w14:paraId="4A4FF8BC" w14:textId="77777777" w:rsidR="001858C6" w:rsidRDefault="00185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3B67" w14:textId="77777777" w:rsidR="00A20827" w:rsidRDefault="00A20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B234" w14:textId="77777777" w:rsidR="00D40D7C" w:rsidRDefault="00D40D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CE9F" w14:textId="77777777" w:rsidR="00D40D7C" w:rsidRPr="00DA30D5" w:rsidRDefault="00D40D7C">
    <w:pPr>
      <w:tabs>
        <w:tab w:val="center" w:pos="4550"/>
        <w:tab w:val="left" w:pos="5818"/>
      </w:tabs>
      <w:ind w:right="260"/>
      <w:jc w:val="right"/>
      <w:rPr>
        <w:color w:val="222A35"/>
      </w:rPr>
    </w:pPr>
    <w:r w:rsidRPr="00DA30D5">
      <w:rPr>
        <w:color w:val="323E4F"/>
      </w:rPr>
      <w:fldChar w:fldCharType="begin"/>
    </w:r>
    <w:r w:rsidRPr="00DA30D5">
      <w:rPr>
        <w:color w:val="323E4F"/>
      </w:rPr>
      <w:instrText xml:space="preserve"> PAGE   \* MERGEFORMAT </w:instrText>
    </w:r>
    <w:r w:rsidRPr="00DA30D5">
      <w:rPr>
        <w:color w:val="323E4F"/>
      </w:rPr>
      <w:fldChar w:fldCharType="separate"/>
    </w:r>
    <w:r>
      <w:rPr>
        <w:noProof/>
        <w:color w:val="323E4F"/>
      </w:rPr>
      <w:t>1</w:t>
    </w:r>
    <w:r w:rsidRPr="00DA30D5">
      <w:rPr>
        <w:color w:val="323E4F"/>
      </w:rPr>
      <w:fldChar w:fldCharType="end"/>
    </w:r>
  </w:p>
  <w:p w14:paraId="2B0B5380" w14:textId="77777777" w:rsidR="00D40D7C" w:rsidRDefault="00D40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04FB" w14:textId="77777777" w:rsidR="00D40D7C" w:rsidRDefault="00D40D7C">
    <w:pPr>
      <w:pStyle w:val="Footer"/>
      <w:jc w:val="right"/>
    </w:pPr>
    <w:r>
      <w:fldChar w:fldCharType="begin"/>
    </w:r>
    <w:r>
      <w:instrText xml:space="preserve"> PAGE   \* MERGEFORMAT </w:instrText>
    </w:r>
    <w:r>
      <w:fldChar w:fldCharType="separate"/>
    </w:r>
    <w:r>
      <w:rPr>
        <w:noProof/>
      </w:rPr>
      <w:t>98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241F2" w14:textId="77777777" w:rsidR="001858C6" w:rsidRDefault="001858C6">
      <w:r>
        <w:separator/>
      </w:r>
    </w:p>
  </w:footnote>
  <w:footnote w:type="continuationSeparator" w:id="0">
    <w:p w14:paraId="137A4AD2" w14:textId="77777777" w:rsidR="001858C6" w:rsidRDefault="001858C6">
      <w:r>
        <w:continuationSeparator/>
      </w:r>
    </w:p>
  </w:footnote>
  <w:footnote w:type="continuationNotice" w:id="1">
    <w:p w14:paraId="553D6758" w14:textId="77777777" w:rsidR="001858C6" w:rsidRDefault="001858C6"/>
  </w:footnote>
  <w:footnote w:id="2">
    <w:p w14:paraId="16288289" w14:textId="77777777" w:rsidR="00D40D7C" w:rsidRPr="0031513C" w:rsidRDefault="00D40D7C" w:rsidP="003C7920">
      <w:pPr>
        <w:pStyle w:val="FootnoteText"/>
        <w:rPr>
          <w:lang w:val="fr-CA"/>
        </w:rPr>
      </w:pPr>
      <w:r w:rsidRPr="0031513C">
        <w:rPr>
          <w:rStyle w:val="FootnoteReference"/>
        </w:rPr>
        <w:footnoteRef/>
      </w:r>
      <w:r w:rsidRPr="0031513C">
        <w:rPr>
          <w:lang w:val="fr-CA"/>
        </w:rPr>
        <w:t xml:space="preserve"> Bernard Lemelin, </w:t>
      </w:r>
      <w:r w:rsidRPr="0031513C">
        <w:rPr>
          <w:bCs/>
          <w:lang w:val="fr-CA"/>
        </w:rPr>
        <w:t>«</w:t>
      </w:r>
      <w:r>
        <w:rPr>
          <w:bCs/>
          <w:lang w:val="fr-CA"/>
        </w:rPr>
        <w:t> </w:t>
      </w:r>
      <w:r w:rsidRPr="0031513C">
        <w:rPr>
          <w:bCs/>
          <w:lang w:val="fr-CA"/>
        </w:rPr>
        <w:t xml:space="preserve">Les Franco-Américains de Woonsocket, Rhode Island et la Première </w:t>
      </w:r>
      <w:r w:rsidRPr="0031513C">
        <w:rPr>
          <w:lang w:val="fr-CA"/>
        </w:rPr>
        <w:t>Guerre mondiale</w:t>
      </w:r>
      <w:r>
        <w:rPr>
          <w:lang w:val="fr-CA"/>
        </w:rPr>
        <w:t> </w:t>
      </w:r>
      <w:r w:rsidRPr="0031513C">
        <w:rPr>
          <w:lang w:val="fr-CA"/>
        </w:rPr>
        <w:t>»</w:t>
      </w:r>
      <w:r w:rsidRPr="0031513C">
        <w:rPr>
          <w:i/>
          <w:iCs/>
          <w:lang w:val="fr-CA"/>
        </w:rPr>
        <w:t xml:space="preserve">, </w:t>
      </w:r>
      <w:r w:rsidRPr="0031513C">
        <w:rPr>
          <w:lang w:val="fr-CA"/>
        </w:rPr>
        <w:t>M. A (histoire), Université Laval, 1987, 155p.</w:t>
      </w:r>
    </w:p>
  </w:footnote>
  <w:footnote w:id="3">
    <w:p w14:paraId="2B246F67" w14:textId="77777777" w:rsidR="00D40D7C" w:rsidRPr="0031513C" w:rsidRDefault="00D40D7C" w:rsidP="002B6122">
      <w:pPr>
        <w:pStyle w:val="FootnoteText"/>
        <w:rPr>
          <w:lang w:val="fr-CA"/>
        </w:rPr>
      </w:pPr>
      <w:r w:rsidRPr="0031513C">
        <w:rPr>
          <w:rStyle w:val="FootnoteReference"/>
        </w:rPr>
        <w:footnoteRef/>
      </w:r>
      <w:r w:rsidRPr="0031513C">
        <w:rPr>
          <w:lang w:val="fr-CA"/>
        </w:rPr>
        <w:t xml:space="preserve"> Pour ce travail, nous définissons un groupe minoritaire comme étant constitué des émigrants d’un pays arrivés aux États-Unis, entre 1860 et 1910, qui n’auraient pas dépassé le cap total du million pour cette période. Selon les données du </w:t>
      </w:r>
      <w:r w:rsidRPr="0031513C">
        <w:rPr>
          <w:i/>
          <w:iCs/>
          <w:lang w:val="fr-CA"/>
        </w:rPr>
        <w:t>Department of Homeland Security</w:t>
      </w:r>
      <w:r w:rsidRPr="0031513C">
        <w:rPr>
          <w:lang w:val="fr-CA"/>
        </w:rPr>
        <w:t xml:space="preserve">, les émigrants des pays suivants font partie de la catégorie des groupes minoritaires : la Chine, la France, le Danemark, la Suisse, les Caraïbes, la Turquie, la Grèce, la Pologne, le Japon, les Pays-Bas, le Portugal, la Belgique, la Romanie, le Mexique et l’Espagne. </w:t>
      </w:r>
      <w:r w:rsidRPr="0031513C">
        <w:t xml:space="preserve">Voir U.S. Department of HomeLand Security, </w:t>
      </w:r>
      <w:r w:rsidRPr="0031513C">
        <w:rPr>
          <w:i/>
        </w:rPr>
        <w:t>Fiscal Year 1998 Statistical Yearbook</w:t>
      </w:r>
      <w:r>
        <w:rPr>
          <w:i/>
        </w:rPr>
        <w:t>—</w:t>
      </w:r>
      <w:r w:rsidRPr="0031513C">
        <w:rPr>
          <w:i/>
        </w:rPr>
        <w:t xml:space="preserve"> Immigrant Tables</w:t>
      </w:r>
      <w:r w:rsidRPr="0031513C">
        <w:t xml:space="preserve">. Collections: Immigration Data and Statistics. Last Published Date: May 7, 2019, </w:t>
      </w:r>
      <w:hyperlink r:id="rId1" w:history="1">
        <w:r w:rsidRPr="0031513C">
          <w:rPr>
            <w:rStyle w:val="Hyperlink"/>
          </w:rPr>
          <w:t>https://www.dhs.gov/publication/fiscal-year-1998-statistical-yearbook-immigrant-tables</w:t>
        </w:r>
      </w:hyperlink>
      <w:r w:rsidRPr="0031513C">
        <w:t xml:space="preserve">. </w:t>
      </w:r>
      <w:r w:rsidRPr="0031513C">
        <w:rPr>
          <w:lang w:val="fr-CA"/>
        </w:rPr>
        <w:t>Consulté le 15 mai 2019.</w:t>
      </w:r>
    </w:p>
  </w:footnote>
  <w:footnote w:id="4">
    <w:p w14:paraId="2FD28DA6" w14:textId="77777777" w:rsidR="00D40D7C" w:rsidRPr="0031513C" w:rsidRDefault="00D40D7C">
      <w:pPr>
        <w:pStyle w:val="FootnoteText"/>
        <w:rPr>
          <w:lang w:val="fr-CA"/>
        </w:rPr>
      </w:pPr>
      <w:r w:rsidRPr="0031513C">
        <w:rPr>
          <w:rStyle w:val="FootnoteReference"/>
        </w:rPr>
        <w:footnoteRef/>
      </w:r>
      <w:r w:rsidRPr="0031513C">
        <w:rPr>
          <w:lang w:val="fr-CA"/>
        </w:rPr>
        <w:t xml:space="preserve"> Yves Roby, </w:t>
      </w:r>
      <w:r w:rsidRPr="0031513C">
        <w:rPr>
          <w:i/>
          <w:lang w:val="fr-CA"/>
        </w:rPr>
        <w:t>Les Franco-américains de la Nouvelle-Angleterre : Rêves et réalités</w:t>
      </w:r>
      <w:r w:rsidRPr="0031513C">
        <w:rPr>
          <w:lang w:val="fr-CA"/>
        </w:rPr>
        <w:t>, p. 69, 74-75 et 119-120.</w:t>
      </w:r>
    </w:p>
  </w:footnote>
  <w:footnote w:id="5">
    <w:p w14:paraId="3B90DADE" w14:textId="77777777" w:rsidR="00D40D7C" w:rsidRPr="0031513C" w:rsidRDefault="00D40D7C" w:rsidP="008E3C6C">
      <w:pPr>
        <w:pStyle w:val="FootnoteText"/>
      </w:pPr>
      <w:r w:rsidRPr="0031513C">
        <w:rPr>
          <w:rStyle w:val="FootnoteReference"/>
        </w:rPr>
        <w:footnoteRef/>
      </w:r>
      <w:r w:rsidRPr="0031513C">
        <w:t xml:space="preserve"> Lemelin, </w:t>
      </w:r>
      <w:r w:rsidRPr="0031513C">
        <w:rPr>
          <w:i/>
          <w:iCs/>
        </w:rPr>
        <w:t>op. cit</w:t>
      </w:r>
      <w:r w:rsidRPr="0031513C">
        <w:t>.</w:t>
      </w:r>
    </w:p>
  </w:footnote>
  <w:footnote w:id="6">
    <w:p w14:paraId="3F294E04"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 4.</w:t>
      </w:r>
    </w:p>
  </w:footnote>
  <w:footnote w:id="7">
    <w:p w14:paraId="2EA2C15A" w14:textId="77777777" w:rsidR="00D40D7C" w:rsidRPr="0031513C" w:rsidRDefault="00D40D7C" w:rsidP="00B54022">
      <w:pPr>
        <w:pStyle w:val="FootnoteText"/>
      </w:pPr>
      <w:r w:rsidRPr="0031513C">
        <w:rPr>
          <w:rStyle w:val="FootnoteReference"/>
        </w:rPr>
        <w:footnoteRef/>
      </w:r>
      <w:r w:rsidRPr="0031513C">
        <w:rPr>
          <w:lang w:val="fr-CA"/>
        </w:rPr>
        <w:t xml:space="preserve"> Albert Bélanger, </w:t>
      </w:r>
      <w:r w:rsidRPr="0031513C">
        <w:rPr>
          <w:i/>
          <w:iCs/>
          <w:lang w:val="fr-CA"/>
        </w:rPr>
        <w:t>Guide Franco-Américain</w:t>
      </w:r>
      <w:r>
        <w:rPr>
          <w:i/>
          <w:iCs/>
          <w:lang w:val="fr-CA"/>
        </w:rPr>
        <w:t> </w:t>
      </w:r>
      <w:r w:rsidRPr="0031513C">
        <w:rPr>
          <w:i/>
          <w:iCs/>
          <w:lang w:val="fr-CA"/>
        </w:rPr>
        <w:t xml:space="preserve">1922. </w:t>
      </w:r>
      <w:r w:rsidRPr="0031513C">
        <w:rPr>
          <w:i/>
          <w:iCs/>
        </w:rPr>
        <w:t>4e édition, Massachusetts, Fall-River</w:t>
      </w:r>
      <w:r w:rsidRPr="0031513C">
        <w:t>,</w:t>
      </w:r>
      <w:r>
        <w:t xml:space="preserve"> 1922,</w:t>
      </w:r>
      <w:r w:rsidRPr="0031513C">
        <w:t xml:space="preserve"> 504 p.</w:t>
      </w:r>
    </w:p>
  </w:footnote>
  <w:footnote w:id="8">
    <w:p w14:paraId="34E061A1" w14:textId="77777777" w:rsidR="00D40D7C" w:rsidRPr="0031513C" w:rsidRDefault="00D40D7C" w:rsidP="00B54022">
      <w:pPr>
        <w:pStyle w:val="FootnoteText"/>
        <w:rPr>
          <w:lang w:val="fr-CA"/>
        </w:rPr>
      </w:pPr>
      <w:r w:rsidRPr="0031513C">
        <w:rPr>
          <w:rStyle w:val="FootnoteReference"/>
        </w:rPr>
        <w:footnoteRef/>
      </w:r>
      <w:r w:rsidRPr="0031513C">
        <w:rPr>
          <w:lang w:val="fr-CA"/>
        </w:rPr>
        <w:t xml:space="preserve"> Jean-Pierre Gagnon, </w:t>
      </w:r>
      <w:r w:rsidRPr="0031513C">
        <w:rPr>
          <w:i/>
          <w:iCs/>
          <w:lang w:val="fr-CA"/>
        </w:rPr>
        <w:t>Le 22e bataillon, Québec (canadien-français), 1914-1919 : étude socio-militaire</w:t>
      </w:r>
      <w:r w:rsidRPr="0031513C">
        <w:rPr>
          <w:lang w:val="fr-CA"/>
        </w:rPr>
        <w:t>. Ottawa</w:t>
      </w:r>
      <w:r>
        <w:rPr>
          <w:lang w:val="fr-CA"/>
        </w:rPr>
        <w:t> </w:t>
      </w:r>
      <w:r w:rsidRPr="0031513C">
        <w:rPr>
          <w:lang w:val="fr-CA"/>
        </w:rPr>
        <w:t>; Québec, Presses de l’Université Laval en collaboration avec le Ministère de la Défense nationale et le Centre d’édition du gouvernement du Canada, 1986, 450 p.</w:t>
      </w:r>
    </w:p>
  </w:footnote>
  <w:footnote w:id="9">
    <w:p w14:paraId="1F0E1F5A" w14:textId="77777777" w:rsidR="00D40D7C" w:rsidRPr="0031513C" w:rsidRDefault="00D40D7C" w:rsidP="00F74142">
      <w:pPr>
        <w:pStyle w:val="FootnoteText"/>
        <w:rPr>
          <w:lang w:val="fr-CA"/>
        </w:rPr>
      </w:pPr>
      <w:r w:rsidRPr="0031513C">
        <w:rPr>
          <w:rStyle w:val="FootnoteReference"/>
        </w:rPr>
        <w:footnoteRef/>
      </w:r>
      <w:r w:rsidRPr="0031513C">
        <w:rPr>
          <w:lang w:val="fr-CA"/>
        </w:rPr>
        <w:t xml:space="preserve"> Yves Frenette, « L’historiographie des Franco-Américains de la Nouvelle-Angleterre, 1872-2015. » </w:t>
      </w:r>
      <w:r w:rsidRPr="0031513C">
        <w:rPr>
          <w:i/>
          <w:iCs/>
          <w:lang w:val="fr-CA"/>
        </w:rPr>
        <w:t>Bulletin d’histoire politique</w:t>
      </w:r>
      <w:r w:rsidRPr="0031513C">
        <w:rPr>
          <w:lang w:val="fr-CA"/>
        </w:rPr>
        <w:t xml:space="preserve">, vol 24, </w:t>
      </w:r>
      <w:r w:rsidRPr="0031513C">
        <w:rPr>
          <w:rFonts w:eastAsia="Calibri"/>
          <w:bCs/>
          <w:color w:val="000000"/>
          <w:lang w:val="fr-CA" w:eastAsia="en-US"/>
        </w:rPr>
        <w:t>n</w:t>
      </w:r>
      <w:r>
        <w:rPr>
          <w:rFonts w:eastAsia="Calibri"/>
          <w:bCs/>
          <w:color w:val="000000"/>
          <w:vertAlign w:val="superscript"/>
          <w:lang w:val="fr-CA" w:eastAsia="en-US"/>
        </w:rPr>
        <w:t>o</w:t>
      </w:r>
      <w:r w:rsidRPr="0031513C">
        <w:rPr>
          <w:lang w:val="fr-CA"/>
        </w:rPr>
        <w:t> 2, hiver 2016, p. 75.</w:t>
      </w:r>
    </w:p>
  </w:footnote>
  <w:footnote w:id="10">
    <w:p w14:paraId="7BD58C92" w14:textId="77777777" w:rsidR="00D40D7C" w:rsidRPr="0031513C" w:rsidRDefault="00D40D7C" w:rsidP="00045AE2">
      <w:pPr>
        <w:pStyle w:val="FootnoteText"/>
        <w:rPr>
          <w:lang w:val="fr-CA"/>
        </w:rPr>
      </w:pPr>
      <w:r w:rsidRPr="0031513C">
        <w:rPr>
          <w:rStyle w:val="FootnoteReference"/>
        </w:rPr>
        <w:footnoteRef/>
      </w:r>
      <w:r w:rsidRPr="0031513C">
        <w:rPr>
          <w:lang w:val="fr-CA"/>
        </w:rPr>
        <w:t xml:space="preserve"> Roby, </w:t>
      </w:r>
      <w:r w:rsidRPr="0031513C">
        <w:rPr>
          <w:i/>
          <w:iCs/>
          <w:lang w:val="fr-CA"/>
        </w:rPr>
        <w:t>op. cit.,</w:t>
      </w:r>
      <w:r w:rsidRPr="0031513C">
        <w:rPr>
          <w:lang w:val="fr-CA"/>
        </w:rPr>
        <w:t xml:space="preserve"> p. 22.</w:t>
      </w:r>
    </w:p>
  </w:footnote>
  <w:footnote w:id="11">
    <w:p w14:paraId="4A7EA4D0" w14:textId="77777777" w:rsidR="00D40D7C" w:rsidRPr="00813DB8" w:rsidRDefault="00D40D7C" w:rsidP="00F74142">
      <w:pPr>
        <w:pStyle w:val="FootnoteText"/>
      </w:pPr>
      <w:r w:rsidRPr="0031513C">
        <w:rPr>
          <w:rStyle w:val="FootnoteReference"/>
        </w:rPr>
        <w:footnoteRef/>
      </w:r>
      <w:r w:rsidRPr="00813DB8">
        <w:t xml:space="preserve"> Frenette, </w:t>
      </w:r>
      <w:r w:rsidRPr="00813DB8">
        <w:rPr>
          <w:i/>
          <w:iCs/>
        </w:rPr>
        <w:t xml:space="preserve">op. cit., </w:t>
      </w:r>
      <w:r w:rsidRPr="00813DB8">
        <w:t>p. 75.</w:t>
      </w:r>
    </w:p>
  </w:footnote>
  <w:footnote w:id="12">
    <w:p w14:paraId="7785AF6D" w14:textId="77777777" w:rsidR="00D40D7C" w:rsidRPr="00813DB8" w:rsidRDefault="00D40D7C" w:rsidP="00F74142">
      <w:pPr>
        <w:pStyle w:val="FootnoteText"/>
      </w:pPr>
      <w:r w:rsidRPr="0031513C">
        <w:rPr>
          <w:rStyle w:val="FootnoteReference"/>
        </w:rPr>
        <w:footnoteRef/>
      </w:r>
      <w:r w:rsidRPr="00813DB8">
        <w:t xml:space="preserve"> </w:t>
      </w:r>
      <w:r w:rsidRPr="00813DB8">
        <w:rPr>
          <w:i/>
          <w:iCs/>
        </w:rPr>
        <w:t xml:space="preserve">Ibid., </w:t>
      </w:r>
      <w:r w:rsidRPr="00813DB8">
        <w:t>p. 75.</w:t>
      </w:r>
    </w:p>
  </w:footnote>
  <w:footnote w:id="13">
    <w:p w14:paraId="5EA7F011" w14:textId="77777777" w:rsidR="00D40D7C" w:rsidRPr="0031513C" w:rsidRDefault="00D40D7C" w:rsidP="00F74142">
      <w:pPr>
        <w:pStyle w:val="FootnoteText"/>
        <w:rPr>
          <w:lang w:val="fr-CA"/>
        </w:rPr>
      </w:pPr>
      <w:r w:rsidRPr="0031513C">
        <w:rPr>
          <w:rStyle w:val="FootnoteReference"/>
        </w:rPr>
        <w:footnoteRef/>
      </w:r>
      <w:r w:rsidRPr="0031513C">
        <w:rPr>
          <w:lang w:val="fr-CA"/>
        </w:rPr>
        <w:t xml:space="preserve"> </w:t>
      </w:r>
      <w:r w:rsidRPr="0031513C">
        <w:rPr>
          <w:i/>
          <w:iCs/>
          <w:lang w:val="fr-CA"/>
        </w:rPr>
        <w:t xml:space="preserve">Ibid., </w:t>
      </w:r>
      <w:r w:rsidRPr="0031513C">
        <w:rPr>
          <w:lang w:val="fr-CA"/>
        </w:rPr>
        <w:t>p. 76-77.</w:t>
      </w:r>
    </w:p>
  </w:footnote>
  <w:footnote w:id="14">
    <w:p w14:paraId="6BB1A599" w14:textId="77777777" w:rsidR="00D40D7C" w:rsidRPr="0031513C" w:rsidRDefault="00D40D7C" w:rsidP="00F74142">
      <w:pPr>
        <w:pStyle w:val="FootnoteText"/>
        <w:rPr>
          <w:lang w:val="fr-CA"/>
        </w:rPr>
      </w:pPr>
      <w:r w:rsidRPr="0031513C">
        <w:rPr>
          <w:rStyle w:val="FootnoteReference"/>
        </w:rPr>
        <w:footnoteRef/>
      </w:r>
      <w:r w:rsidRPr="0031513C">
        <w:rPr>
          <w:lang w:val="fr-CA"/>
        </w:rPr>
        <w:t xml:space="preserve"> Pierre Anctil, «</w:t>
      </w:r>
      <w:r>
        <w:rPr>
          <w:lang w:val="fr-CA"/>
        </w:rPr>
        <w:t> </w:t>
      </w:r>
      <w:r w:rsidRPr="0031513C">
        <w:rPr>
          <w:rFonts w:eastAsia="Calibri"/>
          <w:lang w:val="fr-CA" w:eastAsia="en-US"/>
        </w:rPr>
        <w:t>L</w:t>
      </w:r>
      <w:r>
        <w:rPr>
          <w:rFonts w:eastAsia="Calibri"/>
          <w:lang w:val="fr-CA" w:eastAsia="en-US"/>
        </w:rPr>
        <w:t>’</w:t>
      </w:r>
      <w:r w:rsidRPr="0031513C">
        <w:rPr>
          <w:rFonts w:eastAsia="Calibri"/>
          <w:lang w:val="fr-CA" w:eastAsia="en-US"/>
        </w:rPr>
        <w:t>identité de l</w:t>
      </w:r>
      <w:r>
        <w:rPr>
          <w:rFonts w:eastAsia="Calibri"/>
          <w:lang w:val="fr-CA" w:eastAsia="en-US"/>
        </w:rPr>
        <w:t>’</w:t>
      </w:r>
      <w:r w:rsidRPr="0031513C">
        <w:rPr>
          <w:rFonts w:eastAsia="Calibri"/>
          <w:lang w:val="fr-CA" w:eastAsia="en-US"/>
        </w:rPr>
        <w:t>immigrant québécois en Nouvelle-Angleterre. Le rapport Wright de 1882</w:t>
      </w:r>
      <w:r>
        <w:rPr>
          <w:rFonts w:eastAsia="Calibri"/>
          <w:lang w:val="fr-CA" w:eastAsia="en-US"/>
        </w:rPr>
        <w:t> </w:t>
      </w:r>
      <w:r w:rsidRPr="0031513C">
        <w:rPr>
          <w:rFonts w:eastAsia="Calibri"/>
          <w:lang w:val="fr-CA" w:eastAsia="en-US"/>
        </w:rPr>
        <w:t xml:space="preserve">», </w:t>
      </w:r>
      <w:r w:rsidRPr="0031513C">
        <w:rPr>
          <w:rFonts w:eastAsia="Calibri"/>
          <w:i/>
          <w:iCs/>
          <w:lang w:val="fr-CA" w:eastAsia="en-US"/>
        </w:rPr>
        <w:t>Recherches sociographiques</w:t>
      </w:r>
      <w:r w:rsidRPr="0031513C">
        <w:rPr>
          <w:rFonts w:eastAsia="Calibri"/>
          <w:lang w:val="fr-CA" w:eastAsia="en-US"/>
        </w:rPr>
        <w:t>, 1981, vol</w:t>
      </w:r>
      <w:r>
        <w:rPr>
          <w:rFonts w:eastAsia="Calibri"/>
          <w:lang w:val="fr-CA" w:eastAsia="en-US"/>
        </w:rPr>
        <w:t> </w:t>
      </w:r>
      <w:r w:rsidRPr="0031513C">
        <w:rPr>
          <w:rFonts w:eastAsia="Calibri"/>
          <w:iCs/>
          <w:lang w:val="fr-CA" w:eastAsia="en-US"/>
        </w:rPr>
        <w:t>22</w:t>
      </w:r>
      <w:r w:rsidRPr="0031513C">
        <w:rPr>
          <w:rFonts w:eastAsia="Calibri"/>
          <w:lang w:val="fr-CA" w:eastAsia="en-US"/>
        </w:rPr>
        <w:t xml:space="preserve"> (3),</w:t>
      </w:r>
      <w:r w:rsidRPr="0031513C">
        <w:rPr>
          <w:lang w:val="fr-CA"/>
        </w:rPr>
        <w:t xml:space="preserve"> p. 344.</w:t>
      </w:r>
    </w:p>
  </w:footnote>
  <w:footnote w:id="15">
    <w:p w14:paraId="192ACE3A" w14:textId="77777777" w:rsidR="00D40D7C" w:rsidRPr="0031513C" w:rsidRDefault="00D40D7C" w:rsidP="00F74142">
      <w:pPr>
        <w:pStyle w:val="FootnoteText"/>
        <w:rPr>
          <w:lang w:val="fr-CA"/>
        </w:rPr>
      </w:pPr>
      <w:r w:rsidRPr="0031513C">
        <w:rPr>
          <w:rStyle w:val="FootnoteReference"/>
        </w:rPr>
        <w:footnoteRef/>
      </w:r>
      <w:r w:rsidRPr="0031513C">
        <w:rPr>
          <w:lang w:val="fr-CA"/>
        </w:rPr>
        <w:t xml:space="preserve"> Frenette, </w:t>
      </w:r>
      <w:r w:rsidRPr="0031513C">
        <w:rPr>
          <w:i/>
          <w:iCs/>
          <w:lang w:val="fr-CA"/>
        </w:rPr>
        <w:t>op. cit.,</w:t>
      </w:r>
      <w:r w:rsidRPr="0031513C">
        <w:rPr>
          <w:lang w:val="fr-CA"/>
        </w:rPr>
        <w:t xml:space="preserve"> p. 76-79.</w:t>
      </w:r>
    </w:p>
  </w:footnote>
  <w:footnote w:id="16">
    <w:p w14:paraId="1A36536D" w14:textId="77777777" w:rsidR="00D40D7C" w:rsidRPr="00813DB8" w:rsidRDefault="00D40D7C" w:rsidP="00F74142">
      <w:pPr>
        <w:pStyle w:val="FootnoteText"/>
      </w:pPr>
      <w:r w:rsidRPr="0031513C">
        <w:rPr>
          <w:rStyle w:val="FootnoteReference"/>
        </w:rPr>
        <w:footnoteRef/>
      </w:r>
      <w:r w:rsidRPr="00813DB8">
        <w:t xml:space="preserve"> </w:t>
      </w:r>
      <w:r w:rsidRPr="00813DB8">
        <w:rPr>
          <w:i/>
          <w:iCs/>
        </w:rPr>
        <w:t xml:space="preserve">Ibid., </w:t>
      </w:r>
      <w:r w:rsidRPr="00813DB8">
        <w:t>p. 76.</w:t>
      </w:r>
    </w:p>
  </w:footnote>
  <w:footnote w:id="17">
    <w:p w14:paraId="312B3399" w14:textId="77777777" w:rsidR="00D40D7C" w:rsidRPr="0031513C" w:rsidRDefault="00D40D7C" w:rsidP="00F74142">
      <w:pPr>
        <w:pStyle w:val="FootnoteText"/>
      </w:pPr>
      <w:r w:rsidRPr="0031513C">
        <w:rPr>
          <w:rStyle w:val="FootnoteReference"/>
        </w:rPr>
        <w:footnoteRef/>
      </w:r>
      <w:r w:rsidRPr="0031513C">
        <w:t xml:space="preserve"> </w:t>
      </w:r>
      <w:r w:rsidRPr="0031513C">
        <w:rPr>
          <w:i/>
          <w:iCs/>
        </w:rPr>
        <w:t xml:space="preserve">Ibid., </w:t>
      </w:r>
      <w:r w:rsidRPr="0031513C">
        <w:t>p. 76.</w:t>
      </w:r>
    </w:p>
  </w:footnote>
  <w:footnote w:id="18">
    <w:p w14:paraId="6167347F" w14:textId="77777777" w:rsidR="00D40D7C" w:rsidRPr="0031513C" w:rsidRDefault="00D40D7C" w:rsidP="00611054">
      <w:pPr>
        <w:pStyle w:val="FootnoteText"/>
      </w:pPr>
      <w:r w:rsidRPr="0031513C">
        <w:rPr>
          <w:rStyle w:val="FootnoteReference"/>
        </w:rPr>
        <w:footnoteRef/>
      </w:r>
      <w:r w:rsidRPr="0031513C">
        <w:t xml:space="preserve"> </w:t>
      </w:r>
      <w:r w:rsidRPr="0031513C">
        <w:rPr>
          <w:i/>
          <w:iCs/>
        </w:rPr>
        <w:t xml:space="preserve">Ibid., </w:t>
      </w:r>
      <w:r w:rsidRPr="0031513C">
        <w:t>p. 78-79 et 80-81</w:t>
      </w:r>
    </w:p>
  </w:footnote>
  <w:footnote w:id="19">
    <w:p w14:paraId="4F55C3A7" w14:textId="77777777" w:rsidR="00D40D7C" w:rsidRPr="00813DB8" w:rsidRDefault="00D40D7C" w:rsidP="00F74142">
      <w:pPr>
        <w:pStyle w:val="FootnoteText"/>
        <w:rPr>
          <w:lang w:val="fr-CA"/>
        </w:rPr>
      </w:pPr>
      <w:r w:rsidRPr="0031513C">
        <w:rPr>
          <w:rStyle w:val="FootnoteReference"/>
        </w:rPr>
        <w:footnoteRef/>
      </w:r>
      <w:r w:rsidRPr="00813DB8">
        <w:rPr>
          <w:lang w:val="fr-CA"/>
        </w:rPr>
        <w:t xml:space="preserve"> </w:t>
      </w:r>
      <w:r w:rsidRPr="00813DB8">
        <w:rPr>
          <w:i/>
          <w:iCs/>
          <w:lang w:val="fr-CA"/>
        </w:rPr>
        <w:t xml:space="preserve">Ibid., </w:t>
      </w:r>
      <w:r w:rsidRPr="00813DB8">
        <w:rPr>
          <w:lang w:val="fr-CA"/>
        </w:rPr>
        <w:t>p. 82.</w:t>
      </w:r>
    </w:p>
  </w:footnote>
  <w:footnote w:id="20">
    <w:p w14:paraId="283FBD81" w14:textId="77777777" w:rsidR="00D40D7C" w:rsidRPr="0031513C" w:rsidRDefault="00D40D7C" w:rsidP="00F74142">
      <w:pPr>
        <w:pStyle w:val="FootnoteText"/>
        <w:rPr>
          <w:lang w:val="fr-CA"/>
        </w:rPr>
      </w:pPr>
      <w:r w:rsidRPr="0031513C">
        <w:rPr>
          <w:rStyle w:val="FootnoteReference"/>
        </w:rPr>
        <w:footnoteRef/>
      </w:r>
      <w:r w:rsidRPr="0031513C">
        <w:rPr>
          <w:lang w:val="fr-CA"/>
        </w:rPr>
        <w:t xml:space="preserve"> </w:t>
      </w:r>
      <w:r w:rsidRPr="0031513C">
        <w:rPr>
          <w:i/>
          <w:iCs/>
          <w:lang w:val="fr-CA"/>
        </w:rPr>
        <w:t xml:space="preserve">Ibid., </w:t>
      </w:r>
      <w:r w:rsidRPr="0031513C">
        <w:rPr>
          <w:lang w:val="fr-CA"/>
        </w:rPr>
        <w:t>p. 83-84.</w:t>
      </w:r>
    </w:p>
  </w:footnote>
  <w:footnote w:id="21">
    <w:p w14:paraId="3055BD8E" w14:textId="77777777" w:rsidR="00D40D7C" w:rsidRPr="0031513C" w:rsidRDefault="00D40D7C" w:rsidP="00F74142">
      <w:pPr>
        <w:autoSpaceDE w:val="0"/>
        <w:autoSpaceDN w:val="0"/>
        <w:adjustRightInd w:val="0"/>
        <w:rPr>
          <w:sz w:val="20"/>
          <w:szCs w:val="20"/>
          <w:lang w:val="fr-CA"/>
        </w:rPr>
      </w:pPr>
      <w:r w:rsidRPr="0031513C">
        <w:rPr>
          <w:rStyle w:val="FootnoteReference"/>
          <w:sz w:val="20"/>
          <w:szCs w:val="20"/>
        </w:rPr>
        <w:footnoteRef/>
      </w:r>
      <w:r w:rsidRPr="0031513C">
        <w:rPr>
          <w:sz w:val="20"/>
          <w:szCs w:val="20"/>
          <w:lang w:val="fr-CA"/>
        </w:rPr>
        <w:t xml:space="preserve"> À cet effet, nous notons par exemple les travaux d’Albert Faucher, « Projet de recherche historique : l’émigration des Canadiens français au XIX</w:t>
      </w:r>
      <w:r w:rsidRPr="0031513C">
        <w:rPr>
          <w:sz w:val="20"/>
          <w:szCs w:val="20"/>
          <w:vertAlign w:val="superscript"/>
          <w:lang w:val="fr-CA"/>
        </w:rPr>
        <w:t>e</w:t>
      </w:r>
      <w:r w:rsidRPr="0031513C">
        <w:rPr>
          <w:sz w:val="20"/>
          <w:szCs w:val="20"/>
          <w:lang w:val="fr-CA"/>
        </w:rPr>
        <w:t xml:space="preserve"> siècle », </w:t>
      </w:r>
      <w:r w:rsidRPr="0031513C">
        <w:rPr>
          <w:i/>
          <w:iCs/>
          <w:sz w:val="20"/>
          <w:szCs w:val="20"/>
          <w:lang w:val="fr-CA"/>
        </w:rPr>
        <w:t>Recherches sociographiques</w:t>
      </w:r>
      <w:r w:rsidRPr="0031513C">
        <w:rPr>
          <w:sz w:val="20"/>
          <w:szCs w:val="20"/>
          <w:lang w:val="fr-CA"/>
        </w:rPr>
        <w:t xml:space="preserve">, vol II, </w:t>
      </w:r>
      <w:r w:rsidRPr="00B22758">
        <w:rPr>
          <w:rFonts w:eastAsia="Calibri"/>
          <w:bCs/>
          <w:color w:val="000000"/>
          <w:sz w:val="20"/>
          <w:szCs w:val="20"/>
          <w:lang w:val="fr-CA" w:eastAsia="en-US"/>
        </w:rPr>
        <w:t>n</w:t>
      </w:r>
      <w:r w:rsidRPr="00B22758">
        <w:rPr>
          <w:rFonts w:eastAsia="Calibri"/>
          <w:bCs/>
          <w:color w:val="000000"/>
          <w:sz w:val="20"/>
          <w:szCs w:val="20"/>
          <w:vertAlign w:val="superscript"/>
          <w:lang w:val="fr-CA" w:eastAsia="en-US"/>
        </w:rPr>
        <w:t>o</w:t>
      </w:r>
      <w:r>
        <w:rPr>
          <w:rFonts w:eastAsia="Calibri"/>
          <w:bCs/>
          <w:color w:val="000000"/>
          <w:sz w:val="20"/>
          <w:szCs w:val="20"/>
          <w:lang w:val="fr-CA" w:eastAsia="en-US"/>
        </w:rPr>
        <w:t> </w:t>
      </w:r>
      <w:r w:rsidRPr="0031513C">
        <w:rPr>
          <w:sz w:val="20"/>
          <w:szCs w:val="20"/>
          <w:lang w:val="fr-CA"/>
        </w:rPr>
        <w:t>2, 1961, pp. 241-245.</w:t>
      </w:r>
    </w:p>
  </w:footnote>
  <w:footnote w:id="22">
    <w:p w14:paraId="6455B332" w14:textId="77777777" w:rsidR="00D40D7C" w:rsidRPr="0031513C" w:rsidRDefault="00D40D7C" w:rsidP="00F74142">
      <w:pPr>
        <w:pStyle w:val="FootnoteText"/>
      </w:pPr>
      <w:r w:rsidRPr="0031513C">
        <w:rPr>
          <w:rStyle w:val="FootnoteReference"/>
        </w:rPr>
        <w:footnoteRef/>
      </w:r>
      <w:r w:rsidRPr="0031513C">
        <w:t xml:space="preserve"> Frenette, </w:t>
      </w:r>
      <w:r w:rsidRPr="0031513C">
        <w:rPr>
          <w:i/>
          <w:iCs/>
        </w:rPr>
        <w:t>op. cit.,</w:t>
      </w:r>
      <w:r w:rsidRPr="0031513C">
        <w:t xml:space="preserve"> p. 85-86.</w:t>
      </w:r>
    </w:p>
  </w:footnote>
  <w:footnote w:id="23">
    <w:p w14:paraId="46C8715C" w14:textId="77777777" w:rsidR="00D40D7C" w:rsidRPr="0031513C" w:rsidRDefault="00D40D7C" w:rsidP="00F74142">
      <w:pPr>
        <w:pStyle w:val="FootnoteText"/>
      </w:pPr>
      <w:r w:rsidRPr="0031513C">
        <w:rPr>
          <w:rStyle w:val="FootnoteReference"/>
        </w:rPr>
        <w:footnoteRef/>
      </w:r>
      <w:r w:rsidRPr="0031513C">
        <w:t xml:space="preserve"> Voir Tamara K. Hareven et Randolph Langenback, </w:t>
      </w:r>
      <w:r w:rsidRPr="0031513C">
        <w:rPr>
          <w:i/>
          <w:iCs/>
        </w:rPr>
        <w:t>Amoskeag : Life and Work in an American Factory-City</w:t>
      </w:r>
      <w:r w:rsidRPr="0031513C">
        <w:t>, New York, Pantheon Books</w:t>
      </w:r>
      <w:r>
        <w:t> </w:t>
      </w:r>
      <w:r w:rsidRPr="0031513C">
        <w:t xml:space="preserve">1980, 394p; Charles Stewart Doty, </w:t>
      </w:r>
      <w:r w:rsidRPr="0031513C">
        <w:rPr>
          <w:i/>
        </w:rPr>
        <w:t>The First Franco-Americans: New England Life Histories From the Federal Writers</w:t>
      </w:r>
      <w:r>
        <w:rPr>
          <w:i/>
        </w:rPr>
        <w:t>’</w:t>
      </w:r>
      <w:r w:rsidRPr="0031513C">
        <w:rPr>
          <w:i/>
        </w:rPr>
        <w:t xml:space="preserve"> Project, 1938</w:t>
      </w:r>
      <w:r>
        <w:rPr>
          <w:i/>
        </w:rPr>
        <w:t>–</w:t>
      </w:r>
      <w:r w:rsidRPr="0031513C">
        <w:rPr>
          <w:i/>
        </w:rPr>
        <w:t>1939</w:t>
      </w:r>
      <w:r w:rsidRPr="0031513C">
        <w:t xml:space="preserve">, Orono, Maine: University of Maine at Orono Press, 1985, 163p; </w:t>
      </w:r>
      <w:r w:rsidRPr="0031513C">
        <w:rPr>
          <w:rFonts w:eastAsia="Calibri"/>
          <w:lang w:eastAsia="en-US"/>
        </w:rPr>
        <w:t xml:space="preserve">Dyke Hendrickson, </w:t>
      </w:r>
      <w:r w:rsidRPr="0031513C">
        <w:rPr>
          <w:rFonts w:eastAsia="Calibri"/>
          <w:i/>
          <w:lang w:eastAsia="en-US"/>
        </w:rPr>
        <w:t>Quiet Presence: Dramatic, First-Person Accounts-The True Stories of Franco-Americans in New England,</w:t>
      </w:r>
      <w:r w:rsidRPr="0031513C">
        <w:rPr>
          <w:rFonts w:eastAsia="Calibri"/>
          <w:lang w:eastAsia="en-US"/>
        </w:rPr>
        <w:t xml:space="preserve"> Portland, Maine: G. Gannett Pub. Co., 1980, 266p.</w:t>
      </w:r>
    </w:p>
  </w:footnote>
  <w:footnote w:id="24">
    <w:p w14:paraId="12B1BB5A" w14:textId="77777777" w:rsidR="00D40D7C" w:rsidRPr="0031513C" w:rsidRDefault="00D40D7C" w:rsidP="00F74142">
      <w:pPr>
        <w:pStyle w:val="FootnoteText"/>
        <w:rPr>
          <w:lang w:val="fr-CA"/>
        </w:rPr>
      </w:pPr>
      <w:r w:rsidRPr="0031513C">
        <w:rPr>
          <w:rStyle w:val="FootnoteReference"/>
        </w:rPr>
        <w:footnoteRef/>
      </w:r>
      <w:r w:rsidRPr="0031513C">
        <w:rPr>
          <w:lang w:val="fr-CA"/>
        </w:rPr>
        <w:t xml:space="preserve"> Frenette, </w:t>
      </w:r>
      <w:r w:rsidRPr="0031513C">
        <w:rPr>
          <w:i/>
          <w:iCs/>
          <w:lang w:val="fr-CA"/>
        </w:rPr>
        <w:t>op. cit.,</w:t>
      </w:r>
      <w:r w:rsidRPr="0031513C">
        <w:rPr>
          <w:lang w:val="fr-CA"/>
        </w:rPr>
        <w:t xml:space="preserve"> p. 76 et 87.</w:t>
      </w:r>
    </w:p>
  </w:footnote>
  <w:footnote w:id="25">
    <w:p w14:paraId="476D38DF" w14:textId="77777777" w:rsidR="00D40D7C" w:rsidRPr="0031513C" w:rsidRDefault="00D40D7C" w:rsidP="00F74142">
      <w:pPr>
        <w:pStyle w:val="FootnoteText"/>
        <w:rPr>
          <w:lang w:val="fr-CA"/>
        </w:rPr>
      </w:pPr>
      <w:r w:rsidRPr="0031513C">
        <w:rPr>
          <w:rStyle w:val="FootnoteReference"/>
        </w:rPr>
        <w:footnoteRef/>
      </w:r>
      <w:r w:rsidRPr="0031513C">
        <w:rPr>
          <w:lang w:val="fr-CA"/>
        </w:rPr>
        <w:t xml:space="preserve"> Frenette, </w:t>
      </w:r>
      <w:r w:rsidRPr="0031513C">
        <w:rPr>
          <w:i/>
          <w:iCs/>
          <w:lang w:val="fr-CA"/>
        </w:rPr>
        <w:t>op. cit.,</w:t>
      </w:r>
      <w:r w:rsidRPr="0031513C">
        <w:rPr>
          <w:lang w:val="fr-CA"/>
        </w:rPr>
        <w:t xml:space="preserve"> p. 76 et 87.</w:t>
      </w:r>
    </w:p>
  </w:footnote>
  <w:footnote w:id="26">
    <w:p w14:paraId="442BA04C" w14:textId="77777777" w:rsidR="00D40D7C" w:rsidRPr="0031513C" w:rsidRDefault="00D40D7C" w:rsidP="00B769EF">
      <w:pPr>
        <w:pStyle w:val="FootnoteText"/>
        <w:rPr>
          <w:lang w:val="fr-CA"/>
        </w:rPr>
      </w:pPr>
      <w:r w:rsidRPr="0031513C">
        <w:rPr>
          <w:rStyle w:val="FootnoteReference"/>
        </w:rPr>
        <w:footnoteRef/>
      </w:r>
      <w:r w:rsidRPr="0031513C">
        <w:rPr>
          <w:lang w:val="fr-CA"/>
        </w:rPr>
        <w:t xml:space="preserve"> Yves Frenette et Yves Roby, « Guide du chercheur en études franco-américaines : un projet ». </w:t>
      </w:r>
      <w:r w:rsidRPr="0031513C">
        <w:rPr>
          <w:i/>
          <w:lang w:val="fr-CA"/>
        </w:rPr>
        <w:t>Le Québec et les francophones de la Nouvelle-Angleterre</w:t>
      </w:r>
      <w:r w:rsidRPr="0031513C">
        <w:rPr>
          <w:lang w:val="fr-CA"/>
        </w:rPr>
        <w:t>. Col Culture française d’Amérique. Les Presses de l’Université Laval, 1991. p. 131.</w:t>
      </w:r>
    </w:p>
  </w:footnote>
  <w:footnote w:id="27">
    <w:p w14:paraId="58B162EB" w14:textId="77777777" w:rsidR="00D40D7C" w:rsidRPr="000545B4" w:rsidRDefault="00D40D7C" w:rsidP="00F74142">
      <w:pPr>
        <w:pStyle w:val="FootnoteText"/>
        <w:rPr>
          <w:lang w:val="fr-CA"/>
        </w:rPr>
      </w:pPr>
      <w:r w:rsidRPr="0031513C">
        <w:rPr>
          <w:rStyle w:val="FootnoteReference"/>
        </w:rPr>
        <w:footnoteRef/>
      </w:r>
      <w:r w:rsidRPr="000545B4">
        <w:rPr>
          <w:lang w:val="fr-CA"/>
        </w:rPr>
        <w:t xml:space="preserve"> Lemelin, </w:t>
      </w:r>
      <w:r w:rsidRPr="000545B4">
        <w:rPr>
          <w:i/>
          <w:iCs/>
          <w:lang w:val="fr-CA"/>
        </w:rPr>
        <w:t>op. cit</w:t>
      </w:r>
      <w:r w:rsidRPr="000545B4">
        <w:rPr>
          <w:lang w:val="fr-CA"/>
        </w:rPr>
        <w:t>.</w:t>
      </w:r>
    </w:p>
  </w:footnote>
  <w:footnote w:id="28">
    <w:p w14:paraId="282CAD03" w14:textId="77777777" w:rsidR="00D40D7C" w:rsidRPr="0031513C" w:rsidRDefault="00D40D7C" w:rsidP="00DE3904">
      <w:pPr>
        <w:pStyle w:val="FootnoteText"/>
      </w:pPr>
      <w:r w:rsidRPr="0031513C">
        <w:rPr>
          <w:rStyle w:val="FootnoteReference"/>
        </w:rPr>
        <w:footnoteRef/>
      </w:r>
      <w:r w:rsidRPr="000545B4">
        <w:rPr>
          <w:lang w:val="fr-CA"/>
        </w:rPr>
        <w:t xml:space="preserve"> U.S. Department of HomeLand Security, </w:t>
      </w:r>
      <w:r w:rsidRPr="000545B4">
        <w:rPr>
          <w:i/>
          <w:lang w:val="fr-CA"/>
        </w:rPr>
        <w:t>Fiscal Year 1998 Statistical Yearbook— Immigrant Tables</w:t>
      </w:r>
      <w:r w:rsidRPr="000545B4">
        <w:rPr>
          <w:lang w:val="fr-CA"/>
        </w:rPr>
        <w:t xml:space="preserve">. </w:t>
      </w:r>
      <w:r w:rsidRPr="0031513C">
        <w:t xml:space="preserve">Collections: Immigration Data and Statistics. Last Published Date: May 7, 2019, </w:t>
      </w:r>
      <w:hyperlink r:id="rId2" w:history="1">
        <w:r w:rsidRPr="0031513C">
          <w:rPr>
            <w:rStyle w:val="Hyperlink"/>
          </w:rPr>
          <w:t>https://www.dhs.gov/publication/fiscal-year-1998-statistical-yearbook-immigrant-tables</w:t>
        </w:r>
      </w:hyperlink>
      <w:r>
        <w:t>.</w:t>
      </w:r>
    </w:p>
    <w:p w14:paraId="54F6052F" w14:textId="77777777" w:rsidR="00D40D7C" w:rsidRPr="0031513C" w:rsidRDefault="00D40D7C" w:rsidP="00DE3904">
      <w:pPr>
        <w:pStyle w:val="FootnoteText"/>
        <w:rPr>
          <w:lang w:val="fr-CA"/>
        </w:rPr>
      </w:pPr>
      <w:r w:rsidRPr="0031513C">
        <w:rPr>
          <w:lang w:val="fr-CA"/>
        </w:rPr>
        <w:t>Consulté le 16 mai 2019.</w:t>
      </w:r>
    </w:p>
  </w:footnote>
  <w:footnote w:id="29">
    <w:p w14:paraId="7D31C5A5" w14:textId="77777777" w:rsidR="00D40D7C" w:rsidRPr="0031513C" w:rsidRDefault="00D40D7C" w:rsidP="00FC380C">
      <w:pPr>
        <w:pStyle w:val="FootnoteText"/>
        <w:rPr>
          <w:lang w:val="fr-CA"/>
        </w:rPr>
      </w:pPr>
      <w:r w:rsidRPr="0031513C">
        <w:rPr>
          <w:rStyle w:val="FootnoteReference"/>
        </w:rPr>
        <w:footnoteRef/>
      </w:r>
      <w:r w:rsidRPr="000545B4">
        <w:rPr>
          <w:lang w:val="fr-CA"/>
        </w:rPr>
        <w:t xml:space="preserve"> Roby, </w:t>
      </w:r>
      <w:r w:rsidRPr="000545B4">
        <w:rPr>
          <w:i/>
          <w:iCs/>
          <w:lang w:val="fr-CA"/>
        </w:rPr>
        <w:t>op. cit.,</w:t>
      </w:r>
      <w:r w:rsidRPr="000545B4">
        <w:rPr>
          <w:lang w:val="fr-CA"/>
        </w:rPr>
        <w:t xml:space="preserve"> p. 1. </w:t>
      </w:r>
      <w:r w:rsidRPr="0031513C">
        <w:rPr>
          <w:lang w:val="fr-CA"/>
        </w:rPr>
        <w:t xml:space="preserve">Terme employé par l’historien Mason Wade. </w:t>
      </w:r>
    </w:p>
  </w:footnote>
  <w:footnote w:id="30">
    <w:p w14:paraId="79784885" w14:textId="77777777" w:rsidR="00D40D7C" w:rsidRPr="0031513C" w:rsidRDefault="00D40D7C">
      <w:pPr>
        <w:pStyle w:val="FootnoteText"/>
        <w:rPr>
          <w:rFonts w:eastAsia="Calibri"/>
          <w:lang w:val="fr-CA" w:eastAsia="en-US"/>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 xml:space="preserve">21. </w:t>
      </w:r>
      <w:r w:rsidRPr="0031513C">
        <w:rPr>
          <w:rFonts w:eastAsia="Calibri"/>
          <w:lang w:val="fr-CA" w:eastAsia="en-US"/>
        </w:rPr>
        <w:t>Par exemple, entre 1840 et 1850, la population de Canadiens français, qui vivent au New Hampshire, passe de 50 à 250</w:t>
      </w:r>
    </w:p>
    <w:p w14:paraId="168300A4" w14:textId="77777777" w:rsidR="00D40D7C" w:rsidRPr="00C35903" w:rsidRDefault="00D40D7C">
      <w:pPr>
        <w:pStyle w:val="FootnoteText"/>
      </w:pPr>
      <w:r w:rsidRPr="0031513C">
        <w:rPr>
          <w:rStyle w:val="FootnoteReference"/>
          <w:rFonts w:eastAsia="Calibri"/>
          <w:lang w:val="fr-CA" w:eastAsia="en-US"/>
        </w:rPr>
        <w:footnoteRef/>
      </w:r>
      <w:r w:rsidRPr="00C35903">
        <w:rPr>
          <w:rFonts w:eastAsia="Calibri"/>
          <w:lang w:eastAsia="en-US"/>
        </w:rPr>
        <w:t xml:space="preserve"> </w:t>
      </w:r>
      <w:r w:rsidRPr="00C35903">
        <w:rPr>
          <w:rFonts w:eastAsia="Calibri"/>
          <w:i/>
          <w:iCs/>
          <w:lang w:eastAsia="en-US"/>
        </w:rPr>
        <w:t>Ibid.,</w:t>
      </w:r>
      <w:r w:rsidRPr="00C35903">
        <w:t xml:space="preserve"> p. 21.</w:t>
      </w:r>
    </w:p>
  </w:footnote>
  <w:footnote w:id="31">
    <w:p w14:paraId="3ABC63D4" w14:textId="77777777" w:rsidR="00D40D7C" w:rsidRPr="0031513C" w:rsidRDefault="00D40D7C" w:rsidP="00BD298A">
      <w:pPr>
        <w:pStyle w:val="FootnoteText"/>
      </w:pPr>
      <w:r w:rsidRPr="0031513C">
        <w:rPr>
          <w:rStyle w:val="FootnoteReference"/>
        </w:rPr>
        <w:footnoteRef/>
      </w:r>
      <w:r w:rsidRPr="0031513C">
        <w:t xml:space="preserve"> </w:t>
      </w:r>
      <w:r w:rsidRPr="0031513C">
        <w:rPr>
          <w:i/>
          <w:iCs/>
        </w:rPr>
        <w:t>Ibid.,</w:t>
      </w:r>
      <w:r w:rsidRPr="0031513C">
        <w:t xml:space="preserve"> p.</w:t>
      </w:r>
      <w:r>
        <w:t> </w:t>
      </w:r>
      <w:r w:rsidRPr="0031513C">
        <w:t>1.</w:t>
      </w:r>
    </w:p>
  </w:footnote>
  <w:footnote w:id="32">
    <w:p w14:paraId="684E8418" w14:textId="77777777" w:rsidR="00D40D7C" w:rsidRPr="00C35903" w:rsidRDefault="00D40D7C" w:rsidP="008A17D1">
      <w:pPr>
        <w:pStyle w:val="FootnoteText"/>
      </w:pPr>
      <w:r w:rsidRPr="0031513C">
        <w:rPr>
          <w:rStyle w:val="FootnoteReference"/>
        </w:rPr>
        <w:footnoteRef/>
      </w:r>
      <w:r w:rsidRPr="00C35903">
        <w:t xml:space="preserve"> </w:t>
      </w:r>
      <w:r w:rsidRPr="00C35903">
        <w:rPr>
          <w:i/>
          <w:iCs/>
        </w:rPr>
        <w:t>Ibid.,</w:t>
      </w:r>
      <w:r w:rsidRPr="00C35903">
        <w:t xml:space="preserve"> p. 1, 21 et 22.</w:t>
      </w:r>
    </w:p>
  </w:footnote>
  <w:footnote w:id="33">
    <w:p w14:paraId="272E82E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 xml:space="preserve">Ibid., </w:t>
      </w:r>
      <w:r w:rsidRPr="0031513C">
        <w:rPr>
          <w:lang w:val="fr-CA"/>
        </w:rPr>
        <w:t>p.</w:t>
      </w:r>
      <w:r>
        <w:rPr>
          <w:lang w:val="fr-CA"/>
        </w:rPr>
        <w:t> </w:t>
      </w:r>
      <w:r w:rsidRPr="0031513C">
        <w:rPr>
          <w:lang w:val="fr-CA"/>
        </w:rPr>
        <w:t>32.</w:t>
      </w:r>
    </w:p>
  </w:footnote>
  <w:footnote w:id="34">
    <w:p w14:paraId="3E5FDCBC" w14:textId="77777777" w:rsidR="00D40D7C" w:rsidRPr="0031513C" w:rsidRDefault="00D40D7C" w:rsidP="0051682F">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xml:space="preserve"> p.</w:t>
      </w:r>
      <w:r>
        <w:rPr>
          <w:lang w:val="fr-CA"/>
        </w:rPr>
        <w:t> </w:t>
      </w:r>
      <w:r w:rsidRPr="0031513C">
        <w:rPr>
          <w:lang w:val="fr-CA"/>
        </w:rPr>
        <w:t>36.</w:t>
      </w:r>
    </w:p>
  </w:footnote>
  <w:footnote w:id="35">
    <w:p w14:paraId="7EA400D1" w14:textId="77777777" w:rsidR="00D40D7C" w:rsidRPr="0031513C" w:rsidRDefault="00D40D7C" w:rsidP="00516779">
      <w:pPr>
        <w:pStyle w:val="FootnoteText"/>
        <w:rPr>
          <w:lang w:val="fr-CA"/>
        </w:rPr>
      </w:pPr>
      <w:r w:rsidRPr="0031513C">
        <w:rPr>
          <w:rStyle w:val="FootnoteReference"/>
        </w:rPr>
        <w:footnoteRef/>
      </w:r>
      <w:r w:rsidRPr="0031513C">
        <w:rPr>
          <w:lang w:val="fr-CA"/>
        </w:rPr>
        <w:t xml:space="preserve"> </w:t>
      </w:r>
      <w:bookmarkStart w:id="4" w:name="_Hlk8564976"/>
      <w:r w:rsidRPr="0031513C">
        <w:rPr>
          <w:rFonts w:eastAsia="Calibri"/>
          <w:lang w:val="fr-CA" w:eastAsia="en-US"/>
        </w:rPr>
        <w:t>Jean-François Caron, «</w:t>
      </w:r>
      <w:r>
        <w:rPr>
          <w:rFonts w:eastAsia="Calibri"/>
          <w:lang w:val="fr-CA" w:eastAsia="en-US"/>
        </w:rPr>
        <w:t> </w:t>
      </w:r>
      <w:r w:rsidRPr="0031513C">
        <w:rPr>
          <w:rFonts w:eastAsia="Calibri"/>
          <w:lang w:val="fr-CA" w:eastAsia="en-US"/>
        </w:rPr>
        <w:t>Les gens de Bellechasse à Manchester, New Hampshire, en 1894</w:t>
      </w:r>
      <w:r>
        <w:rPr>
          <w:rFonts w:eastAsia="Calibri"/>
          <w:lang w:val="fr-CA" w:eastAsia="en-US"/>
        </w:rPr>
        <w:t> </w:t>
      </w:r>
      <w:r w:rsidRPr="0031513C">
        <w:rPr>
          <w:rFonts w:eastAsia="Calibri"/>
          <w:lang w:val="fr-CA" w:eastAsia="en-US"/>
        </w:rPr>
        <w:t xml:space="preserve">», </w:t>
      </w:r>
      <w:r w:rsidRPr="0031513C">
        <w:rPr>
          <w:rFonts w:eastAsia="Calibri"/>
          <w:i/>
          <w:lang w:val="fr-CA" w:eastAsia="en-US"/>
        </w:rPr>
        <w:t>Au fil des ans,</w:t>
      </w:r>
      <w:r w:rsidRPr="0031513C">
        <w:rPr>
          <w:rFonts w:eastAsia="Calibri"/>
          <w:lang w:val="fr-CA" w:eastAsia="en-US"/>
        </w:rPr>
        <w:t xml:space="preserve"> </w:t>
      </w:r>
      <w:r w:rsidRPr="0031513C">
        <w:rPr>
          <w:rFonts w:eastAsia="Calibri"/>
          <w:i/>
          <w:lang w:val="fr-CA" w:eastAsia="en-US"/>
        </w:rPr>
        <w:t>Bulletin de la Société historique de Bellechasse</w:t>
      </w:r>
      <w:r w:rsidRPr="0031513C">
        <w:rPr>
          <w:rFonts w:eastAsia="Calibri"/>
          <w:lang w:val="fr-CA" w:eastAsia="en-US"/>
        </w:rPr>
        <w:t>, vol</w:t>
      </w:r>
      <w:r>
        <w:rPr>
          <w:rFonts w:eastAsia="Calibri"/>
          <w:lang w:val="fr-CA" w:eastAsia="en-US"/>
        </w:rPr>
        <w:t> </w:t>
      </w:r>
      <w:r w:rsidRPr="0031513C">
        <w:rPr>
          <w:rFonts w:eastAsia="Calibri"/>
          <w:lang w:val="fr-CA" w:eastAsia="en-US"/>
        </w:rPr>
        <w:t xml:space="preserve">10, </w:t>
      </w:r>
      <w:r w:rsidRPr="00B22758">
        <w:rPr>
          <w:rFonts w:eastAsia="Calibri"/>
          <w:bCs/>
          <w:color w:val="000000"/>
          <w:lang w:val="fr-CA" w:eastAsia="en-US"/>
        </w:rPr>
        <w:t>n</w:t>
      </w:r>
      <w:r w:rsidRPr="00B22758">
        <w:rPr>
          <w:rFonts w:eastAsia="Calibri"/>
          <w:bCs/>
          <w:color w:val="000000"/>
          <w:vertAlign w:val="superscript"/>
          <w:lang w:val="fr-CA" w:eastAsia="en-US"/>
        </w:rPr>
        <w:t>o</w:t>
      </w:r>
      <w:r>
        <w:rPr>
          <w:rFonts w:eastAsia="Calibri"/>
          <w:bCs/>
          <w:color w:val="000000"/>
          <w:lang w:val="fr-CA" w:eastAsia="en-US"/>
        </w:rPr>
        <w:t> </w:t>
      </w:r>
      <w:r w:rsidRPr="0031513C">
        <w:rPr>
          <w:rFonts w:eastAsia="Calibri"/>
          <w:lang w:val="fr-CA" w:eastAsia="en-US"/>
        </w:rPr>
        <w:t>4, Automne 1998, Saint-Lazare (Qué.), p.</w:t>
      </w:r>
      <w:r>
        <w:rPr>
          <w:rFonts w:eastAsia="Calibri"/>
          <w:lang w:val="fr-CA" w:eastAsia="en-US"/>
        </w:rPr>
        <w:t> </w:t>
      </w:r>
      <w:r w:rsidRPr="0031513C">
        <w:rPr>
          <w:lang w:val="fr-CA"/>
        </w:rPr>
        <w:t>101.</w:t>
      </w:r>
      <w:bookmarkEnd w:id="4"/>
    </w:p>
  </w:footnote>
  <w:footnote w:id="36">
    <w:p w14:paraId="74C06109" w14:textId="77777777" w:rsidR="00D40D7C" w:rsidRPr="0031513C" w:rsidRDefault="00D40D7C" w:rsidP="001969F6">
      <w:pPr>
        <w:pStyle w:val="FootnoteText"/>
        <w:rPr>
          <w:i/>
          <w:iCs/>
          <w:lang w:val="fr-CA"/>
        </w:rPr>
      </w:pPr>
      <w:r w:rsidRPr="0031513C">
        <w:rPr>
          <w:rStyle w:val="FootnoteReference"/>
        </w:rPr>
        <w:footnoteRef/>
      </w:r>
      <w:r w:rsidRPr="0031513C">
        <w:rPr>
          <w:lang w:val="fr-CA"/>
        </w:rPr>
        <w:t xml:space="preserve"> André Sénécal, «</w:t>
      </w:r>
      <w:r>
        <w:rPr>
          <w:lang w:val="fr-CA"/>
        </w:rPr>
        <w:t> </w:t>
      </w:r>
      <w:r w:rsidRPr="0031513C">
        <w:rPr>
          <w:lang w:val="fr-CA"/>
        </w:rPr>
        <w:t>La thèse messianique et les Franco-Américains</w:t>
      </w:r>
      <w:r>
        <w:rPr>
          <w:lang w:val="fr-CA"/>
        </w:rPr>
        <w:t> </w:t>
      </w:r>
      <w:r w:rsidRPr="0031513C">
        <w:rPr>
          <w:lang w:val="fr-CA"/>
        </w:rPr>
        <w:t xml:space="preserve">», </w:t>
      </w:r>
      <w:r w:rsidRPr="0031513C">
        <w:rPr>
          <w:i/>
          <w:iCs/>
          <w:lang w:val="fr-CA"/>
        </w:rPr>
        <w:t>Revue d’histoire de</w:t>
      </w:r>
    </w:p>
    <w:p w14:paraId="13579414" w14:textId="77777777" w:rsidR="00D40D7C" w:rsidRPr="0031513C" w:rsidRDefault="00D40D7C" w:rsidP="001969F6">
      <w:pPr>
        <w:pStyle w:val="FootnoteText"/>
        <w:rPr>
          <w:lang w:val="fr-CA"/>
        </w:rPr>
      </w:pPr>
      <w:r w:rsidRPr="0031513C">
        <w:rPr>
          <w:i/>
          <w:iCs/>
          <w:lang w:val="fr-CA"/>
        </w:rPr>
        <w:t>l’Amérique française,</w:t>
      </w:r>
      <w:r w:rsidRPr="0031513C">
        <w:rPr>
          <w:lang w:val="fr-CA"/>
        </w:rPr>
        <w:t xml:space="preserve"> 1981, </w:t>
      </w:r>
      <w:r w:rsidRPr="0031513C">
        <w:rPr>
          <w:i/>
          <w:iCs/>
          <w:lang w:val="fr-CA"/>
        </w:rPr>
        <w:t>34</w:t>
      </w:r>
      <w:r w:rsidRPr="0031513C">
        <w:rPr>
          <w:lang w:val="fr-CA"/>
        </w:rPr>
        <w:t xml:space="preserve"> (4), p.</w:t>
      </w:r>
      <w:r>
        <w:rPr>
          <w:lang w:val="fr-CA"/>
        </w:rPr>
        <w:t> </w:t>
      </w:r>
      <w:r w:rsidRPr="0031513C">
        <w:rPr>
          <w:lang w:val="fr-CA"/>
        </w:rPr>
        <w:t>560.</w:t>
      </w:r>
    </w:p>
  </w:footnote>
  <w:footnote w:id="37">
    <w:p w14:paraId="21D875D8" w14:textId="77777777" w:rsidR="00D40D7C" w:rsidRPr="00C35903" w:rsidRDefault="00D40D7C" w:rsidP="009F5C85">
      <w:pPr>
        <w:pStyle w:val="FootnoteText"/>
        <w:rPr>
          <w:lang w:val="fr-CA"/>
        </w:rPr>
      </w:pPr>
      <w:r w:rsidRPr="0031513C">
        <w:rPr>
          <w:rStyle w:val="FootnoteReference"/>
        </w:rPr>
        <w:footnoteRef/>
      </w:r>
      <w:r w:rsidRPr="00C35903">
        <w:rPr>
          <w:lang w:val="fr-CA"/>
        </w:rPr>
        <w:t xml:space="preserve"> Bruno Ramirez, </w:t>
      </w:r>
      <w:r w:rsidRPr="00C35903">
        <w:rPr>
          <w:rFonts w:eastAsia="Calibri"/>
          <w:lang w:val="fr-CA" w:eastAsia="en-US"/>
        </w:rPr>
        <w:t xml:space="preserve">« French Canadian Immigrants in the New England Cotton Industry: A Socioeconimic Profile », Research Reports, </w:t>
      </w:r>
      <w:r w:rsidRPr="00C35903">
        <w:rPr>
          <w:rFonts w:eastAsia="Calibri"/>
          <w:i/>
          <w:lang w:val="fr-CA" w:eastAsia="en-US"/>
        </w:rPr>
        <w:t>Labour,</w:t>
      </w:r>
      <w:r w:rsidRPr="00C35903">
        <w:rPr>
          <w:rFonts w:eastAsia="Calibri"/>
          <w:lang w:val="fr-CA" w:eastAsia="en-US"/>
        </w:rPr>
        <w:t xml:space="preserve"> vol 11, 1983, </w:t>
      </w:r>
      <w:r w:rsidRPr="00C35903">
        <w:rPr>
          <w:lang w:val="fr-CA"/>
        </w:rPr>
        <w:t>p. 128.</w:t>
      </w:r>
    </w:p>
  </w:footnote>
  <w:footnote w:id="38">
    <w:p w14:paraId="082DAA40" w14:textId="77777777" w:rsidR="00D40D7C" w:rsidRPr="0031513C" w:rsidRDefault="00D40D7C" w:rsidP="00BE68B1">
      <w:pPr>
        <w:pStyle w:val="FootnoteText"/>
        <w:rPr>
          <w:lang w:val="fr-CA"/>
        </w:rPr>
      </w:pPr>
      <w:r w:rsidRPr="0031513C">
        <w:rPr>
          <w:rStyle w:val="FootnoteReference"/>
        </w:rPr>
        <w:footnoteRef/>
      </w:r>
      <w:r w:rsidRPr="0031513C">
        <w:rPr>
          <w:lang w:val="fr-CA"/>
        </w:rPr>
        <w:t xml:space="preserve"> Gilles Paquet et W.R. Smith, «</w:t>
      </w:r>
      <w:r>
        <w:rPr>
          <w:lang w:val="fr-CA"/>
        </w:rPr>
        <w:t> </w:t>
      </w:r>
      <w:r w:rsidRPr="0031513C">
        <w:rPr>
          <w:lang w:val="fr-CA"/>
        </w:rPr>
        <w:t>L’émigration des Canadiens français vers les États-Unis, 1790-1940</w:t>
      </w:r>
      <w:r>
        <w:rPr>
          <w:lang w:val="fr-CA"/>
        </w:rPr>
        <w:t> </w:t>
      </w:r>
      <w:r w:rsidRPr="0031513C">
        <w:rPr>
          <w:lang w:val="fr-CA"/>
        </w:rPr>
        <w:t>: problématique et coups de sonde</w:t>
      </w:r>
      <w:r>
        <w:rPr>
          <w:lang w:val="fr-CA"/>
        </w:rPr>
        <w:t> </w:t>
      </w:r>
      <w:r w:rsidRPr="0031513C">
        <w:rPr>
          <w:lang w:val="fr-CA"/>
        </w:rPr>
        <w:t xml:space="preserve">», </w:t>
      </w:r>
      <w:r w:rsidRPr="0031513C">
        <w:rPr>
          <w:i/>
          <w:iCs/>
          <w:lang w:val="fr-CA"/>
        </w:rPr>
        <w:t>L</w:t>
      </w:r>
      <w:r>
        <w:rPr>
          <w:i/>
          <w:iCs/>
          <w:lang w:val="fr-CA"/>
        </w:rPr>
        <w:t>’</w:t>
      </w:r>
      <w:r w:rsidRPr="0031513C">
        <w:rPr>
          <w:i/>
          <w:iCs/>
          <w:lang w:val="fr-CA"/>
        </w:rPr>
        <w:t>Actualité économique</w:t>
      </w:r>
      <w:r w:rsidRPr="0031513C">
        <w:rPr>
          <w:lang w:val="fr-CA"/>
        </w:rPr>
        <w:t>, 1983, vol</w:t>
      </w:r>
      <w:r>
        <w:rPr>
          <w:lang w:val="fr-CA"/>
        </w:rPr>
        <w:t> </w:t>
      </w:r>
      <w:r w:rsidRPr="0031513C">
        <w:rPr>
          <w:i/>
          <w:iCs/>
          <w:lang w:val="fr-CA"/>
        </w:rPr>
        <w:t>59</w:t>
      </w:r>
      <w:r w:rsidRPr="0031513C">
        <w:rPr>
          <w:lang w:val="fr-CA"/>
        </w:rPr>
        <w:t xml:space="preserve"> (3), p.</w:t>
      </w:r>
      <w:r>
        <w:rPr>
          <w:lang w:val="fr-CA"/>
        </w:rPr>
        <w:t> </w:t>
      </w:r>
      <w:r w:rsidRPr="0031513C">
        <w:rPr>
          <w:lang w:val="fr-CA"/>
        </w:rPr>
        <w:t>446.</w:t>
      </w:r>
    </w:p>
  </w:footnote>
  <w:footnote w:id="39">
    <w:p w14:paraId="5AE9175D"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w:t>
      </w:r>
      <w:r w:rsidRPr="0031513C">
        <w:rPr>
          <w:i/>
          <w:iCs/>
        </w:rPr>
        <w:t xml:space="preserve"> </w:t>
      </w:r>
      <w:r w:rsidRPr="0031513C">
        <w:t>p.</w:t>
      </w:r>
      <w:r>
        <w:t> </w:t>
      </w:r>
      <w:r w:rsidRPr="0031513C">
        <w:t>321.</w:t>
      </w:r>
    </w:p>
  </w:footnote>
  <w:footnote w:id="40">
    <w:p w14:paraId="3B323AE1" w14:textId="77777777" w:rsidR="00D40D7C" w:rsidRPr="0031513C" w:rsidRDefault="00D40D7C" w:rsidP="00AC6BB4">
      <w:pPr>
        <w:pStyle w:val="FootnoteText"/>
        <w:rPr>
          <w:lang w:val="fr-CA"/>
        </w:rPr>
      </w:pPr>
      <w:r w:rsidRPr="0031513C">
        <w:rPr>
          <w:rStyle w:val="FootnoteReference"/>
        </w:rPr>
        <w:footnoteRef/>
      </w:r>
      <w:r w:rsidRPr="0031513C">
        <w:t xml:space="preserve"> NH Office of Strategic Initiatives. US Decennial Census, </w:t>
      </w:r>
      <w:hyperlink r:id="rId3" w:history="1">
        <w:r w:rsidRPr="0031513C">
          <w:rPr>
            <w:rStyle w:val="Hyperlink"/>
          </w:rPr>
          <w:t>https://www.nh.gov/osi/data-center/documents/1830-1920-historic.pdf</w:t>
        </w:r>
      </w:hyperlink>
      <w:r w:rsidRPr="0031513C">
        <w:t xml:space="preserve">. </w:t>
      </w:r>
      <w:r w:rsidRPr="0031513C">
        <w:rPr>
          <w:lang w:val="fr-CA"/>
        </w:rPr>
        <w:t xml:space="preserve">Consulté le 14 avril 2019 ; Yves Roby, </w:t>
      </w:r>
      <w:r w:rsidRPr="0031513C">
        <w:rPr>
          <w:i/>
          <w:iCs/>
          <w:lang w:val="fr-CA"/>
        </w:rPr>
        <w:t>op. cit.,</w:t>
      </w:r>
      <w:r w:rsidRPr="0031513C">
        <w:rPr>
          <w:lang w:val="fr-CA"/>
        </w:rPr>
        <w:t xml:space="preserve"> p. 33.</w:t>
      </w:r>
    </w:p>
  </w:footnote>
  <w:footnote w:id="41">
    <w:p w14:paraId="11099964" w14:textId="77777777" w:rsidR="00D40D7C" w:rsidRPr="0031513C" w:rsidRDefault="00D40D7C" w:rsidP="001E001E">
      <w:pPr>
        <w:pStyle w:val="FootnoteText"/>
        <w:rPr>
          <w:lang w:val="fr-CA"/>
        </w:rPr>
      </w:pPr>
      <w:r w:rsidRPr="0031513C">
        <w:rPr>
          <w:rStyle w:val="FootnoteReference"/>
        </w:rPr>
        <w:footnoteRef/>
      </w:r>
      <w:r w:rsidRPr="0031513C">
        <w:rPr>
          <w:lang w:val="fr-CA"/>
        </w:rPr>
        <w:t xml:space="preserve"> Paquet et Smith, p.</w:t>
      </w:r>
      <w:r>
        <w:rPr>
          <w:lang w:val="fr-CA"/>
        </w:rPr>
        <w:t> </w:t>
      </w:r>
      <w:r w:rsidRPr="0031513C">
        <w:rPr>
          <w:lang w:val="fr-CA"/>
        </w:rPr>
        <w:t xml:space="preserve">328. Note. </w:t>
      </w:r>
      <w:r w:rsidRPr="0031513C">
        <w:rPr>
          <w:bCs/>
          <w:lang w:val="fr-CA"/>
        </w:rPr>
        <w:t>La ville est incorporée en 1846.</w:t>
      </w:r>
    </w:p>
  </w:footnote>
  <w:footnote w:id="42">
    <w:p w14:paraId="384E4807" w14:textId="77777777" w:rsidR="00D40D7C" w:rsidRPr="0031513C" w:rsidRDefault="00D40D7C" w:rsidP="00BD3599">
      <w:pPr>
        <w:pStyle w:val="FootnoteText"/>
        <w:rPr>
          <w:lang w:val="fr-CA"/>
        </w:rPr>
      </w:pPr>
      <w:r w:rsidRPr="0031513C">
        <w:rPr>
          <w:rStyle w:val="FootnoteReference"/>
        </w:rPr>
        <w:footnoteRef/>
      </w:r>
      <w:r w:rsidRPr="0031513C">
        <w:rPr>
          <w:lang w:val="fr-CA"/>
        </w:rPr>
        <w:t xml:space="preserve"> Tamara K. Hareven et Randolph Langenback, </w:t>
      </w:r>
      <w:r w:rsidRPr="0031513C">
        <w:rPr>
          <w:i/>
          <w:iCs/>
          <w:lang w:val="fr-CA"/>
        </w:rPr>
        <w:t xml:space="preserve">op. </w:t>
      </w:r>
      <w:r w:rsidRPr="002A278A">
        <w:rPr>
          <w:i/>
          <w:iCs/>
          <w:lang w:val="fr-CA"/>
        </w:rPr>
        <w:t>cit</w:t>
      </w:r>
      <w:r w:rsidRPr="0031513C">
        <w:rPr>
          <w:lang w:val="fr-CA"/>
        </w:rPr>
        <w:t>., p.</w:t>
      </w:r>
      <w:r>
        <w:rPr>
          <w:lang w:val="fr-CA"/>
        </w:rPr>
        <w:t> </w:t>
      </w:r>
      <w:r w:rsidRPr="0031513C">
        <w:rPr>
          <w:lang w:val="fr-CA"/>
        </w:rPr>
        <w:t xml:space="preserve">13-15. </w:t>
      </w:r>
    </w:p>
  </w:footnote>
  <w:footnote w:id="43">
    <w:p w14:paraId="2E2DFEF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14.</w:t>
      </w:r>
    </w:p>
  </w:footnote>
  <w:footnote w:id="44">
    <w:p w14:paraId="359A71EA"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18.</w:t>
      </w:r>
    </w:p>
  </w:footnote>
  <w:footnote w:id="45">
    <w:p w14:paraId="0110FC59" w14:textId="77777777" w:rsidR="00D40D7C" w:rsidRPr="0031513C" w:rsidRDefault="00D40D7C" w:rsidP="005E67E0">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18-21 et 23-24.</w:t>
      </w:r>
      <w:r>
        <w:rPr>
          <w:lang w:val="fr-CA"/>
        </w:rPr>
        <w:t xml:space="preserve"> Note. Pendant la décennie 1910, 35 % (5 250) des travailleurs de la compagnie sont d’origine canadienne-française, 10 % sont polonais (1 500) et 55 % (8 250), le reste des travailleurs, seraient anglophones.</w:t>
      </w:r>
    </w:p>
  </w:footnote>
  <w:footnote w:id="46">
    <w:p w14:paraId="03AD89C0" w14:textId="77777777" w:rsidR="00D40D7C" w:rsidRPr="0031513C" w:rsidRDefault="00D40D7C" w:rsidP="00DB5052">
      <w:pPr>
        <w:pStyle w:val="FootnoteText"/>
        <w:rPr>
          <w:lang w:val="fr-CA"/>
        </w:rPr>
      </w:pPr>
      <w:r w:rsidRPr="0031513C">
        <w:rPr>
          <w:rStyle w:val="FootnoteReference"/>
        </w:rPr>
        <w:footnoteRef/>
      </w:r>
      <w:r w:rsidRPr="0031513C">
        <w:rPr>
          <w:lang w:val="fr-CA"/>
        </w:rPr>
        <w:t xml:space="preserve"> Roby, </w:t>
      </w:r>
      <w:r w:rsidRPr="0031513C">
        <w:rPr>
          <w:i/>
          <w:iCs/>
          <w:lang w:val="fr-CA"/>
        </w:rPr>
        <w:t xml:space="preserve">op. cit., </w:t>
      </w:r>
      <w:r w:rsidRPr="0031513C">
        <w:rPr>
          <w:lang w:val="fr-CA"/>
        </w:rPr>
        <w:t>p.</w:t>
      </w:r>
      <w:r>
        <w:rPr>
          <w:lang w:val="fr-CA"/>
        </w:rPr>
        <w:t> </w:t>
      </w:r>
      <w:r w:rsidRPr="0031513C">
        <w:rPr>
          <w:lang w:val="fr-CA"/>
        </w:rPr>
        <w:t>26 et 33.</w:t>
      </w:r>
    </w:p>
  </w:footnote>
  <w:footnote w:id="47">
    <w:p w14:paraId="338A2CB2" w14:textId="77777777" w:rsidR="00D40D7C" w:rsidRPr="0031513C" w:rsidRDefault="00D40D7C" w:rsidP="00D856A1">
      <w:pPr>
        <w:pStyle w:val="FootnoteText"/>
      </w:pPr>
      <w:r w:rsidRPr="0031513C">
        <w:rPr>
          <w:rStyle w:val="FootnoteReference"/>
        </w:rPr>
        <w:footnoteRef/>
      </w:r>
      <w:r w:rsidRPr="0031513C">
        <w:t xml:space="preserve"> NH Office of Strategic Initiatives, </w:t>
      </w:r>
      <w:r w:rsidRPr="0031513C">
        <w:rPr>
          <w:i/>
          <w:iCs/>
        </w:rPr>
        <w:t xml:space="preserve">op. cit. </w:t>
      </w:r>
      <w:r w:rsidRPr="0031513C">
        <w:t xml:space="preserve">; et Yves Roby, </w:t>
      </w:r>
      <w:r w:rsidRPr="0031513C">
        <w:rPr>
          <w:i/>
          <w:iCs/>
        </w:rPr>
        <w:t>op. cit</w:t>
      </w:r>
      <w:r w:rsidRPr="0031513C">
        <w:t>., p.</w:t>
      </w:r>
      <w:r>
        <w:t> </w:t>
      </w:r>
      <w:r w:rsidRPr="0031513C">
        <w:t>33.</w:t>
      </w:r>
    </w:p>
  </w:footnote>
  <w:footnote w:id="48">
    <w:p w14:paraId="56E17280" w14:textId="77777777" w:rsidR="00D40D7C" w:rsidRPr="0031513C" w:rsidRDefault="00D40D7C" w:rsidP="00D856A1">
      <w:pPr>
        <w:pStyle w:val="FootnoteText"/>
      </w:pPr>
      <w:r w:rsidRPr="0031513C">
        <w:rPr>
          <w:rStyle w:val="FootnoteReference"/>
        </w:rPr>
        <w:footnoteRef/>
      </w:r>
      <w:r w:rsidRPr="0031513C">
        <w:t xml:space="preserve"> NH Office of Strategic Initiatives, </w:t>
      </w:r>
      <w:r w:rsidRPr="0031513C">
        <w:rPr>
          <w:i/>
          <w:iCs/>
        </w:rPr>
        <w:t>op. cit.</w:t>
      </w:r>
    </w:p>
  </w:footnote>
  <w:footnote w:id="49">
    <w:p w14:paraId="21F27E24" w14:textId="77777777" w:rsidR="00D40D7C" w:rsidRPr="000545B4" w:rsidRDefault="00D40D7C" w:rsidP="00D856A1">
      <w:pPr>
        <w:pStyle w:val="FootnoteText"/>
        <w:rPr>
          <w:lang w:val="fr-CA"/>
        </w:rPr>
      </w:pPr>
      <w:r w:rsidRPr="0031513C">
        <w:rPr>
          <w:rStyle w:val="FootnoteReference"/>
        </w:rPr>
        <w:footnoteRef/>
      </w:r>
      <w:r w:rsidRPr="000545B4">
        <w:rPr>
          <w:lang w:val="fr-CA"/>
        </w:rPr>
        <w:t xml:space="preserve"> Roby, </w:t>
      </w:r>
      <w:r w:rsidRPr="000545B4">
        <w:rPr>
          <w:i/>
          <w:iCs/>
          <w:lang w:val="fr-CA"/>
        </w:rPr>
        <w:t>op. cit.,</w:t>
      </w:r>
      <w:r w:rsidRPr="000545B4">
        <w:rPr>
          <w:lang w:val="fr-CA"/>
        </w:rPr>
        <w:t xml:space="preserve"> p.286.</w:t>
      </w:r>
    </w:p>
  </w:footnote>
  <w:footnote w:id="50">
    <w:p w14:paraId="6EDE00F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Numéro spécial 30</w:t>
      </w:r>
      <w:r w:rsidRPr="0031513C">
        <w:rPr>
          <w:vertAlign w:val="superscript"/>
          <w:lang w:val="fr-CA"/>
        </w:rPr>
        <w:t>e</w:t>
      </w:r>
      <w:r w:rsidRPr="0031513C">
        <w:rPr>
          <w:lang w:val="fr-CA"/>
        </w:rPr>
        <w:t xml:space="preserve"> anniversaire</w:t>
      </w:r>
      <w:r>
        <w:rPr>
          <w:lang w:val="fr-CA"/>
        </w:rPr>
        <w:t> </w:t>
      </w:r>
      <w:r w:rsidRPr="0031513C">
        <w:rPr>
          <w:lang w:val="fr-CA"/>
        </w:rPr>
        <w:t xml:space="preserve">», </w:t>
      </w:r>
      <w:r w:rsidRPr="0031513C">
        <w:rPr>
          <w:i/>
          <w:iCs/>
          <w:lang w:val="fr-CA"/>
        </w:rPr>
        <w:t>L’Avenir National</w:t>
      </w:r>
      <w:r w:rsidRPr="0031513C">
        <w:rPr>
          <w:lang w:val="fr-CA"/>
        </w:rPr>
        <w:t>, section C, 23 octobre 1916, p.</w:t>
      </w:r>
      <w:r>
        <w:rPr>
          <w:lang w:val="fr-CA"/>
        </w:rPr>
        <w:t> </w:t>
      </w:r>
      <w:r w:rsidRPr="0031513C">
        <w:rPr>
          <w:lang w:val="fr-CA"/>
        </w:rPr>
        <w:t>32.</w:t>
      </w:r>
    </w:p>
  </w:footnote>
  <w:footnote w:id="51">
    <w:p w14:paraId="55D723E5"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34.</w:t>
      </w:r>
    </w:p>
  </w:footnote>
  <w:footnote w:id="52">
    <w:p w14:paraId="3988FC42"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w:t>
      </w:r>
      <w:r>
        <w:t xml:space="preserve"> </w:t>
      </w:r>
      <w:r w:rsidRPr="0031513C">
        <w:t>p.</w:t>
      </w:r>
      <w:r>
        <w:t> </w:t>
      </w:r>
      <w:r w:rsidRPr="0031513C">
        <w:t xml:space="preserve">30. </w:t>
      </w:r>
    </w:p>
  </w:footnote>
  <w:footnote w:id="53">
    <w:p w14:paraId="57423150"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34.</w:t>
      </w:r>
    </w:p>
  </w:footnote>
  <w:footnote w:id="54">
    <w:p w14:paraId="216AB2E4"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9.</w:t>
      </w:r>
    </w:p>
  </w:footnote>
  <w:footnote w:id="55">
    <w:p w14:paraId="155D8CBA"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82.</w:t>
      </w:r>
    </w:p>
  </w:footnote>
  <w:footnote w:id="56">
    <w:p w14:paraId="40EC8261" w14:textId="77777777" w:rsidR="00D40D7C" w:rsidRPr="00AF5153" w:rsidRDefault="00D40D7C">
      <w:pPr>
        <w:pStyle w:val="FootnoteText"/>
      </w:pPr>
      <w:r w:rsidRPr="0031513C">
        <w:rPr>
          <w:rStyle w:val="FootnoteReference"/>
        </w:rPr>
        <w:footnoteRef/>
      </w:r>
      <w:r w:rsidRPr="00AF5153">
        <w:t xml:space="preserve"> </w:t>
      </w:r>
      <w:r w:rsidRPr="00AF5153">
        <w:rPr>
          <w:i/>
          <w:iCs/>
        </w:rPr>
        <w:t>Ibid</w:t>
      </w:r>
      <w:r w:rsidRPr="00AF5153">
        <w:t>., p. 34 et 94-95.</w:t>
      </w:r>
    </w:p>
  </w:footnote>
  <w:footnote w:id="57">
    <w:p w14:paraId="4C528FAA" w14:textId="77777777" w:rsidR="00D40D7C" w:rsidRPr="00AF5153" w:rsidRDefault="00D40D7C">
      <w:pPr>
        <w:pStyle w:val="FootnoteText"/>
      </w:pPr>
      <w:r w:rsidRPr="0031513C">
        <w:rPr>
          <w:rStyle w:val="FootnoteReference"/>
        </w:rPr>
        <w:footnoteRef/>
      </w:r>
      <w:r w:rsidRPr="00AF5153">
        <w:t xml:space="preserve"> </w:t>
      </w:r>
      <w:r w:rsidRPr="00AF5153">
        <w:rPr>
          <w:i/>
          <w:iCs/>
        </w:rPr>
        <w:t>Ibid</w:t>
      </w:r>
      <w:r w:rsidRPr="00AF5153">
        <w:t>., p. 34.</w:t>
      </w:r>
    </w:p>
  </w:footnote>
  <w:footnote w:id="58">
    <w:p w14:paraId="165E5117" w14:textId="77777777" w:rsidR="00D40D7C" w:rsidRPr="0031513C" w:rsidRDefault="00D40D7C" w:rsidP="00773F2A">
      <w:pPr>
        <w:pStyle w:val="FootnoteText"/>
      </w:pPr>
      <w:r w:rsidRPr="0031513C">
        <w:rPr>
          <w:rStyle w:val="FootnoteReference"/>
        </w:rPr>
        <w:footnoteRef/>
      </w:r>
      <w:r w:rsidRPr="0031513C">
        <w:t xml:space="preserve"> </w:t>
      </w:r>
      <w:r w:rsidRPr="0031513C">
        <w:rPr>
          <w:i/>
          <w:iCs/>
        </w:rPr>
        <w:t>Ibid</w:t>
      </w:r>
      <w:r w:rsidRPr="0031513C">
        <w:t>., p.</w:t>
      </w:r>
      <w:r>
        <w:t> </w:t>
      </w:r>
      <w:r w:rsidRPr="0031513C">
        <w:t>85.</w:t>
      </w:r>
    </w:p>
  </w:footnote>
  <w:footnote w:id="59">
    <w:p w14:paraId="3B599B26" w14:textId="77777777" w:rsidR="00D40D7C" w:rsidRPr="0031513C" w:rsidRDefault="00D40D7C" w:rsidP="00773F2A">
      <w:pPr>
        <w:pStyle w:val="FootnoteText"/>
      </w:pPr>
      <w:r w:rsidRPr="0031513C">
        <w:rPr>
          <w:rStyle w:val="FootnoteReference"/>
        </w:rPr>
        <w:footnoteRef/>
      </w:r>
      <w:r w:rsidRPr="0031513C">
        <w:t xml:space="preserve"> </w:t>
      </w:r>
      <w:r w:rsidRPr="0031513C">
        <w:rPr>
          <w:i/>
          <w:iCs/>
        </w:rPr>
        <w:t>Ibid</w:t>
      </w:r>
      <w:r w:rsidRPr="0031513C">
        <w:t>., p.</w:t>
      </w:r>
      <w:r>
        <w:t> </w:t>
      </w:r>
      <w:r w:rsidRPr="0031513C">
        <w:t>32.</w:t>
      </w:r>
    </w:p>
  </w:footnote>
  <w:footnote w:id="60">
    <w:p w14:paraId="77A1D8B1" w14:textId="77777777" w:rsidR="00D40D7C" w:rsidRPr="00AF5153" w:rsidRDefault="00D40D7C">
      <w:pPr>
        <w:pStyle w:val="FootnoteText"/>
        <w:rPr>
          <w:lang w:val="fr-CA"/>
        </w:rPr>
      </w:pPr>
      <w:r w:rsidRPr="0031513C">
        <w:rPr>
          <w:rStyle w:val="FootnoteReference"/>
        </w:rPr>
        <w:footnoteRef/>
      </w:r>
      <w:r w:rsidRPr="00AF5153">
        <w:rPr>
          <w:lang w:val="fr-CA"/>
        </w:rPr>
        <w:t xml:space="preserve"> </w:t>
      </w:r>
      <w:r w:rsidRPr="00AF5153">
        <w:rPr>
          <w:i/>
          <w:iCs/>
          <w:lang w:val="fr-CA"/>
        </w:rPr>
        <w:t>Ibid</w:t>
      </w:r>
      <w:r w:rsidRPr="00AF5153">
        <w:rPr>
          <w:lang w:val="fr-CA"/>
        </w:rPr>
        <w:t xml:space="preserve">., p. 26-27 et 34. </w:t>
      </w:r>
    </w:p>
  </w:footnote>
  <w:footnote w:id="61">
    <w:p w14:paraId="170300FB" w14:textId="77777777" w:rsidR="00D40D7C" w:rsidRPr="00AF5153" w:rsidRDefault="00D40D7C">
      <w:pPr>
        <w:pStyle w:val="FootnoteText"/>
        <w:rPr>
          <w:lang w:val="fr-CA"/>
        </w:rPr>
      </w:pPr>
      <w:r w:rsidRPr="0031513C">
        <w:rPr>
          <w:rStyle w:val="FootnoteReference"/>
        </w:rPr>
        <w:footnoteRef/>
      </w:r>
      <w:r w:rsidRPr="00AF5153">
        <w:rPr>
          <w:lang w:val="fr-CA"/>
        </w:rPr>
        <w:t xml:space="preserve"> </w:t>
      </w:r>
      <w:r w:rsidRPr="00AF5153">
        <w:rPr>
          <w:i/>
          <w:iCs/>
          <w:lang w:val="fr-CA"/>
        </w:rPr>
        <w:t>Ibid</w:t>
      </w:r>
      <w:r w:rsidRPr="00AF5153">
        <w:rPr>
          <w:lang w:val="fr-CA"/>
        </w:rPr>
        <w:t>., p. 34.</w:t>
      </w:r>
    </w:p>
  </w:footnote>
  <w:footnote w:id="62">
    <w:p w14:paraId="69494844"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34.</w:t>
      </w:r>
    </w:p>
  </w:footnote>
  <w:footnote w:id="63">
    <w:p w14:paraId="3B66438D" w14:textId="77777777" w:rsidR="00D40D7C" w:rsidRPr="0031513C" w:rsidRDefault="00D40D7C" w:rsidP="001B3DA3">
      <w:pPr>
        <w:pStyle w:val="FootnoteText"/>
      </w:pPr>
      <w:r w:rsidRPr="0031513C">
        <w:rPr>
          <w:rStyle w:val="FootnoteReference"/>
        </w:rPr>
        <w:footnoteRef/>
      </w:r>
      <w:r w:rsidRPr="0031513C">
        <w:t xml:space="preserve"> </w:t>
      </w:r>
      <w:r w:rsidRPr="0031513C">
        <w:rPr>
          <w:i/>
          <w:iCs/>
        </w:rPr>
        <w:t>Ibid</w:t>
      </w:r>
      <w:r w:rsidRPr="0031513C">
        <w:t>., p.</w:t>
      </w:r>
      <w:r>
        <w:t> </w:t>
      </w:r>
      <w:r w:rsidRPr="0031513C">
        <w:t>34.</w:t>
      </w:r>
    </w:p>
  </w:footnote>
  <w:footnote w:id="64">
    <w:p w14:paraId="5D3A52CF" w14:textId="77777777" w:rsidR="00D40D7C" w:rsidRPr="0031513C" w:rsidRDefault="00D40D7C" w:rsidP="00DC2D60">
      <w:pPr>
        <w:pStyle w:val="FootnoteText"/>
      </w:pPr>
      <w:r w:rsidRPr="0031513C">
        <w:rPr>
          <w:rStyle w:val="FootnoteReference"/>
        </w:rPr>
        <w:footnoteRef/>
      </w:r>
      <w:r w:rsidRPr="0031513C">
        <w:t xml:space="preserve"> </w:t>
      </w:r>
      <w:r w:rsidRPr="0031513C">
        <w:rPr>
          <w:i/>
          <w:iCs/>
        </w:rPr>
        <w:t>Ibid</w:t>
      </w:r>
      <w:r w:rsidRPr="0031513C">
        <w:t>., p.</w:t>
      </w:r>
      <w:r>
        <w:t> </w:t>
      </w:r>
      <w:r w:rsidRPr="0031513C">
        <w:t>32.</w:t>
      </w:r>
    </w:p>
  </w:footnote>
  <w:footnote w:id="65">
    <w:p w14:paraId="2187C031"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37.</w:t>
      </w:r>
    </w:p>
  </w:footnote>
  <w:footnote w:id="66">
    <w:p w14:paraId="6FE4EE57"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49.</w:t>
      </w:r>
    </w:p>
  </w:footnote>
  <w:footnote w:id="67">
    <w:p w14:paraId="3C9877F1" w14:textId="77777777" w:rsidR="00D40D7C" w:rsidRPr="00E667FE" w:rsidRDefault="00D40D7C">
      <w:pPr>
        <w:pStyle w:val="FootnoteText"/>
      </w:pPr>
      <w:r w:rsidRPr="0031513C">
        <w:rPr>
          <w:rStyle w:val="FootnoteReference"/>
        </w:rPr>
        <w:footnoteRef/>
      </w:r>
      <w:r w:rsidRPr="00E667FE">
        <w:t xml:space="preserve"> </w:t>
      </w:r>
      <w:r w:rsidRPr="00E667FE">
        <w:rPr>
          <w:i/>
          <w:iCs/>
        </w:rPr>
        <w:t>Ibid</w:t>
      </w:r>
      <w:r w:rsidRPr="00E667FE">
        <w:t>., p. 49 et 58.</w:t>
      </w:r>
    </w:p>
  </w:footnote>
  <w:footnote w:id="68">
    <w:p w14:paraId="403E279A" w14:textId="77777777" w:rsidR="00D40D7C" w:rsidRPr="0031513C" w:rsidRDefault="00D40D7C">
      <w:pPr>
        <w:pStyle w:val="FootnoteText"/>
        <w:rPr>
          <w:lang w:val="fr-CA"/>
        </w:rPr>
      </w:pPr>
      <w:r w:rsidRPr="0031513C">
        <w:rPr>
          <w:rStyle w:val="FootnoteReference"/>
        </w:rPr>
        <w:footnoteRef/>
      </w:r>
      <w:r w:rsidRPr="0031513C">
        <w:rPr>
          <w:lang w:val="fr-CA"/>
        </w:rPr>
        <w:t xml:space="preserve"> Elle est située à l’est de la rivière Merrimack et au sud du centre-ville.</w:t>
      </w:r>
    </w:p>
  </w:footnote>
  <w:footnote w:id="69">
    <w:p w14:paraId="2B820AA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50, 53 et 58.</w:t>
      </w:r>
    </w:p>
  </w:footnote>
  <w:footnote w:id="70">
    <w:p w14:paraId="36DE6123" w14:textId="77777777" w:rsidR="00D40D7C" w:rsidRPr="0031513C" w:rsidRDefault="00D40D7C" w:rsidP="00D06368">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64.</w:t>
      </w:r>
    </w:p>
  </w:footnote>
  <w:footnote w:id="71">
    <w:p w14:paraId="0C413A5C" w14:textId="77777777" w:rsidR="00D40D7C" w:rsidRPr="0031513C" w:rsidRDefault="00D40D7C" w:rsidP="00D06368">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61-62 et 64.</w:t>
      </w:r>
    </w:p>
  </w:footnote>
  <w:footnote w:id="72">
    <w:p w14:paraId="3D688934" w14:textId="77777777" w:rsidR="00D40D7C" w:rsidRPr="0031513C" w:rsidRDefault="00D40D7C" w:rsidP="00D06368">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61.</w:t>
      </w:r>
    </w:p>
  </w:footnote>
  <w:footnote w:id="73">
    <w:p w14:paraId="6E64690E"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54 et 61.</w:t>
      </w:r>
    </w:p>
  </w:footnote>
  <w:footnote w:id="74">
    <w:p w14:paraId="1D1F1DC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54.</w:t>
      </w:r>
    </w:p>
  </w:footnote>
  <w:footnote w:id="75">
    <w:p w14:paraId="4DC5E6C2"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56.</w:t>
      </w:r>
    </w:p>
  </w:footnote>
  <w:footnote w:id="76">
    <w:p w14:paraId="3C32724C"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66.</w:t>
      </w:r>
    </w:p>
  </w:footnote>
  <w:footnote w:id="77">
    <w:p w14:paraId="7657B4EF"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68.</w:t>
      </w:r>
    </w:p>
  </w:footnote>
  <w:footnote w:id="78">
    <w:p w14:paraId="1DC5212C" w14:textId="77777777" w:rsidR="00D40D7C" w:rsidRPr="000545B4" w:rsidRDefault="00D40D7C">
      <w:pPr>
        <w:pStyle w:val="FootnoteText"/>
      </w:pPr>
      <w:r w:rsidRPr="0031513C">
        <w:rPr>
          <w:rStyle w:val="FootnoteReference"/>
        </w:rPr>
        <w:footnoteRef/>
      </w:r>
      <w:r w:rsidRPr="000545B4">
        <w:t xml:space="preserve"> </w:t>
      </w:r>
      <w:r w:rsidRPr="000545B4">
        <w:rPr>
          <w:i/>
          <w:iCs/>
        </w:rPr>
        <w:t>Ibid</w:t>
      </w:r>
      <w:r w:rsidRPr="000545B4">
        <w:t>., p. 68.</w:t>
      </w:r>
    </w:p>
  </w:footnote>
  <w:footnote w:id="79">
    <w:p w14:paraId="2E9661A3" w14:textId="77777777" w:rsidR="00D40D7C" w:rsidRPr="000545B4" w:rsidRDefault="00D40D7C">
      <w:pPr>
        <w:pStyle w:val="FootnoteText"/>
      </w:pPr>
      <w:r w:rsidRPr="0031513C">
        <w:rPr>
          <w:rStyle w:val="FootnoteReference"/>
        </w:rPr>
        <w:footnoteRef/>
      </w:r>
      <w:r w:rsidRPr="000545B4">
        <w:t xml:space="preserve"> </w:t>
      </w:r>
      <w:r w:rsidRPr="000545B4">
        <w:rPr>
          <w:i/>
          <w:iCs/>
        </w:rPr>
        <w:t>Ibid</w:t>
      </w:r>
      <w:r w:rsidRPr="000545B4">
        <w:t>., p. 68.</w:t>
      </w:r>
    </w:p>
  </w:footnote>
  <w:footnote w:id="80">
    <w:p w14:paraId="5A2C7D16" w14:textId="77777777" w:rsidR="00D40D7C" w:rsidRPr="0031513C" w:rsidRDefault="00D40D7C">
      <w:pPr>
        <w:pStyle w:val="FootnoteText"/>
        <w:rPr>
          <w:lang w:val="fr-CA"/>
        </w:rPr>
      </w:pPr>
      <w:r w:rsidRPr="0031513C">
        <w:rPr>
          <w:rStyle w:val="FootnoteReference"/>
        </w:rPr>
        <w:footnoteRef/>
      </w:r>
      <w:r w:rsidRPr="00962BD2">
        <w:t xml:space="preserve"> </w:t>
      </w:r>
      <w:r w:rsidRPr="00962BD2">
        <w:rPr>
          <w:i/>
          <w:iCs/>
        </w:rPr>
        <w:t>Ibid</w:t>
      </w:r>
      <w:r w:rsidRPr="00962BD2">
        <w:t xml:space="preserve">., p.85. </w:t>
      </w:r>
      <w:r w:rsidRPr="0031513C">
        <w:rPr>
          <w:lang w:val="fr-CA"/>
        </w:rPr>
        <w:t>La salle d’armes est construite après 1907, dès que l’Assemblée Législative de l’État ait voté une somme de $48 000 pour construire la salle d’armes de Manchester.</w:t>
      </w:r>
    </w:p>
  </w:footnote>
  <w:footnote w:id="81">
    <w:p w14:paraId="77C78AC8"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34.</w:t>
      </w:r>
    </w:p>
  </w:footnote>
  <w:footnote w:id="82">
    <w:p w14:paraId="3D241A09" w14:textId="77777777" w:rsidR="00D40D7C" w:rsidRPr="0031513C" w:rsidRDefault="00D40D7C" w:rsidP="00C43C0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1</w:t>
      </w:r>
      <w:r w:rsidRPr="0031513C">
        <w:rPr>
          <w:vertAlign w:val="superscript"/>
          <w:lang w:val="fr-CA"/>
        </w:rPr>
        <w:t>er</w:t>
      </w:r>
      <w:r w:rsidRPr="0031513C">
        <w:rPr>
          <w:lang w:val="fr-CA"/>
        </w:rPr>
        <w:t xml:space="preserve"> régiment du N. Hampshire va partir lundi</w:t>
      </w:r>
      <w:r>
        <w:rPr>
          <w:lang w:val="fr-CA"/>
        </w:rPr>
        <w:t> </w:t>
      </w:r>
      <w:r w:rsidRPr="0031513C">
        <w:rPr>
          <w:lang w:val="fr-CA"/>
        </w:rPr>
        <w:t xml:space="preserve">», </w:t>
      </w:r>
      <w:r w:rsidRPr="0031513C">
        <w:rPr>
          <w:i/>
          <w:iCs/>
          <w:lang w:val="fr-CA"/>
        </w:rPr>
        <w:t>L’Avenir National</w:t>
      </w:r>
      <w:r w:rsidRPr="0031513C">
        <w:rPr>
          <w:lang w:val="fr-CA"/>
        </w:rPr>
        <w:t>, 8 juillet 1916, p.</w:t>
      </w:r>
      <w:r>
        <w:rPr>
          <w:lang w:val="fr-CA"/>
        </w:rPr>
        <w:t> </w:t>
      </w:r>
      <w:r w:rsidRPr="0031513C">
        <w:rPr>
          <w:lang w:val="fr-CA"/>
        </w:rPr>
        <w:t>1</w:t>
      </w:r>
      <w:r>
        <w:rPr>
          <w:lang w:val="fr-CA"/>
        </w:rPr>
        <w:t> </w:t>
      </w:r>
      <w:r w:rsidRPr="0031513C">
        <w:rPr>
          <w:lang w:val="fr-CA"/>
        </w:rPr>
        <w:t>; «</w:t>
      </w:r>
      <w:r>
        <w:rPr>
          <w:lang w:val="fr-CA"/>
        </w:rPr>
        <w:t> </w:t>
      </w:r>
      <w:r w:rsidRPr="0031513C">
        <w:rPr>
          <w:lang w:val="fr-CA"/>
        </w:rPr>
        <w:t>Les recrues sont plus nombreuses au 1</w:t>
      </w:r>
      <w:r w:rsidRPr="0031513C">
        <w:rPr>
          <w:vertAlign w:val="superscript"/>
          <w:lang w:val="fr-CA"/>
        </w:rPr>
        <w:t>er</w:t>
      </w:r>
      <w:r w:rsidRPr="0031513C">
        <w:rPr>
          <w:lang w:val="fr-CA"/>
        </w:rPr>
        <w:t xml:space="preserve"> régiment</w:t>
      </w:r>
      <w:r>
        <w:rPr>
          <w:lang w:val="fr-CA"/>
        </w:rPr>
        <w:t> </w:t>
      </w:r>
      <w:r w:rsidRPr="0031513C">
        <w:rPr>
          <w:lang w:val="fr-CA"/>
        </w:rPr>
        <w:t>»,</w:t>
      </w:r>
      <w:r w:rsidRPr="0031513C">
        <w:rPr>
          <w:i/>
          <w:iCs/>
          <w:lang w:val="fr-CA"/>
        </w:rPr>
        <w:t xml:space="preserve"> L’Avenir National</w:t>
      </w:r>
      <w:r w:rsidRPr="0031513C">
        <w:rPr>
          <w:lang w:val="fr-CA"/>
        </w:rPr>
        <w:t>, 6 juillet 1916, p.</w:t>
      </w:r>
      <w:r>
        <w:rPr>
          <w:lang w:val="fr-CA"/>
        </w:rPr>
        <w:t> </w:t>
      </w:r>
      <w:r w:rsidRPr="0031513C">
        <w:rPr>
          <w:lang w:val="fr-CA"/>
        </w:rPr>
        <w:t>3.</w:t>
      </w:r>
    </w:p>
  </w:footnote>
  <w:footnote w:id="83">
    <w:p w14:paraId="2D079D05" w14:textId="77777777" w:rsidR="00D40D7C" w:rsidRPr="0031513C" w:rsidRDefault="00D40D7C" w:rsidP="00C43C0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Canadiens fort nombreux dans la milice</w:t>
      </w:r>
      <w:r>
        <w:rPr>
          <w:lang w:val="fr-CA"/>
        </w:rPr>
        <w:t> </w:t>
      </w:r>
      <w:r w:rsidRPr="0031513C">
        <w:rPr>
          <w:lang w:val="fr-CA"/>
        </w:rPr>
        <w:t>»,</w:t>
      </w:r>
      <w:r w:rsidRPr="0031513C">
        <w:rPr>
          <w:i/>
          <w:iCs/>
          <w:lang w:val="fr-CA"/>
        </w:rPr>
        <w:t xml:space="preserve"> L’Avenir National</w:t>
      </w:r>
      <w:r w:rsidRPr="0031513C">
        <w:rPr>
          <w:lang w:val="fr-CA"/>
        </w:rPr>
        <w:t>, 23 juin 1916, p.</w:t>
      </w:r>
      <w:r>
        <w:rPr>
          <w:lang w:val="fr-CA"/>
        </w:rPr>
        <w:t> </w:t>
      </w:r>
      <w:r w:rsidRPr="0031513C">
        <w:rPr>
          <w:lang w:val="fr-CA"/>
        </w:rPr>
        <w:t>9</w:t>
      </w:r>
      <w:r>
        <w:rPr>
          <w:lang w:val="fr-CA"/>
        </w:rPr>
        <w:t> </w:t>
      </w:r>
      <w:r w:rsidRPr="0031513C">
        <w:rPr>
          <w:lang w:val="fr-CA"/>
        </w:rPr>
        <w:t>; «</w:t>
      </w:r>
      <w:r>
        <w:rPr>
          <w:lang w:val="fr-CA"/>
        </w:rPr>
        <w:t> </w:t>
      </w:r>
      <w:r w:rsidRPr="0031513C">
        <w:rPr>
          <w:lang w:val="fr-CA"/>
        </w:rPr>
        <w:t>Notre correspondant à la milice</w:t>
      </w:r>
      <w:r>
        <w:rPr>
          <w:lang w:val="fr-CA"/>
        </w:rPr>
        <w:t> </w:t>
      </w:r>
      <w:r w:rsidRPr="0031513C">
        <w:rPr>
          <w:lang w:val="fr-CA"/>
        </w:rPr>
        <w:t>»,</w:t>
      </w:r>
      <w:r w:rsidRPr="0031513C">
        <w:rPr>
          <w:i/>
          <w:iCs/>
          <w:lang w:val="fr-CA"/>
        </w:rPr>
        <w:t xml:space="preserve"> L’Avenir National</w:t>
      </w:r>
      <w:r w:rsidRPr="0031513C">
        <w:rPr>
          <w:lang w:val="fr-CA"/>
        </w:rPr>
        <w:t>, 23 juin 1916, p.</w:t>
      </w:r>
      <w:r>
        <w:rPr>
          <w:lang w:val="fr-CA"/>
        </w:rPr>
        <w:t> </w:t>
      </w:r>
      <w:r w:rsidRPr="0031513C">
        <w:rPr>
          <w:lang w:val="fr-CA"/>
        </w:rPr>
        <w:t>12</w:t>
      </w:r>
      <w:r>
        <w:rPr>
          <w:lang w:val="fr-CA"/>
        </w:rPr>
        <w:t> </w:t>
      </w:r>
      <w:r w:rsidRPr="0031513C">
        <w:rPr>
          <w:lang w:val="fr-CA"/>
        </w:rPr>
        <w:t>; «</w:t>
      </w:r>
      <w:r>
        <w:rPr>
          <w:lang w:val="fr-CA"/>
        </w:rPr>
        <w:t> </w:t>
      </w:r>
      <w:r w:rsidRPr="0031513C">
        <w:rPr>
          <w:lang w:val="fr-CA"/>
        </w:rPr>
        <w:t>Nos pioupious au camp Spaulding des gais lurons</w:t>
      </w:r>
      <w:r>
        <w:rPr>
          <w:lang w:val="fr-CA"/>
        </w:rPr>
        <w:t> </w:t>
      </w:r>
      <w:r w:rsidRPr="0031513C">
        <w:rPr>
          <w:lang w:val="fr-CA"/>
        </w:rPr>
        <w:t>»,</w:t>
      </w:r>
      <w:r w:rsidRPr="0031513C">
        <w:rPr>
          <w:i/>
          <w:iCs/>
          <w:lang w:val="fr-CA"/>
        </w:rPr>
        <w:t xml:space="preserve"> L’Avenir National</w:t>
      </w:r>
      <w:r w:rsidRPr="0031513C">
        <w:rPr>
          <w:lang w:val="fr-CA"/>
        </w:rPr>
        <w:t>,</w:t>
      </w:r>
      <w:r w:rsidRPr="0031513C">
        <w:rPr>
          <w:i/>
          <w:iCs/>
          <w:lang w:val="fr-CA"/>
        </w:rPr>
        <w:t xml:space="preserve"> </w:t>
      </w:r>
      <w:r w:rsidRPr="0031513C">
        <w:rPr>
          <w:lang w:val="fr-CA"/>
        </w:rPr>
        <w:t>26 juin 1916, p.</w:t>
      </w:r>
      <w:r>
        <w:rPr>
          <w:lang w:val="fr-CA"/>
        </w:rPr>
        <w:t> </w:t>
      </w:r>
      <w:r w:rsidRPr="0031513C">
        <w:rPr>
          <w:lang w:val="fr-CA"/>
        </w:rPr>
        <w:t>8</w:t>
      </w:r>
      <w:r>
        <w:rPr>
          <w:lang w:val="fr-CA"/>
        </w:rPr>
        <w:t> </w:t>
      </w:r>
      <w:r w:rsidRPr="0031513C">
        <w:rPr>
          <w:lang w:val="fr-CA"/>
        </w:rPr>
        <w:t>; «</w:t>
      </w:r>
      <w:r>
        <w:rPr>
          <w:lang w:val="fr-CA"/>
        </w:rPr>
        <w:t> </w:t>
      </w:r>
      <w:r w:rsidRPr="0031513C">
        <w:rPr>
          <w:lang w:val="fr-CA"/>
        </w:rPr>
        <w:t>Les recrues sont plus nombreuses au 1</w:t>
      </w:r>
      <w:r w:rsidRPr="0031513C">
        <w:rPr>
          <w:vertAlign w:val="superscript"/>
          <w:lang w:val="fr-CA"/>
        </w:rPr>
        <w:t>er</w:t>
      </w:r>
      <w:r w:rsidRPr="0031513C">
        <w:rPr>
          <w:lang w:val="fr-CA"/>
        </w:rPr>
        <w:t xml:space="preserve"> régiment</w:t>
      </w:r>
      <w:r>
        <w:rPr>
          <w:lang w:val="fr-CA"/>
        </w:rPr>
        <w:t> </w:t>
      </w:r>
      <w:r w:rsidRPr="0031513C">
        <w:rPr>
          <w:lang w:val="fr-CA"/>
        </w:rPr>
        <w:t>»,</w:t>
      </w:r>
      <w:r w:rsidRPr="0031513C">
        <w:rPr>
          <w:i/>
          <w:iCs/>
          <w:lang w:val="fr-CA"/>
        </w:rPr>
        <w:t xml:space="preserve"> L’Avenir National</w:t>
      </w:r>
      <w:r w:rsidRPr="0031513C">
        <w:rPr>
          <w:lang w:val="fr-CA"/>
        </w:rPr>
        <w:t>, 6 juillet 1916, p.</w:t>
      </w:r>
      <w:r>
        <w:rPr>
          <w:lang w:val="fr-CA"/>
        </w:rPr>
        <w:t> </w:t>
      </w:r>
      <w:r w:rsidRPr="0031513C">
        <w:rPr>
          <w:lang w:val="fr-CA"/>
        </w:rPr>
        <w:t>3.</w:t>
      </w:r>
      <w:r>
        <w:rPr>
          <w:lang w:val="fr-CA"/>
        </w:rPr>
        <w:t xml:space="preserve"> Note. À </w:t>
      </w:r>
      <w:r w:rsidRPr="00716202">
        <w:rPr>
          <w:lang w:val="fr-CA"/>
        </w:rPr>
        <w:t>Manchester</w:t>
      </w:r>
      <w:r>
        <w:rPr>
          <w:lang w:val="fr-CA"/>
        </w:rPr>
        <w:t>,</w:t>
      </w:r>
      <w:r w:rsidRPr="00716202">
        <w:rPr>
          <w:lang w:val="fr-CA"/>
        </w:rPr>
        <w:t xml:space="preserve"> sur 76 recrues, 27 d’entre elles sont francophones.</w:t>
      </w:r>
      <w:r>
        <w:rPr>
          <w:lang w:val="fr-CA"/>
        </w:rPr>
        <w:t xml:space="preserve"> </w:t>
      </w:r>
    </w:p>
  </w:footnote>
  <w:footnote w:id="84">
    <w:p w14:paraId="181F82D0" w14:textId="28F0869B" w:rsidR="00D40D7C" w:rsidRPr="0031513C" w:rsidRDefault="00D40D7C" w:rsidP="00491DBC">
      <w:pPr>
        <w:pStyle w:val="FootnoteText"/>
        <w:rPr>
          <w:lang w:val="fr-CA"/>
        </w:rPr>
      </w:pPr>
      <w:r w:rsidRPr="0031513C">
        <w:rPr>
          <w:rStyle w:val="FootnoteReference"/>
        </w:rPr>
        <w:footnoteRef/>
      </w:r>
      <w:r w:rsidRPr="0031513C">
        <w:rPr>
          <w:lang w:val="fr-CA"/>
        </w:rPr>
        <w:t xml:space="preserve"> À cet égard, nous parlons de Franco-Américains et également de Canadiens français qui ne se </w:t>
      </w:r>
      <w:r w:rsidR="00464E8E">
        <w:rPr>
          <w:lang w:val="fr-CA"/>
        </w:rPr>
        <w:t xml:space="preserve">sont </w:t>
      </w:r>
      <w:r w:rsidRPr="0031513C">
        <w:rPr>
          <w:lang w:val="fr-CA"/>
        </w:rPr>
        <w:t>pas naturalisés comme citoyens américains.</w:t>
      </w:r>
    </w:p>
  </w:footnote>
  <w:footnote w:id="85">
    <w:p w14:paraId="0BEA2FAC" w14:textId="77777777" w:rsidR="00D40D7C" w:rsidRPr="0031513C" w:rsidRDefault="00D40D7C" w:rsidP="00491DB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Numéro spécial 30</w:t>
      </w:r>
      <w:r w:rsidRPr="0031513C">
        <w:rPr>
          <w:vertAlign w:val="superscript"/>
          <w:lang w:val="fr-CA"/>
        </w:rPr>
        <w:t>e</w:t>
      </w:r>
      <w:r w:rsidRPr="0031513C">
        <w:rPr>
          <w:lang w:val="fr-CA"/>
        </w:rPr>
        <w:t xml:space="preserve"> anniversaire</w:t>
      </w:r>
      <w:r>
        <w:rPr>
          <w:lang w:val="fr-CA"/>
        </w:rPr>
        <w:t> </w:t>
      </w:r>
      <w:r w:rsidRPr="0031513C">
        <w:rPr>
          <w:lang w:val="fr-CA"/>
        </w:rPr>
        <w:t xml:space="preserve">», </w:t>
      </w:r>
      <w:r w:rsidRPr="0031513C">
        <w:rPr>
          <w:i/>
          <w:iCs/>
          <w:lang w:val="fr-CA"/>
        </w:rPr>
        <w:t>L’Avenir National</w:t>
      </w:r>
      <w:r w:rsidRPr="0031513C">
        <w:rPr>
          <w:lang w:val="fr-CA"/>
        </w:rPr>
        <w:t>, section C, 23 octobre 1916, p.</w:t>
      </w:r>
      <w:r>
        <w:rPr>
          <w:lang w:val="fr-CA"/>
        </w:rPr>
        <w:t> </w:t>
      </w:r>
      <w:r w:rsidRPr="0031513C">
        <w:rPr>
          <w:lang w:val="fr-CA"/>
        </w:rPr>
        <w:t>109-110.</w:t>
      </w:r>
    </w:p>
  </w:footnote>
  <w:footnote w:id="86">
    <w:p w14:paraId="32337F40" w14:textId="77777777" w:rsidR="00D40D7C" w:rsidRPr="000545B4" w:rsidRDefault="00D40D7C">
      <w:pPr>
        <w:pStyle w:val="FootnoteText"/>
      </w:pPr>
      <w:r w:rsidRPr="0031513C">
        <w:rPr>
          <w:rStyle w:val="FootnoteReference"/>
        </w:rPr>
        <w:footnoteRef/>
      </w:r>
      <w:r w:rsidRPr="000545B4">
        <w:t xml:space="preserve"> </w:t>
      </w:r>
      <w:r w:rsidRPr="000545B4">
        <w:rPr>
          <w:i/>
          <w:iCs/>
        </w:rPr>
        <w:t>Ibid</w:t>
      </w:r>
      <w:r w:rsidRPr="000545B4">
        <w:t xml:space="preserve">., p. 123. </w:t>
      </w:r>
    </w:p>
  </w:footnote>
  <w:footnote w:id="87">
    <w:p w14:paraId="7CA582B4" w14:textId="77777777" w:rsidR="00D40D7C" w:rsidRPr="000545B4" w:rsidRDefault="00D40D7C" w:rsidP="00491DBC">
      <w:pPr>
        <w:pStyle w:val="FootnoteText"/>
      </w:pPr>
      <w:r w:rsidRPr="0031513C">
        <w:rPr>
          <w:rStyle w:val="FootnoteReference"/>
        </w:rPr>
        <w:footnoteRef/>
      </w:r>
      <w:r w:rsidRPr="000545B4">
        <w:t xml:space="preserve"> </w:t>
      </w:r>
      <w:r w:rsidRPr="000545B4">
        <w:rPr>
          <w:i/>
          <w:iCs/>
        </w:rPr>
        <w:t>Ibid</w:t>
      </w:r>
      <w:r w:rsidRPr="000545B4">
        <w:t>., p. 109.</w:t>
      </w:r>
    </w:p>
  </w:footnote>
  <w:footnote w:id="88">
    <w:p w14:paraId="74942607"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 xml:space="preserve">109-110 et 123. </w:t>
      </w:r>
    </w:p>
  </w:footnote>
  <w:footnote w:id="89">
    <w:p w14:paraId="7283D772" w14:textId="77777777" w:rsidR="00D40D7C" w:rsidRPr="0031513C" w:rsidRDefault="00D40D7C">
      <w:pPr>
        <w:pStyle w:val="FootnoteText"/>
        <w:rPr>
          <w:lang w:val="fr-CA"/>
        </w:rPr>
      </w:pPr>
      <w:r w:rsidRPr="0031513C">
        <w:rPr>
          <w:rStyle w:val="FootnoteReference"/>
        </w:rPr>
        <w:footnoteRef/>
      </w:r>
      <w:r w:rsidRPr="000545B4">
        <w:rPr>
          <w:lang w:val="fr-CA"/>
        </w:rPr>
        <w:t xml:space="preserve"> </w:t>
      </w:r>
      <w:r w:rsidRPr="000545B4">
        <w:rPr>
          <w:i/>
          <w:iCs/>
          <w:lang w:val="fr-CA"/>
        </w:rPr>
        <w:t>Ibid</w:t>
      </w:r>
      <w:r w:rsidRPr="000545B4">
        <w:rPr>
          <w:lang w:val="fr-CA"/>
        </w:rPr>
        <w:t xml:space="preserve">., p. 123. </w:t>
      </w:r>
      <w:r w:rsidRPr="0031513C">
        <w:rPr>
          <w:lang w:val="fr-CA"/>
        </w:rPr>
        <w:t>Note. Presque chaque communauté franco-américaine de la Nouvelle-Angleterre à sa propre garde.</w:t>
      </w:r>
    </w:p>
  </w:footnote>
  <w:footnote w:id="90">
    <w:p w14:paraId="46ED28D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Six des nôtres au Départ. du Quartier-Maître</w:t>
      </w:r>
      <w:r>
        <w:rPr>
          <w:lang w:val="fr-CA"/>
        </w:rPr>
        <w:t> </w:t>
      </w:r>
      <w:r w:rsidRPr="0031513C">
        <w:rPr>
          <w:lang w:val="fr-CA"/>
        </w:rPr>
        <w:t>»,</w:t>
      </w:r>
      <w:r w:rsidRPr="0031513C">
        <w:rPr>
          <w:i/>
          <w:iCs/>
          <w:lang w:val="fr-CA"/>
        </w:rPr>
        <w:t xml:space="preserve"> L’Avenir National</w:t>
      </w:r>
      <w:r w:rsidRPr="0031513C">
        <w:rPr>
          <w:lang w:val="fr-CA"/>
        </w:rPr>
        <w:t>, 27 juin 1917, p.</w:t>
      </w:r>
      <w:r>
        <w:rPr>
          <w:lang w:val="fr-CA"/>
        </w:rPr>
        <w:t> </w:t>
      </w:r>
      <w:r w:rsidRPr="0031513C">
        <w:rPr>
          <w:lang w:val="fr-CA"/>
        </w:rPr>
        <w:t>3.</w:t>
      </w:r>
    </w:p>
  </w:footnote>
  <w:footnote w:id="91">
    <w:p w14:paraId="1343FC9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3</w:t>
      </w:r>
      <w:r w:rsidRPr="0031513C">
        <w:rPr>
          <w:vertAlign w:val="superscript"/>
          <w:lang w:val="fr-CA"/>
        </w:rPr>
        <w:t>me</w:t>
      </w:r>
      <w:r w:rsidRPr="0031513C">
        <w:rPr>
          <w:lang w:val="fr-CA"/>
        </w:rPr>
        <w:t xml:space="preserve"> Régiment de la Brigade des V.</w:t>
      </w:r>
      <w:r>
        <w:rPr>
          <w:i/>
          <w:iCs/>
          <w:lang w:val="fr-CA"/>
        </w:rPr>
        <w:t> </w:t>
      </w:r>
      <w:r w:rsidRPr="0031513C">
        <w:rPr>
          <w:lang w:val="fr-CA"/>
        </w:rPr>
        <w:t>»,</w:t>
      </w:r>
      <w:r w:rsidRPr="0031513C">
        <w:rPr>
          <w:i/>
          <w:iCs/>
          <w:lang w:val="fr-CA"/>
        </w:rPr>
        <w:t xml:space="preserve"> L’Avenir National</w:t>
      </w:r>
      <w:r w:rsidRPr="0031513C">
        <w:rPr>
          <w:lang w:val="fr-CA"/>
        </w:rPr>
        <w:t>, 20 octobre 1914, p.</w:t>
      </w:r>
      <w:r>
        <w:rPr>
          <w:lang w:val="fr-CA"/>
        </w:rPr>
        <w:t> </w:t>
      </w:r>
      <w:r w:rsidRPr="0031513C">
        <w:rPr>
          <w:lang w:val="fr-CA"/>
        </w:rPr>
        <w:t>8</w:t>
      </w:r>
      <w:r>
        <w:rPr>
          <w:lang w:val="fr-CA"/>
        </w:rPr>
        <w:t> </w:t>
      </w:r>
      <w:r w:rsidRPr="0031513C">
        <w:rPr>
          <w:lang w:val="fr-CA"/>
        </w:rPr>
        <w:t>; «</w:t>
      </w:r>
      <w:r>
        <w:rPr>
          <w:lang w:val="fr-CA"/>
        </w:rPr>
        <w:t> </w:t>
      </w:r>
      <w:r w:rsidRPr="0031513C">
        <w:rPr>
          <w:lang w:val="fr-CA"/>
        </w:rPr>
        <w:t>La Brigade en 8</w:t>
      </w:r>
      <w:r w:rsidRPr="0031513C">
        <w:rPr>
          <w:vertAlign w:val="superscript"/>
          <w:lang w:val="fr-CA"/>
        </w:rPr>
        <w:t xml:space="preserve">me </w:t>
      </w:r>
      <w:r w:rsidRPr="0031513C">
        <w:rPr>
          <w:lang w:val="fr-CA"/>
        </w:rPr>
        <w:t>congrès militaire</w:t>
      </w:r>
      <w:r>
        <w:rPr>
          <w:lang w:val="fr-CA"/>
        </w:rPr>
        <w:t> </w:t>
      </w:r>
      <w:r w:rsidRPr="0031513C">
        <w:rPr>
          <w:lang w:val="fr-CA"/>
        </w:rPr>
        <w:t>»,</w:t>
      </w:r>
      <w:r w:rsidRPr="0031513C">
        <w:rPr>
          <w:i/>
          <w:iCs/>
          <w:lang w:val="fr-CA"/>
        </w:rPr>
        <w:t xml:space="preserve"> L’Avenir National</w:t>
      </w:r>
      <w:r w:rsidRPr="0031513C">
        <w:rPr>
          <w:lang w:val="fr-CA"/>
        </w:rPr>
        <w:t>, 21fevrier 1915, p.</w:t>
      </w:r>
      <w:r>
        <w:rPr>
          <w:lang w:val="fr-CA"/>
        </w:rPr>
        <w:t> </w:t>
      </w:r>
      <w:r w:rsidRPr="0031513C">
        <w:rPr>
          <w:lang w:val="fr-CA"/>
        </w:rPr>
        <w:t>1 et 5.</w:t>
      </w:r>
    </w:p>
  </w:footnote>
  <w:footnote w:id="92">
    <w:p w14:paraId="323E3A2C" w14:textId="77777777" w:rsidR="00D40D7C" w:rsidRPr="0031513C" w:rsidRDefault="00D40D7C" w:rsidP="00D66E3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Aimé D. Génard est élu 1</w:t>
      </w:r>
      <w:r w:rsidRPr="0031513C">
        <w:rPr>
          <w:vertAlign w:val="superscript"/>
          <w:lang w:val="fr-CA"/>
        </w:rPr>
        <w:t xml:space="preserve">er </w:t>
      </w:r>
      <w:r w:rsidRPr="0031513C">
        <w:rPr>
          <w:lang w:val="fr-CA"/>
        </w:rPr>
        <w:t>lieutenant</w:t>
      </w:r>
      <w:r>
        <w:rPr>
          <w:i/>
          <w:iCs/>
          <w:lang w:val="fr-CA"/>
        </w:rPr>
        <w:t> </w:t>
      </w:r>
      <w:r w:rsidRPr="0031513C">
        <w:rPr>
          <w:lang w:val="fr-CA"/>
        </w:rPr>
        <w:t>»,</w:t>
      </w:r>
      <w:r w:rsidRPr="0031513C">
        <w:rPr>
          <w:i/>
          <w:iCs/>
          <w:lang w:val="fr-CA"/>
        </w:rPr>
        <w:t xml:space="preserve"> L’Avenir National</w:t>
      </w:r>
      <w:r w:rsidRPr="0031513C">
        <w:rPr>
          <w:lang w:val="fr-CA"/>
        </w:rPr>
        <w:t>,</w:t>
      </w:r>
      <w:r w:rsidRPr="0031513C">
        <w:rPr>
          <w:i/>
          <w:iCs/>
          <w:lang w:val="fr-CA"/>
        </w:rPr>
        <w:t xml:space="preserve"> </w:t>
      </w:r>
      <w:r w:rsidRPr="0031513C">
        <w:rPr>
          <w:lang w:val="fr-CA"/>
        </w:rPr>
        <w:t>16 septembre 1915, p.</w:t>
      </w:r>
      <w:r>
        <w:rPr>
          <w:lang w:val="fr-CA"/>
        </w:rPr>
        <w:t> </w:t>
      </w:r>
      <w:r w:rsidRPr="0031513C">
        <w:rPr>
          <w:lang w:val="fr-CA"/>
        </w:rPr>
        <w:t>7.</w:t>
      </w:r>
    </w:p>
  </w:footnote>
  <w:footnote w:id="93">
    <w:p w14:paraId="184A737E"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Numéro spécial 30</w:t>
      </w:r>
      <w:r w:rsidRPr="0031513C">
        <w:rPr>
          <w:vertAlign w:val="superscript"/>
          <w:lang w:val="fr-CA"/>
        </w:rPr>
        <w:t>e</w:t>
      </w:r>
      <w:r w:rsidRPr="0031513C">
        <w:rPr>
          <w:lang w:val="fr-CA"/>
        </w:rPr>
        <w:t xml:space="preserve"> anniversaire</w:t>
      </w:r>
      <w:r>
        <w:rPr>
          <w:lang w:val="fr-CA"/>
        </w:rPr>
        <w:t> </w:t>
      </w:r>
      <w:r w:rsidRPr="0031513C">
        <w:rPr>
          <w:lang w:val="fr-CA"/>
        </w:rPr>
        <w:t xml:space="preserve">», </w:t>
      </w:r>
      <w:r w:rsidRPr="0031513C">
        <w:rPr>
          <w:i/>
          <w:iCs/>
          <w:lang w:val="fr-CA"/>
        </w:rPr>
        <w:t>L’Avenir National</w:t>
      </w:r>
      <w:r w:rsidRPr="0031513C">
        <w:rPr>
          <w:lang w:val="fr-CA"/>
        </w:rPr>
        <w:t>, section C, 23 octobre 1916, p.</w:t>
      </w:r>
      <w:r>
        <w:rPr>
          <w:lang w:val="fr-CA"/>
        </w:rPr>
        <w:t> </w:t>
      </w:r>
      <w:r w:rsidRPr="0031513C">
        <w:rPr>
          <w:lang w:val="fr-CA"/>
        </w:rPr>
        <w:t>118.</w:t>
      </w:r>
    </w:p>
  </w:footnote>
  <w:footnote w:id="94">
    <w:p w14:paraId="7B3D6384" w14:textId="77777777" w:rsidR="00D40D7C" w:rsidRPr="0031513C" w:rsidRDefault="00D40D7C" w:rsidP="00491DBC">
      <w:pPr>
        <w:pStyle w:val="FootnoteText"/>
        <w:rPr>
          <w:lang w:val="fr-CA"/>
        </w:rPr>
      </w:pPr>
      <w:r w:rsidRPr="0031513C">
        <w:rPr>
          <w:rStyle w:val="FootnoteReference"/>
        </w:rPr>
        <w:footnoteRef/>
      </w:r>
      <w:r w:rsidRPr="0031513C">
        <w:rPr>
          <w:i/>
          <w:iCs/>
          <w:lang w:val="fr-CA"/>
        </w:rPr>
        <w:t xml:space="preserve"> Ibid</w:t>
      </w:r>
      <w:r w:rsidRPr="0031513C">
        <w:rPr>
          <w:lang w:val="fr-CA"/>
        </w:rPr>
        <w:t>., p.</w:t>
      </w:r>
      <w:r>
        <w:rPr>
          <w:lang w:val="fr-CA"/>
        </w:rPr>
        <w:t> </w:t>
      </w:r>
      <w:r w:rsidRPr="0031513C">
        <w:rPr>
          <w:lang w:val="fr-CA"/>
        </w:rPr>
        <w:t>109 et 113.</w:t>
      </w:r>
    </w:p>
  </w:footnote>
  <w:footnote w:id="95">
    <w:p w14:paraId="7D1FA860" w14:textId="77777777" w:rsidR="00D40D7C" w:rsidRPr="0031513C" w:rsidRDefault="00D40D7C" w:rsidP="00A5632E">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116.</w:t>
      </w:r>
    </w:p>
  </w:footnote>
  <w:footnote w:id="96">
    <w:p w14:paraId="428B5A98"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Réunion dimanche de l’UN. Général Franco-Américaine</w:t>
      </w:r>
      <w:r>
        <w:rPr>
          <w:lang w:val="fr-CA"/>
        </w:rPr>
        <w:t> </w:t>
      </w:r>
      <w:r w:rsidRPr="0031513C">
        <w:rPr>
          <w:lang w:val="fr-CA"/>
        </w:rPr>
        <w:t>»,</w:t>
      </w:r>
      <w:r w:rsidRPr="0031513C">
        <w:rPr>
          <w:i/>
          <w:iCs/>
          <w:lang w:val="fr-CA"/>
        </w:rPr>
        <w:t xml:space="preserve"> L’Avenir National</w:t>
      </w:r>
      <w:r w:rsidRPr="0031513C">
        <w:rPr>
          <w:lang w:val="fr-CA"/>
        </w:rPr>
        <w:t>, 28 avril 1916, p.</w:t>
      </w:r>
      <w:r>
        <w:rPr>
          <w:lang w:val="fr-CA"/>
        </w:rPr>
        <w:t> </w:t>
      </w:r>
      <w:r w:rsidRPr="0031513C">
        <w:rPr>
          <w:lang w:val="fr-CA"/>
        </w:rPr>
        <w:t>8.</w:t>
      </w:r>
    </w:p>
  </w:footnote>
  <w:footnote w:id="97">
    <w:p w14:paraId="771F4C76" w14:textId="77777777" w:rsidR="00D40D7C" w:rsidRPr="0031513C" w:rsidRDefault="00D40D7C" w:rsidP="00491DBC">
      <w:pPr>
        <w:pStyle w:val="FootnoteText"/>
        <w:rPr>
          <w:lang w:val="fr-CA"/>
        </w:rPr>
      </w:pPr>
      <w:r w:rsidRPr="0031513C">
        <w:rPr>
          <w:rStyle w:val="FootnoteReference"/>
        </w:rPr>
        <w:footnoteRef/>
      </w:r>
      <w:r w:rsidRPr="0031513C">
        <w:rPr>
          <w:lang w:val="fr-CA"/>
        </w:rPr>
        <w:t xml:space="preserve"> William Jutras était 1</w:t>
      </w:r>
      <w:r w:rsidRPr="0031513C">
        <w:rPr>
          <w:vertAlign w:val="superscript"/>
          <w:lang w:val="fr-CA"/>
        </w:rPr>
        <w:t>er</w:t>
      </w:r>
      <w:r w:rsidRPr="0031513C">
        <w:rPr>
          <w:lang w:val="fr-CA"/>
        </w:rPr>
        <w:t xml:space="preserve"> lieutenant lorsqu’il est tué en Europe, il servait avec la 26</w:t>
      </w:r>
      <w:r w:rsidRPr="0031513C">
        <w:rPr>
          <w:vertAlign w:val="superscript"/>
          <w:lang w:val="fr-CA"/>
        </w:rPr>
        <w:t>e</w:t>
      </w:r>
      <w:r w:rsidRPr="0031513C">
        <w:rPr>
          <w:lang w:val="fr-CA"/>
        </w:rPr>
        <w:t xml:space="preserve"> Division à Riaville.</w:t>
      </w:r>
    </w:p>
  </w:footnote>
  <w:footnote w:id="98">
    <w:p w14:paraId="06C5438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Jutras est mort de blessures le 26 septembre</w:t>
      </w:r>
      <w:r>
        <w:rPr>
          <w:lang w:val="fr-CA"/>
        </w:rPr>
        <w:t> </w:t>
      </w:r>
      <w:r w:rsidRPr="0031513C">
        <w:rPr>
          <w:lang w:val="fr-CA"/>
        </w:rPr>
        <w:t>»,</w:t>
      </w:r>
      <w:r w:rsidRPr="0031513C">
        <w:rPr>
          <w:i/>
          <w:iCs/>
          <w:lang w:val="fr-CA"/>
        </w:rPr>
        <w:t xml:space="preserve"> L’Avenir National</w:t>
      </w:r>
      <w:r w:rsidRPr="0031513C">
        <w:rPr>
          <w:lang w:val="fr-CA"/>
        </w:rPr>
        <w:t>, 12 octobre 1918, p.</w:t>
      </w:r>
      <w:r>
        <w:rPr>
          <w:lang w:val="fr-CA"/>
        </w:rPr>
        <w:t> </w:t>
      </w:r>
      <w:r w:rsidRPr="0031513C">
        <w:rPr>
          <w:lang w:val="fr-CA"/>
        </w:rPr>
        <w:t>8.</w:t>
      </w:r>
    </w:p>
  </w:footnote>
  <w:footnote w:id="99">
    <w:p w14:paraId="58BB706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Garde S. Jean-Baptiste choisit ses officiers</w:t>
      </w:r>
      <w:r>
        <w:rPr>
          <w:lang w:val="fr-CA"/>
        </w:rPr>
        <w:t> </w:t>
      </w:r>
      <w:r w:rsidRPr="0031513C">
        <w:rPr>
          <w:lang w:val="fr-CA"/>
        </w:rPr>
        <w:t>»,</w:t>
      </w:r>
      <w:r w:rsidRPr="0031513C">
        <w:rPr>
          <w:i/>
          <w:iCs/>
          <w:lang w:val="fr-CA"/>
        </w:rPr>
        <w:t xml:space="preserve"> L’Avenir National</w:t>
      </w:r>
      <w:r w:rsidRPr="0031513C">
        <w:rPr>
          <w:lang w:val="fr-CA"/>
        </w:rPr>
        <w:t>, 4 janvier 1915, p.</w:t>
      </w:r>
      <w:r>
        <w:rPr>
          <w:lang w:val="fr-CA"/>
        </w:rPr>
        <w:t> </w:t>
      </w:r>
      <w:r w:rsidRPr="0031513C">
        <w:rPr>
          <w:lang w:val="fr-CA"/>
        </w:rPr>
        <w:t>5. Note. Il s’agit probablement du quartier-général de la brigade, car le nom de M.</w:t>
      </w:r>
      <w:r>
        <w:rPr>
          <w:lang w:val="fr-CA"/>
        </w:rPr>
        <w:t> </w:t>
      </w:r>
      <w:r w:rsidRPr="0031513C">
        <w:rPr>
          <w:lang w:val="fr-CA"/>
        </w:rPr>
        <w:t>Ubald est mentionné dans le texte</w:t>
      </w:r>
      <w:r>
        <w:rPr>
          <w:lang w:val="fr-CA"/>
        </w:rPr>
        <w:t> </w:t>
      </w:r>
      <w:r w:rsidRPr="0031513C">
        <w:rPr>
          <w:lang w:val="fr-CA"/>
        </w:rPr>
        <w:t>; «</w:t>
      </w:r>
      <w:r>
        <w:rPr>
          <w:lang w:val="fr-CA"/>
        </w:rPr>
        <w:t> </w:t>
      </w:r>
      <w:r w:rsidRPr="0031513C">
        <w:rPr>
          <w:lang w:val="fr-CA"/>
        </w:rPr>
        <w:t>La Brigade en 8</w:t>
      </w:r>
      <w:r w:rsidRPr="0031513C">
        <w:rPr>
          <w:vertAlign w:val="superscript"/>
          <w:lang w:val="fr-CA"/>
        </w:rPr>
        <w:t xml:space="preserve">me </w:t>
      </w:r>
      <w:r w:rsidRPr="0031513C">
        <w:rPr>
          <w:lang w:val="fr-CA"/>
        </w:rPr>
        <w:t>congrès militaire</w:t>
      </w:r>
      <w:r>
        <w:rPr>
          <w:lang w:val="fr-CA"/>
        </w:rPr>
        <w:t> </w:t>
      </w:r>
      <w:r w:rsidRPr="0031513C">
        <w:rPr>
          <w:lang w:val="fr-CA"/>
        </w:rPr>
        <w:t>»,</w:t>
      </w:r>
      <w:r w:rsidRPr="0031513C">
        <w:rPr>
          <w:i/>
          <w:iCs/>
          <w:lang w:val="fr-CA"/>
        </w:rPr>
        <w:t xml:space="preserve"> L’Avenir National</w:t>
      </w:r>
      <w:r w:rsidRPr="0031513C">
        <w:rPr>
          <w:lang w:val="fr-CA"/>
        </w:rPr>
        <w:t>, 21 février 1915, p.</w:t>
      </w:r>
      <w:r>
        <w:rPr>
          <w:lang w:val="fr-CA"/>
        </w:rPr>
        <w:t> </w:t>
      </w:r>
      <w:r w:rsidRPr="0031513C">
        <w:rPr>
          <w:lang w:val="fr-CA"/>
        </w:rPr>
        <w:t>1 et 5.</w:t>
      </w:r>
    </w:p>
  </w:footnote>
  <w:footnote w:id="100">
    <w:p w14:paraId="29D4C0CB"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w:t>
      </w:r>
      <w:r>
        <w:rPr>
          <w:lang w:val="fr-CA"/>
        </w:rPr>
        <w:t> </w:t>
      </w:r>
      <w:r w:rsidRPr="0031513C">
        <w:rPr>
          <w:lang w:val="fr-CA"/>
        </w:rPr>
        <w:t>Rodolphe Boucher Chef de la Brigade</w:t>
      </w:r>
      <w:r>
        <w:rPr>
          <w:lang w:val="fr-CA"/>
        </w:rPr>
        <w:t> </w:t>
      </w:r>
      <w:r w:rsidRPr="0031513C">
        <w:rPr>
          <w:lang w:val="fr-CA"/>
        </w:rPr>
        <w:t>»,</w:t>
      </w:r>
      <w:r w:rsidRPr="0031513C">
        <w:rPr>
          <w:i/>
          <w:iCs/>
          <w:lang w:val="fr-CA"/>
        </w:rPr>
        <w:t xml:space="preserve"> L’Avenir National</w:t>
      </w:r>
      <w:r w:rsidRPr="0031513C">
        <w:rPr>
          <w:lang w:val="fr-CA"/>
        </w:rPr>
        <w:t>, 17 février 1915, p.</w:t>
      </w:r>
      <w:r>
        <w:rPr>
          <w:lang w:val="fr-CA"/>
        </w:rPr>
        <w:t> </w:t>
      </w:r>
      <w:r w:rsidRPr="0031513C">
        <w:rPr>
          <w:lang w:val="fr-CA"/>
        </w:rPr>
        <w:t>1.</w:t>
      </w:r>
    </w:p>
  </w:footnote>
  <w:footnote w:id="101">
    <w:p w14:paraId="61F4F240" w14:textId="485FCC0D"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Gouv. Walsh l’hôte d’honneur à Lowell</w:t>
      </w:r>
      <w:r>
        <w:rPr>
          <w:lang w:val="fr-CA"/>
        </w:rPr>
        <w:t> </w:t>
      </w:r>
      <w:r w:rsidRPr="0031513C">
        <w:rPr>
          <w:lang w:val="fr-CA"/>
        </w:rPr>
        <w:t>»,</w:t>
      </w:r>
      <w:r w:rsidRPr="0031513C">
        <w:rPr>
          <w:i/>
          <w:iCs/>
          <w:lang w:val="fr-CA"/>
        </w:rPr>
        <w:t xml:space="preserve"> L’Avenir National</w:t>
      </w:r>
      <w:r w:rsidRPr="0031513C">
        <w:rPr>
          <w:lang w:val="fr-CA"/>
        </w:rPr>
        <w:t>, 16 février 1915, p.</w:t>
      </w:r>
      <w:r>
        <w:rPr>
          <w:lang w:val="fr-CA"/>
        </w:rPr>
        <w:t> </w:t>
      </w:r>
      <w:r w:rsidRPr="0031513C">
        <w:rPr>
          <w:lang w:val="fr-CA"/>
        </w:rPr>
        <w:t>1. Note. Le Gouverneur de l’État hôte du congrès est invité à s’adresser aux membres de la brigade, car les gardes du 3</w:t>
      </w:r>
      <w:r w:rsidRPr="0031513C">
        <w:rPr>
          <w:vertAlign w:val="superscript"/>
          <w:lang w:val="fr-CA"/>
        </w:rPr>
        <w:t>e</w:t>
      </w:r>
      <w:r w:rsidRPr="0031513C">
        <w:rPr>
          <w:lang w:val="fr-CA"/>
        </w:rPr>
        <w:t xml:space="preserve"> Régiment ne se retrouvent pas seulement au New Hampshire.</w:t>
      </w:r>
    </w:p>
  </w:footnote>
  <w:footnote w:id="102">
    <w:p w14:paraId="0CFE7E89" w14:textId="77777777" w:rsidR="00D40D7C" w:rsidRPr="0031513C" w:rsidRDefault="00D40D7C">
      <w:pPr>
        <w:pStyle w:val="FootnoteText"/>
        <w:rPr>
          <w:lang w:val="fr-CA"/>
        </w:rPr>
      </w:pPr>
      <w:r w:rsidRPr="0031513C">
        <w:rPr>
          <w:rStyle w:val="FootnoteReference"/>
        </w:rPr>
        <w:footnoteRef/>
      </w:r>
      <w:r w:rsidRPr="0031513C">
        <w:rPr>
          <w:lang w:val="fr-CA"/>
        </w:rPr>
        <w:t xml:space="preserve"> Albert Bélanger, </w:t>
      </w:r>
      <w:r w:rsidRPr="0031513C">
        <w:rPr>
          <w:i/>
          <w:lang w:val="fr-CA"/>
        </w:rPr>
        <w:t>Guide officiel des Franco-Américains</w:t>
      </w:r>
      <w:r>
        <w:rPr>
          <w:i/>
          <w:lang w:val="fr-CA"/>
        </w:rPr>
        <w:t> </w:t>
      </w:r>
      <w:r w:rsidRPr="0031513C">
        <w:rPr>
          <w:i/>
          <w:lang w:val="fr-CA"/>
        </w:rPr>
        <w:t>1938</w:t>
      </w:r>
      <w:r w:rsidRPr="0031513C">
        <w:rPr>
          <w:rFonts w:eastAsia="Calibri"/>
          <w:i/>
          <w:lang w:val="fr-CA" w:eastAsia="en-US"/>
        </w:rPr>
        <w:t>.</w:t>
      </w:r>
      <w:r w:rsidRPr="0031513C">
        <w:rPr>
          <w:rFonts w:eastAsia="Calibri"/>
          <w:lang w:val="fr-CA" w:eastAsia="en-US"/>
        </w:rPr>
        <w:t xml:space="preserve"> 12</w:t>
      </w:r>
      <w:r w:rsidRPr="0031513C">
        <w:rPr>
          <w:rFonts w:eastAsia="Calibri"/>
          <w:vertAlign w:val="superscript"/>
          <w:lang w:val="fr-CA" w:eastAsia="en-US"/>
        </w:rPr>
        <w:t>e</w:t>
      </w:r>
      <w:r w:rsidRPr="0031513C">
        <w:rPr>
          <w:rFonts w:eastAsia="Calibri"/>
          <w:lang w:val="fr-CA" w:eastAsia="en-US"/>
        </w:rPr>
        <w:t xml:space="preserve"> édition, Providence, Rhode Island</w:t>
      </w:r>
      <w:r w:rsidRPr="0031513C">
        <w:rPr>
          <w:lang w:val="fr-CA"/>
        </w:rPr>
        <w:t>, p.</w:t>
      </w:r>
      <w:r>
        <w:rPr>
          <w:lang w:val="fr-CA"/>
        </w:rPr>
        <w:t> </w:t>
      </w:r>
      <w:r w:rsidRPr="0031513C">
        <w:rPr>
          <w:lang w:val="fr-CA"/>
        </w:rPr>
        <w:t>227</w:t>
      </w:r>
      <w:r>
        <w:rPr>
          <w:lang w:val="fr-CA"/>
        </w:rPr>
        <w:t> </w:t>
      </w:r>
      <w:r w:rsidRPr="0031513C">
        <w:rPr>
          <w:lang w:val="fr-CA"/>
        </w:rPr>
        <w:t xml:space="preserve">; Alexandre Belisle, </w:t>
      </w:r>
      <w:r w:rsidRPr="0031513C">
        <w:rPr>
          <w:i/>
          <w:iCs/>
          <w:lang w:val="fr-CA"/>
        </w:rPr>
        <w:t>L’histoire de la presse franco-américaine et des Canadiens aux États-Unis</w:t>
      </w:r>
      <w:r w:rsidRPr="0031513C">
        <w:rPr>
          <w:lang w:val="fr-CA"/>
        </w:rPr>
        <w:t>, Worcester, Mass. Ateliers de l’Opinion Publique, 1911, p.</w:t>
      </w:r>
      <w:r>
        <w:rPr>
          <w:lang w:val="fr-CA"/>
        </w:rPr>
        <w:t> </w:t>
      </w:r>
      <w:r w:rsidRPr="0031513C">
        <w:rPr>
          <w:lang w:val="fr-CA"/>
        </w:rPr>
        <w:t>214.</w:t>
      </w:r>
    </w:p>
  </w:footnote>
  <w:footnote w:id="103">
    <w:p w14:paraId="1A48F5DC" w14:textId="77777777" w:rsidR="00D40D7C" w:rsidRPr="0031513C" w:rsidRDefault="00D40D7C" w:rsidP="009A06C2">
      <w:pPr>
        <w:pStyle w:val="FootnoteText"/>
        <w:rPr>
          <w:lang w:val="fr-CA"/>
        </w:rPr>
      </w:pPr>
      <w:r w:rsidRPr="0031513C">
        <w:rPr>
          <w:rStyle w:val="FootnoteReference"/>
        </w:rPr>
        <w:footnoteRef/>
      </w:r>
      <w:r w:rsidRPr="0031513C">
        <w:rPr>
          <w:lang w:val="fr-CA"/>
        </w:rPr>
        <w:t xml:space="preserve"> Belisle, </w:t>
      </w:r>
      <w:r w:rsidRPr="0031513C">
        <w:rPr>
          <w:i/>
          <w:iCs/>
          <w:lang w:val="fr-CA"/>
        </w:rPr>
        <w:t>op. cit.,</w:t>
      </w:r>
      <w:r>
        <w:rPr>
          <w:i/>
          <w:iCs/>
          <w:lang w:val="fr-CA"/>
        </w:rPr>
        <w:t xml:space="preserve"> </w:t>
      </w:r>
      <w:r w:rsidRPr="0031513C">
        <w:rPr>
          <w:lang w:val="fr-CA"/>
        </w:rPr>
        <w:t>p.</w:t>
      </w:r>
      <w:r>
        <w:rPr>
          <w:lang w:val="fr-CA"/>
        </w:rPr>
        <w:t> </w:t>
      </w:r>
      <w:r w:rsidRPr="0031513C">
        <w:rPr>
          <w:lang w:val="fr-CA"/>
        </w:rPr>
        <w:t>216.</w:t>
      </w:r>
    </w:p>
  </w:footnote>
  <w:footnote w:id="104">
    <w:p w14:paraId="7C0CB336" w14:textId="77777777" w:rsidR="00D40D7C" w:rsidRPr="0031513C" w:rsidRDefault="00D40D7C" w:rsidP="003A4F92">
      <w:pPr>
        <w:pStyle w:val="FootnoteText"/>
        <w:rPr>
          <w:lang w:val="fr-CA"/>
        </w:rPr>
      </w:pPr>
      <w:r w:rsidRPr="0031513C">
        <w:rPr>
          <w:rStyle w:val="FootnoteReference"/>
        </w:rPr>
        <w:footnoteRef/>
      </w:r>
      <w:r w:rsidRPr="0031513C">
        <w:rPr>
          <w:lang w:val="fr-CA"/>
        </w:rPr>
        <w:t xml:space="preserve"> Bélanger, </w:t>
      </w:r>
      <w:r w:rsidRPr="0031513C">
        <w:rPr>
          <w:i/>
          <w:iCs/>
          <w:lang w:val="fr-CA"/>
        </w:rPr>
        <w:t>Guide Franco-Américain</w:t>
      </w:r>
      <w:r>
        <w:rPr>
          <w:i/>
          <w:iCs/>
          <w:lang w:val="fr-CA"/>
        </w:rPr>
        <w:t> </w:t>
      </w:r>
      <w:r w:rsidRPr="0031513C">
        <w:rPr>
          <w:i/>
          <w:iCs/>
          <w:lang w:val="fr-CA"/>
        </w:rPr>
        <w:t>1922</w:t>
      </w:r>
      <w:r w:rsidRPr="0031513C">
        <w:rPr>
          <w:lang w:val="fr-CA"/>
        </w:rPr>
        <w:t>. p.</w:t>
      </w:r>
      <w:r>
        <w:rPr>
          <w:lang w:val="fr-CA"/>
        </w:rPr>
        <w:t> </w:t>
      </w:r>
      <w:r w:rsidRPr="0031513C">
        <w:rPr>
          <w:lang w:val="fr-CA"/>
        </w:rPr>
        <w:t xml:space="preserve">132. </w:t>
      </w:r>
    </w:p>
  </w:footnote>
  <w:footnote w:id="105">
    <w:p w14:paraId="0E442AF6" w14:textId="77777777" w:rsidR="00D40D7C" w:rsidRPr="0031513C" w:rsidRDefault="00D40D7C" w:rsidP="00554C93">
      <w:pPr>
        <w:pStyle w:val="FootnoteText"/>
        <w:rPr>
          <w:lang w:val="fr-CA"/>
        </w:rPr>
      </w:pPr>
      <w:r w:rsidRPr="0031513C">
        <w:rPr>
          <w:rStyle w:val="FootnoteReference"/>
        </w:rPr>
        <w:footnoteRef/>
      </w:r>
      <w:r w:rsidRPr="0031513C">
        <w:rPr>
          <w:lang w:val="fr-CA"/>
        </w:rPr>
        <w:t xml:space="preserve"> Alexandre Belisle, </w:t>
      </w:r>
      <w:r w:rsidRPr="0031513C">
        <w:rPr>
          <w:i/>
          <w:iCs/>
          <w:lang w:val="fr-CA"/>
        </w:rPr>
        <w:t xml:space="preserve">op. cit., </w:t>
      </w:r>
      <w:r w:rsidRPr="0031513C">
        <w:rPr>
          <w:lang w:val="fr-CA"/>
        </w:rPr>
        <w:t>p.</w:t>
      </w:r>
      <w:r>
        <w:rPr>
          <w:lang w:val="fr-CA"/>
        </w:rPr>
        <w:t> </w:t>
      </w:r>
      <w:r w:rsidRPr="0031513C">
        <w:rPr>
          <w:lang w:val="fr-CA"/>
        </w:rPr>
        <w:t xml:space="preserve">189. </w:t>
      </w:r>
    </w:p>
  </w:footnote>
  <w:footnote w:id="106">
    <w:p w14:paraId="6830DB15" w14:textId="77777777" w:rsidR="00D40D7C" w:rsidRPr="0031513C" w:rsidRDefault="00D40D7C" w:rsidP="00554C93">
      <w:pPr>
        <w:pStyle w:val="FootnoteText"/>
        <w:rPr>
          <w:lang w:val="fr-CA"/>
        </w:rPr>
      </w:pPr>
      <w:r w:rsidRPr="0031513C">
        <w:rPr>
          <w:rStyle w:val="FootnoteReference"/>
        </w:rPr>
        <w:footnoteRef/>
      </w:r>
      <w:r w:rsidRPr="0031513C">
        <w:rPr>
          <w:lang w:val="fr-CA"/>
        </w:rPr>
        <w:t xml:space="preserve"> Claire Quintal. « Les archives des Franco-Américains et des Acadiens de la Nouvelle-Angleterre », </w:t>
      </w:r>
      <w:r w:rsidRPr="0031513C">
        <w:rPr>
          <w:i/>
          <w:iCs/>
          <w:lang w:val="fr-CA"/>
        </w:rPr>
        <w:t>Archives</w:t>
      </w:r>
      <w:r w:rsidRPr="0031513C">
        <w:rPr>
          <w:lang w:val="fr-CA"/>
        </w:rPr>
        <w:t>, vol</w:t>
      </w:r>
      <w:r>
        <w:rPr>
          <w:lang w:val="fr-CA"/>
        </w:rPr>
        <w:t> </w:t>
      </w:r>
      <w:r w:rsidRPr="0031513C">
        <w:rPr>
          <w:lang w:val="fr-CA"/>
        </w:rPr>
        <w:t xml:space="preserve">36, </w:t>
      </w:r>
      <w:r w:rsidRPr="00B22758">
        <w:rPr>
          <w:rFonts w:eastAsia="Calibri"/>
          <w:bCs/>
          <w:color w:val="000000"/>
          <w:lang w:val="fr-CA" w:eastAsia="en-US"/>
        </w:rPr>
        <w:t>n</w:t>
      </w:r>
      <w:r w:rsidRPr="00B22758">
        <w:rPr>
          <w:rFonts w:eastAsia="Calibri"/>
          <w:bCs/>
          <w:color w:val="000000"/>
          <w:vertAlign w:val="superscript"/>
          <w:lang w:val="fr-CA" w:eastAsia="en-US"/>
        </w:rPr>
        <w:t>o</w:t>
      </w:r>
      <w:r>
        <w:rPr>
          <w:rFonts w:eastAsia="Calibri"/>
          <w:bCs/>
          <w:color w:val="000000"/>
          <w:lang w:val="fr-CA" w:eastAsia="en-US"/>
        </w:rPr>
        <w:t> </w:t>
      </w:r>
      <w:r w:rsidRPr="0031513C">
        <w:rPr>
          <w:lang w:val="fr-CA"/>
        </w:rPr>
        <w:t>2, 2004</w:t>
      </w:r>
      <w:r>
        <w:rPr>
          <w:lang w:val="fr-CA"/>
        </w:rPr>
        <w:t>–</w:t>
      </w:r>
      <w:r w:rsidRPr="0031513C">
        <w:rPr>
          <w:lang w:val="fr-CA"/>
        </w:rPr>
        <w:t>2005, p.</w:t>
      </w:r>
      <w:r>
        <w:rPr>
          <w:lang w:val="fr-CA"/>
        </w:rPr>
        <w:t> </w:t>
      </w:r>
      <w:r w:rsidRPr="0031513C">
        <w:rPr>
          <w:lang w:val="fr-CA"/>
        </w:rPr>
        <w:t>41.</w:t>
      </w:r>
    </w:p>
  </w:footnote>
  <w:footnote w:id="107">
    <w:p w14:paraId="3551ABEA" w14:textId="77777777" w:rsidR="00D40D7C" w:rsidRPr="0031513C" w:rsidRDefault="00D40D7C">
      <w:pPr>
        <w:pStyle w:val="FootnoteText"/>
        <w:rPr>
          <w:lang w:val="fr-CA"/>
        </w:rPr>
      </w:pPr>
      <w:r w:rsidRPr="0031513C">
        <w:rPr>
          <w:rStyle w:val="FootnoteReference"/>
        </w:rPr>
        <w:footnoteRef/>
      </w:r>
      <w:r w:rsidRPr="0031513C">
        <w:rPr>
          <w:lang w:val="fr-CA"/>
        </w:rPr>
        <w:t xml:space="preserve"> Alexandre Belisle, </w:t>
      </w:r>
      <w:r w:rsidRPr="0031513C">
        <w:rPr>
          <w:i/>
          <w:iCs/>
          <w:lang w:val="fr-CA"/>
        </w:rPr>
        <w:t>op. cit.,</w:t>
      </w:r>
      <w:r w:rsidRPr="0031513C">
        <w:rPr>
          <w:lang w:val="fr-CA"/>
        </w:rPr>
        <w:t xml:space="preserve"> p.</w:t>
      </w:r>
      <w:r>
        <w:rPr>
          <w:lang w:val="fr-CA"/>
        </w:rPr>
        <w:t> </w:t>
      </w:r>
      <w:r w:rsidRPr="0031513C">
        <w:rPr>
          <w:lang w:val="fr-CA"/>
        </w:rPr>
        <w:t>214.</w:t>
      </w:r>
    </w:p>
  </w:footnote>
  <w:footnote w:id="108">
    <w:p w14:paraId="193D1071" w14:textId="77777777" w:rsidR="00D40D7C" w:rsidRPr="0031513C" w:rsidRDefault="00D40D7C" w:rsidP="00D13279">
      <w:pPr>
        <w:pStyle w:val="FootnoteText"/>
        <w:rPr>
          <w:lang w:val="fr-CA"/>
        </w:rPr>
      </w:pPr>
      <w:r w:rsidRPr="0031513C">
        <w:rPr>
          <w:rStyle w:val="FootnoteReference"/>
        </w:rPr>
        <w:footnoteRef/>
      </w:r>
      <w:r w:rsidRPr="0031513C">
        <w:rPr>
          <w:lang w:val="fr-CA"/>
        </w:rPr>
        <w:t xml:space="preserve"> Bélanger, </w:t>
      </w:r>
      <w:r w:rsidRPr="0031513C">
        <w:rPr>
          <w:i/>
          <w:iCs/>
          <w:lang w:val="fr-CA"/>
        </w:rPr>
        <w:t>op. cit.,</w:t>
      </w:r>
      <w:r w:rsidRPr="0031513C">
        <w:rPr>
          <w:lang w:val="fr-CA"/>
        </w:rPr>
        <w:t xml:space="preserve"> p.</w:t>
      </w:r>
      <w:r>
        <w:rPr>
          <w:lang w:val="fr-CA"/>
        </w:rPr>
        <w:t> </w:t>
      </w:r>
      <w:r w:rsidRPr="0031513C">
        <w:rPr>
          <w:lang w:val="fr-CA"/>
        </w:rPr>
        <w:t xml:space="preserve">132. </w:t>
      </w:r>
    </w:p>
  </w:footnote>
  <w:footnote w:id="109">
    <w:p w14:paraId="56AC901F" w14:textId="77777777" w:rsidR="00D40D7C" w:rsidRPr="0031513C" w:rsidRDefault="00D40D7C" w:rsidP="00E3040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Numéro spécial 30</w:t>
      </w:r>
      <w:r w:rsidRPr="0031513C">
        <w:rPr>
          <w:vertAlign w:val="superscript"/>
          <w:lang w:val="fr-CA"/>
        </w:rPr>
        <w:t>e</w:t>
      </w:r>
      <w:r w:rsidRPr="0031513C">
        <w:rPr>
          <w:lang w:val="fr-CA"/>
        </w:rPr>
        <w:t xml:space="preserve"> anniversaire</w:t>
      </w:r>
      <w:r>
        <w:rPr>
          <w:lang w:val="fr-CA"/>
        </w:rPr>
        <w:t> </w:t>
      </w:r>
      <w:r w:rsidRPr="0031513C">
        <w:rPr>
          <w:lang w:val="fr-CA"/>
        </w:rPr>
        <w:t xml:space="preserve">», </w:t>
      </w:r>
      <w:r w:rsidRPr="0031513C">
        <w:rPr>
          <w:i/>
          <w:iCs/>
          <w:lang w:val="fr-CA"/>
        </w:rPr>
        <w:t>L’Avenir National</w:t>
      </w:r>
      <w:r w:rsidRPr="0031513C">
        <w:rPr>
          <w:lang w:val="fr-CA"/>
        </w:rPr>
        <w:t>, section C, 23 octobre 1916, p.</w:t>
      </w:r>
      <w:r>
        <w:rPr>
          <w:lang w:val="fr-CA"/>
        </w:rPr>
        <w:t> </w:t>
      </w:r>
      <w:r w:rsidRPr="0031513C">
        <w:rPr>
          <w:lang w:val="fr-CA"/>
        </w:rPr>
        <w:t>40.</w:t>
      </w:r>
    </w:p>
  </w:footnote>
  <w:footnote w:id="110">
    <w:p w14:paraId="3521E3A2" w14:textId="77777777" w:rsidR="00D40D7C" w:rsidRPr="002B1534" w:rsidRDefault="00D40D7C">
      <w:pPr>
        <w:pStyle w:val="FootnoteText"/>
      </w:pPr>
      <w:r w:rsidRPr="0031513C">
        <w:rPr>
          <w:rStyle w:val="FootnoteReference"/>
        </w:rPr>
        <w:footnoteRef/>
      </w:r>
      <w:r w:rsidRPr="002B1534">
        <w:t xml:space="preserve"> Belisle, </w:t>
      </w:r>
      <w:r w:rsidRPr="002B1534">
        <w:rPr>
          <w:i/>
          <w:iCs/>
        </w:rPr>
        <w:t>op. cit.,</w:t>
      </w:r>
      <w:r w:rsidRPr="002B1534">
        <w:t xml:space="preserve"> p. 267.</w:t>
      </w:r>
    </w:p>
  </w:footnote>
  <w:footnote w:id="111">
    <w:p w14:paraId="702686AE" w14:textId="77777777" w:rsidR="00D40D7C" w:rsidRPr="0031513C" w:rsidRDefault="00D40D7C" w:rsidP="006165C4">
      <w:pPr>
        <w:pStyle w:val="FootnoteText"/>
      </w:pPr>
      <w:r w:rsidRPr="0031513C">
        <w:rPr>
          <w:rStyle w:val="FootnoteReference"/>
        </w:rPr>
        <w:footnoteRef/>
      </w:r>
      <w:r w:rsidRPr="0031513C">
        <w:t xml:space="preserve"> </w:t>
      </w:r>
      <w:r w:rsidRPr="0031513C">
        <w:rPr>
          <w:i/>
          <w:iCs/>
        </w:rPr>
        <w:t>Ibid.</w:t>
      </w:r>
      <w:r w:rsidRPr="0031513C">
        <w:t>, p.</w:t>
      </w:r>
      <w:r>
        <w:t> </w:t>
      </w:r>
      <w:r w:rsidRPr="0031513C">
        <w:t>183.</w:t>
      </w:r>
    </w:p>
  </w:footnote>
  <w:footnote w:id="112">
    <w:p w14:paraId="1109B055" w14:textId="77777777" w:rsidR="00D40D7C" w:rsidRPr="000545B4" w:rsidRDefault="00D40D7C">
      <w:pPr>
        <w:pStyle w:val="FootnoteText"/>
        <w:rPr>
          <w:lang w:val="fr-CA"/>
        </w:rPr>
      </w:pPr>
      <w:r w:rsidRPr="0031513C">
        <w:rPr>
          <w:rStyle w:val="FootnoteReference"/>
        </w:rPr>
        <w:footnoteRef/>
      </w:r>
      <w:r w:rsidRPr="000545B4">
        <w:rPr>
          <w:lang w:val="fr-CA"/>
        </w:rPr>
        <w:t xml:space="preserve"> </w:t>
      </w:r>
      <w:r w:rsidRPr="000545B4">
        <w:rPr>
          <w:i/>
          <w:iCs/>
          <w:lang w:val="fr-CA"/>
        </w:rPr>
        <w:t>Ibid</w:t>
      </w:r>
      <w:r w:rsidRPr="000545B4">
        <w:rPr>
          <w:lang w:val="fr-CA"/>
        </w:rPr>
        <w:t>., p. 269.</w:t>
      </w:r>
    </w:p>
  </w:footnote>
  <w:footnote w:id="113">
    <w:p w14:paraId="3BBE6EBE" w14:textId="7F54F8AD" w:rsidR="00D40D7C" w:rsidRPr="0031513C" w:rsidRDefault="00D40D7C">
      <w:pPr>
        <w:pStyle w:val="FootnoteText"/>
        <w:rPr>
          <w:lang w:val="fr-CA"/>
        </w:rPr>
      </w:pPr>
      <w:r w:rsidRPr="0031513C">
        <w:rPr>
          <w:rStyle w:val="FootnoteReference"/>
        </w:rPr>
        <w:footnoteRef/>
      </w:r>
      <w:r w:rsidRPr="000545B4">
        <w:rPr>
          <w:lang w:val="fr-CA"/>
        </w:rPr>
        <w:t xml:space="preserve"> </w:t>
      </w:r>
      <w:r w:rsidRPr="000545B4">
        <w:rPr>
          <w:i/>
          <w:iCs/>
          <w:lang w:val="fr-CA"/>
        </w:rPr>
        <w:t>Ibid</w:t>
      </w:r>
      <w:r w:rsidRPr="000545B4">
        <w:rPr>
          <w:lang w:val="fr-CA"/>
        </w:rPr>
        <w:t xml:space="preserve">., p. 268-269. </w:t>
      </w:r>
      <w:r w:rsidRPr="0031513C">
        <w:rPr>
          <w:lang w:val="fr-CA"/>
        </w:rPr>
        <w:t xml:space="preserve">Citation de </w:t>
      </w:r>
      <w:r w:rsidR="00A831CD">
        <w:rPr>
          <w:i/>
          <w:iCs/>
          <w:lang w:val="fr-CA"/>
        </w:rPr>
        <w:t>L</w:t>
      </w:r>
      <w:r w:rsidRPr="0031513C">
        <w:rPr>
          <w:i/>
          <w:iCs/>
          <w:lang w:val="fr-CA"/>
        </w:rPr>
        <w:t>a Presse</w:t>
      </w:r>
      <w:r w:rsidRPr="0031513C">
        <w:rPr>
          <w:lang w:val="fr-CA"/>
        </w:rPr>
        <w:t xml:space="preserve"> du 11 mars 1898.</w:t>
      </w:r>
    </w:p>
  </w:footnote>
  <w:footnote w:id="114">
    <w:p w14:paraId="13AB3BE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Préface de J.G. LeBoutillier.</w:t>
      </w:r>
    </w:p>
  </w:footnote>
  <w:footnote w:id="115">
    <w:p w14:paraId="2B25CE55" w14:textId="77777777" w:rsidR="00D40D7C" w:rsidRPr="0031513C" w:rsidRDefault="00D40D7C" w:rsidP="00145BF3">
      <w:pPr>
        <w:pStyle w:val="FootnoteText"/>
        <w:rPr>
          <w:lang w:val="fr-CA"/>
        </w:rPr>
      </w:pPr>
      <w:r w:rsidRPr="0031513C">
        <w:rPr>
          <w:rStyle w:val="FootnoteReference"/>
        </w:rPr>
        <w:footnoteRef/>
      </w:r>
      <w:r w:rsidRPr="0031513C">
        <w:rPr>
          <w:lang w:val="fr-CA"/>
        </w:rPr>
        <w:t xml:space="preserve"> Roby, </w:t>
      </w:r>
      <w:r w:rsidRPr="0031513C">
        <w:rPr>
          <w:i/>
          <w:iCs/>
          <w:lang w:val="fr-CA"/>
        </w:rPr>
        <w:t>op. cit.,</w:t>
      </w:r>
      <w:r w:rsidRPr="0031513C">
        <w:rPr>
          <w:lang w:val="fr-CA"/>
        </w:rPr>
        <w:t xml:space="preserve"> p.</w:t>
      </w:r>
      <w:r>
        <w:rPr>
          <w:lang w:val="fr-CA"/>
        </w:rPr>
        <w:t> </w:t>
      </w:r>
      <w:r w:rsidRPr="0031513C">
        <w:rPr>
          <w:lang w:val="fr-CA"/>
        </w:rPr>
        <w:t>198. Voir appel de note</w:t>
      </w:r>
      <w:r>
        <w:rPr>
          <w:lang w:val="fr-CA"/>
        </w:rPr>
        <w:t> </w:t>
      </w:r>
      <w:r w:rsidRPr="0031513C">
        <w:rPr>
          <w:lang w:val="fr-CA"/>
        </w:rPr>
        <w:t xml:space="preserve">174. ; Belisle, </w:t>
      </w:r>
      <w:r w:rsidRPr="0031513C">
        <w:rPr>
          <w:i/>
          <w:iCs/>
          <w:lang w:val="fr-CA"/>
        </w:rPr>
        <w:t>op. cit.,</w:t>
      </w:r>
      <w:r w:rsidRPr="0031513C">
        <w:rPr>
          <w:lang w:val="fr-CA"/>
        </w:rPr>
        <w:t xml:space="preserve"> p.</w:t>
      </w:r>
      <w:r>
        <w:rPr>
          <w:lang w:val="fr-CA"/>
        </w:rPr>
        <w:t> </w:t>
      </w:r>
      <w:r w:rsidRPr="0031513C">
        <w:rPr>
          <w:lang w:val="fr-CA"/>
        </w:rPr>
        <w:t xml:space="preserve">269-270 et préface de Jean-Georges LeBoutiller. </w:t>
      </w:r>
    </w:p>
  </w:footnote>
  <w:footnote w:id="116">
    <w:p w14:paraId="64695C4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Numéro spécial 30</w:t>
      </w:r>
      <w:r w:rsidRPr="0031513C">
        <w:rPr>
          <w:vertAlign w:val="superscript"/>
          <w:lang w:val="fr-CA"/>
        </w:rPr>
        <w:t>e</w:t>
      </w:r>
      <w:r w:rsidRPr="0031513C">
        <w:rPr>
          <w:lang w:val="fr-CA"/>
        </w:rPr>
        <w:t xml:space="preserve"> anniversaire</w:t>
      </w:r>
      <w:r>
        <w:rPr>
          <w:lang w:val="fr-CA"/>
        </w:rPr>
        <w:t> </w:t>
      </w:r>
      <w:r w:rsidRPr="0031513C">
        <w:rPr>
          <w:lang w:val="fr-CA"/>
        </w:rPr>
        <w:t xml:space="preserve">», </w:t>
      </w:r>
      <w:r w:rsidRPr="0031513C">
        <w:rPr>
          <w:i/>
          <w:iCs/>
          <w:lang w:val="fr-CA"/>
        </w:rPr>
        <w:t>L’Avenir National</w:t>
      </w:r>
      <w:r w:rsidRPr="0031513C">
        <w:rPr>
          <w:lang w:val="fr-CA"/>
        </w:rPr>
        <w:t>, section C, 23 octobre 1916, p.</w:t>
      </w:r>
      <w:r>
        <w:rPr>
          <w:lang w:val="fr-CA"/>
        </w:rPr>
        <w:t> </w:t>
      </w:r>
      <w:r w:rsidRPr="0031513C">
        <w:rPr>
          <w:lang w:val="fr-CA"/>
        </w:rPr>
        <w:t>38.</w:t>
      </w:r>
    </w:p>
  </w:footnote>
  <w:footnote w:id="117">
    <w:p w14:paraId="39071CD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xml:space="preserve"> p.</w:t>
      </w:r>
      <w:r>
        <w:rPr>
          <w:lang w:val="fr-CA"/>
        </w:rPr>
        <w:t> </w:t>
      </w:r>
      <w:r w:rsidRPr="0031513C">
        <w:rPr>
          <w:lang w:val="fr-CA"/>
        </w:rPr>
        <w:t>38 et 44.</w:t>
      </w:r>
    </w:p>
  </w:footnote>
  <w:footnote w:id="118">
    <w:p w14:paraId="60EA2B49" w14:textId="77777777" w:rsidR="00D40D7C" w:rsidRPr="0031513C" w:rsidRDefault="00D40D7C" w:rsidP="00CB0F72">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w:t>
      </w:r>
      <w:r>
        <w:rPr>
          <w:lang w:val="fr-CA"/>
        </w:rPr>
        <w:t xml:space="preserve"> </w:t>
      </w:r>
      <w:r w:rsidRPr="0031513C">
        <w:rPr>
          <w:lang w:val="fr-CA"/>
        </w:rPr>
        <w:t>p.</w:t>
      </w:r>
      <w:r>
        <w:rPr>
          <w:lang w:val="fr-CA"/>
        </w:rPr>
        <w:t> </w:t>
      </w:r>
      <w:r w:rsidRPr="0031513C">
        <w:rPr>
          <w:lang w:val="fr-CA"/>
        </w:rPr>
        <w:t>38 et 110.</w:t>
      </w:r>
    </w:p>
  </w:footnote>
  <w:footnote w:id="119">
    <w:p w14:paraId="128B7ECB"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40.</w:t>
      </w:r>
    </w:p>
  </w:footnote>
  <w:footnote w:id="120">
    <w:p w14:paraId="0C8BDB1C"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40.</w:t>
      </w:r>
    </w:p>
  </w:footnote>
  <w:footnote w:id="121">
    <w:p w14:paraId="6C617ED6"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40.</w:t>
      </w:r>
    </w:p>
  </w:footnote>
  <w:footnote w:id="122">
    <w:p w14:paraId="734BC463"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37.</w:t>
      </w:r>
    </w:p>
  </w:footnote>
  <w:footnote w:id="123">
    <w:p w14:paraId="3CB9F27E" w14:textId="77777777" w:rsidR="00D40D7C" w:rsidRPr="002B1534" w:rsidRDefault="00D40D7C" w:rsidP="0003402E">
      <w:pPr>
        <w:pStyle w:val="FootnoteText"/>
      </w:pPr>
      <w:r w:rsidRPr="0031513C">
        <w:rPr>
          <w:rStyle w:val="FootnoteReference"/>
        </w:rPr>
        <w:footnoteRef/>
      </w:r>
      <w:r w:rsidRPr="002B1534">
        <w:t xml:space="preserve"> </w:t>
      </w:r>
      <w:r w:rsidRPr="002B1534">
        <w:rPr>
          <w:i/>
          <w:iCs/>
        </w:rPr>
        <w:t>Ibid</w:t>
      </w:r>
      <w:r w:rsidRPr="002B1534">
        <w:t>., p. 122.</w:t>
      </w:r>
    </w:p>
  </w:footnote>
  <w:footnote w:id="124">
    <w:p w14:paraId="44988E3C" w14:textId="77777777" w:rsidR="00D40D7C" w:rsidRPr="002B1534" w:rsidRDefault="00D40D7C">
      <w:pPr>
        <w:pStyle w:val="FootnoteText"/>
      </w:pPr>
      <w:r w:rsidRPr="0031513C">
        <w:rPr>
          <w:rStyle w:val="FootnoteReference"/>
        </w:rPr>
        <w:footnoteRef/>
      </w:r>
      <w:r w:rsidRPr="002B1534">
        <w:t xml:space="preserve"> </w:t>
      </w:r>
      <w:r w:rsidRPr="002B1534">
        <w:rPr>
          <w:i/>
          <w:iCs/>
        </w:rPr>
        <w:t>Ibid</w:t>
      </w:r>
      <w:r w:rsidRPr="002B1534">
        <w:t>., p. 122, 126 et 132.</w:t>
      </w:r>
    </w:p>
  </w:footnote>
  <w:footnote w:id="125">
    <w:p w14:paraId="2B95720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Conférences de la cour S. Georges sur la naturalisation</w:t>
      </w:r>
      <w:r>
        <w:rPr>
          <w:lang w:val="fr-CA"/>
        </w:rPr>
        <w:t> </w:t>
      </w:r>
      <w:r w:rsidRPr="0031513C">
        <w:rPr>
          <w:lang w:val="fr-CA"/>
        </w:rPr>
        <w:t>»,</w:t>
      </w:r>
      <w:r w:rsidRPr="0031513C">
        <w:rPr>
          <w:i/>
          <w:iCs/>
          <w:lang w:val="fr-CA"/>
        </w:rPr>
        <w:t xml:space="preserve"> L’Avenir National</w:t>
      </w:r>
      <w:r w:rsidRPr="0031513C">
        <w:rPr>
          <w:lang w:val="fr-CA"/>
        </w:rPr>
        <w:t>, 24 mars 1916, p. 3.</w:t>
      </w:r>
    </w:p>
  </w:footnote>
  <w:footnote w:id="126">
    <w:p w14:paraId="1F45704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naturalisation chez les Francos</w:t>
      </w:r>
      <w:r>
        <w:rPr>
          <w:lang w:val="fr-CA"/>
        </w:rPr>
        <w:t> </w:t>
      </w:r>
      <w:r w:rsidRPr="0031513C">
        <w:rPr>
          <w:lang w:val="fr-CA"/>
        </w:rPr>
        <w:t>»,</w:t>
      </w:r>
      <w:r w:rsidRPr="0031513C">
        <w:rPr>
          <w:i/>
          <w:iCs/>
          <w:lang w:val="fr-CA"/>
        </w:rPr>
        <w:t xml:space="preserve"> L’Avenir National</w:t>
      </w:r>
      <w:r w:rsidRPr="0031513C">
        <w:rPr>
          <w:lang w:val="fr-CA"/>
        </w:rPr>
        <w:t>, 18 juillet 1917, p. 8.</w:t>
      </w:r>
    </w:p>
  </w:footnote>
  <w:footnote w:id="127">
    <w:p w14:paraId="45F0606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Club Citoyen s’est réuni à la salle Montcalm</w:t>
      </w:r>
      <w:r>
        <w:rPr>
          <w:lang w:val="fr-CA"/>
        </w:rPr>
        <w:t> </w:t>
      </w:r>
      <w:r w:rsidRPr="0031513C">
        <w:rPr>
          <w:lang w:val="fr-CA"/>
        </w:rPr>
        <w:t>»,</w:t>
      </w:r>
      <w:r w:rsidRPr="0031513C">
        <w:rPr>
          <w:i/>
          <w:iCs/>
          <w:lang w:val="fr-CA"/>
        </w:rPr>
        <w:t xml:space="preserve"> L’Avenir National</w:t>
      </w:r>
      <w:r w:rsidRPr="0031513C">
        <w:rPr>
          <w:lang w:val="fr-CA"/>
        </w:rPr>
        <w:t>, 3 mai 1918, p. 7.</w:t>
      </w:r>
    </w:p>
  </w:footnote>
  <w:footnote w:id="128">
    <w:p w14:paraId="31AF33C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Numéro spécial 30</w:t>
      </w:r>
      <w:r w:rsidRPr="0031513C">
        <w:rPr>
          <w:vertAlign w:val="superscript"/>
          <w:lang w:val="fr-CA"/>
        </w:rPr>
        <w:t>e</w:t>
      </w:r>
      <w:r w:rsidRPr="0031513C">
        <w:rPr>
          <w:lang w:val="fr-CA"/>
        </w:rPr>
        <w:t xml:space="preserve"> anniversaire</w:t>
      </w:r>
      <w:r>
        <w:rPr>
          <w:lang w:val="fr-CA"/>
        </w:rPr>
        <w:t> </w:t>
      </w:r>
      <w:r w:rsidRPr="0031513C">
        <w:rPr>
          <w:lang w:val="fr-CA"/>
        </w:rPr>
        <w:t xml:space="preserve">», </w:t>
      </w:r>
      <w:r w:rsidRPr="0031513C">
        <w:rPr>
          <w:i/>
          <w:iCs/>
          <w:lang w:val="fr-CA"/>
        </w:rPr>
        <w:t>L’Avenir National</w:t>
      </w:r>
      <w:r w:rsidRPr="0031513C">
        <w:rPr>
          <w:lang w:val="fr-CA"/>
        </w:rPr>
        <w:t>, section C, 23 octobre 1916, p.</w:t>
      </w:r>
      <w:r>
        <w:rPr>
          <w:lang w:val="fr-CA"/>
        </w:rPr>
        <w:t> </w:t>
      </w:r>
      <w:r w:rsidRPr="0031513C">
        <w:rPr>
          <w:lang w:val="fr-CA"/>
        </w:rPr>
        <w:t>109.</w:t>
      </w:r>
    </w:p>
  </w:footnote>
  <w:footnote w:id="129">
    <w:p w14:paraId="2961088B"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116.</w:t>
      </w:r>
    </w:p>
  </w:footnote>
  <w:footnote w:id="130">
    <w:p w14:paraId="0A919464"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109 et 116.</w:t>
      </w:r>
    </w:p>
  </w:footnote>
  <w:footnote w:id="131">
    <w:p w14:paraId="0DF67648" w14:textId="77777777" w:rsidR="00D40D7C" w:rsidRPr="002B1534" w:rsidRDefault="00D40D7C">
      <w:pPr>
        <w:pStyle w:val="FootnoteText"/>
      </w:pPr>
      <w:r w:rsidRPr="0031513C">
        <w:rPr>
          <w:rStyle w:val="FootnoteReference"/>
        </w:rPr>
        <w:footnoteRef/>
      </w:r>
      <w:r w:rsidRPr="002B1534">
        <w:t xml:space="preserve"> </w:t>
      </w:r>
      <w:r w:rsidRPr="002B1534">
        <w:rPr>
          <w:i/>
          <w:iCs/>
        </w:rPr>
        <w:t>Ibid</w:t>
      </w:r>
      <w:r w:rsidRPr="002B1534">
        <w:t>., p. 111.</w:t>
      </w:r>
    </w:p>
  </w:footnote>
  <w:footnote w:id="132">
    <w:p w14:paraId="4324533D"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120</w:t>
      </w:r>
      <w:r>
        <w:t> </w:t>
      </w:r>
      <w:r w:rsidRPr="0031513C">
        <w:t xml:space="preserve">; Roby, </w:t>
      </w:r>
      <w:r w:rsidRPr="0031513C">
        <w:rPr>
          <w:i/>
          <w:iCs/>
        </w:rPr>
        <w:t>op. cit</w:t>
      </w:r>
      <w:r w:rsidRPr="0031513C">
        <w:t>., p.</w:t>
      </w:r>
      <w:r>
        <w:t> </w:t>
      </w:r>
      <w:r w:rsidRPr="0031513C">
        <w:t>203.</w:t>
      </w:r>
    </w:p>
  </w:footnote>
  <w:footnote w:id="133">
    <w:p w14:paraId="639A3602" w14:textId="77777777" w:rsidR="00D40D7C" w:rsidRPr="0031513C" w:rsidRDefault="00D40D7C" w:rsidP="003C27DB">
      <w:pPr>
        <w:pStyle w:val="FootnoteText"/>
      </w:pPr>
      <w:r w:rsidRPr="0031513C">
        <w:rPr>
          <w:rStyle w:val="FootnoteReference"/>
        </w:rPr>
        <w:footnoteRef/>
      </w:r>
      <w:r w:rsidRPr="0031513C">
        <w:t xml:space="preserve"> </w:t>
      </w:r>
      <w:bookmarkStart w:id="5" w:name="_Hlk17470862"/>
      <w:r w:rsidRPr="0031513C">
        <w:rPr>
          <w:i/>
          <w:iCs/>
        </w:rPr>
        <w:t>Ibid</w:t>
      </w:r>
      <w:r w:rsidRPr="0031513C">
        <w:t>.,</w:t>
      </w:r>
      <w:r w:rsidRPr="0031513C">
        <w:rPr>
          <w:i/>
          <w:iCs/>
        </w:rPr>
        <w:t xml:space="preserve"> </w:t>
      </w:r>
      <w:r w:rsidRPr="0031513C">
        <w:t>p.</w:t>
      </w:r>
      <w:r>
        <w:t> </w:t>
      </w:r>
      <w:r w:rsidRPr="0031513C">
        <w:t>112</w:t>
      </w:r>
      <w:bookmarkEnd w:id="5"/>
      <w:r>
        <w:t> </w:t>
      </w:r>
      <w:r w:rsidRPr="0031513C">
        <w:t xml:space="preserve">; Roby, </w:t>
      </w:r>
      <w:r>
        <w:rPr>
          <w:i/>
          <w:iCs/>
        </w:rPr>
        <w:t>i</w:t>
      </w:r>
      <w:r w:rsidRPr="0031513C">
        <w:rPr>
          <w:i/>
          <w:iCs/>
        </w:rPr>
        <w:t>bid</w:t>
      </w:r>
      <w:r w:rsidRPr="0031513C">
        <w:t>., p.</w:t>
      </w:r>
      <w:r>
        <w:t> </w:t>
      </w:r>
      <w:r w:rsidRPr="0031513C">
        <w:t>202-203.</w:t>
      </w:r>
    </w:p>
  </w:footnote>
  <w:footnote w:id="134">
    <w:p w14:paraId="2E16C55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Numéro spécial 30</w:t>
      </w:r>
      <w:r w:rsidRPr="0031513C">
        <w:rPr>
          <w:vertAlign w:val="superscript"/>
          <w:lang w:val="fr-CA"/>
        </w:rPr>
        <w:t>e</w:t>
      </w:r>
      <w:r w:rsidRPr="0031513C">
        <w:rPr>
          <w:lang w:val="fr-CA"/>
        </w:rPr>
        <w:t xml:space="preserve"> anniversaire</w:t>
      </w:r>
      <w:r>
        <w:rPr>
          <w:lang w:val="fr-CA"/>
        </w:rPr>
        <w:t> </w:t>
      </w:r>
      <w:r w:rsidRPr="0031513C">
        <w:rPr>
          <w:lang w:val="fr-CA"/>
        </w:rPr>
        <w:t xml:space="preserve">», </w:t>
      </w:r>
      <w:r w:rsidRPr="0031513C">
        <w:rPr>
          <w:i/>
          <w:iCs/>
          <w:lang w:val="fr-CA"/>
        </w:rPr>
        <w:t>L’Avenir National</w:t>
      </w:r>
      <w:r w:rsidRPr="0031513C">
        <w:rPr>
          <w:lang w:val="fr-CA"/>
        </w:rPr>
        <w:t>, section C, 23 octobre 1916, p.</w:t>
      </w:r>
      <w:r>
        <w:rPr>
          <w:lang w:val="fr-CA"/>
        </w:rPr>
        <w:t> </w:t>
      </w:r>
      <w:r w:rsidRPr="0031513C">
        <w:rPr>
          <w:lang w:val="fr-CA"/>
        </w:rPr>
        <w:t>112 et 113.</w:t>
      </w:r>
    </w:p>
  </w:footnote>
  <w:footnote w:id="135">
    <w:p w14:paraId="3A9C7F0E"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109.</w:t>
      </w:r>
    </w:p>
  </w:footnote>
  <w:footnote w:id="136">
    <w:p w14:paraId="20C312A1"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109.</w:t>
      </w:r>
    </w:p>
  </w:footnote>
  <w:footnote w:id="137">
    <w:p w14:paraId="76AE7C75"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109.</w:t>
      </w:r>
    </w:p>
  </w:footnote>
  <w:footnote w:id="138">
    <w:p w14:paraId="1EE989C5"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119.</w:t>
      </w:r>
    </w:p>
  </w:footnote>
  <w:footnote w:id="139">
    <w:p w14:paraId="00570863"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113.</w:t>
      </w:r>
    </w:p>
  </w:footnote>
  <w:footnote w:id="140">
    <w:p w14:paraId="25E96BD3"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113 et 120.</w:t>
      </w:r>
    </w:p>
  </w:footnote>
  <w:footnote w:id="141">
    <w:p w14:paraId="06DA376D"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120.</w:t>
      </w:r>
    </w:p>
  </w:footnote>
  <w:footnote w:id="142">
    <w:p w14:paraId="7C8D142E" w14:textId="77777777" w:rsidR="00D40D7C" w:rsidRPr="0031513C" w:rsidRDefault="00D40D7C">
      <w:pPr>
        <w:pStyle w:val="FootnoteText"/>
        <w:rPr>
          <w:lang w:val="fr-CA"/>
        </w:rPr>
      </w:pPr>
      <w:r w:rsidRPr="0031513C">
        <w:rPr>
          <w:rStyle w:val="FootnoteReference"/>
        </w:rPr>
        <w:footnoteRef/>
      </w:r>
      <w:r w:rsidRPr="0031513C">
        <w:rPr>
          <w:lang w:val="fr-CA"/>
        </w:rPr>
        <w:t xml:space="preserve"> À cet effet la commission fédérale Dillingham (1910-1923) peut être consulté pour obtenir d’avantage d’information. Voir </w:t>
      </w:r>
      <w:r w:rsidRPr="0031513C">
        <w:rPr>
          <w:i/>
          <w:iCs/>
          <w:lang w:val="fr-CA"/>
        </w:rPr>
        <w:t>Reports of the Immigration Commission</w:t>
      </w:r>
      <w:r w:rsidRPr="0031513C">
        <w:rPr>
          <w:lang w:val="fr-CA"/>
        </w:rPr>
        <w:t xml:space="preserve"> </w:t>
      </w:r>
      <w:hyperlink r:id="rId4" w:history="1">
        <w:r w:rsidRPr="0031513C">
          <w:rPr>
            <w:rStyle w:val="Hyperlink"/>
            <w:lang w:val="fr-CA"/>
          </w:rPr>
          <w:t>https://archive.org/search.php?query=creator%3A%22United+States.+Immigration+Commission+%281907-1910%29%22&amp;and[]=collection%3A%22USGovernmentDocuments%22&amp;sort=creatorSorter&amp;and[]=creator%3A%22united+states.+immigration+commission+%281907-1910%29%22</w:t>
        </w:r>
      </w:hyperlink>
      <w:r w:rsidRPr="0031513C">
        <w:rPr>
          <w:lang w:val="fr-CA"/>
        </w:rPr>
        <w:t>. Consulté le 23 novembre 2019.</w:t>
      </w:r>
      <w:r>
        <w:rPr>
          <w:lang w:val="fr-CA"/>
        </w:rPr>
        <w:t xml:space="preserve"> Note. Par exemple, on surnommait les Franco-Américains de Chinois de l’Est.</w:t>
      </w:r>
    </w:p>
  </w:footnote>
  <w:footnote w:id="143">
    <w:p w14:paraId="4B4C22C5" w14:textId="77777777" w:rsidR="00D40D7C" w:rsidRPr="0031513C" w:rsidRDefault="00D40D7C" w:rsidP="00CD1427">
      <w:pPr>
        <w:pStyle w:val="FootnoteText"/>
        <w:rPr>
          <w:i/>
          <w:lang w:val="fr-CA"/>
        </w:rPr>
      </w:pPr>
      <w:r w:rsidRPr="0031513C">
        <w:rPr>
          <w:rStyle w:val="FootnoteReference"/>
        </w:rPr>
        <w:footnoteRef/>
      </w:r>
      <w:r w:rsidRPr="0031513C">
        <w:rPr>
          <w:lang w:val="fr-CA"/>
        </w:rPr>
        <w:t xml:space="preserve">Robert Lacour-Gayet, </w:t>
      </w:r>
      <w:r w:rsidRPr="0031513C">
        <w:rPr>
          <w:i/>
          <w:lang w:val="fr-CA"/>
        </w:rPr>
        <w:t>Histoire des États-Unis : De la fin de la guerre civile à Pearl Harbor</w:t>
      </w:r>
      <w:r w:rsidRPr="0031513C">
        <w:rPr>
          <w:lang w:val="fr-CA"/>
        </w:rPr>
        <w:t>, Fayard, Paris, 1977, p. 139.</w:t>
      </w:r>
    </w:p>
  </w:footnote>
  <w:footnote w:id="144">
    <w:p w14:paraId="42DEB55C" w14:textId="77777777" w:rsidR="00D40D7C" w:rsidRPr="000545B4" w:rsidRDefault="00D40D7C" w:rsidP="00CD1427">
      <w:pPr>
        <w:pStyle w:val="FootnoteText"/>
      </w:pPr>
      <w:r w:rsidRPr="0031513C">
        <w:rPr>
          <w:rStyle w:val="FootnoteReference"/>
        </w:rPr>
        <w:footnoteRef/>
      </w:r>
      <w:r w:rsidRPr="0031513C">
        <w:rPr>
          <w:lang w:val="fr-CA"/>
        </w:rPr>
        <w:t xml:space="preserve"> Jean-Baptiste Duroselle, «</w:t>
      </w:r>
      <w:r>
        <w:rPr>
          <w:lang w:val="fr-CA"/>
        </w:rPr>
        <w:t> </w:t>
      </w:r>
      <w:r w:rsidRPr="0031513C">
        <w:rPr>
          <w:lang w:val="fr-CA"/>
        </w:rPr>
        <w:t>La guerre européenne et la neutralité américaine</w:t>
      </w:r>
      <w:r>
        <w:rPr>
          <w:lang w:val="fr-CA"/>
        </w:rPr>
        <w:t> </w:t>
      </w:r>
      <w:r w:rsidRPr="0031513C">
        <w:rPr>
          <w:lang w:val="fr-CA"/>
        </w:rPr>
        <w:t xml:space="preserve">», </w:t>
      </w:r>
      <w:r w:rsidRPr="0031513C">
        <w:rPr>
          <w:i/>
          <w:lang w:val="fr-CA"/>
        </w:rPr>
        <w:t>De Wilson à Roosevelt</w:t>
      </w:r>
      <w:r>
        <w:rPr>
          <w:i/>
          <w:lang w:val="fr-CA"/>
        </w:rPr>
        <w:t> </w:t>
      </w:r>
      <w:r w:rsidRPr="0031513C">
        <w:rPr>
          <w:i/>
          <w:lang w:val="fr-CA"/>
        </w:rPr>
        <w:t>: La politique extérieure des États-Unis</w:t>
      </w:r>
      <w:r>
        <w:rPr>
          <w:i/>
          <w:lang w:val="fr-CA"/>
        </w:rPr>
        <w:t> </w:t>
      </w:r>
      <w:r w:rsidRPr="0031513C">
        <w:rPr>
          <w:i/>
          <w:lang w:val="fr-CA"/>
        </w:rPr>
        <w:t>1913-1945</w:t>
      </w:r>
      <w:r w:rsidRPr="0031513C">
        <w:rPr>
          <w:lang w:val="fr-CA"/>
        </w:rPr>
        <w:t xml:space="preserve">. </w:t>
      </w:r>
      <w:r w:rsidRPr="000545B4">
        <w:t>Armand Colin, Paris, 1960, p. 56.</w:t>
      </w:r>
    </w:p>
  </w:footnote>
  <w:footnote w:id="145">
    <w:p w14:paraId="74E0636F" w14:textId="77777777" w:rsidR="00D40D7C" w:rsidRPr="000545B4" w:rsidRDefault="00D40D7C" w:rsidP="00243C47">
      <w:pPr>
        <w:pStyle w:val="FootnoteText"/>
        <w:rPr>
          <w:lang w:val="fr-CA"/>
        </w:rPr>
      </w:pPr>
      <w:r w:rsidRPr="0031513C">
        <w:rPr>
          <w:rStyle w:val="FootnoteReference"/>
        </w:rPr>
        <w:footnoteRef/>
      </w:r>
      <w:r w:rsidRPr="0031513C">
        <w:t xml:space="preserve"> Duroselle, </w:t>
      </w:r>
      <w:r w:rsidRPr="0031513C">
        <w:rPr>
          <w:i/>
        </w:rPr>
        <w:t>op. cit.</w:t>
      </w:r>
      <w:r w:rsidRPr="0031513C">
        <w:t xml:space="preserve">, p. 54; Walter Lafeber, </w:t>
      </w:r>
      <w:r w:rsidRPr="0031513C">
        <w:rPr>
          <w:i/>
        </w:rPr>
        <w:t>The American Age: United State Foreign Policy at Home and Abroad Since 1750</w:t>
      </w:r>
      <w:r w:rsidRPr="0031513C">
        <w:t xml:space="preserve">. </w:t>
      </w:r>
      <w:r w:rsidRPr="000545B4">
        <w:rPr>
          <w:lang w:val="fr-CA"/>
        </w:rPr>
        <w:t>W.W. Norton &amp; Company, New York, 1989, p. 269.</w:t>
      </w:r>
    </w:p>
  </w:footnote>
  <w:footnote w:id="146">
    <w:p w14:paraId="5F53916F" w14:textId="77777777" w:rsidR="00D40D7C" w:rsidRPr="0031513C" w:rsidRDefault="00D40D7C" w:rsidP="00CE2959">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Allemands tuent habitants de Sorion</w:t>
      </w:r>
      <w:r>
        <w:rPr>
          <w:lang w:val="fr-CA"/>
        </w:rPr>
        <w:t> </w:t>
      </w:r>
      <w:r w:rsidRPr="0031513C">
        <w:rPr>
          <w:lang w:val="fr-CA"/>
        </w:rPr>
        <w:t>»,</w:t>
      </w:r>
      <w:r w:rsidRPr="0031513C">
        <w:rPr>
          <w:i/>
          <w:iCs/>
          <w:lang w:val="fr-CA"/>
        </w:rPr>
        <w:t xml:space="preserve"> L’Avenir National</w:t>
      </w:r>
      <w:r w:rsidRPr="0031513C">
        <w:rPr>
          <w:lang w:val="fr-CA"/>
        </w:rPr>
        <w:t>, 10 août 1914, p.</w:t>
      </w:r>
      <w:r>
        <w:rPr>
          <w:lang w:val="fr-CA"/>
        </w:rPr>
        <w:t> </w:t>
      </w:r>
      <w:r w:rsidRPr="0031513C">
        <w:rPr>
          <w:lang w:val="fr-CA"/>
        </w:rPr>
        <w:t>1.</w:t>
      </w:r>
    </w:p>
  </w:footnote>
  <w:footnote w:id="147">
    <w:p w14:paraId="23FF2FC2" w14:textId="77777777" w:rsidR="00D40D7C" w:rsidRPr="0031513C" w:rsidRDefault="00D40D7C" w:rsidP="00CE2959">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Belge de Manchester prisonnier de guerre</w:t>
      </w:r>
      <w:r>
        <w:rPr>
          <w:lang w:val="fr-CA"/>
        </w:rPr>
        <w:t> </w:t>
      </w:r>
      <w:r w:rsidRPr="0031513C">
        <w:rPr>
          <w:lang w:val="fr-CA"/>
        </w:rPr>
        <w:t>»,</w:t>
      </w:r>
      <w:r w:rsidRPr="0031513C">
        <w:rPr>
          <w:i/>
          <w:iCs/>
          <w:lang w:val="fr-CA"/>
        </w:rPr>
        <w:t xml:space="preserve"> L’Avenir National</w:t>
      </w:r>
      <w:r w:rsidRPr="0031513C">
        <w:rPr>
          <w:lang w:val="fr-CA"/>
        </w:rPr>
        <w:t>, 8 septembre 1914, p.</w:t>
      </w:r>
      <w:r>
        <w:rPr>
          <w:lang w:val="fr-CA"/>
        </w:rPr>
        <w:t> </w:t>
      </w:r>
      <w:r w:rsidRPr="0031513C">
        <w:rPr>
          <w:lang w:val="fr-CA"/>
        </w:rPr>
        <w:t>4.</w:t>
      </w:r>
    </w:p>
  </w:footnote>
  <w:footnote w:id="148">
    <w:p w14:paraId="0FD7F68D" w14:textId="77777777" w:rsidR="00D40D7C" w:rsidRPr="0031513C" w:rsidRDefault="00D40D7C" w:rsidP="007F649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Allemands de Manchester-Ouest</w:t>
      </w:r>
      <w:r>
        <w:rPr>
          <w:lang w:val="fr-CA"/>
        </w:rPr>
        <w:t> </w:t>
      </w:r>
      <w:r w:rsidRPr="0031513C">
        <w:rPr>
          <w:lang w:val="fr-CA"/>
        </w:rPr>
        <w:t>»,</w:t>
      </w:r>
      <w:r w:rsidRPr="0031513C">
        <w:rPr>
          <w:i/>
          <w:iCs/>
          <w:lang w:val="fr-CA"/>
        </w:rPr>
        <w:t xml:space="preserve"> L’Avenir National</w:t>
      </w:r>
      <w:r w:rsidRPr="0031513C">
        <w:rPr>
          <w:lang w:val="fr-CA"/>
        </w:rPr>
        <w:t>, 17 août 1914, p.</w:t>
      </w:r>
      <w:r>
        <w:rPr>
          <w:lang w:val="fr-CA"/>
        </w:rPr>
        <w:t> </w:t>
      </w:r>
      <w:r w:rsidRPr="0031513C">
        <w:rPr>
          <w:lang w:val="fr-CA"/>
        </w:rPr>
        <w:t>8.</w:t>
      </w:r>
    </w:p>
  </w:footnote>
  <w:footnote w:id="149">
    <w:p w14:paraId="6B1A473A" w14:textId="77777777" w:rsidR="00D40D7C" w:rsidRPr="0031513C" w:rsidRDefault="00D40D7C" w:rsidP="007621E9">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8.</w:t>
      </w:r>
    </w:p>
  </w:footnote>
  <w:footnote w:id="150">
    <w:p w14:paraId="6A2B6B43" w14:textId="77777777" w:rsidR="00D40D7C" w:rsidRPr="0031513C" w:rsidRDefault="00D40D7C" w:rsidP="007D242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crimes des Allemands à Dinat, qui était chargé d’une cargaison de mulets destinés aux Alliés américains</w:t>
      </w:r>
      <w:r>
        <w:rPr>
          <w:lang w:val="fr-CA"/>
        </w:rPr>
        <w:t> </w:t>
      </w:r>
      <w:r w:rsidRPr="0031513C">
        <w:rPr>
          <w:lang w:val="fr-CA"/>
        </w:rPr>
        <w:t>»,</w:t>
      </w:r>
      <w:r w:rsidRPr="0031513C">
        <w:rPr>
          <w:i/>
          <w:iCs/>
          <w:lang w:val="fr-CA"/>
        </w:rPr>
        <w:t xml:space="preserve"> L’Avenir National</w:t>
      </w:r>
      <w:r w:rsidRPr="0031513C">
        <w:rPr>
          <w:lang w:val="fr-CA"/>
        </w:rPr>
        <w:t>, 8 novembre 1915, p.</w:t>
      </w:r>
      <w:r>
        <w:rPr>
          <w:lang w:val="fr-CA"/>
        </w:rPr>
        <w:t> </w:t>
      </w:r>
      <w:r w:rsidRPr="0031513C">
        <w:rPr>
          <w:lang w:val="fr-CA"/>
        </w:rPr>
        <w:t>2. Note. Il est important de savoir que ce type de nouvelle est le produit de la propagande européenne pour inciter la population américaine à demander que les États-Unis déclarent la guerre à l’Allemagne.</w:t>
      </w:r>
    </w:p>
  </w:footnote>
  <w:footnote w:id="151">
    <w:p w14:paraId="1EBED876" w14:textId="77777777" w:rsidR="00D40D7C" w:rsidRPr="0031513C" w:rsidRDefault="00D40D7C" w:rsidP="0054312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Belles paroles de Mgr Bruchesi</w:t>
      </w:r>
      <w:r>
        <w:rPr>
          <w:lang w:val="fr-CA"/>
        </w:rPr>
        <w:t> </w:t>
      </w:r>
      <w:r w:rsidRPr="0031513C">
        <w:rPr>
          <w:lang w:val="fr-CA"/>
        </w:rPr>
        <w:t>»,</w:t>
      </w:r>
      <w:r w:rsidRPr="0031513C">
        <w:rPr>
          <w:i/>
          <w:iCs/>
          <w:lang w:val="fr-CA"/>
        </w:rPr>
        <w:t xml:space="preserve"> L’Avenir National</w:t>
      </w:r>
      <w:r w:rsidRPr="0031513C">
        <w:rPr>
          <w:lang w:val="fr-CA"/>
        </w:rPr>
        <w:t>, 18 août 1914, p.</w:t>
      </w:r>
      <w:r>
        <w:rPr>
          <w:lang w:val="fr-CA"/>
        </w:rPr>
        <w:t> </w:t>
      </w:r>
      <w:r w:rsidRPr="0031513C">
        <w:rPr>
          <w:lang w:val="fr-CA"/>
        </w:rPr>
        <w:t>4.</w:t>
      </w:r>
    </w:p>
  </w:footnote>
  <w:footnote w:id="152">
    <w:p w14:paraId="1A82E8A8" w14:textId="77777777" w:rsidR="00D40D7C" w:rsidRPr="0031513C" w:rsidRDefault="00D40D7C" w:rsidP="00543121">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4.</w:t>
      </w:r>
    </w:p>
  </w:footnote>
  <w:footnote w:id="153">
    <w:p w14:paraId="2B243AF1" w14:textId="77777777" w:rsidR="00D40D7C" w:rsidRPr="0031513C" w:rsidRDefault="00D40D7C" w:rsidP="00F24D6F">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Sachons comprendre</w:t>
      </w:r>
      <w:r>
        <w:rPr>
          <w:lang w:val="fr-CA"/>
        </w:rPr>
        <w:t> </w:t>
      </w:r>
      <w:r w:rsidRPr="0031513C">
        <w:rPr>
          <w:lang w:val="fr-CA"/>
        </w:rPr>
        <w:t>»,</w:t>
      </w:r>
      <w:r w:rsidRPr="0031513C">
        <w:rPr>
          <w:i/>
          <w:iCs/>
          <w:lang w:val="fr-CA"/>
        </w:rPr>
        <w:t xml:space="preserve"> L’Avenir National</w:t>
      </w:r>
      <w:r w:rsidRPr="0031513C">
        <w:rPr>
          <w:lang w:val="fr-CA"/>
        </w:rPr>
        <w:t>, 8 avril 1915, p.</w:t>
      </w:r>
      <w:r>
        <w:rPr>
          <w:lang w:val="fr-CA"/>
        </w:rPr>
        <w:t> </w:t>
      </w:r>
      <w:r w:rsidRPr="0031513C">
        <w:rPr>
          <w:lang w:val="fr-CA"/>
        </w:rPr>
        <w:t>6.</w:t>
      </w:r>
    </w:p>
  </w:footnote>
  <w:footnote w:id="154">
    <w:p w14:paraId="27F5F516" w14:textId="77777777" w:rsidR="00D40D7C" w:rsidRPr="000545B4" w:rsidRDefault="00D40D7C" w:rsidP="0043024D">
      <w:pPr>
        <w:pStyle w:val="FootnoteText"/>
        <w:rPr>
          <w:lang w:val="fr-CA"/>
        </w:rPr>
      </w:pPr>
      <w:r w:rsidRPr="0031513C">
        <w:rPr>
          <w:rStyle w:val="FootnoteReference"/>
        </w:rPr>
        <w:footnoteRef/>
      </w:r>
      <w:r w:rsidRPr="000545B4">
        <w:rPr>
          <w:lang w:val="fr-CA"/>
        </w:rPr>
        <w:t xml:space="preserve"> </w:t>
      </w:r>
      <w:bookmarkStart w:id="7" w:name="_Hlk18832980"/>
      <w:r w:rsidRPr="000545B4">
        <w:rPr>
          <w:lang w:val="fr-CA"/>
        </w:rPr>
        <w:t>Lafebe</w:t>
      </w:r>
      <w:bookmarkEnd w:id="7"/>
      <w:r w:rsidRPr="000545B4">
        <w:rPr>
          <w:lang w:val="fr-CA"/>
        </w:rPr>
        <w:t xml:space="preserve">r, </w:t>
      </w:r>
      <w:r w:rsidRPr="000545B4">
        <w:rPr>
          <w:i/>
          <w:iCs/>
          <w:lang w:val="fr-CA"/>
        </w:rPr>
        <w:t>op. cit.</w:t>
      </w:r>
      <w:r w:rsidRPr="000545B4">
        <w:rPr>
          <w:lang w:val="fr-CA"/>
        </w:rPr>
        <w:t xml:space="preserve">, p. 269. </w:t>
      </w:r>
    </w:p>
  </w:footnote>
  <w:footnote w:id="155">
    <w:p w14:paraId="21C8160D" w14:textId="77777777" w:rsidR="00D40D7C" w:rsidRPr="0031513C" w:rsidRDefault="00D40D7C" w:rsidP="00292611">
      <w:pPr>
        <w:spacing w:line="276" w:lineRule="auto"/>
        <w:rPr>
          <w:sz w:val="20"/>
          <w:szCs w:val="20"/>
          <w:lang w:val="fr-CA"/>
        </w:rPr>
      </w:pPr>
      <w:r w:rsidRPr="0031513C">
        <w:rPr>
          <w:rStyle w:val="FootnoteReference"/>
          <w:sz w:val="20"/>
          <w:szCs w:val="20"/>
        </w:rPr>
        <w:footnoteRef/>
      </w:r>
      <w:r w:rsidRPr="0031513C">
        <w:rPr>
          <w:sz w:val="20"/>
          <w:szCs w:val="20"/>
          <w:lang w:val="fr-CA"/>
        </w:rPr>
        <w:t xml:space="preserve"> </w:t>
      </w:r>
      <w:r w:rsidRPr="0031513C">
        <w:rPr>
          <w:i/>
          <w:iCs/>
          <w:sz w:val="20"/>
          <w:szCs w:val="20"/>
          <w:lang w:val="fr-CA"/>
        </w:rPr>
        <w:t>Ibid</w:t>
      </w:r>
      <w:r w:rsidRPr="0031513C">
        <w:rPr>
          <w:sz w:val="20"/>
          <w:szCs w:val="20"/>
          <w:lang w:val="fr-CA"/>
        </w:rPr>
        <w:t xml:space="preserve">., p. 270 et Lacour-Gayet, </w:t>
      </w:r>
      <w:r w:rsidRPr="0031513C">
        <w:rPr>
          <w:i/>
          <w:sz w:val="20"/>
          <w:szCs w:val="20"/>
          <w:lang w:val="fr-CA"/>
        </w:rPr>
        <w:t>op. cit.,</w:t>
      </w:r>
      <w:r w:rsidRPr="0031513C">
        <w:rPr>
          <w:sz w:val="20"/>
          <w:szCs w:val="20"/>
          <w:lang w:val="fr-CA"/>
        </w:rPr>
        <w:t xml:space="preserve"> p. 140 et 141.</w:t>
      </w:r>
    </w:p>
  </w:footnote>
  <w:footnote w:id="156">
    <w:p w14:paraId="1402A806" w14:textId="77777777" w:rsidR="00D40D7C" w:rsidRPr="0031513C" w:rsidRDefault="00D40D7C" w:rsidP="0043024D">
      <w:pPr>
        <w:pStyle w:val="FootnoteText"/>
        <w:rPr>
          <w:lang w:val="fr-CA"/>
        </w:rPr>
      </w:pPr>
      <w:r w:rsidRPr="0031513C">
        <w:rPr>
          <w:rStyle w:val="FootnoteReference"/>
        </w:rPr>
        <w:footnoteRef/>
      </w:r>
      <w:r w:rsidRPr="0031513C">
        <w:rPr>
          <w:lang w:val="fr-CA"/>
        </w:rPr>
        <w:t xml:space="preserve"> Duroselle</w:t>
      </w:r>
      <w:r>
        <w:rPr>
          <w:lang w:val="fr-CA"/>
        </w:rPr>
        <w:t>,</w:t>
      </w:r>
      <w:r w:rsidRPr="0031513C">
        <w:rPr>
          <w:lang w:val="fr-CA"/>
        </w:rPr>
        <w:t xml:space="preserve"> </w:t>
      </w:r>
      <w:r w:rsidRPr="0031513C">
        <w:rPr>
          <w:i/>
          <w:lang w:val="fr-CA"/>
        </w:rPr>
        <w:t>op. cit.</w:t>
      </w:r>
      <w:r w:rsidRPr="0031513C">
        <w:rPr>
          <w:lang w:val="fr-CA"/>
        </w:rPr>
        <w:t xml:space="preserve">, p. 56. Note. </w:t>
      </w:r>
      <w:r w:rsidRPr="0031513C">
        <w:rPr>
          <w:rFonts w:eastAsia="Calibri"/>
          <w:lang w:val="fr-CA" w:eastAsia="en-US"/>
        </w:rPr>
        <w:t>Le blocus servait à empêcher le transport de munitions ou d’items de «</w:t>
      </w:r>
      <w:r>
        <w:rPr>
          <w:rFonts w:eastAsia="Calibri"/>
          <w:lang w:val="fr-CA" w:eastAsia="en-US"/>
        </w:rPr>
        <w:t> </w:t>
      </w:r>
      <w:r w:rsidRPr="0031513C">
        <w:rPr>
          <w:rFonts w:eastAsia="Calibri"/>
          <w:lang w:val="fr-CA" w:eastAsia="en-US"/>
        </w:rPr>
        <w:t>contrebande</w:t>
      </w:r>
      <w:r>
        <w:rPr>
          <w:rFonts w:eastAsia="Calibri"/>
          <w:lang w:val="fr-CA" w:eastAsia="en-US"/>
        </w:rPr>
        <w:t> </w:t>
      </w:r>
      <w:r w:rsidRPr="0031513C">
        <w:rPr>
          <w:rFonts w:eastAsia="Calibri"/>
          <w:lang w:val="fr-CA" w:eastAsia="en-US"/>
        </w:rPr>
        <w:t>», comme la nourriture, le cuivre, le pétrole, le caoutchouc et le coton (ajouté sur la liste le 20 août 1915), qui pouvaient servir à appuyer l’effort de guerre des pays de l’Axe.</w:t>
      </w:r>
    </w:p>
  </w:footnote>
  <w:footnote w:id="157">
    <w:p w14:paraId="44F4A39B" w14:textId="77777777" w:rsidR="00D40D7C" w:rsidRPr="0031513C" w:rsidRDefault="00D40D7C" w:rsidP="0043024D">
      <w:pPr>
        <w:pStyle w:val="FootnoteText"/>
        <w:rPr>
          <w:lang w:val="fr-FR"/>
        </w:rPr>
      </w:pPr>
      <w:r w:rsidRPr="0031513C">
        <w:rPr>
          <w:rStyle w:val="FootnoteReference"/>
        </w:rPr>
        <w:footnoteRef/>
      </w:r>
      <w:r w:rsidRPr="0031513C">
        <w:rPr>
          <w:lang w:val="fr-FR"/>
        </w:rPr>
        <w:t xml:space="preserve"> </w:t>
      </w:r>
      <w:r w:rsidRPr="0031513C">
        <w:rPr>
          <w:i/>
          <w:lang w:val="fr-FR"/>
        </w:rPr>
        <w:t>Ibid.,</w:t>
      </w:r>
      <w:r w:rsidRPr="0031513C">
        <w:rPr>
          <w:lang w:val="fr-FR"/>
        </w:rPr>
        <w:t xml:space="preserve"> p.</w:t>
      </w:r>
      <w:r>
        <w:rPr>
          <w:lang w:val="fr-FR"/>
        </w:rPr>
        <w:t> </w:t>
      </w:r>
      <w:r w:rsidRPr="0031513C">
        <w:rPr>
          <w:lang w:val="fr-FR"/>
        </w:rPr>
        <w:t>59.</w:t>
      </w:r>
    </w:p>
  </w:footnote>
  <w:footnote w:id="158">
    <w:p w14:paraId="78353856" w14:textId="77777777" w:rsidR="00D40D7C" w:rsidRPr="0031513C" w:rsidRDefault="00D40D7C" w:rsidP="0070151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Opinions américaines</w:t>
      </w:r>
      <w:r>
        <w:rPr>
          <w:lang w:val="fr-CA"/>
        </w:rPr>
        <w:t> </w:t>
      </w:r>
      <w:r w:rsidRPr="0031513C">
        <w:rPr>
          <w:lang w:val="fr-CA"/>
        </w:rPr>
        <w:t>»,</w:t>
      </w:r>
      <w:r w:rsidRPr="0031513C">
        <w:rPr>
          <w:i/>
          <w:iCs/>
          <w:lang w:val="fr-CA"/>
        </w:rPr>
        <w:t xml:space="preserve"> L’Avenir National</w:t>
      </w:r>
      <w:r w:rsidRPr="0031513C">
        <w:rPr>
          <w:lang w:val="fr-CA"/>
        </w:rPr>
        <w:t>, 18 mars 1915, p.</w:t>
      </w:r>
      <w:r>
        <w:rPr>
          <w:lang w:val="fr-CA"/>
        </w:rPr>
        <w:t> </w:t>
      </w:r>
      <w:r w:rsidRPr="0031513C">
        <w:rPr>
          <w:lang w:val="fr-CA"/>
        </w:rPr>
        <w:t>4.</w:t>
      </w:r>
    </w:p>
  </w:footnote>
  <w:footnote w:id="159">
    <w:p w14:paraId="2CBF42F0" w14:textId="77777777" w:rsidR="00D40D7C" w:rsidRPr="0031513C" w:rsidRDefault="00D40D7C" w:rsidP="00433A27">
      <w:pPr>
        <w:pStyle w:val="FootnoteText"/>
        <w:rPr>
          <w:lang w:val="fr-CA"/>
        </w:rPr>
      </w:pPr>
      <w:r w:rsidRPr="0031513C">
        <w:rPr>
          <w:rStyle w:val="FootnoteReference"/>
        </w:rPr>
        <w:footnoteRef/>
      </w:r>
      <w:r w:rsidRPr="0031513C">
        <w:rPr>
          <w:lang w:val="fr-CA"/>
        </w:rPr>
        <w:t xml:space="preserve"> Lafeber, </w:t>
      </w:r>
      <w:r w:rsidRPr="0031513C">
        <w:rPr>
          <w:i/>
          <w:lang w:val="fr-CA"/>
        </w:rPr>
        <w:t>op. cit.,</w:t>
      </w:r>
      <w:r w:rsidRPr="0031513C">
        <w:rPr>
          <w:lang w:val="fr-CA"/>
        </w:rPr>
        <w:t xml:space="preserve"> p.</w:t>
      </w:r>
      <w:r>
        <w:rPr>
          <w:lang w:val="fr-CA"/>
        </w:rPr>
        <w:t> </w:t>
      </w:r>
      <w:r w:rsidRPr="0031513C">
        <w:rPr>
          <w:lang w:val="fr-CA"/>
        </w:rPr>
        <w:t xml:space="preserve">270 -272, Lacour-Gayet, </w:t>
      </w:r>
      <w:r w:rsidRPr="0031513C">
        <w:rPr>
          <w:i/>
          <w:lang w:val="fr-CA"/>
        </w:rPr>
        <w:t>op. cit.,</w:t>
      </w:r>
      <w:r w:rsidRPr="0031513C">
        <w:rPr>
          <w:lang w:val="fr-CA"/>
        </w:rPr>
        <w:t xml:space="preserve"> p. 142 et 145 et Duroselle, </w:t>
      </w:r>
      <w:r w:rsidRPr="0031513C">
        <w:rPr>
          <w:i/>
          <w:lang w:val="fr-CA"/>
        </w:rPr>
        <w:t>op.cit.,</w:t>
      </w:r>
      <w:r w:rsidRPr="0031513C">
        <w:rPr>
          <w:lang w:val="fr-CA"/>
        </w:rPr>
        <w:t xml:space="preserve"> p.</w:t>
      </w:r>
      <w:r>
        <w:rPr>
          <w:lang w:val="fr-CA"/>
        </w:rPr>
        <w:t> </w:t>
      </w:r>
      <w:r w:rsidRPr="0031513C">
        <w:rPr>
          <w:lang w:val="fr-CA"/>
        </w:rPr>
        <w:t>60.</w:t>
      </w:r>
    </w:p>
  </w:footnote>
  <w:footnote w:id="160">
    <w:p w14:paraId="4077C93B" w14:textId="77777777" w:rsidR="00D40D7C" w:rsidRPr="0031513C" w:rsidRDefault="00D40D7C" w:rsidP="00C22ECB">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États-Unis et la guerre</w:t>
      </w:r>
      <w:r>
        <w:rPr>
          <w:lang w:val="fr-CA"/>
        </w:rPr>
        <w:t> </w:t>
      </w:r>
      <w:r w:rsidRPr="0031513C">
        <w:rPr>
          <w:lang w:val="fr-CA"/>
        </w:rPr>
        <w:t>»,</w:t>
      </w:r>
      <w:r w:rsidRPr="0031513C">
        <w:rPr>
          <w:i/>
          <w:iCs/>
          <w:lang w:val="fr-CA"/>
        </w:rPr>
        <w:t xml:space="preserve"> L’Avenir National</w:t>
      </w:r>
      <w:r w:rsidRPr="0031513C">
        <w:rPr>
          <w:lang w:val="fr-CA"/>
        </w:rPr>
        <w:t>, 7 mai 1915, p.</w:t>
      </w:r>
      <w:r>
        <w:rPr>
          <w:lang w:val="fr-CA"/>
        </w:rPr>
        <w:t> </w:t>
      </w:r>
      <w:r w:rsidRPr="0031513C">
        <w:rPr>
          <w:lang w:val="fr-CA"/>
        </w:rPr>
        <w:t>9.</w:t>
      </w:r>
    </w:p>
  </w:footnote>
  <w:footnote w:id="161">
    <w:p w14:paraId="4E6FA051" w14:textId="77777777" w:rsidR="00D40D7C" w:rsidRPr="0031513C" w:rsidRDefault="00D40D7C" w:rsidP="0070151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paix ou la guerre</w:t>
      </w:r>
      <w:r>
        <w:rPr>
          <w:lang w:val="fr-CA"/>
        </w:rPr>
        <w:t> </w:t>
      </w:r>
      <w:r w:rsidRPr="0031513C">
        <w:rPr>
          <w:lang w:val="fr-CA"/>
        </w:rPr>
        <w:t>?</w:t>
      </w:r>
      <w:r>
        <w:rPr>
          <w:lang w:val="fr-CA"/>
        </w:rPr>
        <w:t> </w:t>
      </w:r>
      <w:r w:rsidRPr="0031513C">
        <w:rPr>
          <w:lang w:val="fr-CA"/>
        </w:rPr>
        <w:t>»,</w:t>
      </w:r>
      <w:r w:rsidRPr="0031513C">
        <w:rPr>
          <w:i/>
          <w:iCs/>
          <w:lang w:val="fr-CA"/>
        </w:rPr>
        <w:t xml:space="preserve"> L’Avenir National</w:t>
      </w:r>
      <w:r w:rsidRPr="0031513C">
        <w:rPr>
          <w:lang w:val="fr-CA"/>
        </w:rPr>
        <w:t>, 13 mai 1915, p.</w:t>
      </w:r>
      <w:r>
        <w:rPr>
          <w:lang w:val="fr-CA"/>
        </w:rPr>
        <w:t> </w:t>
      </w:r>
      <w:r w:rsidRPr="0031513C">
        <w:rPr>
          <w:lang w:val="fr-CA"/>
        </w:rPr>
        <w:t>4.</w:t>
      </w:r>
    </w:p>
  </w:footnote>
  <w:footnote w:id="162">
    <w:p w14:paraId="2B6632FF" w14:textId="77777777" w:rsidR="00D40D7C" w:rsidRPr="0031513C" w:rsidRDefault="00D40D7C" w:rsidP="00701511">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w:t>
      </w:r>
      <w:r w:rsidRPr="0031513C">
        <w:rPr>
          <w:i/>
          <w:iCs/>
          <w:lang w:val="fr-CA"/>
        </w:rPr>
        <w:t xml:space="preserve"> </w:t>
      </w:r>
      <w:r w:rsidRPr="0031513C">
        <w:rPr>
          <w:lang w:val="fr-CA"/>
        </w:rPr>
        <w:t>p.</w:t>
      </w:r>
      <w:r>
        <w:rPr>
          <w:lang w:val="fr-CA"/>
        </w:rPr>
        <w:t> </w:t>
      </w:r>
      <w:r w:rsidRPr="0031513C">
        <w:rPr>
          <w:lang w:val="fr-CA"/>
        </w:rPr>
        <w:t>4.</w:t>
      </w:r>
    </w:p>
  </w:footnote>
  <w:footnote w:id="163">
    <w:p w14:paraId="0ABF25E0" w14:textId="77777777" w:rsidR="00D40D7C" w:rsidRPr="0031513C" w:rsidRDefault="00D40D7C" w:rsidP="00433A27">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Préparatifs américains</w:t>
      </w:r>
      <w:r>
        <w:rPr>
          <w:lang w:val="fr-CA"/>
        </w:rPr>
        <w:t> </w:t>
      </w:r>
      <w:r w:rsidRPr="0031513C">
        <w:rPr>
          <w:lang w:val="fr-CA"/>
        </w:rPr>
        <w:t>»,</w:t>
      </w:r>
      <w:r w:rsidRPr="0031513C">
        <w:rPr>
          <w:i/>
          <w:iCs/>
          <w:lang w:val="fr-CA"/>
        </w:rPr>
        <w:t xml:space="preserve"> L’Avenir National</w:t>
      </w:r>
      <w:r w:rsidRPr="0031513C">
        <w:rPr>
          <w:lang w:val="fr-CA"/>
        </w:rPr>
        <w:t>, 21 mai 1915, p.</w:t>
      </w:r>
      <w:r>
        <w:rPr>
          <w:lang w:val="fr-CA"/>
        </w:rPr>
        <w:t> </w:t>
      </w:r>
      <w:r w:rsidRPr="0031513C">
        <w:rPr>
          <w:lang w:val="fr-CA"/>
        </w:rPr>
        <w:t>6.</w:t>
      </w:r>
    </w:p>
  </w:footnote>
  <w:footnote w:id="164">
    <w:p w14:paraId="621CAF8E" w14:textId="77777777" w:rsidR="00D40D7C" w:rsidRPr="00A147CC" w:rsidRDefault="00D40D7C" w:rsidP="00433A27">
      <w:pPr>
        <w:pStyle w:val="FootnoteText"/>
        <w:rPr>
          <w:lang w:val="fr-CA"/>
        </w:rPr>
      </w:pPr>
      <w:r w:rsidRPr="0031513C">
        <w:rPr>
          <w:rStyle w:val="FootnoteReference"/>
        </w:rPr>
        <w:footnoteRef/>
      </w:r>
      <w:r w:rsidRPr="00A147CC">
        <w:rPr>
          <w:lang w:val="fr-CA"/>
        </w:rPr>
        <w:t xml:space="preserve"> </w:t>
      </w:r>
      <w:r w:rsidRPr="00A147CC">
        <w:rPr>
          <w:i/>
          <w:iCs/>
          <w:lang w:val="fr-CA"/>
        </w:rPr>
        <w:t>Ibid</w:t>
      </w:r>
      <w:r w:rsidRPr="00A147CC">
        <w:rPr>
          <w:lang w:val="fr-CA"/>
        </w:rPr>
        <w:t>., p. 6.</w:t>
      </w:r>
    </w:p>
  </w:footnote>
  <w:footnote w:id="165">
    <w:p w14:paraId="0187C8BC" w14:textId="77777777" w:rsidR="00D40D7C" w:rsidRPr="000757A5" w:rsidRDefault="00D40D7C" w:rsidP="00902946">
      <w:pPr>
        <w:pStyle w:val="FootnoteText"/>
        <w:rPr>
          <w:lang w:val="fr-CA"/>
        </w:rPr>
      </w:pPr>
      <w:r>
        <w:rPr>
          <w:rStyle w:val="FootnoteReference"/>
        </w:rPr>
        <w:footnoteRef/>
      </w:r>
      <w:r>
        <w:rPr>
          <w:lang w:val="fr-CA"/>
        </w:rPr>
        <w:t xml:space="preserve"> </w:t>
      </w:r>
      <w:r w:rsidRPr="0031513C">
        <w:rPr>
          <w:lang w:val="fr-CA"/>
        </w:rPr>
        <w:t xml:space="preserve">François Cochet et Remy Porte (Dir), </w:t>
      </w:r>
      <w:r>
        <w:rPr>
          <w:lang w:val="fr-CA"/>
        </w:rPr>
        <w:t>« guerre sous-marine »,</w:t>
      </w:r>
      <w:r w:rsidRPr="0031513C">
        <w:rPr>
          <w:i/>
          <w:iCs/>
          <w:lang w:val="fr-CA"/>
        </w:rPr>
        <w:t xml:space="preserve"> Dictionnaire de la Grande Guerre 1914-1918,</w:t>
      </w:r>
      <w:r w:rsidRPr="0031513C">
        <w:rPr>
          <w:lang w:val="fr-CA"/>
        </w:rPr>
        <w:t xml:space="preserve"> Coll Bouquins, Paris, Robert Lafont, 2008, </w:t>
      </w:r>
      <w:r>
        <w:rPr>
          <w:lang w:val="fr-CA"/>
        </w:rPr>
        <w:t>p. 508-511.</w:t>
      </w:r>
    </w:p>
  </w:footnote>
  <w:footnote w:id="166">
    <w:p w14:paraId="512C8839" w14:textId="77777777" w:rsidR="00D40D7C" w:rsidRPr="00F5530C" w:rsidRDefault="00D40D7C" w:rsidP="0088550F">
      <w:pPr>
        <w:pStyle w:val="FootnoteText"/>
        <w:rPr>
          <w:lang w:val="fr-CA"/>
        </w:rPr>
      </w:pPr>
      <w:r w:rsidRPr="0031513C">
        <w:rPr>
          <w:rStyle w:val="FootnoteReference"/>
        </w:rPr>
        <w:footnoteRef/>
      </w:r>
      <w:r w:rsidRPr="00F5530C">
        <w:rPr>
          <w:lang w:val="fr-CA"/>
        </w:rPr>
        <w:t xml:space="preserve"> Lacour-Gayet, </w:t>
      </w:r>
      <w:r w:rsidRPr="00F5530C">
        <w:rPr>
          <w:i/>
          <w:lang w:val="fr-CA"/>
        </w:rPr>
        <w:t>op cit.,</w:t>
      </w:r>
      <w:r w:rsidRPr="00F5530C">
        <w:rPr>
          <w:lang w:val="fr-CA"/>
        </w:rPr>
        <w:t xml:space="preserve"> p.</w:t>
      </w:r>
      <w:r>
        <w:rPr>
          <w:lang w:val="fr-CA"/>
        </w:rPr>
        <w:t> </w:t>
      </w:r>
      <w:r w:rsidRPr="00F5530C">
        <w:rPr>
          <w:lang w:val="fr-CA"/>
        </w:rPr>
        <w:t>149.</w:t>
      </w:r>
    </w:p>
  </w:footnote>
  <w:footnote w:id="167">
    <w:p w14:paraId="3472C7D4" w14:textId="77777777" w:rsidR="00D40D7C" w:rsidRPr="001E0C91" w:rsidRDefault="00D40D7C">
      <w:pPr>
        <w:pStyle w:val="FootnoteText"/>
        <w:rPr>
          <w:lang w:val="fr-CA"/>
        </w:rPr>
      </w:pPr>
      <w:r>
        <w:rPr>
          <w:rStyle w:val="FootnoteReference"/>
        </w:rPr>
        <w:footnoteRef/>
      </w:r>
      <w:r w:rsidRPr="001E0C91">
        <w:rPr>
          <w:lang w:val="fr-CA"/>
        </w:rPr>
        <w:t xml:space="preserve"> </w:t>
      </w:r>
      <w:r>
        <w:rPr>
          <w:lang w:val="fr-CA"/>
        </w:rPr>
        <w:t xml:space="preserve">Cochet et Porte, </w:t>
      </w:r>
      <w:r>
        <w:rPr>
          <w:i/>
          <w:iCs/>
          <w:lang w:val="fr-CA"/>
        </w:rPr>
        <w:t>op. cit</w:t>
      </w:r>
      <w:r>
        <w:rPr>
          <w:lang w:val="fr-CA"/>
        </w:rPr>
        <w:t>., « guerre sous-marine », p. 508-511.</w:t>
      </w:r>
    </w:p>
  </w:footnote>
  <w:footnote w:id="168">
    <w:p w14:paraId="3268DC25" w14:textId="77777777" w:rsidR="00D40D7C" w:rsidRPr="0031513C" w:rsidRDefault="00D40D7C" w:rsidP="007F649C">
      <w:pPr>
        <w:pStyle w:val="FootnoteText"/>
        <w:rPr>
          <w:lang w:val="fr-FR"/>
        </w:rPr>
      </w:pPr>
      <w:r w:rsidRPr="0031513C">
        <w:rPr>
          <w:rStyle w:val="FootnoteReference"/>
        </w:rPr>
        <w:footnoteRef/>
      </w:r>
      <w:r w:rsidRPr="0031513C">
        <w:t xml:space="preserve"> Stewart Halsey Ross, </w:t>
      </w:r>
      <w:r w:rsidRPr="0031513C">
        <w:rPr>
          <w:i/>
        </w:rPr>
        <w:t>Propaganda for War: How the United States Was Conditioned to Fight the Great War of 1914</w:t>
      </w:r>
      <w:r>
        <w:rPr>
          <w:i/>
        </w:rPr>
        <w:t>–</w:t>
      </w:r>
      <w:r w:rsidRPr="0031513C">
        <w:rPr>
          <w:i/>
        </w:rPr>
        <w:t>1918</w:t>
      </w:r>
      <w:r w:rsidRPr="0031513C">
        <w:t xml:space="preserve">. </w:t>
      </w:r>
      <w:r w:rsidRPr="0031513C">
        <w:rPr>
          <w:lang w:val="fr-FR"/>
        </w:rPr>
        <w:t>McFarland, 1996, p. 198</w:t>
      </w:r>
      <w:r>
        <w:rPr>
          <w:lang w:val="fr-FR"/>
        </w:rPr>
        <w:t>–</w:t>
      </w:r>
      <w:r w:rsidRPr="0031513C">
        <w:rPr>
          <w:lang w:val="fr-FR"/>
        </w:rPr>
        <w:t>200.</w:t>
      </w:r>
    </w:p>
  </w:footnote>
  <w:footnote w:id="169">
    <w:p w14:paraId="7BD23FE5" w14:textId="77777777" w:rsidR="00D40D7C" w:rsidRPr="0031513C" w:rsidRDefault="00D40D7C" w:rsidP="007F649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 espion fait sauter un pont au Lac</w:t>
      </w:r>
      <w:r>
        <w:rPr>
          <w:lang w:val="fr-CA"/>
        </w:rPr>
        <w:t>-Sain</w:t>
      </w:r>
      <w:r w:rsidRPr="0031513C">
        <w:rPr>
          <w:lang w:val="fr-CA"/>
        </w:rPr>
        <w:t>t-Jean</w:t>
      </w:r>
      <w:r>
        <w:rPr>
          <w:lang w:val="fr-CA"/>
        </w:rPr>
        <w:t> </w:t>
      </w:r>
      <w:r w:rsidRPr="0031513C">
        <w:rPr>
          <w:lang w:val="fr-CA"/>
        </w:rPr>
        <w:t>»,</w:t>
      </w:r>
      <w:r w:rsidRPr="0031513C">
        <w:rPr>
          <w:i/>
          <w:iCs/>
          <w:lang w:val="fr-CA"/>
        </w:rPr>
        <w:t xml:space="preserve"> L’Avenir National</w:t>
      </w:r>
      <w:r w:rsidRPr="0031513C">
        <w:rPr>
          <w:lang w:val="fr-CA"/>
        </w:rPr>
        <w:t>, 10 août 1914, p.</w:t>
      </w:r>
      <w:r>
        <w:rPr>
          <w:lang w:val="fr-CA"/>
        </w:rPr>
        <w:t> </w:t>
      </w:r>
      <w:r w:rsidRPr="0031513C">
        <w:rPr>
          <w:lang w:val="fr-CA"/>
        </w:rPr>
        <w:t>1.</w:t>
      </w:r>
    </w:p>
  </w:footnote>
  <w:footnote w:id="170">
    <w:p w14:paraId="4BEA26D5" w14:textId="77777777" w:rsidR="00D40D7C" w:rsidRPr="0031513C" w:rsidRDefault="00D40D7C" w:rsidP="007F649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complots boches</w:t>
      </w:r>
      <w:r>
        <w:rPr>
          <w:lang w:val="fr-CA"/>
        </w:rPr>
        <w:t> </w:t>
      </w:r>
      <w:r w:rsidRPr="0031513C">
        <w:rPr>
          <w:lang w:val="fr-CA"/>
        </w:rPr>
        <w:t>»,</w:t>
      </w:r>
      <w:r w:rsidRPr="0031513C">
        <w:rPr>
          <w:i/>
          <w:iCs/>
          <w:lang w:val="fr-CA"/>
        </w:rPr>
        <w:t xml:space="preserve"> L’Avenir National</w:t>
      </w:r>
      <w:r w:rsidRPr="0031513C">
        <w:rPr>
          <w:lang w:val="fr-CA"/>
        </w:rPr>
        <w:t>, 15 novembre 1915, p.</w:t>
      </w:r>
      <w:r>
        <w:rPr>
          <w:lang w:val="fr-CA"/>
        </w:rPr>
        <w:t> </w:t>
      </w:r>
      <w:r w:rsidRPr="0031513C">
        <w:rPr>
          <w:lang w:val="fr-CA"/>
        </w:rPr>
        <w:t>2.</w:t>
      </w:r>
    </w:p>
  </w:footnote>
  <w:footnote w:id="171">
    <w:p w14:paraId="70E08FEB" w14:textId="77777777" w:rsidR="00D40D7C" w:rsidRPr="0031513C" w:rsidRDefault="00D40D7C" w:rsidP="007F649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Illusions et craintes</w:t>
      </w:r>
      <w:r>
        <w:rPr>
          <w:lang w:val="fr-CA"/>
        </w:rPr>
        <w:t> </w:t>
      </w:r>
      <w:r w:rsidRPr="0031513C">
        <w:rPr>
          <w:lang w:val="fr-CA"/>
        </w:rPr>
        <w:t>»,</w:t>
      </w:r>
      <w:r w:rsidRPr="0031513C">
        <w:rPr>
          <w:i/>
          <w:iCs/>
          <w:lang w:val="fr-CA"/>
        </w:rPr>
        <w:t xml:space="preserve"> L’Avenir National</w:t>
      </w:r>
      <w:r w:rsidRPr="0031513C">
        <w:rPr>
          <w:lang w:val="fr-CA"/>
        </w:rPr>
        <w:t>, 9 juillet 1915, p.</w:t>
      </w:r>
      <w:r>
        <w:rPr>
          <w:lang w:val="fr-CA"/>
        </w:rPr>
        <w:t> </w:t>
      </w:r>
      <w:r w:rsidRPr="0031513C">
        <w:rPr>
          <w:lang w:val="fr-CA"/>
        </w:rPr>
        <w:t>4.</w:t>
      </w:r>
    </w:p>
  </w:footnote>
  <w:footnote w:id="172">
    <w:p w14:paraId="71FE22B4" w14:textId="77777777" w:rsidR="00D40D7C" w:rsidRPr="0031513C" w:rsidRDefault="00D40D7C" w:rsidP="00701511">
      <w:pPr>
        <w:pStyle w:val="FootnoteText"/>
        <w:rPr>
          <w:lang w:val="fr-CA"/>
        </w:rPr>
      </w:pPr>
      <w:r w:rsidRPr="0031513C">
        <w:rPr>
          <w:rStyle w:val="FootnoteReference"/>
        </w:rPr>
        <w:footnoteRef/>
      </w:r>
      <w:r w:rsidRPr="0031513C">
        <w:rPr>
          <w:lang w:val="fr-CA"/>
        </w:rPr>
        <w:t xml:space="preserve"> Selon Walter LaFeber, la situation en Russie n’a pas convaincu le Président Wilson à entrer en guerre pour soutenir la révolution démocratique.  </w:t>
      </w:r>
    </w:p>
  </w:footnote>
  <w:footnote w:id="173">
    <w:p w14:paraId="3D8648CE" w14:textId="77777777" w:rsidR="00D40D7C" w:rsidRPr="00F5530C" w:rsidRDefault="00D40D7C" w:rsidP="00701511">
      <w:pPr>
        <w:pStyle w:val="FootnoteText"/>
        <w:rPr>
          <w:lang w:val="fr-CA"/>
        </w:rPr>
      </w:pPr>
      <w:r w:rsidRPr="0031513C">
        <w:rPr>
          <w:rStyle w:val="FootnoteReference"/>
        </w:rPr>
        <w:footnoteRef/>
      </w:r>
      <w:r w:rsidRPr="00F5530C">
        <w:rPr>
          <w:lang w:val="fr-CA"/>
        </w:rPr>
        <w:t xml:space="preserve"> Lafeber, </w:t>
      </w:r>
      <w:r w:rsidRPr="00F5530C">
        <w:rPr>
          <w:i/>
          <w:lang w:val="fr-CA"/>
        </w:rPr>
        <w:t>op. cit.,</w:t>
      </w:r>
      <w:r w:rsidRPr="00F5530C">
        <w:rPr>
          <w:lang w:val="fr-CA"/>
        </w:rPr>
        <w:t xml:space="preserve"> p.</w:t>
      </w:r>
      <w:r>
        <w:rPr>
          <w:lang w:val="fr-CA"/>
        </w:rPr>
        <w:t> </w:t>
      </w:r>
      <w:r w:rsidRPr="00F5530C">
        <w:rPr>
          <w:lang w:val="fr-CA"/>
        </w:rPr>
        <w:t>276 -279.</w:t>
      </w:r>
    </w:p>
  </w:footnote>
  <w:footnote w:id="174">
    <w:p w14:paraId="63A3D296" w14:textId="77777777" w:rsidR="00D40D7C" w:rsidRPr="0031513C" w:rsidRDefault="00D40D7C" w:rsidP="00FF086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Belges de Manchester enverront des argents</w:t>
      </w:r>
      <w:r>
        <w:rPr>
          <w:lang w:val="fr-CA"/>
        </w:rPr>
        <w:t> </w:t>
      </w:r>
      <w:r w:rsidRPr="0031513C">
        <w:rPr>
          <w:lang w:val="fr-CA"/>
        </w:rPr>
        <w:t>»,</w:t>
      </w:r>
      <w:r w:rsidRPr="0031513C">
        <w:rPr>
          <w:i/>
          <w:iCs/>
          <w:lang w:val="fr-CA"/>
        </w:rPr>
        <w:t xml:space="preserve"> L’Avenir National</w:t>
      </w:r>
      <w:r w:rsidRPr="0031513C">
        <w:rPr>
          <w:lang w:val="fr-CA"/>
        </w:rPr>
        <w:t>, 12 septembre 1914, p.</w:t>
      </w:r>
      <w:r>
        <w:rPr>
          <w:lang w:val="fr-CA"/>
        </w:rPr>
        <w:t> </w:t>
      </w:r>
      <w:r w:rsidRPr="0031513C">
        <w:rPr>
          <w:lang w:val="fr-CA"/>
        </w:rPr>
        <w:t>7.</w:t>
      </w:r>
    </w:p>
  </w:footnote>
  <w:footnote w:id="175">
    <w:p w14:paraId="1ED2B6D6" w14:textId="77777777" w:rsidR="00D40D7C" w:rsidRPr="0031513C" w:rsidRDefault="00D40D7C" w:rsidP="00FF086E">
      <w:pPr>
        <w:pStyle w:val="FootnoteText"/>
        <w:rPr>
          <w:lang w:val="fr-CA"/>
        </w:rPr>
      </w:pPr>
      <w:r w:rsidRPr="0031513C">
        <w:rPr>
          <w:rStyle w:val="FootnoteReference"/>
        </w:rPr>
        <w:footnoteRef/>
      </w:r>
      <w:r w:rsidRPr="0031513C">
        <w:rPr>
          <w:lang w:val="fr-CA"/>
        </w:rPr>
        <w:t xml:space="preserve"> «</w:t>
      </w:r>
      <w:r>
        <w:rPr>
          <w:i/>
          <w:iCs/>
          <w:lang w:val="fr-CA"/>
        </w:rPr>
        <w:t> </w:t>
      </w:r>
      <w:r w:rsidRPr="0031513C">
        <w:rPr>
          <w:lang w:val="fr-CA"/>
        </w:rPr>
        <w:t>La grande œuvre de la Croix-Rouge</w:t>
      </w:r>
      <w:r>
        <w:rPr>
          <w:lang w:val="fr-CA"/>
        </w:rPr>
        <w:t> </w:t>
      </w:r>
      <w:r w:rsidRPr="0031513C">
        <w:rPr>
          <w:lang w:val="fr-CA"/>
        </w:rPr>
        <w:t>»,</w:t>
      </w:r>
      <w:r w:rsidRPr="0031513C">
        <w:rPr>
          <w:i/>
          <w:iCs/>
          <w:lang w:val="fr-CA"/>
        </w:rPr>
        <w:t xml:space="preserve"> L’Avenir National</w:t>
      </w:r>
      <w:r w:rsidRPr="0031513C">
        <w:rPr>
          <w:lang w:val="fr-CA"/>
        </w:rPr>
        <w:t>, 12 octobre 1914, p.</w:t>
      </w:r>
      <w:r>
        <w:rPr>
          <w:lang w:val="fr-CA"/>
        </w:rPr>
        <w:t> </w:t>
      </w:r>
      <w:r w:rsidRPr="0031513C">
        <w:rPr>
          <w:lang w:val="fr-CA"/>
        </w:rPr>
        <w:t>8.</w:t>
      </w:r>
    </w:p>
  </w:footnote>
  <w:footnote w:id="176">
    <w:p w14:paraId="14BCEA44" w14:textId="77777777" w:rsidR="00D40D7C" w:rsidRPr="0031513C" w:rsidRDefault="00D40D7C" w:rsidP="00FF086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Croix-Rouge élit autres officiers</w:t>
      </w:r>
      <w:r>
        <w:rPr>
          <w:lang w:val="fr-CA"/>
        </w:rPr>
        <w:t> </w:t>
      </w:r>
      <w:r w:rsidRPr="0031513C">
        <w:rPr>
          <w:lang w:val="fr-CA"/>
        </w:rPr>
        <w:t>»,</w:t>
      </w:r>
      <w:r w:rsidRPr="0031513C">
        <w:rPr>
          <w:i/>
          <w:iCs/>
          <w:lang w:val="fr-CA"/>
        </w:rPr>
        <w:t xml:space="preserve"> L’Avenir National</w:t>
      </w:r>
      <w:r w:rsidRPr="0031513C">
        <w:rPr>
          <w:lang w:val="fr-CA"/>
        </w:rPr>
        <w:t>, 17 octobre 1914, p.</w:t>
      </w:r>
      <w:r>
        <w:rPr>
          <w:lang w:val="fr-CA"/>
        </w:rPr>
        <w:t> </w:t>
      </w:r>
      <w:r w:rsidRPr="0031513C">
        <w:rPr>
          <w:lang w:val="fr-CA"/>
        </w:rPr>
        <w:t>10.</w:t>
      </w:r>
    </w:p>
  </w:footnote>
  <w:footnote w:id="177">
    <w:p w14:paraId="2E73E0DC" w14:textId="77777777" w:rsidR="00D40D7C" w:rsidRPr="0031513C" w:rsidRDefault="00D40D7C" w:rsidP="00FF086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grande œuvre de la Croix-Rouge</w:t>
      </w:r>
      <w:r>
        <w:rPr>
          <w:lang w:val="fr-CA"/>
        </w:rPr>
        <w:t> </w:t>
      </w:r>
      <w:r w:rsidRPr="0031513C">
        <w:rPr>
          <w:lang w:val="fr-CA"/>
        </w:rPr>
        <w:t>»,</w:t>
      </w:r>
      <w:r w:rsidRPr="0031513C">
        <w:rPr>
          <w:i/>
          <w:iCs/>
          <w:lang w:val="fr-CA"/>
        </w:rPr>
        <w:t xml:space="preserve"> L’Avenir National</w:t>
      </w:r>
      <w:r w:rsidRPr="0031513C">
        <w:rPr>
          <w:lang w:val="fr-CA"/>
        </w:rPr>
        <w:t>, 12 octobre 1914, p.</w:t>
      </w:r>
      <w:r>
        <w:rPr>
          <w:lang w:val="fr-CA"/>
        </w:rPr>
        <w:t> </w:t>
      </w:r>
      <w:r w:rsidRPr="0031513C">
        <w:rPr>
          <w:lang w:val="fr-CA"/>
        </w:rPr>
        <w:t>8.</w:t>
      </w:r>
    </w:p>
  </w:footnote>
  <w:footnote w:id="178">
    <w:p w14:paraId="2E862D91" w14:textId="77777777" w:rsidR="00D40D7C" w:rsidRPr="0031513C" w:rsidRDefault="00D40D7C" w:rsidP="00FF086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Croix-Rouge élit autres officiers</w:t>
      </w:r>
      <w:r>
        <w:rPr>
          <w:lang w:val="fr-CA"/>
        </w:rPr>
        <w:t> </w:t>
      </w:r>
      <w:r w:rsidRPr="0031513C">
        <w:rPr>
          <w:lang w:val="fr-CA"/>
        </w:rPr>
        <w:t>»,</w:t>
      </w:r>
      <w:r w:rsidRPr="0031513C">
        <w:rPr>
          <w:i/>
          <w:iCs/>
          <w:lang w:val="fr-CA"/>
        </w:rPr>
        <w:t xml:space="preserve"> L’Avenir National</w:t>
      </w:r>
      <w:r w:rsidRPr="0031513C">
        <w:rPr>
          <w:lang w:val="fr-CA"/>
        </w:rPr>
        <w:t>, 17 octobre 1914, p.</w:t>
      </w:r>
      <w:r>
        <w:rPr>
          <w:lang w:val="fr-CA"/>
        </w:rPr>
        <w:t> </w:t>
      </w:r>
      <w:r w:rsidRPr="0031513C">
        <w:rPr>
          <w:lang w:val="fr-CA"/>
        </w:rPr>
        <w:t>10.</w:t>
      </w:r>
    </w:p>
  </w:footnote>
  <w:footnote w:id="179">
    <w:p w14:paraId="6C8EDEC0" w14:textId="77777777" w:rsidR="00D40D7C" w:rsidRPr="0031513C" w:rsidRDefault="00D40D7C" w:rsidP="00FF086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Croix-Rouge à la paroisse St-Antoine</w:t>
      </w:r>
      <w:r>
        <w:rPr>
          <w:lang w:val="fr-CA"/>
        </w:rPr>
        <w:t> </w:t>
      </w:r>
      <w:r w:rsidRPr="0031513C">
        <w:rPr>
          <w:lang w:val="fr-CA"/>
        </w:rPr>
        <w:t>»,</w:t>
      </w:r>
      <w:r w:rsidRPr="0031513C">
        <w:rPr>
          <w:i/>
          <w:iCs/>
          <w:lang w:val="fr-CA"/>
        </w:rPr>
        <w:t xml:space="preserve"> L’Avenir National</w:t>
      </w:r>
      <w:r w:rsidRPr="0031513C">
        <w:rPr>
          <w:lang w:val="fr-CA"/>
        </w:rPr>
        <w:t>, 7 novembre 1914, p.</w:t>
      </w:r>
      <w:r>
        <w:rPr>
          <w:lang w:val="fr-CA"/>
        </w:rPr>
        <w:t> </w:t>
      </w:r>
      <w:r w:rsidRPr="0031513C">
        <w:rPr>
          <w:lang w:val="fr-CA"/>
        </w:rPr>
        <w:t>10.</w:t>
      </w:r>
    </w:p>
  </w:footnote>
  <w:footnote w:id="180">
    <w:p w14:paraId="40046C1A" w14:textId="77777777" w:rsidR="00D40D7C" w:rsidRPr="0031513C" w:rsidRDefault="00D40D7C" w:rsidP="00FF086E">
      <w:pPr>
        <w:pStyle w:val="FootnoteText"/>
        <w:rPr>
          <w:lang w:val="fr-CA"/>
        </w:rPr>
      </w:pPr>
      <w:r w:rsidRPr="0031513C">
        <w:rPr>
          <w:rStyle w:val="FootnoteReference"/>
        </w:rPr>
        <w:footnoteRef/>
      </w:r>
      <w:r w:rsidRPr="0031513C">
        <w:rPr>
          <w:i/>
          <w:iCs/>
          <w:lang w:val="fr-CA"/>
        </w:rPr>
        <w:t xml:space="preserve"> </w:t>
      </w:r>
      <w:r w:rsidRPr="0031513C">
        <w:rPr>
          <w:lang w:val="fr-CA"/>
        </w:rPr>
        <w:t>«</w:t>
      </w:r>
      <w:r>
        <w:rPr>
          <w:lang w:val="fr-CA"/>
        </w:rPr>
        <w:t> </w:t>
      </w:r>
      <w:r w:rsidRPr="0031513C">
        <w:rPr>
          <w:lang w:val="fr-CA"/>
        </w:rPr>
        <w:t>Croix-Rouge fait un grand rapport</w:t>
      </w:r>
      <w:r>
        <w:rPr>
          <w:lang w:val="fr-CA"/>
        </w:rPr>
        <w:t> </w:t>
      </w:r>
      <w:r w:rsidRPr="0031513C">
        <w:rPr>
          <w:lang w:val="fr-CA"/>
        </w:rPr>
        <w:t>»,</w:t>
      </w:r>
      <w:r w:rsidRPr="0031513C">
        <w:rPr>
          <w:i/>
          <w:iCs/>
          <w:lang w:val="fr-CA"/>
        </w:rPr>
        <w:t xml:space="preserve"> L’Avenir National</w:t>
      </w:r>
      <w:r w:rsidRPr="0031513C">
        <w:rPr>
          <w:lang w:val="fr-CA"/>
        </w:rPr>
        <w:t>, 11 décembre 1914, p.</w:t>
      </w:r>
      <w:r>
        <w:rPr>
          <w:lang w:val="fr-CA"/>
        </w:rPr>
        <w:t> </w:t>
      </w:r>
      <w:r w:rsidRPr="0031513C">
        <w:rPr>
          <w:lang w:val="fr-CA"/>
        </w:rPr>
        <w:t>8.</w:t>
      </w:r>
    </w:p>
  </w:footnote>
  <w:footnote w:id="181">
    <w:p w14:paraId="04B40122" w14:textId="77777777" w:rsidR="00D40D7C" w:rsidRPr="0031513C" w:rsidRDefault="00D40D7C" w:rsidP="00FF086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comité de secours belge s’organise</w:t>
      </w:r>
      <w:r>
        <w:rPr>
          <w:lang w:val="fr-CA"/>
        </w:rPr>
        <w:t> </w:t>
      </w:r>
      <w:r w:rsidRPr="0031513C">
        <w:rPr>
          <w:lang w:val="fr-CA"/>
        </w:rPr>
        <w:t>»,</w:t>
      </w:r>
      <w:r w:rsidRPr="0031513C">
        <w:rPr>
          <w:i/>
          <w:iCs/>
          <w:lang w:val="fr-CA"/>
        </w:rPr>
        <w:t xml:space="preserve"> L’Avenir National</w:t>
      </w:r>
      <w:r w:rsidRPr="0031513C">
        <w:rPr>
          <w:lang w:val="fr-CA"/>
        </w:rPr>
        <w:t>, 7 novembre 1914, p.</w:t>
      </w:r>
      <w:r>
        <w:rPr>
          <w:lang w:val="fr-CA"/>
        </w:rPr>
        <w:t> </w:t>
      </w:r>
      <w:r w:rsidRPr="0031513C">
        <w:rPr>
          <w:lang w:val="fr-CA"/>
        </w:rPr>
        <w:t>5</w:t>
      </w:r>
      <w:r>
        <w:rPr>
          <w:lang w:val="fr-CA"/>
        </w:rPr>
        <w:t> </w:t>
      </w:r>
      <w:r w:rsidRPr="0031513C">
        <w:rPr>
          <w:lang w:val="fr-CA"/>
        </w:rPr>
        <w:t>; «</w:t>
      </w:r>
      <w:r>
        <w:rPr>
          <w:lang w:val="fr-CA"/>
        </w:rPr>
        <w:t> </w:t>
      </w:r>
      <w:r w:rsidRPr="0031513C">
        <w:rPr>
          <w:lang w:val="fr-CA"/>
        </w:rPr>
        <w:t>Secours aux Belges transport gratis</w:t>
      </w:r>
      <w:r>
        <w:rPr>
          <w:lang w:val="fr-CA"/>
        </w:rPr>
        <w:t> </w:t>
      </w:r>
      <w:r w:rsidRPr="0031513C">
        <w:rPr>
          <w:lang w:val="fr-CA"/>
        </w:rPr>
        <w:t>»,</w:t>
      </w:r>
      <w:r w:rsidRPr="0031513C">
        <w:rPr>
          <w:i/>
          <w:iCs/>
          <w:lang w:val="fr-CA"/>
        </w:rPr>
        <w:t xml:space="preserve"> L’Avenir National</w:t>
      </w:r>
      <w:r w:rsidRPr="0031513C">
        <w:rPr>
          <w:lang w:val="fr-CA"/>
        </w:rPr>
        <w:t>, 3 décembre 1914, p.</w:t>
      </w:r>
      <w:r>
        <w:rPr>
          <w:lang w:val="fr-CA"/>
        </w:rPr>
        <w:t> </w:t>
      </w:r>
      <w:r w:rsidRPr="0031513C">
        <w:rPr>
          <w:lang w:val="fr-CA"/>
        </w:rPr>
        <w:t>3.</w:t>
      </w:r>
    </w:p>
  </w:footnote>
  <w:footnote w:id="182">
    <w:p w14:paraId="089C271C" w14:textId="77777777" w:rsidR="00D40D7C" w:rsidRPr="0031513C" w:rsidRDefault="00D40D7C" w:rsidP="00FF086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On veut $5000,000 pour la Belgique</w:t>
      </w:r>
      <w:r>
        <w:rPr>
          <w:lang w:val="fr-CA"/>
        </w:rPr>
        <w:t> </w:t>
      </w:r>
      <w:r w:rsidRPr="0031513C">
        <w:rPr>
          <w:lang w:val="fr-CA"/>
        </w:rPr>
        <w:t>»,</w:t>
      </w:r>
      <w:r w:rsidRPr="0031513C">
        <w:rPr>
          <w:i/>
          <w:iCs/>
          <w:lang w:val="fr-CA"/>
        </w:rPr>
        <w:t xml:space="preserve"> L’Avenir National</w:t>
      </w:r>
      <w:r w:rsidRPr="0031513C">
        <w:rPr>
          <w:lang w:val="fr-CA"/>
        </w:rPr>
        <w:t>, 30 décembre 1914, p.</w:t>
      </w:r>
      <w:r>
        <w:rPr>
          <w:lang w:val="fr-CA"/>
        </w:rPr>
        <w:t> </w:t>
      </w:r>
      <w:r w:rsidRPr="0031513C">
        <w:rPr>
          <w:lang w:val="fr-CA"/>
        </w:rPr>
        <w:t xml:space="preserve">5. Note. À cette l’époque, le terme camp de </w:t>
      </w:r>
      <w:r>
        <w:rPr>
          <w:lang w:val="fr-CA"/>
        </w:rPr>
        <w:t>« </w:t>
      </w:r>
      <w:r w:rsidRPr="0031513C">
        <w:rPr>
          <w:lang w:val="fr-CA"/>
        </w:rPr>
        <w:t>concentration</w:t>
      </w:r>
      <w:r>
        <w:rPr>
          <w:lang w:val="fr-CA"/>
        </w:rPr>
        <w:t> »</w:t>
      </w:r>
      <w:r w:rsidRPr="0031513C">
        <w:rPr>
          <w:lang w:val="fr-CA"/>
        </w:rPr>
        <w:t xml:space="preserve"> n’est pas sémantiquement équivoque à celui des camps de concentration qui seront établis par le régime </w:t>
      </w:r>
      <w:r>
        <w:rPr>
          <w:lang w:val="fr-CA"/>
        </w:rPr>
        <w:t>n</w:t>
      </w:r>
      <w:r w:rsidRPr="0031513C">
        <w:rPr>
          <w:lang w:val="fr-CA"/>
        </w:rPr>
        <w:t>azi lors de la Deuxième Guerre mondiale.</w:t>
      </w:r>
    </w:p>
  </w:footnote>
  <w:footnote w:id="183">
    <w:p w14:paraId="699501A9" w14:textId="77777777" w:rsidR="00D40D7C" w:rsidRPr="0031513C" w:rsidRDefault="00D40D7C" w:rsidP="00FF086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On veut $5000,000 pour la Belgique</w:t>
      </w:r>
      <w:r>
        <w:rPr>
          <w:lang w:val="fr-CA"/>
        </w:rPr>
        <w:t> </w:t>
      </w:r>
      <w:r w:rsidRPr="0031513C">
        <w:rPr>
          <w:lang w:val="fr-CA"/>
        </w:rPr>
        <w:t>»,</w:t>
      </w:r>
      <w:r w:rsidRPr="0031513C">
        <w:rPr>
          <w:i/>
          <w:iCs/>
          <w:lang w:val="fr-CA"/>
        </w:rPr>
        <w:t xml:space="preserve"> L’Avenir National</w:t>
      </w:r>
      <w:r w:rsidRPr="0031513C">
        <w:rPr>
          <w:lang w:val="fr-CA"/>
        </w:rPr>
        <w:t>, 30 décembre 1914, p.</w:t>
      </w:r>
      <w:r>
        <w:rPr>
          <w:lang w:val="fr-CA"/>
        </w:rPr>
        <w:t> </w:t>
      </w:r>
      <w:r w:rsidRPr="0031513C">
        <w:rPr>
          <w:lang w:val="fr-CA"/>
        </w:rPr>
        <w:t>5</w:t>
      </w:r>
    </w:p>
  </w:footnote>
  <w:footnote w:id="184">
    <w:p w14:paraId="146D9BD8" w14:textId="00056426" w:rsidR="00D40D7C" w:rsidRPr="0031513C" w:rsidRDefault="00D40D7C" w:rsidP="00B92ED2">
      <w:pPr>
        <w:pStyle w:val="FootnoteText"/>
        <w:rPr>
          <w:lang w:val="fr-CA"/>
        </w:rPr>
      </w:pPr>
      <w:r w:rsidRPr="0031513C">
        <w:rPr>
          <w:rStyle w:val="FootnoteReference"/>
        </w:rPr>
        <w:footnoteRef/>
      </w:r>
      <w:r w:rsidRPr="0031513C">
        <w:rPr>
          <w:lang w:val="fr-CA"/>
        </w:rPr>
        <w:t xml:space="preserve"> «</w:t>
      </w:r>
      <w:r>
        <w:rPr>
          <w:lang w:val="fr-CA"/>
        </w:rPr>
        <w:t xml:space="preserve"> Pour la défense de la patrie </w:t>
      </w:r>
      <w:r w:rsidRPr="0031513C">
        <w:rPr>
          <w:lang w:val="fr-CA"/>
        </w:rPr>
        <w:t>»,</w:t>
      </w:r>
      <w:r w:rsidRPr="0031513C">
        <w:rPr>
          <w:i/>
          <w:iCs/>
          <w:lang w:val="fr-CA"/>
        </w:rPr>
        <w:t xml:space="preserve"> L’Avenir National</w:t>
      </w:r>
      <w:r w:rsidRPr="0031513C">
        <w:rPr>
          <w:lang w:val="fr-CA"/>
        </w:rPr>
        <w:t>, 10 août 1914, p.</w:t>
      </w:r>
      <w:r>
        <w:rPr>
          <w:lang w:val="fr-CA"/>
        </w:rPr>
        <w:t> </w:t>
      </w:r>
      <w:r w:rsidRPr="0031513C">
        <w:rPr>
          <w:lang w:val="fr-CA"/>
        </w:rPr>
        <w:t>4.</w:t>
      </w:r>
    </w:p>
  </w:footnote>
  <w:footnote w:id="185">
    <w:p w14:paraId="4C007314"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Soldat Devalland part à la guerre</w:t>
      </w:r>
      <w:r>
        <w:rPr>
          <w:lang w:val="fr-CA"/>
        </w:rPr>
        <w:t> </w:t>
      </w:r>
      <w:r w:rsidRPr="0031513C">
        <w:rPr>
          <w:lang w:val="fr-CA"/>
        </w:rPr>
        <w:t>»,</w:t>
      </w:r>
      <w:r w:rsidRPr="0031513C">
        <w:rPr>
          <w:i/>
          <w:iCs/>
          <w:lang w:val="fr-CA"/>
        </w:rPr>
        <w:t xml:space="preserve"> L’Avenir National</w:t>
      </w:r>
      <w:r w:rsidRPr="0031513C">
        <w:rPr>
          <w:lang w:val="fr-CA"/>
        </w:rPr>
        <w:t>, 8 août 1914, p.</w:t>
      </w:r>
      <w:r>
        <w:rPr>
          <w:lang w:val="fr-CA"/>
        </w:rPr>
        <w:t> </w:t>
      </w:r>
      <w:r w:rsidRPr="0031513C">
        <w:rPr>
          <w:lang w:val="fr-CA"/>
        </w:rPr>
        <w:t>8.</w:t>
      </w:r>
    </w:p>
  </w:footnote>
  <w:footnote w:id="186">
    <w:p w14:paraId="484B964A" w14:textId="1A61FB34"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 xml:space="preserve">Le départ du </w:t>
      </w:r>
      <w:r>
        <w:rPr>
          <w:lang w:val="fr-CA"/>
        </w:rPr>
        <w:t>“</w:t>
      </w:r>
      <w:r w:rsidRPr="0031513C">
        <w:rPr>
          <w:lang w:val="fr-CA"/>
        </w:rPr>
        <w:t>Rochambeau</w:t>
      </w:r>
      <w:r>
        <w:rPr>
          <w:lang w:val="fr-CA"/>
        </w:rPr>
        <w:t>” </w:t>
      </w:r>
      <w:r w:rsidRPr="0031513C">
        <w:rPr>
          <w:lang w:val="fr-CA"/>
        </w:rPr>
        <w:t>»,</w:t>
      </w:r>
      <w:r w:rsidRPr="0031513C">
        <w:rPr>
          <w:i/>
          <w:iCs/>
          <w:lang w:val="fr-CA"/>
        </w:rPr>
        <w:t xml:space="preserve"> L’Avenir National</w:t>
      </w:r>
      <w:r w:rsidRPr="0031513C">
        <w:rPr>
          <w:lang w:val="fr-CA"/>
        </w:rPr>
        <w:t>, 1</w:t>
      </w:r>
      <w:r>
        <w:rPr>
          <w:lang w:val="fr-CA"/>
        </w:rPr>
        <w:t>1</w:t>
      </w:r>
      <w:r w:rsidRPr="0031513C">
        <w:rPr>
          <w:lang w:val="fr-CA"/>
        </w:rPr>
        <w:t xml:space="preserve"> août 1914, p.</w:t>
      </w:r>
      <w:r>
        <w:rPr>
          <w:lang w:val="fr-CA"/>
        </w:rPr>
        <w:t> 5</w:t>
      </w:r>
      <w:r w:rsidRPr="0031513C">
        <w:rPr>
          <w:lang w:val="fr-CA"/>
        </w:rPr>
        <w:t>.</w:t>
      </w:r>
    </w:p>
  </w:footnote>
  <w:footnote w:id="187">
    <w:p w14:paraId="16D16E6D"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Charles Leman va sous les drapeaux</w:t>
      </w:r>
      <w:r>
        <w:rPr>
          <w:lang w:val="fr-CA"/>
        </w:rPr>
        <w:t> </w:t>
      </w:r>
      <w:r w:rsidRPr="0031513C">
        <w:rPr>
          <w:lang w:val="fr-CA"/>
        </w:rPr>
        <w:t>»,</w:t>
      </w:r>
      <w:r w:rsidRPr="0031513C">
        <w:rPr>
          <w:i/>
          <w:iCs/>
          <w:lang w:val="fr-CA"/>
        </w:rPr>
        <w:t xml:space="preserve"> L’Avenir National</w:t>
      </w:r>
      <w:r w:rsidRPr="0031513C">
        <w:rPr>
          <w:lang w:val="fr-CA"/>
        </w:rPr>
        <w:t>, 18 août 1914, p.</w:t>
      </w:r>
      <w:r>
        <w:rPr>
          <w:lang w:val="fr-CA"/>
        </w:rPr>
        <w:t> </w:t>
      </w:r>
      <w:r w:rsidRPr="0031513C">
        <w:rPr>
          <w:lang w:val="fr-CA"/>
        </w:rPr>
        <w:t>7.</w:t>
      </w:r>
    </w:p>
  </w:footnote>
  <w:footnote w:id="188">
    <w:p w14:paraId="7B860165"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 xml:space="preserve">Réservistes allemands du paquebot </w:t>
      </w:r>
      <w:r>
        <w:rPr>
          <w:lang w:val="fr-CA"/>
        </w:rPr>
        <w:t>“</w:t>
      </w:r>
      <w:r w:rsidRPr="0031513C">
        <w:rPr>
          <w:lang w:val="fr-CA"/>
        </w:rPr>
        <w:t>Noordam</w:t>
      </w:r>
      <w:r>
        <w:rPr>
          <w:lang w:val="fr-CA"/>
        </w:rPr>
        <w:t>” </w:t>
      </w:r>
      <w:r w:rsidRPr="0031513C">
        <w:rPr>
          <w:lang w:val="fr-CA"/>
        </w:rPr>
        <w:t>»,</w:t>
      </w:r>
      <w:r w:rsidRPr="0031513C">
        <w:rPr>
          <w:i/>
          <w:iCs/>
          <w:lang w:val="fr-CA"/>
        </w:rPr>
        <w:t xml:space="preserve"> L’Avenir National</w:t>
      </w:r>
      <w:r w:rsidRPr="0031513C">
        <w:rPr>
          <w:lang w:val="fr-CA"/>
        </w:rPr>
        <w:t>, 12 septembre 1914, p.</w:t>
      </w:r>
      <w:r>
        <w:rPr>
          <w:lang w:val="fr-CA"/>
        </w:rPr>
        <w:t> </w:t>
      </w:r>
      <w:r w:rsidRPr="0031513C">
        <w:rPr>
          <w:lang w:val="fr-CA"/>
        </w:rPr>
        <w:t>2.</w:t>
      </w:r>
    </w:p>
  </w:footnote>
  <w:footnote w:id="189">
    <w:p w14:paraId="5EF06990" w14:textId="77777777" w:rsidR="00D40D7C" w:rsidRPr="0031513C" w:rsidRDefault="00D40D7C" w:rsidP="000F6272">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 concours de tir pour la coupe Cilley</w:t>
      </w:r>
      <w:r>
        <w:rPr>
          <w:lang w:val="fr-CA"/>
        </w:rPr>
        <w:t> </w:t>
      </w:r>
      <w:r w:rsidRPr="0031513C">
        <w:rPr>
          <w:lang w:val="fr-CA"/>
        </w:rPr>
        <w:t>»,</w:t>
      </w:r>
      <w:r w:rsidRPr="0031513C">
        <w:rPr>
          <w:i/>
          <w:iCs/>
          <w:lang w:val="fr-CA"/>
        </w:rPr>
        <w:t xml:space="preserve"> L’Avenir National</w:t>
      </w:r>
      <w:r w:rsidRPr="0031513C">
        <w:rPr>
          <w:lang w:val="fr-CA"/>
        </w:rPr>
        <w:t>, 12 septembre 1914. p.</w:t>
      </w:r>
      <w:r>
        <w:rPr>
          <w:lang w:val="fr-CA"/>
        </w:rPr>
        <w:t> </w:t>
      </w:r>
      <w:r w:rsidRPr="0031513C">
        <w:rPr>
          <w:lang w:val="fr-CA"/>
        </w:rPr>
        <w:t>7.</w:t>
      </w:r>
    </w:p>
  </w:footnote>
  <w:footnote w:id="190">
    <w:p w14:paraId="480EAC7A" w14:textId="77777777" w:rsidR="00D40D7C" w:rsidRPr="0031513C" w:rsidRDefault="00D40D7C" w:rsidP="000F6272">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exercices de la Milice le 7 juin</w:t>
      </w:r>
      <w:r>
        <w:rPr>
          <w:lang w:val="fr-CA"/>
        </w:rPr>
        <w:t> </w:t>
      </w:r>
      <w:r w:rsidRPr="0031513C">
        <w:rPr>
          <w:lang w:val="fr-CA"/>
        </w:rPr>
        <w:t>»,</w:t>
      </w:r>
      <w:r w:rsidRPr="0031513C">
        <w:rPr>
          <w:i/>
          <w:iCs/>
          <w:lang w:val="fr-CA"/>
        </w:rPr>
        <w:t xml:space="preserve"> L’Avenir National</w:t>
      </w:r>
      <w:r w:rsidRPr="0031513C">
        <w:rPr>
          <w:lang w:val="fr-CA"/>
        </w:rPr>
        <w:t>, 13 mai 1915. p.</w:t>
      </w:r>
      <w:r>
        <w:rPr>
          <w:lang w:val="fr-CA"/>
        </w:rPr>
        <w:t> </w:t>
      </w:r>
      <w:r w:rsidRPr="0031513C">
        <w:rPr>
          <w:lang w:val="fr-CA"/>
        </w:rPr>
        <w:t>4</w:t>
      </w:r>
      <w:r>
        <w:rPr>
          <w:lang w:val="fr-CA"/>
        </w:rPr>
        <w:t> </w:t>
      </w:r>
      <w:r w:rsidRPr="0031513C">
        <w:rPr>
          <w:lang w:val="fr-CA"/>
        </w:rPr>
        <w:t>; «</w:t>
      </w:r>
      <w:r>
        <w:rPr>
          <w:lang w:val="fr-CA"/>
        </w:rPr>
        <w:t> </w:t>
      </w:r>
      <w:r w:rsidRPr="0031513C">
        <w:rPr>
          <w:lang w:val="fr-CA"/>
        </w:rPr>
        <w:t>Exercices annuels de nos miliciens</w:t>
      </w:r>
      <w:r>
        <w:rPr>
          <w:lang w:val="fr-CA"/>
        </w:rPr>
        <w:t> </w:t>
      </w:r>
      <w:r w:rsidRPr="0031513C">
        <w:rPr>
          <w:lang w:val="fr-CA"/>
        </w:rPr>
        <w:t>»,</w:t>
      </w:r>
      <w:r w:rsidRPr="0031513C">
        <w:rPr>
          <w:i/>
          <w:iCs/>
          <w:lang w:val="fr-CA"/>
        </w:rPr>
        <w:t xml:space="preserve"> L’Avenir National</w:t>
      </w:r>
      <w:r w:rsidRPr="0031513C">
        <w:rPr>
          <w:lang w:val="fr-CA"/>
        </w:rPr>
        <w:t>, 20 mai 1915. p.</w:t>
      </w:r>
      <w:r>
        <w:rPr>
          <w:lang w:val="fr-CA"/>
        </w:rPr>
        <w:t> </w:t>
      </w:r>
      <w:r w:rsidRPr="0031513C">
        <w:rPr>
          <w:lang w:val="fr-CA"/>
        </w:rPr>
        <w:t>6</w:t>
      </w:r>
      <w:r>
        <w:rPr>
          <w:lang w:val="fr-CA"/>
        </w:rPr>
        <w:t> </w:t>
      </w:r>
      <w:r w:rsidRPr="0031513C">
        <w:rPr>
          <w:lang w:val="fr-CA"/>
        </w:rPr>
        <w:t>; «</w:t>
      </w:r>
      <w:r>
        <w:rPr>
          <w:lang w:val="fr-CA"/>
        </w:rPr>
        <w:t> </w:t>
      </w:r>
      <w:r w:rsidRPr="0031513C">
        <w:rPr>
          <w:lang w:val="fr-CA"/>
        </w:rPr>
        <w:t>Miliciens d’État font manœuvres</w:t>
      </w:r>
      <w:r>
        <w:rPr>
          <w:lang w:val="fr-CA"/>
        </w:rPr>
        <w:t> </w:t>
      </w:r>
      <w:r w:rsidRPr="0031513C">
        <w:rPr>
          <w:lang w:val="fr-CA"/>
        </w:rPr>
        <w:t>»,</w:t>
      </w:r>
      <w:r w:rsidRPr="0031513C">
        <w:rPr>
          <w:i/>
          <w:iCs/>
          <w:lang w:val="fr-CA"/>
        </w:rPr>
        <w:t xml:space="preserve"> L’Avenir National</w:t>
      </w:r>
      <w:r w:rsidRPr="0031513C">
        <w:rPr>
          <w:lang w:val="fr-CA"/>
        </w:rPr>
        <w:t>, 8 juin 1915. p.</w:t>
      </w:r>
      <w:r>
        <w:rPr>
          <w:lang w:val="fr-CA"/>
        </w:rPr>
        <w:t> </w:t>
      </w:r>
      <w:r w:rsidRPr="0031513C">
        <w:rPr>
          <w:lang w:val="fr-CA"/>
        </w:rPr>
        <w:t>7</w:t>
      </w:r>
      <w:r>
        <w:rPr>
          <w:lang w:val="fr-CA"/>
        </w:rPr>
        <w:t> </w:t>
      </w:r>
      <w:r w:rsidRPr="0031513C">
        <w:rPr>
          <w:lang w:val="fr-CA"/>
        </w:rPr>
        <w:t>; «</w:t>
      </w:r>
      <w:r>
        <w:rPr>
          <w:lang w:val="fr-CA"/>
        </w:rPr>
        <w:t> </w:t>
      </w:r>
      <w:r w:rsidRPr="0031513C">
        <w:rPr>
          <w:lang w:val="fr-CA"/>
        </w:rPr>
        <w:t>Les manœuvres de miliciens</w:t>
      </w:r>
      <w:r>
        <w:rPr>
          <w:lang w:val="fr-CA"/>
        </w:rPr>
        <w:t> </w:t>
      </w:r>
      <w:r w:rsidRPr="0031513C">
        <w:rPr>
          <w:lang w:val="fr-CA"/>
        </w:rPr>
        <w:t>»,</w:t>
      </w:r>
      <w:r w:rsidRPr="0031513C">
        <w:rPr>
          <w:i/>
          <w:iCs/>
          <w:lang w:val="fr-CA"/>
        </w:rPr>
        <w:t xml:space="preserve"> L’Avenir National</w:t>
      </w:r>
      <w:r w:rsidRPr="0031513C">
        <w:rPr>
          <w:lang w:val="fr-CA"/>
        </w:rPr>
        <w:t>, 10 juin 1915. p.</w:t>
      </w:r>
      <w:r>
        <w:rPr>
          <w:lang w:val="fr-CA"/>
        </w:rPr>
        <w:t> </w:t>
      </w:r>
      <w:r w:rsidRPr="0031513C">
        <w:rPr>
          <w:lang w:val="fr-CA"/>
        </w:rPr>
        <w:t>6.</w:t>
      </w:r>
    </w:p>
  </w:footnote>
  <w:footnote w:id="191">
    <w:p w14:paraId="75FBA520" w14:textId="77777777" w:rsidR="00D40D7C" w:rsidRPr="0031513C" w:rsidRDefault="00D40D7C" w:rsidP="006B33D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Une ligue de défense nationale est fondée ici avec enthousiasme</w:t>
      </w:r>
      <w:r>
        <w:rPr>
          <w:lang w:val="fr-CA"/>
        </w:rPr>
        <w:t> </w:t>
      </w:r>
      <w:r w:rsidRPr="0031513C">
        <w:rPr>
          <w:lang w:val="fr-CA"/>
        </w:rPr>
        <w:t>»,</w:t>
      </w:r>
      <w:r w:rsidRPr="0031513C">
        <w:rPr>
          <w:i/>
          <w:iCs/>
          <w:lang w:val="fr-CA"/>
        </w:rPr>
        <w:t xml:space="preserve"> L’Avenir National</w:t>
      </w:r>
      <w:r w:rsidRPr="0031513C">
        <w:rPr>
          <w:lang w:val="fr-CA"/>
        </w:rPr>
        <w:t>, 29 juillet 1915, p.</w:t>
      </w:r>
      <w:r>
        <w:rPr>
          <w:lang w:val="fr-CA"/>
        </w:rPr>
        <w:t> </w:t>
      </w:r>
      <w:r w:rsidRPr="0031513C">
        <w:rPr>
          <w:lang w:val="fr-CA"/>
        </w:rPr>
        <w:t>8</w:t>
      </w:r>
      <w:r>
        <w:rPr>
          <w:lang w:val="fr-CA"/>
        </w:rPr>
        <w:t> </w:t>
      </w:r>
      <w:r w:rsidRPr="0031513C">
        <w:rPr>
          <w:lang w:val="fr-CA"/>
        </w:rPr>
        <w:t>; «</w:t>
      </w:r>
      <w:r>
        <w:rPr>
          <w:lang w:val="fr-CA"/>
        </w:rPr>
        <w:t> </w:t>
      </w:r>
      <w:r w:rsidRPr="0031513C">
        <w:rPr>
          <w:lang w:val="fr-CA"/>
        </w:rPr>
        <w:t>Ils parleront de défense nationale</w:t>
      </w:r>
      <w:r>
        <w:rPr>
          <w:lang w:val="fr-CA"/>
        </w:rPr>
        <w:t> </w:t>
      </w:r>
      <w:r w:rsidRPr="0031513C">
        <w:rPr>
          <w:lang w:val="fr-CA"/>
        </w:rPr>
        <w:t>»,</w:t>
      </w:r>
      <w:r w:rsidRPr="0031513C">
        <w:rPr>
          <w:i/>
          <w:iCs/>
          <w:lang w:val="fr-CA"/>
        </w:rPr>
        <w:t xml:space="preserve"> L’Avenir National</w:t>
      </w:r>
      <w:r w:rsidRPr="0031513C">
        <w:rPr>
          <w:lang w:val="fr-CA"/>
        </w:rPr>
        <w:t>, 27 juillet 1915, p.</w:t>
      </w:r>
      <w:r>
        <w:rPr>
          <w:lang w:val="fr-CA"/>
        </w:rPr>
        <w:t> </w:t>
      </w:r>
      <w:r w:rsidRPr="0031513C">
        <w:rPr>
          <w:lang w:val="fr-CA"/>
        </w:rPr>
        <w:t>8.</w:t>
      </w:r>
    </w:p>
  </w:footnote>
  <w:footnote w:id="192">
    <w:p w14:paraId="51FAB08A" w14:textId="77777777" w:rsidR="00D40D7C" w:rsidRPr="0031513C" w:rsidRDefault="00D40D7C">
      <w:pPr>
        <w:pStyle w:val="FootnoteText"/>
        <w:rPr>
          <w:lang w:val="fr-CA"/>
        </w:rPr>
      </w:pPr>
      <w:r w:rsidRPr="0031513C">
        <w:rPr>
          <w:rStyle w:val="FootnoteReference"/>
        </w:rPr>
        <w:footnoteRef/>
      </w:r>
      <w:r w:rsidRPr="0031513C">
        <w:rPr>
          <w:i/>
          <w:iCs/>
          <w:lang w:val="fr-CA"/>
        </w:rPr>
        <w:t xml:space="preserve"> </w:t>
      </w:r>
      <w:r w:rsidRPr="0031513C">
        <w:rPr>
          <w:lang w:val="fr-CA"/>
        </w:rPr>
        <w:t>«</w:t>
      </w:r>
      <w:r>
        <w:rPr>
          <w:lang w:val="fr-CA"/>
        </w:rPr>
        <w:t> </w:t>
      </w:r>
      <w:r w:rsidRPr="0031513C">
        <w:rPr>
          <w:lang w:val="fr-CA"/>
        </w:rPr>
        <w:t>John Bass parle de la nécessité de se tenir prêt</w:t>
      </w:r>
      <w:r>
        <w:rPr>
          <w:lang w:val="fr-CA"/>
        </w:rPr>
        <w:t> </w:t>
      </w:r>
      <w:r w:rsidRPr="0031513C">
        <w:rPr>
          <w:lang w:val="fr-CA"/>
        </w:rPr>
        <w:t>»,</w:t>
      </w:r>
      <w:r w:rsidRPr="0031513C">
        <w:rPr>
          <w:i/>
          <w:iCs/>
          <w:lang w:val="fr-CA"/>
        </w:rPr>
        <w:t xml:space="preserve"> L’Avenir National</w:t>
      </w:r>
      <w:r w:rsidRPr="0031513C">
        <w:rPr>
          <w:lang w:val="fr-CA"/>
        </w:rPr>
        <w:t>, 20 septembre</w:t>
      </w:r>
      <w:r w:rsidRPr="0031513C">
        <w:rPr>
          <w:i/>
          <w:iCs/>
          <w:lang w:val="fr-CA"/>
        </w:rPr>
        <w:t xml:space="preserve"> </w:t>
      </w:r>
      <w:r w:rsidRPr="0031513C">
        <w:rPr>
          <w:lang w:val="fr-CA"/>
        </w:rPr>
        <w:t>1915, p.</w:t>
      </w:r>
      <w:r>
        <w:rPr>
          <w:lang w:val="fr-CA"/>
        </w:rPr>
        <w:t> </w:t>
      </w:r>
      <w:r w:rsidRPr="0031513C">
        <w:rPr>
          <w:lang w:val="fr-CA"/>
        </w:rPr>
        <w:t>8.</w:t>
      </w:r>
    </w:p>
  </w:footnote>
  <w:footnote w:id="193">
    <w:p w14:paraId="195377F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Ligue de défense du N.H. a enfin branche de radio</w:t>
      </w:r>
      <w:r>
        <w:rPr>
          <w:lang w:val="fr-CA"/>
        </w:rPr>
        <w:t> </w:t>
      </w:r>
      <w:r w:rsidRPr="0031513C">
        <w:rPr>
          <w:lang w:val="fr-CA"/>
        </w:rPr>
        <w:t>»,</w:t>
      </w:r>
      <w:r w:rsidRPr="0031513C">
        <w:rPr>
          <w:i/>
          <w:iCs/>
          <w:lang w:val="fr-CA"/>
        </w:rPr>
        <w:t xml:space="preserve"> L’Avenir National</w:t>
      </w:r>
      <w:r w:rsidRPr="0031513C">
        <w:rPr>
          <w:lang w:val="fr-CA"/>
        </w:rPr>
        <w:t xml:space="preserve">, </w:t>
      </w:r>
      <w:r>
        <w:rPr>
          <w:lang w:val="fr-CA"/>
        </w:rPr>
        <w:t>1</w:t>
      </w:r>
      <w:r w:rsidRPr="0031513C">
        <w:rPr>
          <w:lang w:val="fr-CA"/>
        </w:rPr>
        <w:t xml:space="preserve"> mai 1916, p.</w:t>
      </w:r>
      <w:r>
        <w:rPr>
          <w:lang w:val="fr-CA"/>
        </w:rPr>
        <w:t> </w:t>
      </w:r>
      <w:r w:rsidRPr="0031513C">
        <w:rPr>
          <w:lang w:val="fr-CA"/>
        </w:rPr>
        <w:t>3.</w:t>
      </w:r>
    </w:p>
  </w:footnote>
  <w:footnote w:id="194">
    <w:p w14:paraId="322E5D2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Parade monstre dans les rues de New</w:t>
      </w:r>
      <w:r>
        <w:rPr>
          <w:lang w:val="fr-CA"/>
        </w:rPr>
        <w:t xml:space="preserve"> </w:t>
      </w:r>
      <w:r w:rsidRPr="0031513C">
        <w:rPr>
          <w:lang w:val="fr-CA"/>
        </w:rPr>
        <w:t>York</w:t>
      </w:r>
      <w:r>
        <w:rPr>
          <w:lang w:val="fr-CA"/>
        </w:rPr>
        <w:t> </w:t>
      </w:r>
      <w:r w:rsidRPr="0031513C">
        <w:rPr>
          <w:lang w:val="fr-CA"/>
        </w:rPr>
        <w:t>»,</w:t>
      </w:r>
      <w:r w:rsidRPr="0031513C">
        <w:rPr>
          <w:i/>
          <w:iCs/>
          <w:lang w:val="fr-CA"/>
        </w:rPr>
        <w:t xml:space="preserve"> L’Avenir National</w:t>
      </w:r>
      <w:r w:rsidRPr="0031513C">
        <w:rPr>
          <w:lang w:val="fr-CA"/>
        </w:rPr>
        <w:t>, 13 mai 1916, p.</w:t>
      </w:r>
      <w:r>
        <w:rPr>
          <w:lang w:val="fr-CA"/>
        </w:rPr>
        <w:t> </w:t>
      </w:r>
      <w:r w:rsidRPr="0031513C">
        <w:rPr>
          <w:lang w:val="fr-CA"/>
        </w:rPr>
        <w:t>1.</w:t>
      </w:r>
    </w:p>
  </w:footnote>
  <w:footnote w:id="195">
    <w:p w14:paraId="37B7946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Grande parade de préparation militaire à Boston</w:t>
      </w:r>
      <w:r>
        <w:rPr>
          <w:lang w:val="fr-CA"/>
        </w:rPr>
        <w:t> </w:t>
      </w:r>
      <w:r w:rsidRPr="0031513C">
        <w:rPr>
          <w:lang w:val="fr-CA"/>
        </w:rPr>
        <w:t>»,</w:t>
      </w:r>
      <w:r w:rsidRPr="0031513C">
        <w:rPr>
          <w:i/>
          <w:iCs/>
          <w:lang w:val="fr-CA"/>
        </w:rPr>
        <w:t xml:space="preserve"> L’Avenir National</w:t>
      </w:r>
      <w:r w:rsidRPr="0031513C">
        <w:rPr>
          <w:lang w:val="fr-CA"/>
        </w:rPr>
        <w:t>, 26 mai 1916, p.</w:t>
      </w:r>
      <w:r>
        <w:rPr>
          <w:lang w:val="fr-CA"/>
        </w:rPr>
        <w:t> </w:t>
      </w:r>
      <w:r w:rsidRPr="0031513C">
        <w:rPr>
          <w:lang w:val="fr-CA"/>
        </w:rPr>
        <w:t>6</w:t>
      </w:r>
      <w:r>
        <w:rPr>
          <w:lang w:val="fr-CA"/>
        </w:rPr>
        <w:t> </w:t>
      </w:r>
      <w:r w:rsidRPr="0031513C">
        <w:rPr>
          <w:lang w:val="fr-CA"/>
        </w:rPr>
        <w:t>; «</w:t>
      </w:r>
      <w:r>
        <w:rPr>
          <w:lang w:val="fr-CA"/>
        </w:rPr>
        <w:t> </w:t>
      </w:r>
      <w:r w:rsidRPr="0031513C">
        <w:rPr>
          <w:lang w:val="fr-CA"/>
        </w:rPr>
        <w:t>Manchester prend part à la parade guerrière à Boston</w:t>
      </w:r>
      <w:r>
        <w:rPr>
          <w:lang w:val="fr-CA"/>
        </w:rPr>
        <w:t> </w:t>
      </w:r>
      <w:r w:rsidRPr="0031513C">
        <w:rPr>
          <w:lang w:val="fr-CA"/>
        </w:rPr>
        <w:t>»,</w:t>
      </w:r>
      <w:r w:rsidRPr="0031513C">
        <w:rPr>
          <w:i/>
          <w:iCs/>
          <w:lang w:val="fr-CA"/>
        </w:rPr>
        <w:t xml:space="preserve"> L’Avenir National</w:t>
      </w:r>
      <w:r w:rsidRPr="0031513C">
        <w:rPr>
          <w:lang w:val="fr-CA"/>
        </w:rPr>
        <w:t>, 27 mai 1916, p.</w:t>
      </w:r>
      <w:r>
        <w:rPr>
          <w:lang w:val="fr-CA"/>
        </w:rPr>
        <w:t> </w:t>
      </w:r>
      <w:r w:rsidRPr="0031513C">
        <w:rPr>
          <w:lang w:val="fr-CA"/>
        </w:rPr>
        <w:t>10.</w:t>
      </w:r>
    </w:p>
  </w:footnote>
  <w:footnote w:id="196">
    <w:p w14:paraId="18C41B7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L’organisation se prépare à la défense du pays</w:t>
      </w:r>
      <w:r>
        <w:rPr>
          <w:lang w:val="fr-CA"/>
        </w:rPr>
        <w:t> </w:t>
      </w:r>
      <w:r w:rsidRPr="0031513C">
        <w:rPr>
          <w:lang w:val="fr-CA"/>
        </w:rPr>
        <w:t>»,</w:t>
      </w:r>
      <w:r w:rsidRPr="0031513C">
        <w:rPr>
          <w:i/>
          <w:iCs/>
          <w:lang w:val="fr-CA"/>
        </w:rPr>
        <w:t xml:space="preserve"> L’Avenir National</w:t>
      </w:r>
      <w:r w:rsidRPr="0031513C">
        <w:rPr>
          <w:lang w:val="fr-CA"/>
        </w:rPr>
        <w:t>, 20 mars 1917, p.</w:t>
      </w:r>
      <w:r>
        <w:rPr>
          <w:lang w:val="fr-CA"/>
        </w:rPr>
        <w:t> </w:t>
      </w:r>
      <w:r w:rsidRPr="0031513C">
        <w:rPr>
          <w:lang w:val="fr-CA"/>
        </w:rPr>
        <w:t>3</w:t>
      </w:r>
      <w:r>
        <w:rPr>
          <w:lang w:val="fr-CA"/>
        </w:rPr>
        <w:t> </w:t>
      </w:r>
      <w:r w:rsidRPr="0031513C">
        <w:rPr>
          <w:lang w:val="fr-CA"/>
        </w:rPr>
        <w:t>; «</w:t>
      </w:r>
      <w:r>
        <w:rPr>
          <w:lang w:val="fr-CA"/>
        </w:rPr>
        <w:t> </w:t>
      </w:r>
      <w:r w:rsidRPr="0031513C">
        <w:rPr>
          <w:lang w:val="fr-CA"/>
        </w:rPr>
        <w:t>Le New Hampshire dans le mouvement pour la défense nationale</w:t>
      </w:r>
      <w:r>
        <w:rPr>
          <w:lang w:val="fr-CA"/>
        </w:rPr>
        <w:t> </w:t>
      </w:r>
      <w:r w:rsidRPr="0031513C">
        <w:rPr>
          <w:lang w:val="fr-CA"/>
        </w:rPr>
        <w:t>»,</w:t>
      </w:r>
      <w:r w:rsidRPr="0031513C">
        <w:rPr>
          <w:i/>
          <w:iCs/>
          <w:lang w:val="fr-CA"/>
        </w:rPr>
        <w:t xml:space="preserve"> L’Avenir National</w:t>
      </w:r>
      <w:r w:rsidRPr="0031513C">
        <w:rPr>
          <w:lang w:val="fr-CA"/>
        </w:rPr>
        <w:t>, 22 mars 1917, p.</w:t>
      </w:r>
      <w:r>
        <w:rPr>
          <w:lang w:val="fr-CA"/>
        </w:rPr>
        <w:t> </w:t>
      </w:r>
      <w:r w:rsidRPr="0031513C">
        <w:rPr>
          <w:lang w:val="fr-CA"/>
        </w:rPr>
        <w:t>1.</w:t>
      </w:r>
    </w:p>
  </w:footnote>
  <w:footnote w:id="197">
    <w:p w14:paraId="365E6FF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L’appel de la Garde Nationale</w:t>
      </w:r>
      <w:r>
        <w:rPr>
          <w:lang w:val="fr-CA"/>
        </w:rPr>
        <w:t> </w:t>
      </w:r>
      <w:r w:rsidRPr="0031513C">
        <w:rPr>
          <w:lang w:val="fr-CA"/>
        </w:rPr>
        <w:t>»,</w:t>
      </w:r>
      <w:r w:rsidRPr="0031513C">
        <w:rPr>
          <w:i/>
          <w:iCs/>
          <w:lang w:val="fr-CA"/>
        </w:rPr>
        <w:t xml:space="preserve"> L’Avenir National</w:t>
      </w:r>
      <w:r w:rsidRPr="0031513C">
        <w:rPr>
          <w:lang w:val="fr-CA"/>
        </w:rPr>
        <w:t>, 30 mars 1917, p.</w:t>
      </w:r>
      <w:r>
        <w:rPr>
          <w:lang w:val="fr-CA"/>
        </w:rPr>
        <w:t> </w:t>
      </w:r>
      <w:r w:rsidRPr="0031513C">
        <w:rPr>
          <w:lang w:val="fr-CA"/>
        </w:rPr>
        <w:t>1</w:t>
      </w:r>
      <w:r>
        <w:rPr>
          <w:lang w:val="fr-CA"/>
        </w:rPr>
        <w:t> </w:t>
      </w:r>
      <w:r w:rsidRPr="0031513C">
        <w:rPr>
          <w:lang w:val="fr-CA"/>
        </w:rPr>
        <w:t>; «</w:t>
      </w:r>
      <w:r>
        <w:rPr>
          <w:lang w:val="fr-CA"/>
        </w:rPr>
        <w:t> </w:t>
      </w:r>
      <w:r w:rsidRPr="0031513C">
        <w:rPr>
          <w:lang w:val="fr-CA"/>
        </w:rPr>
        <w:t>Résolution patriotique du Conseil des Cent</w:t>
      </w:r>
      <w:r>
        <w:rPr>
          <w:lang w:val="fr-CA"/>
        </w:rPr>
        <w:t> </w:t>
      </w:r>
      <w:r w:rsidRPr="0031513C">
        <w:rPr>
          <w:lang w:val="fr-CA"/>
        </w:rPr>
        <w:t>»,</w:t>
      </w:r>
      <w:r w:rsidRPr="0031513C">
        <w:rPr>
          <w:i/>
          <w:iCs/>
          <w:lang w:val="fr-CA"/>
        </w:rPr>
        <w:t xml:space="preserve"> L’Avenir National</w:t>
      </w:r>
      <w:r w:rsidRPr="0031513C">
        <w:rPr>
          <w:lang w:val="fr-CA"/>
        </w:rPr>
        <w:t>, 31 mars 1917, p.</w:t>
      </w:r>
      <w:r>
        <w:rPr>
          <w:lang w:val="fr-CA"/>
        </w:rPr>
        <w:t> </w:t>
      </w:r>
      <w:r w:rsidRPr="0031513C">
        <w:rPr>
          <w:lang w:val="fr-CA"/>
        </w:rPr>
        <w:t>5.</w:t>
      </w:r>
    </w:p>
  </w:footnote>
  <w:footnote w:id="198">
    <w:p w14:paraId="5FFAE28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Notre ville affiche demain son patriotisme</w:t>
      </w:r>
      <w:r>
        <w:rPr>
          <w:lang w:val="fr-CA"/>
        </w:rPr>
        <w:t> </w:t>
      </w:r>
      <w:r w:rsidRPr="0031513C">
        <w:rPr>
          <w:lang w:val="fr-CA"/>
        </w:rPr>
        <w:t>»,</w:t>
      </w:r>
      <w:r w:rsidRPr="0031513C">
        <w:rPr>
          <w:i/>
          <w:iCs/>
          <w:lang w:val="fr-CA"/>
        </w:rPr>
        <w:t xml:space="preserve"> L’Avenir National</w:t>
      </w:r>
      <w:r w:rsidRPr="0031513C">
        <w:rPr>
          <w:lang w:val="fr-CA"/>
        </w:rPr>
        <w:t>, 22 mars 1917, p.</w:t>
      </w:r>
      <w:r>
        <w:rPr>
          <w:lang w:val="fr-CA"/>
        </w:rPr>
        <w:t> </w:t>
      </w:r>
      <w:r w:rsidRPr="0031513C">
        <w:rPr>
          <w:lang w:val="fr-CA"/>
        </w:rPr>
        <w:t>10</w:t>
      </w:r>
      <w:r>
        <w:rPr>
          <w:lang w:val="fr-CA"/>
        </w:rPr>
        <w:t> </w:t>
      </w:r>
      <w:r w:rsidRPr="0031513C">
        <w:rPr>
          <w:lang w:val="fr-CA"/>
        </w:rPr>
        <w:t>; «</w:t>
      </w:r>
      <w:r>
        <w:rPr>
          <w:lang w:val="fr-CA"/>
        </w:rPr>
        <w:t> </w:t>
      </w:r>
      <w:r w:rsidRPr="0031513C">
        <w:rPr>
          <w:lang w:val="fr-CA"/>
        </w:rPr>
        <w:t>La ville donne un bel exemple de patriotisme</w:t>
      </w:r>
      <w:r>
        <w:rPr>
          <w:lang w:val="fr-CA"/>
        </w:rPr>
        <w:t> </w:t>
      </w:r>
      <w:r w:rsidRPr="0031513C">
        <w:rPr>
          <w:lang w:val="fr-CA"/>
        </w:rPr>
        <w:t>»,</w:t>
      </w:r>
      <w:r w:rsidRPr="0031513C">
        <w:rPr>
          <w:i/>
          <w:iCs/>
          <w:lang w:val="fr-CA"/>
        </w:rPr>
        <w:t xml:space="preserve"> L’Avenir National</w:t>
      </w:r>
      <w:r w:rsidRPr="0031513C">
        <w:rPr>
          <w:lang w:val="fr-CA"/>
        </w:rPr>
        <w:t>, 2 avril 1917, p.</w:t>
      </w:r>
      <w:r>
        <w:rPr>
          <w:lang w:val="fr-CA"/>
        </w:rPr>
        <w:t> </w:t>
      </w:r>
      <w:r w:rsidRPr="0031513C">
        <w:rPr>
          <w:lang w:val="fr-CA"/>
        </w:rPr>
        <w:t>1.</w:t>
      </w:r>
    </w:p>
  </w:footnote>
  <w:footnote w:id="199">
    <w:p w14:paraId="36D10F90" w14:textId="77777777" w:rsidR="00D40D7C" w:rsidRPr="0031513C" w:rsidRDefault="00D40D7C" w:rsidP="00E9078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L’unique bureau de recrutement pour le N.H. ici</w:t>
      </w:r>
      <w:r>
        <w:rPr>
          <w:lang w:val="fr-CA"/>
        </w:rPr>
        <w:t> </w:t>
      </w:r>
      <w:r w:rsidRPr="0031513C">
        <w:rPr>
          <w:lang w:val="fr-CA"/>
        </w:rPr>
        <w:t>»,</w:t>
      </w:r>
      <w:r w:rsidRPr="0031513C">
        <w:rPr>
          <w:i/>
          <w:iCs/>
          <w:lang w:val="fr-CA"/>
        </w:rPr>
        <w:t xml:space="preserve"> L’Avenir National</w:t>
      </w:r>
      <w:r w:rsidRPr="0031513C">
        <w:rPr>
          <w:lang w:val="fr-CA"/>
        </w:rPr>
        <w:t>, 18 mars 1916, p.</w:t>
      </w:r>
      <w:r>
        <w:rPr>
          <w:lang w:val="fr-CA"/>
        </w:rPr>
        <w:t> </w:t>
      </w:r>
      <w:r w:rsidRPr="0031513C">
        <w:rPr>
          <w:lang w:val="fr-CA"/>
        </w:rPr>
        <w:t>10.</w:t>
      </w:r>
    </w:p>
  </w:footnote>
  <w:footnote w:id="200">
    <w:p w14:paraId="0D4EDBD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Faut des recrues pour notre armée</w:t>
      </w:r>
      <w:r>
        <w:rPr>
          <w:lang w:val="fr-CA"/>
        </w:rPr>
        <w:t>”</w:t>
      </w:r>
      <w:r w:rsidRPr="0031513C">
        <w:rPr>
          <w:lang w:val="fr-CA"/>
        </w:rPr>
        <w:t xml:space="preserve"> – Le Capt. Cordier</w:t>
      </w:r>
      <w:r>
        <w:rPr>
          <w:lang w:val="fr-CA"/>
        </w:rPr>
        <w:t> </w:t>
      </w:r>
      <w:r w:rsidRPr="0031513C">
        <w:rPr>
          <w:lang w:val="fr-CA"/>
        </w:rPr>
        <w:t>»,</w:t>
      </w:r>
      <w:r w:rsidRPr="0031513C">
        <w:rPr>
          <w:i/>
          <w:iCs/>
          <w:lang w:val="fr-CA"/>
        </w:rPr>
        <w:t xml:space="preserve"> L’Avenir National</w:t>
      </w:r>
      <w:r w:rsidRPr="0031513C">
        <w:rPr>
          <w:lang w:val="fr-CA"/>
        </w:rPr>
        <w:t>, 21 mars 1916, p.</w:t>
      </w:r>
      <w:r>
        <w:rPr>
          <w:lang w:val="fr-CA"/>
        </w:rPr>
        <w:t> </w:t>
      </w:r>
      <w:r w:rsidRPr="0031513C">
        <w:rPr>
          <w:lang w:val="fr-CA"/>
        </w:rPr>
        <w:t>10.</w:t>
      </w:r>
    </w:p>
  </w:footnote>
  <w:footnote w:id="201">
    <w:p w14:paraId="2554500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recrutement</w:t>
      </w:r>
      <w:r>
        <w:rPr>
          <w:lang w:val="fr-CA"/>
        </w:rPr>
        <w:t> </w:t>
      </w:r>
      <w:r w:rsidRPr="0031513C">
        <w:rPr>
          <w:lang w:val="fr-CA"/>
        </w:rPr>
        <w:t>»,</w:t>
      </w:r>
      <w:r w:rsidRPr="0031513C">
        <w:rPr>
          <w:i/>
          <w:iCs/>
          <w:lang w:val="fr-CA"/>
        </w:rPr>
        <w:t xml:space="preserve"> L’Avenir National</w:t>
      </w:r>
      <w:r w:rsidRPr="0031513C">
        <w:rPr>
          <w:lang w:val="fr-CA"/>
        </w:rPr>
        <w:t>, 27 mars 1916, p.</w:t>
      </w:r>
      <w:r>
        <w:rPr>
          <w:lang w:val="fr-CA"/>
        </w:rPr>
        <w:t> </w:t>
      </w:r>
      <w:r w:rsidRPr="0031513C">
        <w:rPr>
          <w:lang w:val="fr-CA"/>
        </w:rPr>
        <w:t>8.</w:t>
      </w:r>
    </w:p>
  </w:footnote>
  <w:footnote w:id="202">
    <w:p w14:paraId="2E8EC14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sergent Ward doit s’efforcer de recruter à Concord</w:t>
      </w:r>
      <w:r>
        <w:rPr>
          <w:lang w:val="fr-CA"/>
        </w:rPr>
        <w:t> </w:t>
      </w:r>
      <w:r w:rsidRPr="0031513C">
        <w:rPr>
          <w:lang w:val="fr-CA"/>
        </w:rPr>
        <w:t>»,</w:t>
      </w:r>
      <w:r w:rsidRPr="0031513C">
        <w:rPr>
          <w:i/>
          <w:iCs/>
          <w:lang w:val="fr-CA"/>
        </w:rPr>
        <w:t xml:space="preserve"> L’Avenir National</w:t>
      </w:r>
      <w:r w:rsidRPr="0031513C">
        <w:rPr>
          <w:lang w:val="fr-CA"/>
        </w:rPr>
        <w:t>, 31 mars 1916, p.</w:t>
      </w:r>
      <w:r>
        <w:rPr>
          <w:lang w:val="fr-CA"/>
        </w:rPr>
        <w:t> </w:t>
      </w:r>
      <w:r w:rsidRPr="0031513C">
        <w:rPr>
          <w:lang w:val="fr-CA"/>
        </w:rPr>
        <w:t>9</w:t>
      </w:r>
      <w:r>
        <w:rPr>
          <w:lang w:val="fr-CA"/>
        </w:rPr>
        <w:t> </w:t>
      </w:r>
      <w:r w:rsidRPr="0031513C">
        <w:rPr>
          <w:lang w:val="fr-CA"/>
        </w:rPr>
        <w:t>; «</w:t>
      </w:r>
      <w:r>
        <w:rPr>
          <w:lang w:val="fr-CA"/>
        </w:rPr>
        <w:t> </w:t>
      </w:r>
      <w:r w:rsidRPr="0031513C">
        <w:rPr>
          <w:lang w:val="fr-CA"/>
        </w:rPr>
        <w:t>Nouvelles recrues ont été acceptées</w:t>
      </w:r>
      <w:r>
        <w:rPr>
          <w:lang w:val="fr-CA"/>
        </w:rPr>
        <w:t> </w:t>
      </w:r>
      <w:r w:rsidRPr="0031513C">
        <w:rPr>
          <w:lang w:val="fr-CA"/>
        </w:rPr>
        <w:t>»,</w:t>
      </w:r>
      <w:r w:rsidRPr="0031513C">
        <w:rPr>
          <w:i/>
          <w:iCs/>
          <w:lang w:val="fr-CA"/>
        </w:rPr>
        <w:t xml:space="preserve"> L’Avenir National</w:t>
      </w:r>
      <w:r w:rsidRPr="0031513C">
        <w:rPr>
          <w:lang w:val="fr-CA"/>
        </w:rPr>
        <w:t>, 16 mars 1917, p.</w:t>
      </w:r>
      <w:r>
        <w:rPr>
          <w:lang w:val="fr-CA"/>
        </w:rPr>
        <w:t> </w:t>
      </w:r>
      <w:r w:rsidRPr="0031513C">
        <w:rPr>
          <w:lang w:val="fr-CA"/>
        </w:rPr>
        <w:t>5.</w:t>
      </w:r>
    </w:p>
  </w:footnote>
  <w:footnote w:id="203">
    <w:p w14:paraId="3598DAF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Nouvelle recrue de Manchester au fort Slocum, N.Y</w:t>
      </w:r>
      <w:r>
        <w:rPr>
          <w:lang w:val="fr-CA"/>
        </w:rPr>
        <w:t> </w:t>
      </w:r>
      <w:r w:rsidRPr="0031513C">
        <w:rPr>
          <w:lang w:val="fr-CA"/>
        </w:rPr>
        <w:t>»,</w:t>
      </w:r>
      <w:r w:rsidRPr="0031513C">
        <w:rPr>
          <w:i/>
          <w:iCs/>
          <w:lang w:val="fr-CA"/>
        </w:rPr>
        <w:t xml:space="preserve"> L’Avenir National</w:t>
      </w:r>
      <w:r w:rsidRPr="0031513C">
        <w:rPr>
          <w:lang w:val="fr-CA"/>
        </w:rPr>
        <w:t>, 11 juillet 1916, p.</w:t>
      </w:r>
      <w:r>
        <w:rPr>
          <w:lang w:val="fr-CA"/>
        </w:rPr>
        <w:t> </w:t>
      </w:r>
      <w:r w:rsidRPr="0031513C">
        <w:rPr>
          <w:lang w:val="fr-CA"/>
        </w:rPr>
        <w:t>5</w:t>
      </w:r>
      <w:r>
        <w:rPr>
          <w:lang w:val="fr-CA"/>
        </w:rPr>
        <w:t> </w:t>
      </w:r>
      <w:r w:rsidRPr="0031513C">
        <w:rPr>
          <w:lang w:val="fr-CA"/>
        </w:rPr>
        <w:t>; «</w:t>
      </w:r>
      <w:r>
        <w:rPr>
          <w:lang w:val="fr-CA"/>
        </w:rPr>
        <w:t> </w:t>
      </w:r>
      <w:r w:rsidRPr="0031513C">
        <w:rPr>
          <w:lang w:val="fr-CA"/>
        </w:rPr>
        <w:t>Sur deux recrues nouvelles une est acceptée au camp, N.Y</w:t>
      </w:r>
      <w:r>
        <w:rPr>
          <w:lang w:val="fr-CA"/>
        </w:rPr>
        <w:t> </w:t>
      </w:r>
      <w:r w:rsidRPr="0031513C">
        <w:rPr>
          <w:lang w:val="fr-CA"/>
        </w:rPr>
        <w:t>»,</w:t>
      </w:r>
      <w:r w:rsidRPr="0031513C">
        <w:rPr>
          <w:i/>
          <w:iCs/>
          <w:lang w:val="fr-CA"/>
        </w:rPr>
        <w:t xml:space="preserve"> L’Avenir National</w:t>
      </w:r>
      <w:r w:rsidRPr="0031513C">
        <w:rPr>
          <w:lang w:val="fr-CA"/>
        </w:rPr>
        <w:t>, 11 juillet 1916, p.</w:t>
      </w:r>
      <w:r>
        <w:rPr>
          <w:lang w:val="fr-CA"/>
        </w:rPr>
        <w:t> </w:t>
      </w:r>
      <w:r w:rsidRPr="0031513C">
        <w:rPr>
          <w:lang w:val="fr-CA"/>
        </w:rPr>
        <w:t>5</w:t>
      </w:r>
    </w:p>
  </w:footnote>
  <w:footnote w:id="204">
    <w:p w14:paraId="4415155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L’offre généreuse de la cie A’skeag ferait des recrues</w:t>
      </w:r>
      <w:r>
        <w:rPr>
          <w:lang w:val="fr-CA"/>
        </w:rPr>
        <w:t> </w:t>
      </w:r>
      <w:r w:rsidRPr="0031513C">
        <w:rPr>
          <w:lang w:val="fr-CA"/>
        </w:rPr>
        <w:t>»,</w:t>
      </w:r>
      <w:r w:rsidRPr="0031513C">
        <w:rPr>
          <w:i/>
          <w:iCs/>
          <w:lang w:val="fr-CA"/>
        </w:rPr>
        <w:t xml:space="preserve"> L’Avenir National</w:t>
      </w:r>
      <w:r w:rsidRPr="0031513C">
        <w:rPr>
          <w:lang w:val="fr-CA"/>
        </w:rPr>
        <w:t>, 28 juin 1916, p.</w:t>
      </w:r>
      <w:r>
        <w:rPr>
          <w:lang w:val="fr-CA"/>
        </w:rPr>
        <w:t> </w:t>
      </w:r>
      <w:r w:rsidRPr="0031513C">
        <w:rPr>
          <w:lang w:val="fr-CA"/>
        </w:rPr>
        <w:t>10.</w:t>
      </w:r>
    </w:p>
  </w:footnote>
  <w:footnote w:id="205">
    <w:p w14:paraId="77E07BC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Canados et le service militaire</w:t>
      </w:r>
      <w:r>
        <w:rPr>
          <w:lang w:val="fr-CA"/>
        </w:rPr>
        <w:t> </w:t>
      </w:r>
      <w:r w:rsidRPr="0031513C">
        <w:rPr>
          <w:lang w:val="fr-CA"/>
        </w:rPr>
        <w:t>»,</w:t>
      </w:r>
      <w:r w:rsidRPr="0031513C">
        <w:rPr>
          <w:i/>
          <w:iCs/>
          <w:lang w:val="fr-CA"/>
        </w:rPr>
        <w:t xml:space="preserve"> L’Avenir National</w:t>
      </w:r>
      <w:r w:rsidRPr="0031513C">
        <w:rPr>
          <w:lang w:val="fr-CA"/>
        </w:rPr>
        <w:t>, 5 juillet 1916, p.</w:t>
      </w:r>
      <w:r>
        <w:rPr>
          <w:lang w:val="fr-CA"/>
        </w:rPr>
        <w:t> </w:t>
      </w:r>
      <w:r w:rsidRPr="0031513C">
        <w:rPr>
          <w:lang w:val="fr-CA"/>
        </w:rPr>
        <w:t>16.</w:t>
      </w:r>
    </w:p>
  </w:footnote>
  <w:footnote w:id="206">
    <w:p w14:paraId="79F86A16" w14:textId="77777777" w:rsidR="00D40D7C" w:rsidRPr="0031513C" w:rsidRDefault="00D40D7C" w:rsidP="007F2A32">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milice attend l’ordre de partir pour la frontière</w:t>
      </w:r>
      <w:r>
        <w:rPr>
          <w:lang w:val="fr-CA"/>
        </w:rPr>
        <w:t> </w:t>
      </w:r>
      <w:r w:rsidRPr="0031513C">
        <w:rPr>
          <w:lang w:val="fr-CA"/>
        </w:rPr>
        <w:t>»,</w:t>
      </w:r>
      <w:r w:rsidRPr="0031513C">
        <w:rPr>
          <w:i/>
          <w:iCs/>
          <w:lang w:val="fr-CA"/>
        </w:rPr>
        <w:t xml:space="preserve"> L’Avenir National</w:t>
      </w:r>
      <w:r w:rsidRPr="0031513C">
        <w:rPr>
          <w:lang w:val="fr-CA"/>
        </w:rPr>
        <w:t>, 12 juillet 1916, p.</w:t>
      </w:r>
      <w:r>
        <w:rPr>
          <w:lang w:val="fr-CA"/>
        </w:rPr>
        <w:t> </w:t>
      </w:r>
      <w:r w:rsidRPr="0031513C">
        <w:rPr>
          <w:lang w:val="fr-CA"/>
        </w:rPr>
        <w:t>10.</w:t>
      </w:r>
    </w:p>
  </w:footnote>
  <w:footnote w:id="207">
    <w:p w14:paraId="4A0AB93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recrutement se fait graduellement au 1</w:t>
      </w:r>
      <w:r w:rsidRPr="0031513C">
        <w:rPr>
          <w:vertAlign w:val="superscript"/>
          <w:lang w:val="fr-CA"/>
        </w:rPr>
        <w:t>er</w:t>
      </w:r>
      <w:r w:rsidRPr="0031513C">
        <w:rPr>
          <w:lang w:val="fr-CA"/>
        </w:rPr>
        <w:t xml:space="preserve"> régiment</w:t>
      </w:r>
      <w:r>
        <w:rPr>
          <w:lang w:val="fr-CA"/>
        </w:rPr>
        <w:t> </w:t>
      </w:r>
      <w:r w:rsidRPr="0031513C">
        <w:rPr>
          <w:lang w:val="fr-CA"/>
        </w:rPr>
        <w:t>»,</w:t>
      </w:r>
      <w:r w:rsidRPr="0031513C">
        <w:rPr>
          <w:i/>
          <w:iCs/>
          <w:lang w:val="fr-CA"/>
        </w:rPr>
        <w:t xml:space="preserve"> L’Avenir National</w:t>
      </w:r>
      <w:r w:rsidRPr="0031513C">
        <w:rPr>
          <w:lang w:val="fr-CA"/>
        </w:rPr>
        <w:t>, 3 juillet 1916, p.</w:t>
      </w:r>
      <w:r>
        <w:rPr>
          <w:lang w:val="fr-CA"/>
        </w:rPr>
        <w:t> </w:t>
      </w:r>
      <w:r w:rsidRPr="0031513C">
        <w:rPr>
          <w:lang w:val="fr-CA"/>
        </w:rPr>
        <w:t>1</w:t>
      </w:r>
      <w:r>
        <w:rPr>
          <w:lang w:val="fr-CA"/>
        </w:rPr>
        <w:t> </w:t>
      </w:r>
      <w:r w:rsidRPr="0031513C">
        <w:rPr>
          <w:lang w:val="fr-CA"/>
        </w:rPr>
        <w:t>; «</w:t>
      </w:r>
      <w:r>
        <w:rPr>
          <w:lang w:val="fr-CA"/>
        </w:rPr>
        <w:t> </w:t>
      </w:r>
      <w:r w:rsidRPr="0031513C">
        <w:rPr>
          <w:lang w:val="fr-CA"/>
        </w:rPr>
        <w:t>Les recrues sont plus nombreuses au 1</w:t>
      </w:r>
      <w:r w:rsidRPr="0031513C">
        <w:rPr>
          <w:vertAlign w:val="superscript"/>
          <w:lang w:val="fr-CA"/>
        </w:rPr>
        <w:t>er</w:t>
      </w:r>
      <w:r w:rsidRPr="0031513C">
        <w:rPr>
          <w:lang w:val="fr-CA"/>
        </w:rPr>
        <w:t xml:space="preserve"> régiment</w:t>
      </w:r>
      <w:r>
        <w:rPr>
          <w:lang w:val="fr-CA"/>
        </w:rPr>
        <w:t> </w:t>
      </w:r>
      <w:r w:rsidRPr="0031513C">
        <w:rPr>
          <w:lang w:val="fr-CA"/>
        </w:rPr>
        <w:t>»,</w:t>
      </w:r>
      <w:r w:rsidRPr="0031513C">
        <w:rPr>
          <w:i/>
          <w:iCs/>
          <w:lang w:val="fr-CA"/>
        </w:rPr>
        <w:t xml:space="preserve"> L’Avenir National</w:t>
      </w:r>
      <w:r w:rsidRPr="0031513C">
        <w:rPr>
          <w:lang w:val="fr-CA"/>
        </w:rPr>
        <w:t>, 6 juillet 1916, p.</w:t>
      </w:r>
      <w:r>
        <w:rPr>
          <w:lang w:val="fr-CA"/>
        </w:rPr>
        <w:t> </w:t>
      </w:r>
      <w:r w:rsidRPr="0031513C">
        <w:rPr>
          <w:lang w:val="fr-CA"/>
        </w:rPr>
        <w:t>3</w:t>
      </w:r>
      <w:r>
        <w:rPr>
          <w:lang w:val="fr-CA"/>
        </w:rPr>
        <w:t> </w:t>
      </w:r>
      <w:r w:rsidRPr="0031513C">
        <w:rPr>
          <w:lang w:val="fr-CA"/>
        </w:rPr>
        <w:t>; «</w:t>
      </w:r>
      <w:r>
        <w:rPr>
          <w:lang w:val="fr-CA"/>
        </w:rPr>
        <w:t> </w:t>
      </w:r>
      <w:r w:rsidRPr="0031513C">
        <w:rPr>
          <w:lang w:val="fr-CA"/>
        </w:rPr>
        <w:t>Le 1</w:t>
      </w:r>
      <w:r w:rsidRPr="0031513C">
        <w:rPr>
          <w:vertAlign w:val="superscript"/>
          <w:lang w:val="fr-CA"/>
        </w:rPr>
        <w:t>er</w:t>
      </w:r>
      <w:r w:rsidRPr="0031513C">
        <w:rPr>
          <w:lang w:val="fr-CA"/>
        </w:rPr>
        <w:t xml:space="preserve"> régiment du N. Hampshire va partir lundi</w:t>
      </w:r>
      <w:r>
        <w:rPr>
          <w:lang w:val="fr-CA"/>
        </w:rPr>
        <w:t> </w:t>
      </w:r>
      <w:r w:rsidRPr="0031513C">
        <w:rPr>
          <w:lang w:val="fr-CA"/>
        </w:rPr>
        <w:t>»,</w:t>
      </w:r>
      <w:r w:rsidRPr="0031513C">
        <w:rPr>
          <w:i/>
          <w:iCs/>
          <w:lang w:val="fr-CA"/>
        </w:rPr>
        <w:t xml:space="preserve"> L’Avenir National</w:t>
      </w:r>
      <w:r w:rsidRPr="0031513C">
        <w:rPr>
          <w:lang w:val="fr-CA"/>
        </w:rPr>
        <w:t>, 8 juillet 1916, p.</w:t>
      </w:r>
      <w:r>
        <w:rPr>
          <w:lang w:val="fr-CA"/>
        </w:rPr>
        <w:t> </w:t>
      </w:r>
      <w:r w:rsidRPr="0031513C">
        <w:rPr>
          <w:lang w:val="fr-CA"/>
        </w:rPr>
        <w:t>1</w:t>
      </w:r>
      <w:r>
        <w:rPr>
          <w:lang w:val="fr-CA"/>
        </w:rPr>
        <w:t> </w:t>
      </w:r>
      <w:r w:rsidRPr="0031513C">
        <w:rPr>
          <w:lang w:val="fr-CA"/>
        </w:rPr>
        <w:t>; «</w:t>
      </w:r>
      <w:r>
        <w:rPr>
          <w:lang w:val="fr-CA"/>
        </w:rPr>
        <w:t> </w:t>
      </w:r>
      <w:r w:rsidRPr="0031513C">
        <w:rPr>
          <w:lang w:val="fr-CA"/>
        </w:rPr>
        <w:t>La milice attend l’ordre de partir pour la frontière</w:t>
      </w:r>
      <w:r>
        <w:rPr>
          <w:lang w:val="fr-CA"/>
        </w:rPr>
        <w:t> </w:t>
      </w:r>
      <w:r w:rsidRPr="0031513C">
        <w:rPr>
          <w:lang w:val="fr-CA"/>
        </w:rPr>
        <w:t>»,</w:t>
      </w:r>
      <w:r w:rsidRPr="0031513C">
        <w:rPr>
          <w:i/>
          <w:iCs/>
          <w:lang w:val="fr-CA"/>
        </w:rPr>
        <w:t xml:space="preserve"> L’Avenir National</w:t>
      </w:r>
      <w:r w:rsidRPr="0031513C">
        <w:rPr>
          <w:lang w:val="fr-CA"/>
        </w:rPr>
        <w:t>, 12 juillet 1916, p.</w:t>
      </w:r>
      <w:r>
        <w:rPr>
          <w:lang w:val="fr-CA"/>
        </w:rPr>
        <w:t> </w:t>
      </w:r>
      <w:r w:rsidRPr="0031513C">
        <w:rPr>
          <w:lang w:val="fr-CA"/>
        </w:rPr>
        <w:t>10.</w:t>
      </w:r>
    </w:p>
  </w:footnote>
  <w:footnote w:id="208">
    <w:p w14:paraId="18704A2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Régiment du N. H. partira pour les frontières à 1 P.M</w:t>
      </w:r>
      <w:r>
        <w:rPr>
          <w:lang w:val="fr-CA"/>
        </w:rPr>
        <w:t> </w:t>
      </w:r>
      <w:r w:rsidRPr="0031513C">
        <w:rPr>
          <w:lang w:val="fr-CA"/>
        </w:rPr>
        <w:t>»,</w:t>
      </w:r>
      <w:r w:rsidRPr="0031513C">
        <w:rPr>
          <w:i/>
          <w:iCs/>
          <w:lang w:val="fr-CA"/>
        </w:rPr>
        <w:t xml:space="preserve"> L’Avenir National</w:t>
      </w:r>
      <w:r w:rsidRPr="0031513C">
        <w:rPr>
          <w:lang w:val="fr-CA"/>
        </w:rPr>
        <w:t>, 15 juillet 1916, p.</w:t>
      </w:r>
      <w:r>
        <w:rPr>
          <w:lang w:val="fr-CA"/>
        </w:rPr>
        <w:t> </w:t>
      </w:r>
      <w:r w:rsidRPr="0031513C">
        <w:rPr>
          <w:lang w:val="fr-CA"/>
        </w:rPr>
        <w:t>10</w:t>
      </w:r>
      <w:r>
        <w:rPr>
          <w:lang w:val="fr-CA"/>
        </w:rPr>
        <w:t> </w:t>
      </w:r>
      <w:r w:rsidRPr="0031513C">
        <w:rPr>
          <w:lang w:val="fr-CA"/>
        </w:rPr>
        <w:t>; «</w:t>
      </w:r>
      <w:r>
        <w:rPr>
          <w:lang w:val="fr-CA"/>
        </w:rPr>
        <w:t> </w:t>
      </w:r>
      <w:r w:rsidRPr="0031513C">
        <w:rPr>
          <w:lang w:val="fr-CA"/>
        </w:rPr>
        <w:t>98,000 miliciens aux frontières</w:t>
      </w:r>
      <w:r>
        <w:rPr>
          <w:lang w:val="fr-CA"/>
        </w:rPr>
        <w:t> </w:t>
      </w:r>
      <w:r w:rsidRPr="0031513C">
        <w:rPr>
          <w:lang w:val="fr-CA"/>
        </w:rPr>
        <w:t>»,</w:t>
      </w:r>
      <w:r w:rsidRPr="0031513C">
        <w:rPr>
          <w:i/>
          <w:iCs/>
          <w:lang w:val="fr-CA"/>
        </w:rPr>
        <w:t xml:space="preserve"> L’Avenir National</w:t>
      </w:r>
      <w:r w:rsidRPr="0031513C">
        <w:rPr>
          <w:lang w:val="fr-CA"/>
        </w:rPr>
        <w:t>, 18 juillet 1916, p.</w:t>
      </w:r>
      <w:r>
        <w:rPr>
          <w:lang w:val="fr-CA"/>
        </w:rPr>
        <w:t> </w:t>
      </w:r>
      <w:r w:rsidRPr="0031513C">
        <w:rPr>
          <w:lang w:val="fr-CA"/>
        </w:rPr>
        <w:t>1.</w:t>
      </w:r>
    </w:p>
  </w:footnote>
  <w:footnote w:id="209">
    <w:p w14:paraId="26D86A9E" w14:textId="77777777" w:rsidR="00D40D7C" w:rsidRPr="0031513C" w:rsidRDefault="00D40D7C" w:rsidP="00B24226">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conscription militaire</w:t>
      </w:r>
      <w:r>
        <w:rPr>
          <w:lang w:val="fr-CA"/>
        </w:rPr>
        <w:t> </w:t>
      </w:r>
      <w:r w:rsidRPr="0031513C">
        <w:rPr>
          <w:lang w:val="fr-CA"/>
        </w:rPr>
        <w:t>»,</w:t>
      </w:r>
      <w:r w:rsidRPr="0031513C">
        <w:rPr>
          <w:i/>
          <w:iCs/>
          <w:lang w:val="fr-CA"/>
        </w:rPr>
        <w:t xml:space="preserve"> L’Avenir National</w:t>
      </w:r>
      <w:r w:rsidRPr="0031513C">
        <w:rPr>
          <w:lang w:val="fr-CA"/>
        </w:rPr>
        <w:t>, 26 décembre 1916, p.</w:t>
      </w:r>
      <w:r>
        <w:rPr>
          <w:lang w:val="fr-CA"/>
        </w:rPr>
        <w:t> </w:t>
      </w:r>
      <w:r w:rsidRPr="0031513C">
        <w:rPr>
          <w:lang w:val="fr-CA"/>
        </w:rPr>
        <w:t>4.</w:t>
      </w:r>
    </w:p>
  </w:footnote>
  <w:footnote w:id="210">
    <w:p w14:paraId="577F03B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4.</w:t>
      </w:r>
    </w:p>
  </w:footnote>
  <w:footnote w:id="211">
    <w:p w14:paraId="3EBD846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4.</w:t>
      </w:r>
    </w:p>
  </w:footnote>
  <w:footnote w:id="212">
    <w:p w14:paraId="078D3ADD"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 xml:space="preserve">Les </w:t>
      </w:r>
      <w:r>
        <w:rPr>
          <w:lang w:val="fr-CA"/>
        </w:rPr>
        <w:t>Canadiens français</w:t>
      </w:r>
      <w:r w:rsidRPr="0031513C">
        <w:rPr>
          <w:lang w:val="fr-CA"/>
        </w:rPr>
        <w:t xml:space="preserve"> et la guerre</w:t>
      </w:r>
      <w:r>
        <w:rPr>
          <w:lang w:val="fr-CA"/>
        </w:rPr>
        <w:t> </w:t>
      </w:r>
      <w:r w:rsidRPr="0031513C">
        <w:rPr>
          <w:lang w:val="fr-CA"/>
        </w:rPr>
        <w:t>»,</w:t>
      </w:r>
      <w:r w:rsidRPr="0031513C">
        <w:rPr>
          <w:i/>
          <w:iCs/>
          <w:lang w:val="fr-CA"/>
        </w:rPr>
        <w:t xml:space="preserve"> L’Avenir National</w:t>
      </w:r>
      <w:r w:rsidRPr="0031513C">
        <w:rPr>
          <w:lang w:val="fr-CA"/>
        </w:rPr>
        <w:t>, 27 décembre 1916, p.</w:t>
      </w:r>
      <w:r>
        <w:rPr>
          <w:lang w:val="fr-CA"/>
        </w:rPr>
        <w:t> </w:t>
      </w:r>
      <w:r w:rsidRPr="0031513C">
        <w:rPr>
          <w:lang w:val="fr-CA"/>
        </w:rPr>
        <w:t>9.</w:t>
      </w:r>
    </w:p>
  </w:footnote>
  <w:footnote w:id="213">
    <w:p w14:paraId="5017E2C9" w14:textId="77777777" w:rsidR="00D40D7C" w:rsidRPr="0031513C" w:rsidRDefault="00D40D7C" w:rsidP="00CF7BEA">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Ce que sera l</w:t>
      </w:r>
      <w:r>
        <w:rPr>
          <w:lang w:val="fr-CA"/>
        </w:rPr>
        <w:t>e</w:t>
      </w:r>
      <w:r w:rsidRPr="0031513C">
        <w:rPr>
          <w:lang w:val="fr-CA"/>
        </w:rPr>
        <w:t xml:space="preserve"> 2</w:t>
      </w:r>
      <w:r w:rsidRPr="0031513C">
        <w:rPr>
          <w:vertAlign w:val="superscript"/>
          <w:lang w:val="fr-CA"/>
        </w:rPr>
        <w:t>e</w:t>
      </w:r>
      <w:r w:rsidRPr="0031513C">
        <w:rPr>
          <w:lang w:val="fr-CA"/>
        </w:rPr>
        <w:t xml:space="preserve"> contingent canadien</w:t>
      </w:r>
      <w:r>
        <w:rPr>
          <w:lang w:val="fr-CA"/>
        </w:rPr>
        <w:t> </w:t>
      </w:r>
      <w:r w:rsidRPr="0031513C">
        <w:rPr>
          <w:lang w:val="fr-CA"/>
        </w:rPr>
        <w:t>»,</w:t>
      </w:r>
      <w:r w:rsidRPr="0031513C">
        <w:rPr>
          <w:i/>
          <w:iCs/>
          <w:lang w:val="fr-CA"/>
        </w:rPr>
        <w:t xml:space="preserve"> L’Avenir National</w:t>
      </w:r>
      <w:r w:rsidRPr="0031513C">
        <w:rPr>
          <w:lang w:val="fr-CA"/>
        </w:rPr>
        <w:t>, 6 octobre 1914. p.</w:t>
      </w:r>
      <w:r>
        <w:rPr>
          <w:lang w:val="fr-CA"/>
        </w:rPr>
        <w:t> </w:t>
      </w:r>
      <w:r w:rsidRPr="0031513C">
        <w:rPr>
          <w:lang w:val="fr-CA"/>
        </w:rPr>
        <w:t>3</w:t>
      </w:r>
      <w:r>
        <w:rPr>
          <w:lang w:val="fr-CA"/>
        </w:rPr>
        <w:t> </w:t>
      </w:r>
      <w:r w:rsidRPr="0031513C">
        <w:rPr>
          <w:lang w:val="fr-CA"/>
        </w:rPr>
        <w:t>; «</w:t>
      </w:r>
      <w:r>
        <w:rPr>
          <w:lang w:val="fr-CA"/>
        </w:rPr>
        <w:t> </w:t>
      </w:r>
      <w:r w:rsidRPr="0031513C">
        <w:rPr>
          <w:lang w:val="fr-CA"/>
        </w:rPr>
        <w:t>Le Canada et la guerre</w:t>
      </w:r>
      <w:r>
        <w:rPr>
          <w:lang w:val="fr-CA"/>
        </w:rPr>
        <w:t> </w:t>
      </w:r>
      <w:r w:rsidRPr="0031513C">
        <w:rPr>
          <w:lang w:val="fr-CA"/>
        </w:rPr>
        <w:t>»,</w:t>
      </w:r>
      <w:r w:rsidRPr="0031513C">
        <w:rPr>
          <w:i/>
          <w:iCs/>
          <w:lang w:val="fr-CA"/>
        </w:rPr>
        <w:t xml:space="preserve"> L’Avenir National</w:t>
      </w:r>
      <w:r w:rsidRPr="0031513C">
        <w:rPr>
          <w:lang w:val="fr-CA"/>
        </w:rPr>
        <w:t>, 9 octobre 1914. p.</w:t>
      </w:r>
      <w:r>
        <w:rPr>
          <w:lang w:val="fr-CA"/>
        </w:rPr>
        <w:t> </w:t>
      </w:r>
      <w:r w:rsidRPr="0031513C">
        <w:rPr>
          <w:lang w:val="fr-CA"/>
        </w:rPr>
        <w:t>3.</w:t>
      </w:r>
    </w:p>
  </w:footnote>
  <w:footnote w:id="214">
    <w:p w14:paraId="3F642331" w14:textId="77777777" w:rsidR="00D40D7C" w:rsidRPr="0031513C" w:rsidRDefault="00D40D7C" w:rsidP="00C15738">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3 nouveaux bataillons</w:t>
      </w:r>
      <w:r>
        <w:rPr>
          <w:lang w:val="fr-CA"/>
        </w:rPr>
        <w:t> </w:t>
      </w:r>
      <w:r w:rsidRPr="0031513C">
        <w:rPr>
          <w:lang w:val="fr-CA"/>
        </w:rPr>
        <w:t>»,</w:t>
      </w:r>
      <w:r w:rsidRPr="0031513C">
        <w:rPr>
          <w:i/>
          <w:iCs/>
          <w:lang w:val="fr-CA"/>
        </w:rPr>
        <w:t xml:space="preserve"> L’Avenir National</w:t>
      </w:r>
      <w:r w:rsidRPr="0031513C">
        <w:rPr>
          <w:lang w:val="fr-CA"/>
        </w:rPr>
        <w:t>, 1 juillet 1915, p.</w:t>
      </w:r>
      <w:r>
        <w:rPr>
          <w:lang w:val="fr-CA"/>
        </w:rPr>
        <w:t> </w:t>
      </w:r>
      <w:r w:rsidRPr="0031513C">
        <w:rPr>
          <w:lang w:val="fr-CA"/>
        </w:rPr>
        <w:t>3</w:t>
      </w:r>
    </w:p>
  </w:footnote>
  <w:footnote w:id="215">
    <w:p w14:paraId="7FA6F76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Brigade d’artillerie recrut</w:t>
      </w:r>
      <w:r>
        <w:rPr>
          <w:lang w:val="fr-CA"/>
        </w:rPr>
        <w:t>e</w:t>
      </w:r>
      <w:r w:rsidRPr="0031513C">
        <w:rPr>
          <w:lang w:val="fr-CA"/>
        </w:rPr>
        <w:t xml:space="preserve"> à Québec</w:t>
      </w:r>
      <w:r>
        <w:rPr>
          <w:lang w:val="fr-CA"/>
        </w:rPr>
        <w:t> </w:t>
      </w:r>
      <w:r w:rsidRPr="0031513C">
        <w:rPr>
          <w:lang w:val="fr-CA"/>
        </w:rPr>
        <w:t>»,</w:t>
      </w:r>
      <w:r w:rsidRPr="0031513C">
        <w:rPr>
          <w:i/>
          <w:iCs/>
          <w:lang w:val="fr-CA"/>
        </w:rPr>
        <w:t xml:space="preserve"> L’Avenir National</w:t>
      </w:r>
      <w:r w:rsidRPr="0031513C">
        <w:rPr>
          <w:lang w:val="fr-CA"/>
        </w:rPr>
        <w:t>, 14 février 1916, p.</w:t>
      </w:r>
      <w:r>
        <w:rPr>
          <w:lang w:val="fr-CA"/>
        </w:rPr>
        <w:t> </w:t>
      </w:r>
      <w:r w:rsidRPr="0031513C">
        <w:rPr>
          <w:lang w:val="fr-CA"/>
        </w:rPr>
        <w:t>4</w:t>
      </w:r>
    </w:p>
  </w:footnote>
  <w:footnote w:id="216">
    <w:p w14:paraId="436DF3C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Chicoutimi parlera de recrutement</w:t>
      </w:r>
      <w:r>
        <w:rPr>
          <w:lang w:val="fr-CA"/>
        </w:rPr>
        <w:t> </w:t>
      </w:r>
      <w:r w:rsidRPr="0031513C">
        <w:rPr>
          <w:lang w:val="fr-CA"/>
        </w:rPr>
        <w:t>»,</w:t>
      </w:r>
      <w:r w:rsidRPr="0031513C">
        <w:rPr>
          <w:i/>
          <w:iCs/>
          <w:lang w:val="fr-CA"/>
        </w:rPr>
        <w:t xml:space="preserve"> L’Avenir National</w:t>
      </w:r>
      <w:r w:rsidRPr="0031513C">
        <w:rPr>
          <w:lang w:val="fr-CA"/>
        </w:rPr>
        <w:t>, 16 février 1916, p.</w:t>
      </w:r>
      <w:r>
        <w:rPr>
          <w:lang w:val="fr-CA"/>
        </w:rPr>
        <w:t> </w:t>
      </w:r>
      <w:r w:rsidRPr="0031513C">
        <w:rPr>
          <w:lang w:val="fr-CA"/>
        </w:rPr>
        <w:t>1.</w:t>
      </w:r>
    </w:p>
  </w:footnote>
  <w:footnote w:id="217">
    <w:p w14:paraId="6C2DC62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recrutement dans Chicoutimi</w:t>
      </w:r>
      <w:r>
        <w:rPr>
          <w:lang w:val="fr-CA"/>
        </w:rPr>
        <w:t> </w:t>
      </w:r>
      <w:r w:rsidRPr="0031513C">
        <w:rPr>
          <w:lang w:val="fr-CA"/>
        </w:rPr>
        <w:t>»,</w:t>
      </w:r>
      <w:r w:rsidRPr="0031513C">
        <w:rPr>
          <w:i/>
          <w:iCs/>
          <w:lang w:val="fr-CA"/>
        </w:rPr>
        <w:t xml:space="preserve"> L’Avenir National</w:t>
      </w:r>
      <w:r w:rsidRPr="0031513C">
        <w:rPr>
          <w:lang w:val="fr-CA"/>
        </w:rPr>
        <w:t>, 23 mars 1916, p.</w:t>
      </w:r>
      <w:r>
        <w:rPr>
          <w:lang w:val="fr-CA"/>
        </w:rPr>
        <w:t> </w:t>
      </w:r>
      <w:r w:rsidRPr="0031513C">
        <w:rPr>
          <w:lang w:val="fr-CA"/>
        </w:rPr>
        <w:t>2.</w:t>
      </w:r>
    </w:p>
  </w:footnote>
  <w:footnote w:id="218">
    <w:p w14:paraId="33187E9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Canadiens</w:t>
      </w:r>
      <w:r>
        <w:rPr>
          <w:lang w:val="fr-CA"/>
        </w:rPr>
        <w:t xml:space="preserve"> </w:t>
      </w:r>
      <w:r w:rsidRPr="0031513C">
        <w:rPr>
          <w:lang w:val="fr-CA"/>
        </w:rPr>
        <w:t>français font leur part</w:t>
      </w:r>
      <w:r>
        <w:rPr>
          <w:lang w:val="fr-CA"/>
        </w:rPr>
        <w:t> </w:t>
      </w:r>
      <w:r w:rsidRPr="0031513C">
        <w:rPr>
          <w:lang w:val="fr-CA"/>
        </w:rPr>
        <w:t>»,</w:t>
      </w:r>
      <w:r w:rsidRPr="0031513C">
        <w:rPr>
          <w:i/>
          <w:iCs/>
          <w:lang w:val="fr-CA"/>
        </w:rPr>
        <w:t xml:space="preserve"> L’Avenir National</w:t>
      </w:r>
      <w:r w:rsidRPr="0031513C">
        <w:rPr>
          <w:lang w:val="fr-CA"/>
        </w:rPr>
        <w:t>, 20 novembre 1915, p.</w:t>
      </w:r>
      <w:r>
        <w:rPr>
          <w:lang w:val="fr-CA"/>
        </w:rPr>
        <w:t> </w:t>
      </w:r>
      <w:r w:rsidRPr="0031513C">
        <w:rPr>
          <w:lang w:val="fr-CA"/>
        </w:rPr>
        <w:t>6.</w:t>
      </w:r>
    </w:p>
  </w:footnote>
  <w:footnote w:id="219">
    <w:p w14:paraId="4DBE5E5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loyauté des Canadiens</w:t>
      </w:r>
      <w:r>
        <w:rPr>
          <w:lang w:val="fr-CA"/>
        </w:rPr>
        <w:t xml:space="preserve"> </w:t>
      </w:r>
      <w:r w:rsidRPr="0031513C">
        <w:rPr>
          <w:lang w:val="fr-CA"/>
        </w:rPr>
        <w:t>français</w:t>
      </w:r>
      <w:r>
        <w:rPr>
          <w:lang w:val="fr-CA"/>
        </w:rPr>
        <w:t> </w:t>
      </w:r>
      <w:r w:rsidRPr="0031513C">
        <w:rPr>
          <w:lang w:val="fr-CA"/>
        </w:rPr>
        <w:t>»,</w:t>
      </w:r>
      <w:r w:rsidRPr="0031513C">
        <w:rPr>
          <w:i/>
          <w:iCs/>
          <w:lang w:val="fr-CA"/>
        </w:rPr>
        <w:t xml:space="preserve"> L’Avenir National</w:t>
      </w:r>
      <w:r w:rsidRPr="0031513C">
        <w:rPr>
          <w:lang w:val="fr-CA"/>
        </w:rPr>
        <w:t>, 14 février 1916, p.</w:t>
      </w:r>
      <w:r>
        <w:rPr>
          <w:lang w:val="fr-CA"/>
        </w:rPr>
        <w:t> </w:t>
      </w:r>
      <w:r w:rsidRPr="0031513C">
        <w:rPr>
          <w:lang w:val="fr-CA"/>
        </w:rPr>
        <w:t>4.</w:t>
      </w:r>
    </w:p>
  </w:footnote>
  <w:footnote w:id="220">
    <w:p w14:paraId="1B35515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L’héroïsme des C.-F. qui sont au front</w:t>
      </w:r>
      <w:r>
        <w:rPr>
          <w:lang w:val="fr-CA"/>
        </w:rPr>
        <w:t> </w:t>
      </w:r>
      <w:r w:rsidRPr="0031513C">
        <w:rPr>
          <w:lang w:val="fr-CA"/>
        </w:rPr>
        <w:t>»,</w:t>
      </w:r>
      <w:r w:rsidRPr="0031513C">
        <w:rPr>
          <w:i/>
          <w:iCs/>
          <w:lang w:val="fr-CA"/>
        </w:rPr>
        <w:t xml:space="preserve"> L’Avenir National</w:t>
      </w:r>
      <w:r w:rsidRPr="0031513C">
        <w:rPr>
          <w:lang w:val="fr-CA"/>
        </w:rPr>
        <w:t>, 11 novembre 1916, p.</w:t>
      </w:r>
      <w:r>
        <w:rPr>
          <w:lang w:val="fr-CA"/>
        </w:rPr>
        <w:t> </w:t>
      </w:r>
      <w:r w:rsidRPr="0031513C">
        <w:rPr>
          <w:lang w:val="fr-CA"/>
        </w:rPr>
        <w:t>5.</w:t>
      </w:r>
    </w:p>
  </w:footnote>
  <w:footnote w:id="221">
    <w:p w14:paraId="677E89D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Soldat C. Lemire envoie nouvelles du front français</w:t>
      </w:r>
      <w:r>
        <w:rPr>
          <w:lang w:val="fr-CA"/>
        </w:rPr>
        <w:t> </w:t>
      </w:r>
      <w:r w:rsidRPr="0031513C">
        <w:rPr>
          <w:lang w:val="fr-CA"/>
        </w:rPr>
        <w:t>»,</w:t>
      </w:r>
      <w:r w:rsidRPr="0031513C">
        <w:rPr>
          <w:i/>
          <w:iCs/>
          <w:lang w:val="fr-CA"/>
        </w:rPr>
        <w:t xml:space="preserve"> L’Avenir National</w:t>
      </w:r>
      <w:r w:rsidRPr="0031513C">
        <w:rPr>
          <w:lang w:val="fr-CA"/>
        </w:rPr>
        <w:t>, 12 octobre 1915, p.</w:t>
      </w:r>
      <w:r>
        <w:rPr>
          <w:lang w:val="fr-CA"/>
        </w:rPr>
        <w:t> </w:t>
      </w:r>
      <w:r w:rsidRPr="0031513C">
        <w:rPr>
          <w:lang w:val="fr-CA"/>
        </w:rPr>
        <w:t>6</w:t>
      </w:r>
      <w:r>
        <w:rPr>
          <w:lang w:val="fr-CA"/>
        </w:rPr>
        <w:t> </w:t>
      </w:r>
      <w:r w:rsidRPr="0031513C">
        <w:rPr>
          <w:lang w:val="fr-CA"/>
        </w:rPr>
        <w:t xml:space="preserve">; </w:t>
      </w:r>
      <w:r>
        <w:rPr>
          <w:lang w:val="fr-CA"/>
        </w:rPr>
        <w:t>é</w:t>
      </w:r>
      <w:r w:rsidRPr="0031513C">
        <w:rPr>
          <w:lang w:val="fr-CA"/>
        </w:rPr>
        <w:t>tat de service Gnr L. Lemire, consulté le 22 septembre 2019.</w:t>
      </w:r>
    </w:p>
  </w:footnote>
  <w:footnote w:id="222">
    <w:p w14:paraId="7C7AD405"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Conrad Lemire un artilleur encore au feu</w:t>
      </w:r>
      <w:r>
        <w:rPr>
          <w:lang w:val="fr-CA"/>
        </w:rPr>
        <w:t> </w:t>
      </w:r>
      <w:r w:rsidRPr="0031513C">
        <w:rPr>
          <w:lang w:val="fr-CA"/>
        </w:rPr>
        <w:t>»,</w:t>
      </w:r>
      <w:r w:rsidRPr="0031513C">
        <w:rPr>
          <w:i/>
          <w:iCs/>
          <w:lang w:val="fr-CA"/>
        </w:rPr>
        <w:t xml:space="preserve"> L’Avenir National</w:t>
      </w:r>
      <w:r w:rsidRPr="0031513C">
        <w:rPr>
          <w:lang w:val="fr-CA"/>
        </w:rPr>
        <w:t>, 24 octobre 1916, p.</w:t>
      </w:r>
      <w:r>
        <w:rPr>
          <w:lang w:val="fr-CA"/>
        </w:rPr>
        <w:t> </w:t>
      </w:r>
      <w:r w:rsidRPr="0031513C">
        <w:rPr>
          <w:lang w:val="fr-CA"/>
        </w:rPr>
        <w:t>8.</w:t>
      </w:r>
    </w:p>
  </w:footnote>
  <w:footnote w:id="223">
    <w:p w14:paraId="0F24B8A2" w14:textId="77777777" w:rsidR="00D40D7C" w:rsidRPr="0031513C" w:rsidRDefault="00D40D7C" w:rsidP="009536D0">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D’intéressantes nouvelles de la guerre d’Europe</w:t>
      </w:r>
      <w:r>
        <w:rPr>
          <w:lang w:val="fr-CA"/>
        </w:rPr>
        <w:t> </w:t>
      </w:r>
      <w:r w:rsidRPr="0031513C">
        <w:rPr>
          <w:lang w:val="fr-CA"/>
        </w:rPr>
        <w:t>»,</w:t>
      </w:r>
      <w:r w:rsidRPr="0031513C">
        <w:rPr>
          <w:i/>
          <w:iCs/>
          <w:lang w:val="fr-CA"/>
        </w:rPr>
        <w:t xml:space="preserve"> L’Avenir National</w:t>
      </w:r>
      <w:r w:rsidRPr="0031513C">
        <w:rPr>
          <w:lang w:val="fr-CA"/>
        </w:rPr>
        <w:t>, 31 juillet 1917, p.</w:t>
      </w:r>
      <w:r>
        <w:rPr>
          <w:lang w:val="fr-CA"/>
        </w:rPr>
        <w:t> </w:t>
      </w:r>
      <w:r w:rsidRPr="0031513C">
        <w:rPr>
          <w:lang w:val="fr-CA"/>
        </w:rPr>
        <w:t>6.</w:t>
      </w:r>
    </w:p>
  </w:footnote>
  <w:footnote w:id="224">
    <w:p w14:paraId="0ECBD939" w14:textId="77777777" w:rsidR="00D40D7C" w:rsidRPr="0031513C" w:rsidRDefault="00D40D7C" w:rsidP="00E42911">
      <w:pPr>
        <w:pStyle w:val="FootnoteText"/>
        <w:rPr>
          <w:lang w:val="fr-CA"/>
        </w:rPr>
      </w:pPr>
      <w:r w:rsidRPr="0031513C">
        <w:rPr>
          <w:rStyle w:val="FootnoteReference"/>
        </w:rPr>
        <w:footnoteRef/>
      </w:r>
      <w:r w:rsidRPr="0031513C">
        <w:rPr>
          <w:lang w:val="fr-CA"/>
        </w:rPr>
        <w:t xml:space="preserve"> État de service Gnr L. Lemire, consulté le 22 septembre 2019.</w:t>
      </w:r>
    </w:p>
  </w:footnote>
  <w:footnote w:id="225">
    <w:p w14:paraId="3D59264A" w14:textId="77777777" w:rsidR="00D40D7C" w:rsidRPr="0031513C" w:rsidRDefault="00D40D7C" w:rsidP="009536D0">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L’artilleur Lemire a perdu une jambe</w:t>
      </w:r>
      <w:r>
        <w:rPr>
          <w:lang w:val="fr-CA"/>
        </w:rPr>
        <w:t> </w:t>
      </w:r>
      <w:r w:rsidRPr="0031513C">
        <w:rPr>
          <w:lang w:val="fr-CA"/>
        </w:rPr>
        <w:t>»,</w:t>
      </w:r>
      <w:r w:rsidRPr="0031513C">
        <w:rPr>
          <w:i/>
          <w:iCs/>
          <w:lang w:val="fr-CA"/>
        </w:rPr>
        <w:t xml:space="preserve"> L’Avenir National</w:t>
      </w:r>
      <w:r w:rsidRPr="0031513C">
        <w:rPr>
          <w:lang w:val="fr-CA"/>
        </w:rPr>
        <w:t>, 1</w:t>
      </w:r>
      <w:r w:rsidRPr="0031513C">
        <w:rPr>
          <w:vertAlign w:val="superscript"/>
          <w:lang w:val="fr-CA"/>
        </w:rPr>
        <w:t>er</w:t>
      </w:r>
      <w:r w:rsidRPr="0031513C">
        <w:rPr>
          <w:lang w:val="fr-CA"/>
        </w:rPr>
        <w:t xml:space="preserve"> octobre 1918, p.</w:t>
      </w:r>
      <w:r>
        <w:rPr>
          <w:lang w:val="fr-CA"/>
        </w:rPr>
        <w:t> </w:t>
      </w:r>
      <w:r w:rsidRPr="0031513C">
        <w:rPr>
          <w:lang w:val="fr-CA"/>
        </w:rPr>
        <w:t>6.</w:t>
      </w:r>
    </w:p>
  </w:footnote>
  <w:footnote w:id="226">
    <w:p w14:paraId="201EC2C5" w14:textId="77777777" w:rsidR="00D40D7C" w:rsidRPr="0031513C" w:rsidRDefault="00D40D7C" w:rsidP="003F50BA">
      <w:pPr>
        <w:pStyle w:val="FootnoteText"/>
        <w:rPr>
          <w:lang w:val="fr-CA"/>
        </w:rPr>
      </w:pPr>
      <w:r w:rsidRPr="0031513C">
        <w:rPr>
          <w:rStyle w:val="FootnoteReference"/>
        </w:rPr>
        <w:footnoteRef/>
      </w:r>
      <w:r w:rsidRPr="0031513C">
        <w:rPr>
          <w:lang w:val="fr-CA"/>
        </w:rPr>
        <w:t xml:space="preserve"> État de service Pte A. Dubrûle, consulté le 22 septembre 2019. Note. Comme la majorité des militaires qui servent en Europe à l’époque, les évacuations médicales pour combattre l’influenza sont généralement d’une durée de vingt-cinq jours.</w:t>
      </w:r>
    </w:p>
  </w:footnote>
  <w:footnote w:id="227">
    <w:p w14:paraId="5722C9E5" w14:textId="77777777" w:rsidR="00D40D7C" w:rsidRPr="0031513C" w:rsidRDefault="00D40D7C" w:rsidP="003F50BA">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Autre lettre du clairon Dubrûle du 22</w:t>
      </w:r>
      <w:r w:rsidRPr="0031513C">
        <w:rPr>
          <w:vertAlign w:val="superscript"/>
          <w:lang w:val="fr-CA"/>
        </w:rPr>
        <w:t>e</w:t>
      </w:r>
      <w:r w:rsidRPr="0031513C">
        <w:rPr>
          <w:lang w:val="fr-CA"/>
        </w:rPr>
        <w:t xml:space="preserve"> canadien</w:t>
      </w:r>
      <w:r>
        <w:rPr>
          <w:lang w:val="fr-CA"/>
        </w:rPr>
        <w:t> </w:t>
      </w:r>
      <w:r w:rsidRPr="0031513C">
        <w:rPr>
          <w:lang w:val="fr-CA"/>
        </w:rPr>
        <w:t>»,</w:t>
      </w:r>
      <w:r w:rsidRPr="0031513C">
        <w:rPr>
          <w:i/>
          <w:iCs/>
          <w:lang w:val="fr-CA"/>
        </w:rPr>
        <w:t xml:space="preserve"> L’Avenir National</w:t>
      </w:r>
      <w:r w:rsidRPr="0031513C">
        <w:rPr>
          <w:lang w:val="fr-CA"/>
        </w:rPr>
        <w:t>, 3 octobre 1915, p.</w:t>
      </w:r>
      <w:r>
        <w:rPr>
          <w:lang w:val="fr-CA"/>
        </w:rPr>
        <w:t> </w:t>
      </w:r>
      <w:r w:rsidRPr="0031513C">
        <w:rPr>
          <w:lang w:val="fr-CA"/>
        </w:rPr>
        <w:t>6.</w:t>
      </w:r>
    </w:p>
  </w:footnote>
  <w:footnote w:id="228">
    <w:p w14:paraId="6CA83739" w14:textId="77777777" w:rsidR="00D40D7C" w:rsidRPr="0031513C" w:rsidRDefault="00D40D7C" w:rsidP="003F50BA">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6.</w:t>
      </w:r>
    </w:p>
  </w:footnote>
  <w:footnote w:id="229">
    <w:p w14:paraId="0C5B682B" w14:textId="77777777" w:rsidR="00D40D7C" w:rsidRPr="0031513C" w:rsidRDefault="00D40D7C" w:rsidP="00992A77">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w:t>
      </w:r>
      <w:r>
        <w:rPr>
          <w:lang w:val="fr-CA"/>
        </w:rPr>
        <w:t> </w:t>
      </w:r>
      <w:r w:rsidRPr="0031513C">
        <w:rPr>
          <w:lang w:val="fr-CA"/>
        </w:rPr>
        <w:t>Albert Dubrûle un soldat au feu écrit à sa sœur</w:t>
      </w:r>
      <w:r>
        <w:rPr>
          <w:lang w:val="fr-CA"/>
        </w:rPr>
        <w:t> </w:t>
      </w:r>
      <w:r w:rsidRPr="0031513C">
        <w:rPr>
          <w:lang w:val="fr-CA"/>
        </w:rPr>
        <w:t>»,</w:t>
      </w:r>
      <w:r w:rsidRPr="0031513C">
        <w:rPr>
          <w:i/>
          <w:iCs/>
          <w:lang w:val="fr-CA"/>
        </w:rPr>
        <w:t xml:space="preserve"> L’Avenir National</w:t>
      </w:r>
      <w:r w:rsidRPr="0031513C">
        <w:rPr>
          <w:lang w:val="fr-CA"/>
        </w:rPr>
        <w:t>, 26 octobre 1915, p.</w:t>
      </w:r>
      <w:r>
        <w:rPr>
          <w:lang w:val="fr-CA"/>
        </w:rPr>
        <w:t> </w:t>
      </w:r>
      <w:r w:rsidRPr="0031513C">
        <w:rPr>
          <w:lang w:val="fr-CA"/>
        </w:rPr>
        <w:t>6</w:t>
      </w:r>
      <w:r>
        <w:rPr>
          <w:lang w:val="fr-CA"/>
        </w:rPr>
        <w:t> </w:t>
      </w:r>
      <w:r w:rsidRPr="0031513C">
        <w:rPr>
          <w:lang w:val="fr-CA"/>
        </w:rPr>
        <w:t xml:space="preserve">; </w:t>
      </w:r>
      <w:r>
        <w:rPr>
          <w:lang w:val="fr-CA"/>
        </w:rPr>
        <w:t>é</w:t>
      </w:r>
      <w:r w:rsidRPr="0031513C">
        <w:rPr>
          <w:lang w:val="fr-CA"/>
        </w:rPr>
        <w:t>ta</w:t>
      </w:r>
      <w:r>
        <w:rPr>
          <w:lang w:val="fr-CA"/>
        </w:rPr>
        <w:t>t</w:t>
      </w:r>
      <w:r w:rsidRPr="0031513C">
        <w:rPr>
          <w:lang w:val="fr-CA"/>
        </w:rPr>
        <w:t xml:space="preserve"> de service Pte A. Dubrûle, consulté le 22 septembre 2019.</w:t>
      </w:r>
    </w:p>
  </w:footnote>
  <w:footnote w:id="230">
    <w:p w14:paraId="29B7E0CF" w14:textId="77777777" w:rsidR="00D40D7C" w:rsidRPr="0031513C" w:rsidRDefault="00D40D7C" w:rsidP="00305DAE">
      <w:pPr>
        <w:pStyle w:val="FootnoteText"/>
        <w:rPr>
          <w:lang w:val="fr-CA"/>
        </w:rPr>
      </w:pPr>
      <w:r w:rsidRPr="0031513C">
        <w:rPr>
          <w:rStyle w:val="FootnoteReference"/>
        </w:rPr>
        <w:footnoteRef/>
      </w:r>
      <w:r w:rsidRPr="0031513C">
        <w:rPr>
          <w:lang w:val="fr-CA"/>
        </w:rPr>
        <w:t xml:space="preserve"> État de service Pte A. Dubrûle, consulté le 22 septembre 2019.</w:t>
      </w:r>
    </w:p>
  </w:footnote>
  <w:footnote w:id="231">
    <w:p w14:paraId="0E383EF7" w14:textId="77777777" w:rsidR="00D40D7C" w:rsidRPr="0031513C" w:rsidRDefault="00D40D7C" w:rsidP="003F50BA">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D’intéressantes nouvelles de la guerre d’Europe</w:t>
      </w:r>
      <w:r>
        <w:rPr>
          <w:lang w:val="fr-CA"/>
        </w:rPr>
        <w:t> </w:t>
      </w:r>
      <w:r w:rsidRPr="0031513C">
        <w:rPr>
          <w:lang w:val="fr-CA"/>
        </w:rPr>
        <w:t>»,</w:t>
      </w:r>
      <w:r w:rsidRPr="0031513C">
        <w:rPr>
          <w:i/>
          <w:iCs/>
          <w:lang w:val="fr-CA"/>
        </w:rPr>
        <w:t xml:space="preserve"> L’Avenir National</w:t>
      </w:r>
      <w:r w:rsidRPr="0031513C">
        <w:rPr>
          <w:lang w:val="fr-CA"/>
        </w:rPr>
        <w:t>, 31 juillet 1917, p.</w:t>
      </w:r>
      <w:r>
        <w:rPr>
          <w:lang w:val="fr-CA"/>
        </w:rPr>
        <w:t> </w:t>
      </w:r>
      <w:r w:rsidRPr="0031513C">
        <w:rPr>
          <w:lang w:val="fr-CA"/>
        </w:rPr>
        <w:t>6.</w:t>
      </w:r>
    </w:p>
  </w:footnote>
  <w:footnote w:id="232">
    <w:p w14:paraId="1ED45470" w14:textId="77777777" w:rsidR="00D40D7C" w:rsidRPr="0031513C" w:rsidRDefault="00D40D7C" w:rsidP="00305DA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Intéressante lettre du clairon Dubrûle du 22</w:t>
      </w:r>
      <w:r w:rsidRPr="0031513C">
        <w:rPr>
          <w:vertAlign w:val="superscript"/>
          <w:lang w:val="fr-CA"/>
        </w:rPr>
        <w:t>ième</w:t>
      </w:r>
      <w:r w:rsidRPr="0031513C">
        <w:rPr>
          <w:lang w:val="fr-CA"/>
        </w:rPr>
        <w:t xml:space="preserve"> bataillon</w:t>
      </w:r>
      <w:r>
        <w:rPr>
          <w:lang w:val="fr-CA"/>
        </w:rPr>
        <w:t> </w:t>
      </w:r>
      <w:r w:rsidRPr="0031513C">
        <w:rPr>
          <w:lang w:val="fr-CA"/>
        </w:rPr>
        <w:t>»,</w:t>
      </w:r>
      <w:r w:rsidRPr="0031513C">
        <w:rPr>
          <w:i/>
          <w:iCs/>
          <w:lang w:val="fr-CA"/>
        </w:rPr>
        <w:t xml:space="preserve"> L’Avenir National</w:t>
      </w:r>
      <w:r w:rsidRPr="0031513C">
        <w:rPr>
          <w:lang w:val="fr-CA"/>
        </w:rPr>
        <w:t>, 6 septembre 1918, p. 8</w:t>
      </w:r>
      <w:r>
        <w:rPr>
          <w:lang w:val="fr-CA"/>
        </w:rPr>
        <w:t> </w:t>
      </w:r>
      <w:r w:rsidRPr="0031513C">
        <w:rPr>
          <w:lang w:val="fr-CA"/>
        </w:rPr>
        <w:t>; «</w:t>
      </w:r>
      <w:r>
        <w:rPr>
          <w:lang w:val="fr-CA"/>
        </w:rPr>
        <w:t> </w:t>
      </w:r>
      <w:r w:rsidRPr="0031513C">
        <w:rPr>
          <w:lang w:val="fr-CA"/>
        </w:rPr>
        <w:t>Le clairon Dubrûle donne encore des nouvelles aux siens</w:t>
      </w:r>
      <w:r>
        <w:rPr>
          <w:lang w:val="fr-CA"/>
        </w:rPr>
        <w:t> </w:t>
      </w:r>
      <w:r w:rsidRPr="0031513C">
        <w:rPr>
          <w:lang w:val="fr-CA"/>
        </w:rPr>
        <w:t>»,</w:t>
      </w:r>
      <w:r w:rsidRPr="0031513C">
        <w:rPr>
          <w:i/>
          <w:iCs/>
          <w:lang w:val="fr-CA"/>
        </w:rPr>
        <w:t xml:space="preserve"> L’Avenir National</w:t>
      </w:r>
      <w:r w:rsidRPr="0031513C">
        <w:rPr>
          <w:lang w:val="fr-CA"/>
        </w:rPr>
        <w:t>, 8 octobre 1918, p. 6.</w:t>
      </w:r>
    </w:p>
  </w:footnote>
  <w:footnote w:id="233">
    <w:p w14:paraId="52B803D5" w14:textId="77777777" w:rsidR="00D40D7C" w:rsidRPr="0031513C" w:rsidRDefault="00D40D7C" w:rsidP="009536D0">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Une autre lettre d’Albert Dubrûle clairon du 22</w:t>
      </w:r>
      <w:r w:rsidRPr="0031513C">
        <w:rPr>
          <w:vertAlign w:val="superscript"/>
          <w:lang w:val="fr-CA"/>
        </w:rPr>
        <w:t>ième</w:t>
      </w:r>
      <w:r>
        <w:rPr>
          <w:lang w:val="fr-CA"/>
        </w:rPr>
        <w:t> </w:t>
      </w:r>
      <w:r w:rsidRPr="0031513C">
        <w:rPr>
          <w:lang w:val="fr-CA"/>
        </w:rPr>
        <w:t>»,</w:t>
      </w:r>
      <w:r w:rsidRPr="0031513C">
        <w:rPr>
          <w:i/>
          <w:iCs/>
          <w:lang w:val="fr-CA"/>
        </w:rPr>
        <w:t xml:space="preserve"> L’Avenir National</w:t>
      </w:r>
      <w:r w:rsidRPr="0031513C">
        <w:rPr>
          <w:lang w:val="fr-CA"/>
        </w:rPr>
        <w:t>, 11 juin 1918, p.</w:t>
      </w:r>
      <w:r>
        <w:rPr>
          <w:lang w:val="fr-CA"/>
        </w:rPr>
        <w:t> </w:t>
      </w:r>
      <w:r w:rsidRPr="0031513C">
        <w:rPr>
          <w:lang w:val="fr-CA"/>
        </w:rPr>
        <w:t>3.</w:t>
      </w:r>
    </w:p>
  </w:footnote>
  <w:footnote w:id="234">
    <w:p w14:paraId="7877F697" w14:textId="77777777" w:rsidR="00D40D7C" w:rsidRPr="0031513C" w:rsidRDefault="00D40D7C" w:rsidP="009536D0">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Nouvelle du clairon A. Dubrûle</w:t>
      </w:r>
      <w:r>
        <w:rPr>
          <w:lang w:val="fr-CA"/>
        </w:rPr>
        <w:t> </w:t>
      </w:r>
      <w:r w:rsidRPr="0031513C">
        <w:rPr>
          <w:lang w:val="fr-CA"/>
        </w:rPr>
        <w:t>»,</w:t>
      </w:r>
      <w:r w:rsidRPr="0031513C">
        <w:rPr>
          <w:i/>
          <w:iCs/>
          <w:lang w:val="fr-CA"/>
        </w:rPr>
        <w:t xml:space="preserve"> L’Avenir National</w:t>
      </w:r>
      <w:r w:rsidRPr="0031513C">
        <w:rPr>
          <w:lang w:val="fr-CA"/>
        </w:rPr>
        <w:t>, 9 juillet 1918, p.</w:t>
      </w:r>
      <w:r>
        <w:rPr>
          <w:lang w:val="fr-CA"/>
        </w:rPr>
        <w:t> </w:t>
      </w:r>
      <w:r w:rsidRPr="0031513C">
        <w:rPr>
          <w:lang w:val="fr-CA"/>
        </w:rPr>
        <w:t>3.</w:t>
      </w:r>
    </w:p>
  </w:footnote>
  <w:footnote w:id="235">
    <w:p w14:paraId="2D3BF47F" w14:textId="77777777" w:rsidR="00D40D7C" w:rsidRPr="0031513C" w:rsidRDefault="00D40D7C" w:rsidP="009536D0">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Lettre du clairon Albert Dubrûle du 22</w:t>
      </w:r>
      <w:r w:rsidRPr="0031513C">
        <w:rPr>
          <w:vertAlign w:val="superscript"/>
          <w:lang w:val="fr-CA"/>
        </w:rPr>
        <w:t>e</w:t>
      </w:r>
      <w:r w:rsidRPr="0031513C">
        <w:rPr>
          <w:lang w:val="fr-CA"/>
        </w:rPr>
        <w:t xml:space="preserve"> régiment C.-F</w:t>
      </w:r>
      <w:r>
        <w:rPr>
          <w:lang w:val="fr-CA"/>
        </w:rPr>
        <w:t> </w:t>
      </w:r>
      <w:r w:rsidRPr="0031513C">
        <w:rPr>
          <w:lang w:val="fr-CA"/>
        </w:rPr>
        <w:t>»,</w:t>
      </w:r>
      <w:r w:rsidRPr="0031513C">
        <w:rPr>
          <w:i/>
          <w:iCs/>
          <w:lang w:val="fr-CA"/>
        </w:rPr>
        <w:t xml:space="preserve"> L’Avenir National</w:t>
      </w:r>
      <w:r w:rsidRPr="0031513C">
        <w:rPr>
          <w:lang w:val="fr-CA"/>
        </w:rPr>
        <w:t>, 2 novembre 1918, p.</w:t>
      </w:r>
      <w:r>
        <w:rPr>
          <w:lang w:val="fr-CA"/>
        </w:rPr>
        <w:t> </w:t>
      </w:r>
      <w:r w:rsidRPr="0031513C">
        <w:rPr>
          <w:lang w:val="fr-CA"/>
        </w:rPr>
        <w:t>3.</w:t>
      </w:r>
    </w:p>
  </w:footnote>
  <w:footnote w:id="236">
    <w:p w14:paraId="701F6681" w14:textId="77777777" w:rsidR="00D40D7C" w:rsidRPr="0031513C" w:rsidRDefault="00D40D7C" w:rsidP="00E57F35">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caporal Halde écrit à un ami de Manchester-Ouest</w:t>
      </w:r>
      <w:r>
        <w:rPr>
          <w:lang w:val="fr-CA"/>
        </w:rPr>
        <w:t> </w:t>
      </w:r>
      <w:r w:rsidRPr="0031513C">
        <w:rPr>
          <w:lang w:val="fr-CA"/>
        </w:rPr>
        <w:t>»,</w:t>
      </w:r>
      <w:r w:rsidRPr="0031513C">
        <w:rPr>
          <w:i/>
          <w:iCs/>
          <w:lang w:val="fr-CA"/>
        </w:rPr>
        <w:t xml:space="preserve"> L’Avenir National</w:t>
      </w:r>
      <w:r w:rsidRPr="0031513C">
        <w:rPr>
          <w:lang w:val="fr-CA"/>
        </w:rPr>
        <w:t>, 14 janvier 1916, p.</w:t>
      </w:r>
      <w:r>
        <w:rPr>
          <w:lang w:val="fr-CA"/>
        </w:rPr>
        <w:t> </w:t>
      </w:r>
      <w:r w:rsidRPr="0031513C">
        <w:rPr>
          <w:lang w:val="fr-CA"/>
        </w:rPr>
        <w:t>7</w:t>
      </w:r>
      <w:r>
        <w:rPr>
          <w:lang w:val="fr-CA"/>
        </w:rPr>
        <w:t> </w:t>
      </w:r>
      <w:r w:rsidRPr="0031513C">
        <w:rPr>
          <w:lang w:val="fr-CA"/>
        </w:rPr>
        <w:t>; «</w:t>
      </w:r>
      <w:r>
        <w:rPr>
          <w:lang w:val="fr-CA"/>
        </w:rPr>
        <w:t> </w:t>
      </w:r>
      <w:r w:rsidRPr="0031513C">
        <w:rPr>
          <w:lang w:val="fr-CA"/>
        </w:rPr>
        <w:t>Le caporal Halde du 22</w:t>
      </w:r>
      <w:r w:rsidRPr="0031513C">
        <w:rPr>
          <w:vertAlign w:val="superscript"/>
          <w:lang w:val="fr-CA"/>
        </w:rPr>
        <w:t>e</w:t>
      </w:r>
      <w:r w:rsidRPr="0031513C">
        <w:rPr>
          <w:lang w:val="fr-CA"/>
        </w:rPr>
        <w:t xml:space="preserve"> Régiment blessé au front</w:t>
      </w:r>
      <w:r>
        <w:rPr>
          <w:lang w:val="fr-CA"/>
        </w:rPr>
        <w:t> </w:t>
      </w:r>
      <w:r w:rsidRPr="0031513C">
        <w:rPr>
          <w:lang w:val="fr-CA"/>
        </w:rPr>
        <w:t>»,</w:t>
      </w:r>
      <w:r w:rsidRPr="0031513C">
        <w:rPr>
          <w:i/>
          <w:iCs/>
          <w:lang w:val="fr-CA"/>
        </w:rPr>
        <w:t xml:space="preserve"> L’Avenir National</w:t>
      </w:r>
      <w:r w:rsidRPr="0031513C">
        <w:rPr>
          <w:lang w:val="fr-CA"/>
        </w:rPr>
        <w:t>, 25 janvier 1916, p.</w:t>
      </w:r>
      <w:r>
        <w:rPr>
          <w:lang w:val="fr-CA"/>
        </w:rPr>
        <w:t> </w:t>
      </w:r>
      <w:r w:rsidRPr="0031513C">
        <w:rPr>
          <w:lang w:val="fr-CA"/>
        </w:rPr>
        <w:t>6.</w:t>
      </w:r>
    </w:p>
  </w:footnote>
  <w:footnote w:id="237">
    <w:p w14:paraId="7FAC4FCE" w14:textId="77777777" w:rsidR="00D40D7C" w:rsidRPr="0031513C" w:rsidRDefault="00D40D7C" w:rsidP="00E57F35">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caporal Halde se distingue fort au front de France</w:t>
      </w:r>
      <w:r>
        <w:rPr>
          <w:lang w:val="fr-CA"/>
        </w:rPr>
        <w:t> </w:t>
      </w:r>
      <w:r w:rsidRPr="0031513C">
        <w:rPr>
          <w:lang w:val="fr-CA"/>
        </w:rPr>
        <w:t>»,</w:t>
      </w:r>
      <w:r w:rsidRPr="0031513C">
        <w:rPr>
          <w:i/>
          <w:iCs/>
          <w:lang w:val="fr-CA"/>
        </w:rPr>
        <w:t xml:space="preserve"> L’Avenir National</w:t>
      </w:r>
      <w:r w:rsidRPr="0031513C">
        <w:rPr>
          <w:lang w:val="fr-CA"/>
        </w:rPr>
        <w:t>, 26 août 1916, p.</w:t>
      </w:r>
      <w:r>
        <w:rPr>
          <w:lang w:val="fr-CA"/>
        </w:rPr>
        <w:t> </w:t>
      </w:r>
      <w:r w:rsidRPr="0031513C">
        <w:rPr>
          <w:lang w:val="fr-CA"/>
        </w:rPr>
        <w:t>5</w:t>
      </w:r>
    </w:p>
  </w:footnote>
  <w:footnote w:id="238">
    <w:p w14:paraId="107E963D" w14:textId="77777777" w:rsidR="00D40D7C" w:rsidRPr="0031513C" w:rsidRDefault="00D40D7C" w:rsidP="00E57F35">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caporal Halde écrit à un ami de Manchester-Ouest</w:t>
      </w:r>
      <w:r>
        <w:rPr>
          <w:lang w:val="fr-CA"/>
        </w:rPr>
        <w:t> </w:t>
      </w:r>
      <w:r w:rsidRPr="0031513C">
        <w:rPr>
          <w:lang w:val="fr-CA"/>
        </w:rPr>
        <w:t>»,</w:t>
      </w:r>
      <w:r w:rsidRPr="0031513C">
        <w:rPr>
          <w:i/>
          <w:iCs/>
          <w:lang w:val="fr-CA"/>
        </w:rPr>
        <w:t xml:space="preserve"> L’Avenir National</w:t>
      </w:r>
      <w:r w:rsidRPr="0031513C">
        <w:rPr>
          <w:lang w:val="fr-CA"/>
        </w:rPr>
        <w:t>, 14 janvier 1916, p.</w:t>
      </w:r>
      <w:r>
        <w:rPr>
          <w:lang w:val="fr-CA"/>
        </w:rPr>
        <w:t> </w:t>
      </w:r>
      <w:r w:rsidRPr="0031513C">
        <w:rPr>
          <w:lang w:val="fr-CA"/>
        </w:rPr>
        <w:t>7</w:t>
      </w:r>
      <w:r>
        <w:rPr>
          <w:lang w:val="fr-CA"/>
        </w:rPr>
        <w:t> </w:t>
      </w:r>
      <w:r w:rsidRPr="0031513C">
        <w:rPr>
          <w:lang w:val="fr-CA"/>
        </w:rPr>
        <w:t>; «</w:t>
      </w:r>
      <w:r>
        <w:rPr>
          <w:lang w:val="fr-CA"/>
        </w:rPr>
        <w:t> </w:t>
      </w:r>
      <w:r w:rsidRPr="0031513C">
        <w:rPr>
          <w:lang w:val="fr-CA"/>
        </w:rPr>
        <w:t>Le caporal Halde du 22</w:t>
      </w:r>
      <w:r w:rsidRPr="0031513C">
        <w:rPr>
          <w:vertAlign w:val="superscript"/>
          <w:lang w:val="fr-CA"/>
        </w:rPr>
        <w:t>e</w:t>
      </w:r>
      <w:r w:rsidRPr="0031513C">
        <w:rPr>
          <w:lang w:val="fr-CA"/>
        </w:rPr>
        <w:t xml:space="preserve"> Régiment blessé au front</w:t>
      </w:r>
      <w:r>
        <w:rPr>
          <w:lang w:val="fr-CA"/>
        </w:rPr>
        <w:t> </w:t>
      </w:r>
      <w:r w:rsidRPr="0031513C">
        <w:rPr>
          <w:lang w:val="fr-CA"/>
        </w:rPr>
        <w:t>»,</w:t>
      </w:r>
      <w:r w:rsidRPr="0031513C">
        <w:rPr>
          <w:i/>
          <w:iCs/>
          <w:lang w:val="fr-CA"/>
        </w:rPr>
        <w:t xml:space="preserve"> L’Avenir National</w:t>
      </w:r>
      <w:r w:rsidRPr="0031513C">
        <w:rPr>
          <w:lang w:val="fr-CA"/>
        </w:rPr>
        <w:t>, 25 janvier 1916, p.</w:t>
      </w:r>
      <w:r>
        <w:rPr>
          <w:lang w:val="fr-CA"/>
        </w:rPr>
        <w:t> </w:t>
      </w:r>
      <w:r w:rsidRPr="0031513C">
        <w:rPr>
          <w:lang w:val="fr-CA"/>
        </w:rPr>
        <w:t>6.</w:t>
      </w:r>
    </w:p>
  </w:footnote>
  <w:footnote w:id="239">
    <w:p w14:paraId="63565423" w14:textId="77777777" w:rsidR="00D40D7C" w:rsidRPr="0031513C" w:rsidRDefault="00D40D7C" w:rsidP="009536D0">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D’intéressantes nouvelles de la guerre d’Europe</w:t>
      </w:r>
      <w:r>
        <w:rPr>
          <w:lang w:val="fr-CA"/>
        </w:rPr>
        <w:t> </w:t>
      </w:r>
      <w:r w:rsidRPr="0031513C">
        <w:rPr>
          <w:lang w:val="fr-CA"/>
        </w:rPr>
        <w:t>»,</w:t>
      </w:r>
      <w:r w:rsidRPr="0031513C">
        <w:rPr>
          <w:i/>
          <w:iCs/>
          <w:lang w:val="fr-CA"/>
        </w:rPr>
        <w:t xml:space="preserve"> L’Avenir National</w:t>
      </w:r>
      <w:r w:rsidRPr="0031513C">
        <w:rPr>
          <w:lang w:val="fr-CA"/>
        </w:rPr>
        <w:t>, 31 juillet 1917, p.</w:t>
      </w:r>
      <w:r>
        <w:rPr>
          <w:lang w:val="fr-CA"/>
        </w:rPr>
        <w:t> </w:t>
      </w:r>
      <w:r w:rsidRPr="0031513C">
        <w:rPr>
          <w:lang w:val="fr-CA"/>
        </w:rPr>
        <w:t>6.</w:t>
      </w:r>
    </w:p>
  </w:footnote>
  <w:footnote w:id="240">
    <w:p w14:paraId="01E6A27A" w14:textId="77777777" w:rsidR="00D40D7C" w:rsidRPr="0031513C" w:rsidRDefault="00D40D7C" w:rsidP="009536D0">
      <w:pPr>
        <w:pStyle w:val="FootnoteText"/>
        <w:rPr>
          <w:lang w:val="fr-CA"/>
        </w:rPr>
      </w:pPr>
      <w:r w:rsidRPr="0031513C">
        <w:rPr>
          <w:rStyle w:val="FootnoteReference"/>
        </w:rPr>
        <w:footnoteRef/>
      </w:r>
      <w:r w:rsidRPr="0031513C">
        <w:rPr>
          <w:lang w:val="fr-CA"/>
        </w:rPr>
        <w:t xml:space="preserve"> État de service caporal Uldéric Halde, consulté le 29 septembre 2019.</w:t>
      </w:r>
    </w:p>
  </w:footnote>
  <w:footnote w:id="241">
    <w:p w14:paraId="07F3DB0B" w14:textId="77777777" w:rsidR="00D40D7C" w:rsidRPr="0031513C" w:rsidRDefault="00D40D7C" w:rsidP="00764537">
      <w:pPr>
        <w:pStyle w:val="FootnoteText"/>
        <w:rPr>
          <w:lang w:val="fr-CA"/>
        </w:rPr>
      </w:pPr>
      <w:r w:rsidRPr="0031513C">
        <w:rPr>
          <w:rStyle w:val="FootnoteReference"/>
        </w:rPr>
        <w:footnoteRef/>
      </w:r>
      <w:r w:rsidRPr="0031513C">
        <w:rPr>
          <w:lang w:val="fr-CA"/>
        </w:rPr>
        <w:t xml:space="preserve"> État de service Pte A. Bourassa, consulté le 29 septembre 2019.</w:t>
      </w:r>
    </w:p>
  </w:footnote>
  <w:footnote w:id="242">
    <w:p w14:paraId="3126FBBB" w14:textId="77777777" w:rsidR="00D40D7C" w:rsidRPr="0031513C" w:rsidRDefault="00D40D7C" w:rsidP="00764537">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Canadiens</w:t>
      </w:r>
      <w:r>
        <w:rPr>
          <w:lang w:val="fr-CA"/>
        </w:rPr>
        <w:t xml:space="preserve"> </w:t>
      </w:r>
      <w:r w:rsidRPr="0031513C">
        <w:rPr>
          <w:lang w:val="fr-CA"/>
        </w:rPr>
        <w:t>français font leur part</w:t>
      </w:r>
      <w:r>
        <w:rPr>
          <w:lang w:val="fr-CA"/>
        </w:rPr>
        <w:t> </w:t>
      </w:r>
      <w:r w:rsidRPr="0031513C">
        <w:rPr>
          <w:lang w:val="fr-CA"/>
        </w:rPr>
        <w:t>»,</w:t>
      </w:r>
      <w:r w:rsidRPr="0031513C">
        <w:rPr>
          <w:i/>
          <w:iCs/>
          <w:lang w:val="fr-CA"/>
        </w:rPr>
        <w:t xml:space="preserve"> L’Avenir National</w:t>
      </w:r>
      <w:r w:rsidRPr="0031513C">
        <w:rPr>
          <w:lang w:val="fr-CA"/>
        </w:rPr>
        <w:t>, 14 octobre 1916, p.</w:t>
      </w:r>
      <w:r>
        <w:rPr>
          <w:lang w:val="fr-CA"/>
        </w:rPr>
        <w:t> </w:t>
      </w:r>
      <w:r w:rsidRPr="0031513C">
        <w:rPr>
          <w:lang w:val="fr-CA"/>
        </w:rPr>
        <w:t>10</w:t>
      </w:r>
      <w:r>
        <w:rPr>
          <w:lang w:val="fr-CA"/>
        </w:rPr>
        <w:t> </w:t>
      </w:r>
      <w:r w:rsidRPr="0031513C">
        <w:rPr>
          <w:lang w:val="fr-CA"/>
        </w:rPr>
        <w:t>; Gagnon, op. cit., p.</w:t>
      </w:r>
      <w:r>
        <w:rPr>
          <w:lang w:val="fr-CA"/>
        </w:rPr>
        <w:t> </w:t>
      </w:r>
      <w:r w:rsidRPr="0031513C">
        <w:rPr>
          <w:lang w:val="fr-CA"/>
        </w:rPr>
        <w:t>423.</w:t>
      </w:r>
    </w:p>
  </w:footnote>
  <w:footnote w:id="243">
    <w:p w14:paraId="3F941163" w14:textId="77777777" w:rsidR="00D40D7C" w:rsidRPr="0031513C" w:rsidRDefault="00D40D7C" w:rsidP="003478AB">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Will. Cyr soldat du roi Georges V vivait jadis ici</w:t>
      </w:r>
      <w:r>
        <w:rPr>
          <w:lang w:val="fr-CA"/>
        </w:rPr>
        <w:t> </w:t>
      </w:r>
      <w:r w:rsidRPr="0031513C">
        <w:rPr>
          <w:lang w:val="fr-CA"/>
        </w:rPr>
        <w:t>»,</w:t>
      </w:r>
      <w:r>
        <w:rPr>
          <w:lang w:val="fr-CA"/>
        </w:rPr>
        <w:t> </w:t>
      </w:r>
      <w:r w:rsidRPr="0031513C">
        <w:rPr>
          <w:lang w:val="fr-CA"/>
        </w:rPr>
        <w:t>»,</w:t>
      </w:r>
      <w:r w:rsidRPr="0031513C">
        <w:rPr>
          <w:i/>
          <w:iCs/>
          <w:lang w:val="fr-CA"/>
        </w:rPr>
        <w:t xml:space="preserve"> L’Avenir National</w:t>
      </w:r>
      <w:r w:rsidRPr="0031513C">
        <w:rPr>
          <w:lang w:val="fr-CA"/>
        </w:rPr>
        <w:t>, 12 octobre 1915, p.</w:t>
      </w:r>
      <w:r>
        <w:rPr>
          <w:lang w:val="fr-CA"/>
        </w:rPr>
        <w:t> </w:t>
      </w:r>
      <w:r w:rsidRPr="0031513C">
        <w:rPr>
          <w:lang w:val="fr-CA"/>
        </w:rPr>
        <w:t>6.</w:t>
      </w:r>
    </w:p>
  </w:footnote>
  <w:footnote w:id="244">
    <w:p w14:paraId="2E6BD31A" w14:textId="77777777" w:rsidR="00D40D7C" w:rsidRPr="0031513C" w:rsidRDefault="00D40D7C" w:rsidP="003478AB">
      <w:pPr>
        <w:pStyle w:val="FootnoteText"/>
        <w:rPr>
          <w:lang w:val="fr-CA"/>
        </w:rPr>
      </w:pPr>
      <w:r w:rsidRPr="0031513C">
        <w:rPr>
          <w:rStyle w:val="FootnoteReference"/>
        </w:rPr>
        <w:footnoteRef/>
      </w:r>
      <w:r w:rsidRPr="0031513C">
        <w:rPr>
          <w:lang w:val="fr-CA"/>
        </w:rPr>
        <w:t xml:space="preserve"> États de service Cpl W. Cyr, consulté le 22 septembre 2019</w:t>
      </w:r>
      <w:r>
        <w:rPr>
          <w:lang w:val="fr-CA"/>
        </w:rPr>
        <w:t> </w:t>
      </w:r>
      <w:r w:rsidRPr="0031513C">
        <w:rPr>
          <w:lang w:val="fr-CA"/>
        </w:rPr>
        <w:t xml:space="preserve">; </w:t>
      </w:r>
      <w:r w:rsidRPr="0031513C">
        <w:rPr>
          <w:rFonts w:eastAsia="Calibri"/>
          <w:lang w:val="fr-CA" w:eastAsia="en-US"/>
        </w:rPr>
        <w:t xml:space="preserve">Gerald William Lingen </w:t>
      </w:r>
      <w:r w:rsidRPr="00FE5841">
        <w:rPr>
          <w:rFonts w:eastAsia="Calibri"/>
          <w:lang w:val="fr-CA" w:eastAsia="en-US"/>
        </w:rPr>
        <w:t>N</w:t>
      </w:r>
      <w:r w:rsidRPr="00FE5841">
        <w:rPr>
          <w:rFonts w:eastAsia="Calibri"/>
          <w:noProof/>
          <w:lang w:val="fr-CA" w:eastAsia="en-US"/>
        </w:rPr>
        <w:t>icholson,</w:t>
      </w:r>
      <w:r w:rsidRPr="0031513C">
        <w:rPr>
          <w:rFonts w:eastAsia="Calibri"/>
          <w:noProof/>
          <w:lang w:val="fr-CA" w:eastAsia="en-US"/>
        </w:rPr>
        <w:t xml:space="preserve"> «</w:t>
      </w:r>
      <w:r>
        <w:rPr>
          <w:rFonts w:eastAsia="Calibri"/>
          <w:noProof/>
          <w:lang w:val="fr-CA" w:eastAsia="en-US"/>
        </w:rPr>
        <w:t> </w:t>
      </w:r>
      <w:r>
        <w:rPr>
          <w:lang w:val="fr-CA"/>
        </w:rPr>
        <w:t>Fabeck Graben and Zollern Graben, 15–20 September</w:t>
      </w:r>
      <w:r w:rsidRPr="0031513C">
        <w:rPr>
          <w:lang w:val="fr-CA"/>
        </w:rPr>
        <w:t xml:space="preserve">», </w:t>
      </w:r>
      <w:r w:rsidRPr="0031513C">
        <w:rPr>
          <w:rFonts w:eastAsia="Calibri"/>
          <w:i/>
          <w:noProof/>
          <w:lang w:val="fr-CA" w:eastAsia="en-US"/>
        </w:rPr>
        <w:t>Canadian Expeditionary Force, 1914</w:t>
      </w:r>
      <w:r>
        <w:rPr>
          <w:rFonts w:eastAsia="Calibri"/>
          <w:i/>
          <w:noProof/>
          <w:lang w:val="fr-CA" w:eastAsia="en-US"/>
        </w:rPr>
        <w:t>–</w:t>
      </w:r>
      <w:r w:rsidRPr="0031513C">
        <w:rPr>
          <w:rFonts w:eastAsia="Calibri"/>
          <w:i/>
          <w:noProof/>
          <w:lang w:val="fr-CA" w:eastAsia="en-US"/>
        </w:rPr>
        <w:t>1919: Official History of the Canadian Army in the First World War</w:t>
      </w:r>
      <w:r w:rsidRPr="0031513C">
        <w:rPr>
          <w:rFonts w:eastAsia="Calibri"/>
          <w:noProof/>
          <w:lang w:val="fr-CA" w:eastAsia="en-US"/>
        </w:rPr>
        <w:t xml:space="preserve">, Ottawa, Roger Duhamel, Imprimeur de la </w:t>
      </w:r>
      <w:r>
        <w:rPr>
          <w:rFonts w:eastAsia="Calibri"/>
          <w:noProof/>
          <w:lang w:val="fr-CA" w:eastAsia="en-US"/>
        </w:rPr>
        <w:t>R</w:t>
      </w:r>
      <w:r w:rsidRPr="0031513C">
        <w:rPr>
          <w:rFonts w:eastAsia="Calibri"/>
          <w:noProof/>
          <w:lang w:val="fr-CA" w:eastAsia="en-US"/>
        </w:rPr>
        <w:t>eine et contrôleur de la papeterie, 1962,</w:t>
      </w:r>
      <w:r>
        <w:rPr>
          <w:lang w:val="fr-CA"/>
        </w:rPr>
        <w:t xml:space="preserve"> p.170-174 ;</w:t>
      </w:r>
      <w:r w:rsidRPr="0031513C">
        <w:rPr>
          <w:lang w:val="fr-CA"/>
        </w:rPr>
        <w:t xml:space="preserve"> </w:t>
      </w:r>
      <w:bookmarkStart w:id="10" w:name="_Hlk27826795"/>
      <w:r w:rsidRPr="0031513C">
        <w:rPr>
          <w:lang w:val="fr-CA"/>
        </w:rPr>
        <w:t>«</w:t>
      </w:r>
      <w:bookmarkEnd w:id="10"/>
      <w:r>
        <w:rPr>
          <w:lang w:val="fr-CA"/>
        </w:rPr>
        <w:t> </w:t>
      </w:r>
      <w:r w:rsidRPr="0031513C">
        <w:rPr>
          <w:lang w:val="fr-CA"/>
        </w:rPr>
        <w:t>Le soldat Cyr mort en France son père averti</w:t>
      </w:r>
      <w:r>
        <w:rPr>
          <w:lang w:val="fr-CA"/>
        </w:rPr>
        <w:t> </w:t>
      </w:r>
      <w:r w:rsidRPr="0031513C">
        <w:rPr>
          <w:lang w:val="fr-CA"/>
        </w:rPr>
        <w:t>»,</w:t>
      </w:r>
      <w:r w:rsidRPr="0031513C">
        <w:rPr>
          <w:i/>
          <w:iCs/>
          <w:lang w:val="fr-CA"/>
        </w:rPr>
        <w:t xml:space="preserve"> L’Avenir National</w:t>
      </w:r>
      <w:r w:rsidRPr="0031513C">
        <w:rPr>
          <w:lang w:val="fr-CA"/>
        </w:rPr>
        <w:t>, 3 octobre 1916, p.</w:t>
      </w:r>
      <w:r>
        <w:rPr>
          <w:lang w:val="fr-CA"/>
        </w:rPr>
        <w:t> </w:t>
      </w:r>
      <w:r w:rsidRPr="0031513C">
        <w:rPr>
          <w:lang w:val="fr-CA"/>
        </w:rPr>
        <w:t>8.</w:t>
      </w:r>
    </w:p>
  </w:footnote>
  <w:footnote w:id="245">
    <w:p w14:paraId="798E5D37" w14:textId="77777777" w:rsidR="00D40D7C" w:rsidRPr="0031513C" w:rsidRDefault="00D40D7C" w:rsidP="008356F0">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Canadiens</w:t>
      </w:r>
      <w:r>
        <w:rPr>
          <w:lang w:val="fr-CA"/>
        </w:rPr>
        <w:t xml:space="preserve"> </w:t>
      </w:r>
      <w:r w:rsidRPr="0031513C">
        <w:rPr>
          <w:lang w:val="fr-CA"/>
        </w:rPr>
        <w:t>français font leur part</w:t>
      </w:r>
      <w:r>
        <w:rPr>
          <w:lang w:val="fr-CA"/>
        </w:rPr>
        <w:t> </w:t>
      </w:r>
      <w:r w:rsidRPr="0031513C">
        <w:rPr>
          <w:lang w:val="fr-CA"/>
        </w:rPr>
        <w:t>»,</w:t>
      </w:r>
      <w:r w:rsidRPr="0031513C">
        <w:rPr>
          <w:i/>
          <w:iCs/>
          <w:lang w:val="fr-CA"/>
        </w:rPr>
        <w:t xml:space="preserve"> L’Avenir National</w:t>
      </w:r>
      <w:r w:rsidRPr="0031513C">
        <w:rPr>
          <w:lang w:val="fr-CA"/>
        </w:rPr>
        <w:t>, 20 décembre 1916, p.</w:t>
      </w:r>
      <w:r>
        <w:rPr>
          <w:lang w:val="fr-CA"/>
        </w:rPr>
        <w:t> </w:t>
      </w:r>
      <w:r w:rsidRPr="0031513C">
        <w:rPr>
          <w:lang w:val="fr-CA"/>
        </w:rPr>
        <w:t>3.</w:t>
      </w:r>
    </w:p>
  </w:footnote>
  <w:footnote w:id="246">
    <w:p w14:paraId="659AFFD6" w14:textId="77777777" w:rsidR="00D40D7C" w:rsidRPr="0031513C" w:rsidRDefault="00D40D7C" w:rsidP="008356F0">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soldat Morin est au front et il se porte bien</w:t>
      </w:r>
      <w:r>
        <w:rPr>
          <w:lang w:val="fr-CA"/>
        </w:rPr>
        <w:t> </w:t>
      </w:r>
      <w:r w:rsidRPr="0031513C">
        <w:rPr>
          <w:lang w:val="fr-CA"/>
        </w:rPr>
        <w:t>»,</w:t>
      </w:r>
      <w:r w:rsidRPr="0031513C">
        <w:rPr>
          <w:i/>
          <w:iCs/>
          <w:lang w:val="fr-CA"/>
        </w:rPr>
        <w:t xml:space="preserve"> L’Avenir National</w:t>
      </w:r>
      <w:r w:rsidRPr="0031513C">
        <w:rPr>
          <w:lang w:val="fr-CA"/>
        </w:rPr>
        <w:t>, 17 août 1917, p.</w:t>
      </w:r>
      <w:r>
        <w:rPr>
          <w:lang w:val="fr-CA"/>
        </w:rPr>
        <w:t> </w:t>
      </w:r>
      <w:r w:rsidRPr="0031513C">
        <w:rPr>
          <w:lang w:val="fr-CA"/>
        </w:rPr>
        <w:t>6.</w:t>
      </w:r>
    </w:p>
  </w:footnote>
  <w:footnote w:id="247">
    <w:p w14:paraId="0655B480" w14:textId="77777777" w:rsidR="00D40D7C" w:rsidRPr="0031513C" w:rsidRDefault="00D40D7C" w:rsidP="008356F0">
      <w:pPr>
        <w:pStyle w:val="FootnoteText"/>
        <w:rPr>
          <w:lang w:val="fr-CA"/>
        </w:rPr>
      </w:pPr>
      <w:r w:rsidRPr="0031513C">
        <w:rPr>
          <w:rStyle w:val="FootnoteReference"/>
        </w:rPr>
        <w:footnoteRef/>
      </w:r>
      <w:r w:rsidRPr="0031513C">
        <w:rPr>
          <w:lang w:val="fr-CA"/>
        </w:rPr>
        <w:t xml:space="preserve"> État de service Pte F. Morin, consulté le 29 septembre 2019.</w:t>
      </w:r>
    </w:p>
  </w:footnote>
  <w:footnote w:id="248">
    <w:p w14:paraId="20FA3A5D" w14:textId="77777777" w:rsidR="00D40D7C" w:rsidRPr="0031513C" w:rsidRDefault="00D40D7C" w:rsidP="00926D23">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Anglais ont fait 9,000 prisonniers et capturé 40 canons</w:t>
      </w:r>
      <w:r>
        <w:rPr>
          <w:lang w:val="fr-CA"/>
        </w:rPr>
        <w:t> </w:t>
      </w:r>
      <w:r w:rsidRPr="0031513C">
        <w:rPr>
          <w:lang w:val="fr-CA"/>
        </w:rPr>
        <w:t>»,</w:t>
      </w:r>
      <w:r w:rsidRPr="0031513C">
        <w:rPr>
          <w:i/>
          <w:iCs/>
          <w:lang w:val="fr-CA"/>
        </w:rPr>
        <w:t xml:space="preserve"> L’Avenir National</w:t>
      </w:r>
      <w:r w:rsidRPr="0031513C">
        <w:rPr>
          <w:lang w:val="fr-CA"/>
        </w:rPr>
        <w:t>, 10 avril 1917. p.</w:t>
      </w:r>
      <w:r>
        <w:rPr>
          <w:lang w:val="fr-CA"/>
        </w:rPr>
        <w:t> </w:t>
      </w:r>
      <w:r w:rsidRPr="0031513C">
        <w:rPr>
          <w:lang w:val="fr-CA"/>
        </w:rPr>
        <w:t>1.</w:t>
      </w:r>
    </w:p>
  </w:footnote>
  <w:footnote w:id="249">
    <w:p w14:paraId="3A9DCD8A" w14:textId="77777777" w:rsidR="00D40D7C" w:rsidRPr="0031513C" w:rsidRDefault="00D40D7C" w:rsidP="00926D23">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C’est Québec qui va sauver la situation</w:t>
      </w:r>
      <w:r>
        <w:rPr>
          <w:lang w:val="fr-CA"/>
        </w:rPr>
        <w:t> </w:t>
      </w:r>
      <w:r w:rsidRPr="0031513C">
        <w:rPr>
          <w:lang w:val="fr-CA"/>
        </w:rPr>
        <w:t>»,</w:t>
      </w:r>
      <w:r w:rsidRPr="0031513C">
        <w:rPr>
          <w:i/>
          <w:iCs/>
          <w:lang w:val="fr-CA"/>
        </w:rPr>
        <w:t xml:space="preserve"> L’Avenir National</w:t>
      </w:r>
      <w:r w:rsidRPr="0031513C">
        <w:rPr>
          <w:lang w:val="fr-CA"/>
        </w:rPr>
        <w:t>, 19 juillet 1917, p.</w:t>
      </w:r>
      <w:r>
        <w:rPr>
          <w:lang w:val="fr-CA"/>
        </w:rPr>
        <w:t> </w:t>
      </w:r>
      <w:r w:rsidRPr="0031513C">
        <w:rPr>
          <w:lang w:val="fr-CA"/>
        </w:rPr>
        <w:t>2</w:t>
      </w:r>
      <w:r>
        <w:rPr>
          <w:lang w:val="fr-CA"/>
        </w:rPr>
        <w:t> </w:t>
      </w:r>
      <w:r w:rsidRPr="0031513C">
        <w:rPr>
          <w:lang w:val="fr-CA"/>
        </w:rPr>
        <w:t>; «</w:t>
      </w:r>
      <w:r>
        <w:rPr>
          <w:lang w:val="fr-CA"/>
        </w:rPr>
        <w:t> </w:t>
      </w:r>
      <w:r w:rsidRPr="0031513C">
        <w:rPr>
          <w:lang w:val="fr-CA"/>
        </w:rPr>
        <w:t>L’ouvrier s’insurge contre Sir Borden</w:t>
      </w:r>
      <w:r>
        <w:rPr>
          <w:lang w:val="fr-CA"/>
        </w:rPr>
        <w:t> </w:t>
      </w:r>
      <w:r w:rsidRPr="0031513C">
        <w:rPr>
          <w:lang w:val="fr-CA"/>
        </w:rPr>
        <w:t>»,</w:t>
      </w:r>
      <w:r w:rsidRPr="0031513C">
        <w:rPr>
          <w:i/>
          <w:iCs/>
          <w:lang w:val="fr-CA"/>
        </w:rPr>
        <w:t xml:space="preserve"> L’Avenir National</w:t>
      </w:r>
      <w:r w:rsidRPr="0031513C">
        <w:rPr>
          <w:lang w:val="fr-CA"/>
        </w:rPr>
        <w:t>, 20 juillet 1917, p.</w:t>
      </w:r>
      <w:r>
        <w:rPr>
          <w:lang w:val="fr-CA"/>
        </w:rPr>
        <w:t> </w:t>
      </w:r>
      <w:r w:rsidRPr="0031513C">
        <w:rPr>
          <w:lang w:val="fr-CA"/>
        </w:rPr>
        <w:t>6.</w:t>
      </w:r>
    </w:p>
  </w:footnote>
  <w:footnote w:id="250">
    <w:p w14:paraId="52E2F31C" w14:textId="77777777" w:rsidR="00D40D7C" w:rsidRPr="0031513C" w:rsidRDefault="00D40D7C" w:rsidP="00926D23">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On conscrira les Canadiens aux États-Unis</w:t>
      </w:r>
      <w:r>
        <w:rPr>
          <w:lang w:val="fr-CA"/>
        </w:rPr>
        <w:t> </w:t>
      </w:r>
      <w:r w:rsidRPr="0031513C">
        <w:rPr>
          <w:lang w:val="fr-CA"/>
        </w:rPr>
        <w:t>»,</w:t>
      </w:r>
      <w:r w:rsidRPr="0031513C">
        <w:rPr>
          <w:i/>
          <w:iCs/>
          <w:lang w:val="fr-CA"/>
        </w:rPr>
        <w:t xml:space="preserve"> L’Avenir National</w:t>
      </w:r>
      <w:r w:rsidRPr="0031513C">
        <w:rPr>
          <w:lang w:val="fr-CA"/>
        </w:rPr>
        <w:t>, 31 août 1917, p.</w:t>
      </w:r>
      <w:r>
        <w:rPr>
          <w:lang w:val="fr-CA"/>
        </w:rPr>
        <w:t> </w:t>
      </w:r>
      <w:r w:rsidRPr="0031513C">
        <w:rPr>
          <w:lang w:val="fr-CA"/>
        </w:rPr>
        <w:t>5.</w:t>
      </w:r>
    </w:p>
  </w:footnote>
  <w:footnote w:id="251">
    <w:p w14:paraId="67955A0D" w14:textId="77777777" w:rsidR="00D40D7C" w:rsidRPr="0031513C" w:rsidRDefault="00D40D7C" w:rsidP="00926D23">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lieutenant Chevalier ici pour recruter</w:t>
      </w:r>
      <w:r>
        <w:rPr>
          <w:lang w:val="fr-CA"/>
        </w:rPr>
        <w:t> </w:t>
      </w:r>
      <w:r w:rsidRPr="0031513C">
        <w:rPr>
          <w:lang w:val="fr-CA"/>
        </w:rPr>
        <w:t>»,</w:t>
      </w:r>
      <w:r w:rsidRPr="0031513C">
        <w:rPr>
          <w:i/>
          <w:iCs/>
          <w:lang w:val="fr-CA"/>
        </w:rPr>
        <w:t xml:space="preserve"> L’Avenir National</w:t>
      </w:r>
      <w:r w:rsidRPr="0031513C">
        <w:rPr>
          <w:lang w:val="fr-CA"/>
        </w:rPr>
        <w:t>, 24 octobre 1917, p.</w:t>
      </w:r>
      <w:r>
        <w:rPr>
          <w:lang w:val="fr-CA"/>
        </w:rPr>
        <w:t> </w:t>
      </w:r>
      <w:r w:rsidRPr="0031513C">
        <w:rPr>
          <w:lang w:val="fr-CA"/>
        </w:rPr>
        <w:t>8.</w:t>
      </w:r>
    </w:p>
  </w:footnote>
  <w:footnote w:id="252">
    <w:p w14:paraId="67AC9F9A" w14:textId="77777777" w:rsidR="00D40D7C" w:rsidRPr="0031513C" w:rsidRDefault="00D40D7C" w:rsidP="00926D23">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Épargnez-vous le titre de déserteur</w:t>
      </w:r>
      <w:r>
        <w:rPr>
          <w:lang w:val="fr-CA"/>
        </w:rPr>
        <w:t> </w:t>
      </w:r>
      <w:r w:rsidRPr="0031513C">
        <w:rPr>
          <w:lang w:val="fr-CA"/>
        </w:rPr>
        <w:t>»,</w:t>
      </w:r>
      <w:r w:rsidRPr="0031513C">
        <w:rPr>
          <w:i/>
          <w:iCs/>
          <w:lang w:val="fr-CA"/>
        </w:rPr>
        <w:t xml:space="preserve"> L’Avenir National</w:t>
      </w:r>
      <w:r w:rsidRPr="0031513C">
        <w:rPr>
          <w:lang w:val="fr-CA"/>
        </w:rPr>
        <w:t>, 2 novembre 1917, p.</w:t>
      </w:r>
      <w:r>
        <w:rPr>
          <w:lang w:val="fr-CA"/>
        </w:rPr>
        <w:t> </w:t>
      </w:r>
      <w:r w:rsidRPr="0031513C">
        <w:rPr>
          <w:lang w:val="fr-CA"/>
        </w:rPr>
        <w:t>10.</w:t>
      </w:r>
    </w:p>
  </w:footnote>
  <w:footnote w:id="253">
    <w:p w14:paraId="6473D2F3" w14:textId="77777777" w:rsidR="00D40D7C" w:rsidRPr="0031513C" w:rsidRDefault="00D40D7C" w:rsidP="00926D23">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10.</w:t>
      </w:r>
    </w:p>
  </w:footnote>
  <w:footnote w:id="254">
    <w:p w14:paraId="4A70A5B8" w14:textId="77777777" w:rsidR="00D40D7C" w:rsidRPr="0031513C" w:rsidRDefault="00D40D7C" w:rsidP="00926D23">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major Boyer du 22</w:t>
      </w:r>
      <w:r w:rsidRPr="0031513C">
        <w:rPr>
          <w:vertAlign w:val="superscript"/>
          <w:lang w:val="fr-CA"/>
        </w:rPr>
        <w:t>e</w:t>
      </w:r>
      <w:r w:rsidRPr="0031513C">
        <w:rPr>
          <w:lang w:val="fr-CA"/>
        </w:rPr>
        <w:t xml:space="preserve"> canadien va recruter ici</w:t>
      </w:r>
      <w:r>
        <w:rPr>
          <w:lang w:val="fr-CA"/>
        </w:rPr>
        <w:t> </w:t>
      </w:r>
      <w:r w:rsidRPr="0031513C">
        <w:rPr>
          <w:lang w:val="fr-CA"/>
        </w:rPr>
        <w:t>»,</w:t>
      </w:r>
      <w:r w:rsidRPr="0031513C">
        <w:rPr>
          <w:i/>
          <w:iCs/>
          <w:lang w:val="fr-CA"/>
        </w:rPr>
        <w:t xml:space="preserve"> L’Avenir National</w:t>
      </w:r>
      <w:r w:rsidRPr="0031513C">
        <w:rPr>
          <w:lang w:val="fr-CA"/>
        </w:rPr>
        <w:t>, 7 décembre 1917, p.</w:t>
      </w:r>
      <w:r>
        <w:rPr>
          <w:lang w:val="fr-CA"/>
        </w:rPr>
        <w:t> </w:t>
      </w:r>
      <w:r w:rsidRPr="0031513C">
        <w:rPr>
          <w:lang w:val="fr-CA"/>
        </w:rPr>
        <w:t>5</w:t>
      </w:r>
      <w:r>
        <w:rPr>
          <w:lang w:val="fr-CA"/>
        </w:rPr>
        <w:t> </w:t>
      </w:r>
      <w:r w:rsidRPr="0031513C">
        <w:rPr>
          <w:lang w:val="fr-CA"/>
        </w:rPr>
        <w:t xml:space="preserve">; </w:t>
      </w:r>
      <w:r>
        <w:rPr>
          <w:lang w:val="fr-CA"/>
        </w:rPr>
        <w:t>é</w:t>
      </w:r>
      <w:r w:rsidRPr="0031513C">
        <w:rPr>
          <w:lang w:val="fr-CA"/>
        </w:rPr>
        <w:t>tat de service, major Guy Boyer, consulté le 7 octobre 2019</w:t>
      </w:r>
      <w:r>
        <w:rPr>
          <w:lang w:val="fr-CA"/>
        </w:rPr>
        <w:t>.</w:t>
      </w:r>
      <w:r w:rsidRPr="0031513C">
        <w:rPr>
          <w:lang w:val="fr-CA"/>
        </w:rPr>
        <w:t xml:space="preserve"> Note. En octobre 1918, il sera récipiendaire de la Croix de Chevalier de la Légion d’Honneur.</w:t>
      </w:r>
    </w:p>
  </w:footnote>
  <w:footnote w:id="255">
    <w:p w14:paraId="5E925DD5" w14:textId="77777777" w:rsidR="00D40D7C" w:rsidRPr="0031513C" w:rsidRDefault="00D40D7C" w:rsidP="00926D23">
      <w:pPr>
        <w:pStyle w:val="FootnoteText"/>
        <w:rPr>
          <w:lang w:val="fr-CA"/>
        </w:rPr>
      </w:pPr>
      <w:r w:rsidRPr="0031513C">
        <w:rPr>
          <w:rStyle w:val="FootnoteReference"/>
        </w:rPr>
        <w:footnoteRef/>
      </w:r>
      <w:r w:rsidRPr="0031513C">
        <w:rPr>
          <w:lang w:val="fr-CA"/>
        </w:rPr>
        <w:t xml:space="preserve"> États de service, sergent Léandre Choquette, consulté le 7 octobre 2019.</w:t>
      </w:r>
    </w:p>
  </w:footnote>
  <w:footnote w:id="256">
    <w:p w14:paraId="302693FD" w14:textId="77777777" w:rsidR="00D40D7C" w:rsidRPr="0031513C" w:rsidRDefault="00D40D7C" w:rsidP="00926D23">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Ces hommes arrêtent les Huns</w:t>
      </w:r>
      <w:r>
        <w:rPr>
          <w:lang w:val="fr-CA"/>
        </w:rPr>
        <w:t> </w:t>
      </w:r>
      <w:r w:rsidRPr="0031513C">
        <w:rPr>
          <w:lang w:val="fr-CA"/>
        </w:rPr>
        <w:t>»,</w:t>
      </w:r>
      <w:r w:rsidRPr="0031513C">
        <w:rPr>
          <w:i/>
          <w:iCs/>
          <w:lang w:val="fr-CA"/>
        </w:rPr>
        <w:t xml:space="preserve"> L’Avenir National</w:t>
      </w:r>
      <w:r w:rsidRPr="0031513C">
        <w:rPr>
          <w:lang w:val="fr-CA"/>
        </w:rPr>
        <w:t>, 5 avril 1918, p.</w:t>
      </w:r>
      <w:r>
        <w:rPr>
          <w:lang w:val="fr-CA"/>
        </w:rPr>
        <w:t> </w:t>
      </w:r>
      <w:r w:rsidRPr="0031513C">
        <w:rPr>
          <w:lang w:val="fr-CA"/>
        </w:rPr>
        <w:t>2. Publicité de la mission de recrutement de la Grande-Bretagne et du Canada.</w:t>
      </w:r>
    </w:p>
  </w:footnote>
  <w:footnote w:id="257">
    <w:p w14:paraId="5308220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Soldat D.E. Côté est tué au front</w:t>
      </w:r>
      <w:r>
        <w:rPr>
          <w:lang w:val="fr-CA"/>
        </w:rPr>
        <w:t> </w:t>
      </w:r>
      <w:r w:rsidRPr="0031513C">
        <w:rPr>
          <w:lang w:val="fr-CA"/>
        </w:rPr>
        <w:t>»,</w:t>
      </w:r>
      <w:r w:rsidRPr="0031513C">
        <w:rPr>
          <w:i/>
          <w:iCs/>
          <w:lang w:val="fr-CA"/>
        </w:rPr>
        <w:t xml:space="preserve"> L’Avenir National</w:t>
      </w:r>
      <w:r w:rsidRPr="0031513C">
        <w:rPr>
          <w:lang w:val="fr-CA"/>
        </w:rPr>
        <w:t>, 21 mai 1915. p.</w:t>
      </w:r>
      <w:r>
        <w:rPr>
          <w:lang w:val="fr-CA"/>
        </w:rPr>
        <w:t> </w:t>
      </w:r>
      <w:r w:rsidRPr="0031513C">
        <w:rPr>
          <w:lang w:val="fr-CA"/>
        </w:rPr>
        <w:t>8. Note. La bataille d’Ypres ne semble pas avoir été rapporté</w:t>
      </w:r>
      <w:r>
        <w:rPr>
          <w:lang w:val="fr-CA"/>
        </w:rPr>
        <w:t>e</w:t>
      </w:r>
      <w:r w:rsidRPr="0031513C">
        <w:rPr>
          <w:lang w:val="fr-CA"/>
        </w:rPr>
        <w:t xml:space="preserve"> dans </w:t>
      </w:r>
      <w:r w:rsidRPr="0031513C">
        <w:rPr>
          <w:i/>
          <w:iCs/>
          <w:lang w:val="fr-CA"/>
        </w:rPr>
        <w:t>L’Avenir National</w:t>
      </w:r>
      <w:r w:rsidRPr="0031513C">
        <w:rPr>
          <w:lang w:val="fr-CA"/>
        </w:rPr>
        <w:t xml:space="preserve"> lors de la période d’avril 1915.</w:t>
      </w:r>
    </w:p>
  </w:footnote>
  <w:footnote w:id="258">
    <w:p w14:paraId="7A0F686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Gaz asphyxiants font une victime chez les nôtres</w:t>
      </w:r>
      <w:r>
        <w:rPr>
          <w:lang w:val="fr-CA"/>
        </w:rPr>
        <w:t> </w:t>
      </w:r>
      <w:r w:rsidRPr="0031513C">
        <w:rPr>
          <w:lang w:val="fr-CA"/>
        </w:rPr>
        <w:t>»,</w:t>
      </w:r>
      <w:r w:rsidRPr="0031513C">
        <w:rPr>
          <w:i/>
          <w:iCs/>
          <w:lang w:val="fr-CA"/>
        </w:rPr>
        <w:t xml:space="preserve"> L’Avenir National</w:t>
      </w:r>
      <w:r w:rsidRPr="0031513C">
        <w:rPr>
          <w:lang w:val="fr-CA"/>
        </w:rPr>
        <w:t>, 30 septembre 1915, p.</w:t>
      </w:r>
      <w:r>
        <w:rPr>
          <w:lang w:val="fr-CA"/>
        </w:rPr>
        <w:t> </w:t>
      </w:r>
      <w:r w:rsidRPr="0031513C">
        <w:rPr>
          <w:lang w:val="fr-CA"/>
        </w:rPr>
        <w:t>8.</w:t>
      </w:r>
    </w:p>
  </w:footnote>
  <w:footnote w:id="259">
    <w:p w14:paraId="3C25E24F" w14:textId="77777777" w:rsidR="00D40D7C" w:rsidRPr="0031513C" w:rsidRDefault="00D40D7C" w:rsidP="009B1709">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major Laflèche et le LT. Brosseau du 22</w:t>
      </w:r>
      <w:r w:rsidRPr="0031513C">
        <w:rPr>
          <w:vertAlign w:val="superscript"/>
          <w:lang w:val="fr-CA"/>
        </w:rPr>
        <w:t>e</w:t>
      </w:r>
      <w:r w:rsidRPr="0031513C">
        <w:rPr>
          <w:lang w:val="fr-CA"/>
        </w:rPr>
        <w:t>, blessées</w:t>
      </w:r>
      <w:r>
        <w:rPr>
          <w:lang w:val="fr-CA"/>
        </w:rPr>
        <w:t> </w:t>
      </w:r>
      <w:r w:rsidRPr="0031513C">
        <w:rPr>
          <w:lang w:val="fr-CA"/>
        </w:rPr>
        <w:t>»,</w:t>
      </w:r>
      <w:r w:rsidRPr="0031513C">
        <w:rPr>
          <w:i/>
          <w:iCs/>
          <w:lang w:val="fr-CA"/>
        </w:rPr>
        <w:t xml:space="preserve"> L’Avenir National</w:t>
      </w:r>
      <w:r w:rsidRPr="0031513C">
        <w:rPr>
          <w:lang w:val="fr-CA"/>
        </w:rPr>
        <w:t>, 23 juin 1916, p.</w:t>
      </w:r>
      <w:r>
        <w:rPr>
          <w:lang w:val="fr-CA"/>
        </w:rPr>
        <w:t> </w:t>
      </w:r>
      <w:r w:rsidRPr="0031513C">
        <w:rPr>
          <w:lang w:val="fr-CA"/>
        </w:rPr>
        <w:t>9</w:t>
      </w:r>
      <w:r>
        <w:rPr>
          <w:lang w:val="fr-CA"/>
        </w:rPr>
        <w:t> </w:t>
      </w:r>
      <w:r w:rsidRPr="0031513C">
        <w:rPr>
          <w:lang w:val="fr-CA"/>
        </w:rPr>
        <w:t>; «</w:t>
      </w:r>
      <w:r>
        <w:rPr>
          <w:lang w:val="fr-CA"/>
        </w:rPr>
        <w:t> </w:t>
      </w:r>
      <w:r w:rsidRPr="0031513C">
        <w:rPr>
          <w:lang w:val="fr-CA"/>
        </w:rPr>
        <w:t>Le Capt. Chassé en Angleterre</w:t>
      </w:r>
      <w:r>
        <w:rPr>
          <w:lang w:val="fr-CA"/>
        </w:rPr>
        <w:t> </w:t>
      </w:r>
      <w:r w:rsidRPr="0031513C">
        <w:rPr>
          <w:lang w:val="fr-CA"/>
        </w:rPr>
        <w:t>»,</w:t>
      </w:r>
      <w:r w:rsidRPr="0031513C">
        <w:rPr>
          <w:i/>
          <w:iCs/>
          <w:lang w:val="fr-CA"/>
        </w:rPr>
        <w:t xml:space="preserve"> L’Avenir National</w:t>
      </w:r>
      <w:r w:rsidRPr="0031513C">
        <w:rPr>
          <w:lang w:val="fr-CA"/>
        </w:rPr>
        <w:t>, 28 juin 1916, p.</w:t>
      </w:r>
      <w:r>
        <w:rPr>
          <w:lang w:val="fr-CA"/>
        </w:rPr>
        <w:t> </w:t>
      </w:r>
      <w:r w:rsidRPr="0031513C">
        <w:rPr>
          <w:lang w:val="fr-CA"/>
        </w:rPr>
        <w:t>1</w:t>
      </w:r>
      <w:r>
        <w:rPr>
          <w:lang w:val="fr-CA"/>
        </w:rPr>
        <w:t> </w:t>
      </w:r>
      <w:r w:rsidRPr="0031513C">
        <w:rPr>
          <w:lang w:val="fr-CA"/>
        </w:rPr>
        <w:t>; «</w:t>
      </w:r>
      <w:r>
        <w:rPr>
          <w:lang w:val="fr-CA"/>
        </w:rPr>
        <w:t> </w:t>
      </w:r>
      <w:r w:rsidRPr="0031513C">
        <w:rPr>
          <w:lang w:val="fr-CA"/>
        </w:rPr>
        <w:t>Deux Québécois sur les listes</w:t>
      </w:r>
      <w:r>
        <w:rPr>
          <w:lang w:val="fr-CA"/>
        </w:rPr>
        <w:t> </w:t>
      </w:r>
      <w:r w:rsidRPr="0031513C">
        <w:rPr>
          <w:lang w:val="fr-CA"/>
        </w:rPr>
        <w:t>»,</w:t>
      </w:r>
      <w:r w:rsidRPr="0031513C">
        <w:rPr>
          <w:i/>
          <w:iCs/>
          <w:lang w:val="fr-CA"/>
        </w:rPr>
        <w:t xml:space="preserve"> L’Avenir National</w:t>
      </w:r>
      <w:r w:rsidRPr="0031513C">
        <w:rPr>
          <w:lang w:val="fr-CA"/>
        </w:rPr>
        <w:t>, 15 novembre 1916, p.</w:t>
      </w:r>
      <w:r>
        <w:rPr>
          <w:lang w:val="fr-CA"/>
        </w:rPr>
        <w:t> </w:t>
      </w:r>
      <w:r w:rsidRPr="0031513C">
        <w:rPr>
          <w:lang w:val="fr-CA"/>
        </w:rPr>
        <w:t>8</w:t>
      </w:r>
      <w:r>
        <w:rPr>
          <w:lang w:val="fr-CA"/>
        </w:rPr>
        <w:t> </w:t>
      </w:r>
      <w:r w:rsidRPr="0031513C">
        <w:rPr>
          <w:lang w:val="fr-CA"/>
        </w:rPr>
        <w:t>; «</w:t>
      </w:r>
      <w:r>
        <w:rPr>
          <w:lang w:val="fr-CA"/>
        </w:rPr>
        <w:t> </w:t>
      </w:r>
      <w:r w:rsidRPr="0031513C">
        <w:rPr>
          <w:lang w:val="fr-CA"/>
        </w:rPr>
        <w:t>Hors de combat</w:t>
      </w:r>
      <w:r>
        <w:rPr>
          <w:lang w:val="fr-CA"/>
        </w:rPr>
        <w:t> </w:t>
      </w:r>
      <w:r w:rsidRPr="0031513C">
        <w:rPr>
          <w:lang w:val="fr-CA"/>
        </w:rPr>
        <w:t>»,</w:t>
      </w:r>
      <w:r w:rsidRPr="0031513C">
        <w:rPr>
          <w:i/>
          <w:iCs/>
          <w:lang w:val="fr-CA"/>
        </w:rPr>
        <w:t xml:space="preserve"> L’Avenir National</w:t>
      </w:r>
      <w:r w:rsidRPr="0031513C">
        <w:rPr>
          <w:lang w:val="fr-CA"/>
        </w:rPr>
        <w:t>, 29 novembre 1916, p. 2.</w:t>
      </w:r>
    </w:p>
  </w:footnote>
  <w:footnote w:id="260">
    <w:p w14:paraId="1467B9E8" w14:textId="77777777" w:rsidR="00D40D7C" w:rsidRPr="0031513C" w:rsidRDefault="00D40D7C" w:rsidP="009B1709">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Québécois revenus du feu, et blessés</w:t>
      </w:r>
      <w:r>
        <w:rPr>
          <w:lang w:val="fr-CA"/>
        </w:rPr>
        <w:t> </w:t>
      </w:r>
      <w:r w:rsidRPr="0031513C">
        <w:rPr>
          <w:lang w:val="fr-CA"/>
        </w:rPr>
        <w:t>»,</w:t>
      </w:r>
      <w:r w:rsidRPr="0031513C">
        <w:rPr>
          <w:i/>
          <w:iCs/>
          <w:lang w:val="fr-CA"/>
        </w:rPr>
        <w:t xml:space="preserve"> L’Avenir National</w:t>
      </w:r>
      <w:r w:rsidRPr="0031513C">
        <w:rPr>
          <w:lang w:val="fr-CA"/>
        </w:rPr>
        <w:t>, 10 novembre 1916, p.</w:t>
      </w:r>
      <w:r>
        <w:rPr>
          <w:lang w:val="fr-CA"/>
        </w:rPr>
        <w:t> </w:t>
      </w:r>
      <w:r w:rsidRPr="0031513C">
        <w:rPr>
          <w:lang w:val="fr-CA"/>
        </w:rPr>
        <w:t>4</w:t>
      </w:r>
      <w:r>
        <w:rPr>
          <w:lang w:val="fr-CA"/>
        </w:rPr>
        <w:t> </w:t>
      </w:r>
      <w:r w:rsidRPr="0031513C">
        <w:rPr>
          <w:lang w:val="fr-CA"/>
        </w:rPr>
        <w:t xml:space="preserve">; </w:t>
      </w:r>
      <w:r>
        <w:rPr>
          <w:lang w:val="fr-CA"/>
        </w:rPr>
        <w:t>é</w:t>
      </w:r>
      <w:r w:rsidRPr="0031513C">
        <w:rPr>
          <w:lang w:val="fr-CA"/>
        </w:rPr>
        <w:t>tat de service Lt C.H. Routier, consulté le 29 septembre 2019.</w:t>
      </w:r>
    </w:p>
  </w:footnote>
  <w:footnote w:id="261">
    <w:p w14:paraId="6A53BE83" w14:textId="77777777" w:rsidR="00D40D7C" w:rsidRPr="0031513C" w:rsidRDefault="00D40D7C" w:rsidP="009B1709">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Lieut. Hudon est tué au feu</w:t>
      </w:r>
      <w:r>
        <w:rPr>
          <w:lang w:val="fr-CA"/>
        </w:rPr>
        <w:t> </w:t>
      </w:r>
      <w:r w:rsidRPr="0031513C">
        <w:rPr>
          <w:lang w:val="fr-CA"/>
        </w:rPr>
        <w:t>»,</w:t>
      </w:r>
      <w:r w:rsidRPr="0031513C">
        <w:rPr>
          <w:i/>
          <w:iCs/>
          <w:lang w:val="fr-CA"/>
        </w:rPr>
        <w:t xml:space="preserve"> L’Avenir National</w:t>
      </w:r>
      <w:r w:rsidRPr="0031513C">
        <w:rPr>
          <w:lang w:val="fr-CA"/>
        </w:rPr>
        <w:t>, 11 novembre 1916, p.</w:t>
      </w:r>
      <w:r>
        <w:rPr>
          <w:lang w:val="fr-CA"/>
        </w:rPr>
        <w:t> </w:t>
      </w:r>
      <w:r w:rsidRPr="0031513C">
        <w:rPr>
          <w:lang w:val="fr-CA"/>
        </w:rPr>
        <w:t>5</w:t>
      </w:r>
      <w:r>
        <w:rPr>
          <w:lang w:val="fr-CA"/>
        </w:rPr>
        <w:t> </w:t>
      </w:r>
      <w:r w:rsidRPr="0031513C">
        <w:rPr>
          <w:lang w:val="fr-CA"/>
        </w:rPr>
        <w:t xml:space="preserve">; </w:t>
      </w:r>
      <w:r>
        <w:rPr>
          <w:lang w:val="fr-CA"/>
        </w:rPr>
        <w:t>é</w:t>
      </w:r>
      <w:r w:rsidRPr="0031513C">
        <w:rPr>
          <w:lang w:val="fr-CA"/>
        </w:rPr>
        <w:t>tat de service Lt J.O. Hudon, consulté le 29 septembre 2019.</w:t>
      </w:r>
    </w:p>
  </w:footnote>
  <w:footnote w:id="262">
    <w:p w14:paraId="29C0A180" w14:textId="77777777" w:rsidR="00D40D7C" w:rsidRPr="0031513C" w:rsidRDefault="00D40D7C" w:rsidP="009B1709">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mort héroïque du Lieut. Hudon</w:t>
      </w:r>
      <w:r>
        <w:rPr>
          <w:lang w:val="fr-CA"/>
        </w:rPr>
        <w:t> </w:t>
      </w:r>
      <w:r w:rsidRPr="0031513C">
        <w:rPr>
          <w:lang w:val="fr-CA"/>
        </w:rPr>
        <w:t>»,</w:t>
      </w:r>
      <w:r w:rsidRPr="0031513C">
        <w:rPr>
          <w:i/>
          <w:iCs/>
          <w:lang w:val="fr-CA"/>
        </w:rPr>
        <w:t xml:space="preserve"> L’Avenir National</w:t>
      </w:r>
      <w:r w:rsidRPr="0031513C">
        <w:rPr>
          <w:lang w:val="fr-CA"/>
        </w:rPr>
        <w:t>, 29 novembre 1916, p.</w:t>
      </w:r>
      <w:r>
        <w:rPr>
          <w:lang w:val="fr-CA"/>
        </w:rPr>
        <w:t> </w:t>
      </w:r>
      <w:r w:rsidRPr="0031513C">
        <w:rPr>
          <w:lang w:val="fr-CA"/>
        </w:rPr>
        <w:t>7.</w:t>
      </w:r>
    </w:p>
  </w:footnote>
  <w:footnote w:id="263">
    <w:p w14:paraId="5E007348" w14:textId="77777777" w:rsidR="00D40D7C" w:rsidRPr="0031513C" w:rsidRDefault="00D40D7C" w:rsidP="009B1709">
      <w:pPr>
        <w:pStyle w:val="FootnoteText"/>
        <w:rPr>
          <w:lang w:val="fr-CA"/>
        </w:rPr>
      </w:pPr>
      <w:r w:rsidRPr="0031513C">
        <w:rPr>
          <w:rStyle w:val="FootnoteReference"/>
        </w:rPr>
        <w:footnoteRef/>
      </w:r>
      <w:r w:rsidRPr="0031513C">
        <w:rPr>
          <w:lang w:val="fr-CA"/>
        </w:rPr>
        <w:t xml:space="preserve"> Note. Il doit être né approximativement au printemps</w:t>
      </w:r>
      <w:r>
        <w:rPr>
          <w:lang w:val="fr-CA"/>
        </w:rPr>
        <w:t> </w:t>
      </w:r>
      <w:r w:rsidRPr="0031513C">
        <w:rPr>
          <w:lang w:val="fr-CA"/>
        </w:rPr>
        <w:t>1898.</w:t>
      </w:r>
    </w:p>
  </w:footnote>
  <w:footnote w:id="264">
    <w:p w14:paraId="52536B72" w14:textId="77777777" w:rsidR="00D40D7C" w:rsidRPr="00B22758" w:rsidRDefault="00D40D7C" w:rsidP="009B1709">
      <w:pPr>
        <w:pStyle w:val="FootnoteText"/>
        <w:rPr>
          <w:lang w:val="fr-CA"/>
        </w:rPr>
      </w:pPr>
      <w:r w:rsidRPr="0031513C">
        <w:rPr>
          <w:rStyle w:val="FootnoteReference"/>
        </w:rPr>
        <w:footnoteRef/>
      </w:r>
      <w:r w:rsidRPr="0031513C">
        <w:rPr>
          <w:lang w:val="fr-CA"/>
        </w:rPr>
        <w:t xml:space="preserve"> État de service Alfred (Fred) Bretrand, consulté le 3 octobre 2019</w:t>
      </w:r>
      <w:r w:rsidRPr="00516A3F">
        <w:rPr>
          <w:lang w:val="fr-CA"/>
        </w:rPr>
        <w:t xml:space="preserve"> ; </w:t>
      </w:r>
      <w:r w:rsidRPr="00516A3F">
        <w:rPr>
          <w:rFonts w:eastAsia="Calibri"/>
          <w:lang w:val="fr-CA" w:eastAsia="en-US"/>
        </w:rPr>
        <w:t>N</w:t>
      </w:r>
      <w:r w:rsidRPr="00516A3F">
        <w:rPr>
          <w:rFonts w:eastAsia="Calibri"/>
          <w:noProof/>
          <w:lang w:val="fr-CA" w:eastAsia="en-US"/>
        </w:rPr>
        <w:t>icholson</w:t>
      </w:r>
      <w:r w:rsidRPr="0031513C">
        <w:rPr>
          <w:rFonts w:eastAsia="Calibri"/>
          <w:noProof/>
          <w:lang w:val="fr-CA" w:eastAsia="en-US"/>
        </w:rPr>
        <w:t xml:space="preserve">, </w:t>
      </w:r>
      <w:r>
        <w:rPr>
          <w:rFonts w:eastAsia="Calibri"/>
          <w:i/>
          <w:iCs/>
          <w:noProof/>
          <w:lang w:val="fr-CA" w:eastAsia="en-US"/>
        </w:rPr>
        <w:t xml:space="preserve">op. cit., </w:t>
      </w:r>
      <w:r w:rsidRPr="00B22758">
        <w:rPr>
          <w:rFonts w:eastAsia="Calibri"/>
          <w:noProof/>
          <w:lang w:val="fr-CA" w:eastAsia="en-US"/>
        </w:rPr>
        <w:t xml:space="preserve">« </w:t>
      </w:r>
      <w:r w:rsidRPr="00B22758">
        <w:rPr>
          <w:lang w:val="fr-CA"/>
        </w:rPr>
        <w:t>Thiepval Ridge, 26-28 Septembre »,</w:t>
      </w:r>
      <w:r w:rsidRPr="00B22758">
        <w:rPr>
          <w:rFonts w:eastAsia="Calibri"/>
          <w:noProof/>
          <w:lang w:val="fr-CA" w:eastAsia="en-US"/>
        </w:rPr>
        <w:t xml:space="preserve"> </w:t>
      </w:r>
      <w:r w:rsidRPr="00B22758">
        <w:rPr>
          <w:lang w:val="fr-CA"/>
        </w:rPr>
        <w:t>p. 174</w:t>
      </w:r>
      <w:r>
        <w:rPr>
          <w:lang w:val="fr-CA"/>
        </w:rPr>
        <w:t>–</w:t>
      </w:r>
      <w:r w:rsidRPr="00B22758">
        <w:rPr>
          <w:lang w:val="fr-CA"/>
        </w:rPr>
        <w:t>180.</w:t>
      </w:r>
    </w:p>
  </w:footnote>
  <w:footnote w:id="265">
    <w:p w14:paraId="654DC988" w14:textId="77777777" w:rsidR="00D40D7C" w:rsidRPr="0031513C" w:rsidRDefault="00D40D7C" w:rsidP="00CB66F4">
      <w:pPr>
        <w:pStyle w:val="FootnoteText"/>
        <w:rPr>
          <w:lang w:val="fr-CA"/>
        </w:rPr>
      </w:pPr>
      <w:r w:rsidRPr="0031513C">
        <w:rPr>
          <w:rStyle w:val="FootnoteReference"/>
        </w:rPr>
        <w:footnoteRef/>
      </w:r>
      <w:r w:rsidRPr="0031513C">
        <w:rPr>
          <w:lang w:val="fr-CA"/>
        </w:rPr>
        <w:t xml:space="preserve"> « Alf. Bertrand soldat canadien un des disparus</w:t>
      </w:r>
      <w:r>
        <w:rPr>
          <w:lang w:val="fr-CA"/>
        </w:rPr>
        <w:t> </w:t>
      </w:r>
      <w:r w:rsidRPr="0031513C">
        <w:rPr>
          <w:lang w:val="fr-CA"/>
        </w:rPr>
        <w:t>»,</w:t>
      </w:r>
      <w:r w:rsidRPr="0031513C">
        <w:rPr>
          <w:i/>
          <w:iCs/>
          <w:lang w:val="fr-CA"/>
        </w:rPr>
        <w:t xml:space="preserve"> L’Avenir National</w:t>
      </w:r>
      <w:r w:rsidRPr="0031513C">
        <w:rPr>
          <w:lang w:val="fr-CA"/>
        </w:rPr>
        <w:t>, 5 mai 1917, p.</w:t>
      </w:r>
      <w:r>
        <w:rPr>
          <w:lang w:val="fr-CA"/>
        </w:rPr>
        <w:t> </w:t>
      </w:r>
      <w:r w:rsidRPr="0031513C">
        <w:rPr>
          <w:lang w:val="fr-CA"/>
        </w:rPr>
        <w:t>17.</w:t>
      </w:r>
    </w:p>
  </w:footnote>
  <w:footnote w:id="266">
    <w:p w14:paraId="74394D6E" w14:textId="77777777" w:rsidR="00D40D7C" w:rsidRPr="0031513C" w:rsidRDefault="00D40D7C" w:rsidP="00500AD8">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Supposé déserteur est arrêté ici hier</w:t>
      </w:r>
      <w:r>
        <w:rPr>
          <w:lang w:val="fr-CA"/>
        </w:rPr>
        <w:t> </w:t>
      </w:r>
      <w:r w:rsidRPr="0031513C">
        <w:rPr>
          <w:lang w:val="fr-CA"/>
        </w:rPr>
        <w:t>»,</w:t>
      </w:r>
      <w:r w:rsidRPr="0031513C">
        <w:rPr>
          <w:i/>
          <w:iCs/>
          <w:lang w:val="fr-CA"/>
        </w:rPr>
        <w:t xml:space="preserve"> L’Avenir National</w:t>
      </w:r>
      <w:r w:rsidRPr="0031513C">
        <w:rPr>
          <w:lang w:val="fr-CA"/>
        </w:rPr>
        <w:t>, 11 juillet 1918, p.</w:t>
      </w:r>
      <w:r>
        <w:rPr>
          <w:lang w:val="fr-CA"/>
        </w:rPr>
        <w:t> </w:t>
      </w:r>
      <w:r w:rsidRPr="0031513C">
        <w:rPr>
          <w:lang w:val="fr-CA"/>
        </w:rPr>
        <w:t>8.</w:t>
      </w:r>
    </w:p>
  </w:footnote>
  <w:footnote w:id="267">
    <w:p w14:paraId="555C6BCC" w14:textId="77777777" w:rsidR="00D40D7C" w:rsidRPr="0031513C" w:rsidRDefault="00D40D7C" w:rsidP="00E95CE4">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w:t>
      </w:r>
      <w:r>
        <w:rPr>
          <w:lang w:val="fr-CA"/>
        </w:rPr>
        <w:t> </w:t>
      </w:r>
      <w:r w:rsidRPr="0031513C">
        <w:rPr>
          <w:lang w:val="fr-CA"/>
        </w:rPr>
        <w:t>Quirin reçoit des Nouvelles de la vielle Europe</w:t>
      </w:r>
      <w:r>
        <w:rPr>
          <w:lang w:val="fr-CA"/>
        </w:rPr>
        <w:t> </w:t>
      </w:r>
      <w:r w:rsidRPr="0031513C">
        <w:rPr>
          <w:lang w:val="fr-CA"/>
        </w:rPr>
        <w:t>»,</w:t>
      </w:r>
      <w:r w:rsidRPr="0031513C">
        <w:rPr>
          <w:i/>
          <w:iCs/>
          <w:lang w:val="fr-CA"/>
        </w:rPr>
        <w:t xml:space="preserve"> L’Avenir National</w:t>
      </w:r>
      <w:r w:rsidRPr="0031513C">
        <w:rPr>
          <w:lang w:val="fr-CA"/>
        </w:rPr>
        <w:t>, 19 juin 1917, p.</w:t>
      </w:r>
      <w:r>
        <w:rPr>
          <w:lang w:val="fr-CA"/>
        </w:rPr>
        <w:t> </w:t>
      </w:r>
      <w:r w:rsidRPr="0031513C">
        <w:rPr>
          <w:lang w:val="fr-CA"/>
        </w:rPr>
        <w:t>6.</w:t>
      </w:r>
    </w:p>
  </w:footnote>
  <w:footnote w:id="268">
    <w:p w14:paraId="55A04E3F" w14:textId="77777777" w:rsidR="00D40D7C" w:rsidRPr="0031513C" w:rsidRDefault="00D40D7C" w:rsidP="00E95CE4">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19 juin 1917, p.</w:t>
      </w:r>
      <w:r>
        <w:rPr>
          <w:lang w:val="fr-CA"/>
        </w:rPr>
        <w:t> </w:t>
      </w:r>
      <w:r w:rsidRPr="0031513C">
        <w:rPr>
          <w:lang w:val="fr-CA"/>
        </w:rPr>
        <w:t>6.</w:t>
      </w:r>
    </w:p>
  </w:footnote>
  <w:footnote w:id="269">
    <w:p w14:paraId="01E69843" w14:textId="77777777" w:rsidR="00D40D7C" w:rsidRPr="0031513C" w:rsidRDefault="00D40D7C" w:rsidP="00E95CE4">
      <w:pPr>
        <w:pStyle w:val="FootnoteText"/>
        <w:rPr>
          <w:lang w:val="fr-CA"/>
        </w:rPr>
      </w:pPr>
      <w:r w:rsidRPr="0031513C">
        <w:rPr>
          <w:rStyle w:val="FootnoteReference"/>
        </w:rPr>
        <w:footnoteRef/>
      </w:r>
      <w:r w:rsidRPr="0031513C">
        <w:rPr>
          <w:lang w:val="fr-CA"/>
        </w:rPr>
        <w:t xml:space="preserve"> Cochet et Porte, «</w:t>
      </w:r>
      <w:r>
        <w:rPr>
          <w:lang w:val="fr-CA"/>
        </w:rPr>
        <w:t> </w:t>
      </w:r>
      <w:r w:rsidRPr="0031513C">
        <w:rPr>
          <w:lang w:val="fr-CA"/>
        </w:rPr>
        <w:t xml:space="preserve">Mutineries </w:t>
      </w:r>
      <w:r>
        <w:rPr>
          <w:lang w:val="fr-CA"/>
        </w:rPr>
        <w:t>—</w:t>
      </w:r>
      <w:r w:rsidRPr="0031513C">
        <w:rPr>
          <w:lang w:val="fr-CA"/>
        </w:rPr>
        <w:t xml:space="preserve"> mutineries en France</w:t>
      </w:r>
      <w:r>
        <w:rPr>
          <w:lang w:val="fr-CA"/>
        </w:rPr>
        <w:t> </w:t>
      </w:r>
      <w:r w:rsidRPr="0031513C">
        <w:rPr>
          <w:lang w:val="fr-CA"/>
        </w:rPr>
        <w:t>», p.</w:t>
      </w:r>
      <w:r>
        <w:rPr>
          <w:lang w:val="fr-CA"/>
        </w:rPr>
        <w:t> </w:t>
      </w:r>
      <w:r w:rsidRPr="0031513C">
        <w:rPr>
          <w:lang w:val="fr-CA"/>
        </w:rPr>
        <w:t>741-743.</w:t>
      </w:r>
    </w:p>
  </w:footnote>
  <w:footnote w:id="270">
    <w:p w14:paraId="066BFFDC" w14:textId="77777777" w:rsidR="00D40D7C" w:rsidRPr="0031513C" w:rsidRDefault="00D40D7C" w:rsidP="009578D9">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1</w:t>
      </w:r>
      <w:r w:rsidRPr="0031513C">
        <w:rPr>
          <w:vertAlign w:val="superscript"/>
          <w:lang w:val="fr-CA"/>
        </w:rPr>
        <w:t>er</w:t>
      </w:r>
      <w:r w:rsidRPr="0031513C">
        <w:rPr>
          <w:lang w:val="fr-CA"/>
        </w:rPr>
        <w:t xml:space="preserve"> du N. H. va garder les postes avancés</w:t>
      </w:r>
      <w:r>
        <w:rPr>
          <w:lang w:val="fr-CA"/>
        </w:rPr>
        <w:t> </w:t>
      </w:r>
      <w:r w:rsidRPr="0031513C">
        <w:rPr>
          <w:lang w:val="fr-CA"/>
        </w:rPr>
        <w:t>»,</w:t>
      </w:r>
      <w:r w:rsidRPr="0031513C">
        <w:rPr>
          <w:i/>
          <w:iCs/>
          <w:lang w:val="fr-CA"/>
        </w:rPr>
        <w:t xml:space="preserve"> L’Avenir National</w:t>
      </w:r>
      <w:r w:rsidRPr="0031513C">
        <w:rPr>
          <w:lang w:val="fr-CA"/>
        </w:rPr>
        <w:t>, 23 novembre 1916, p.</w:t>
      </w:r>
      <w:r>
        <w:rPr>
          <w:lang w:val="fr-CA"/>
        </w:rPr>
        <w:t> </w:t>
      </w:r>
      <w:r w:rsidRPr="0031513C">
        <w:rPr>
          <w:lang w:val="fr-CA"/>
        </w:rPr>
        <w:t>14.</w:t>
      </w:r>
    </w:p>
  </w:footnote>
  <w:footnote w:id="271">
    <w:p w14:paraId="78435344"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23 novembre 1916, p.</w:t>
      </w:r>
      <w:r>
        <w:rPr>
          <w:lang w:val="fr-CA"/>
        </w:rPr>
        <w:t> </w:t>
      </w:r>
      <w:r w:rsidRPr="0031513C">
        <w:rPr>
          <w:lang w:val="fr-CA"/>
        </w:rPr>
        <w:t>14.</w:t>
      </w:r>
    </w:p>
  </w:footnote>
  <w:footnote w:id="272">
    <w:p w14:paraId="49DE5F5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Avec nos gars à la frontière du Rio Grande</w:t>
      </w:r>
      <w:r>
        <w:rPr>
          <w:lang w:val="fr-CA"/>
        </w:rPr>
        <w:t> </w:t>
      </w:r>
      <w:r w:rsidRPr="0031513C">
        <w:rPr>
          <w:lang w:val="fr-CA"/>
        </w:rPr>
        <w:t>»,</w:t>
      </w:r>
      <w:r w:rsidRPr="0031513C">
        <w:rPr>
          <w:i/>
          <w:iCs/>
          <w:lang w:val="fr-CA"/>
        </w:rPr>
        <w:t xml:space="preserve"> L’Avenir National</w:t>
      </w:r>
      <w:r w:rsidRPr="0031513C">
        <w:rPr>
          <w:lang w:val="fr-CA"/>
        </w:rPr>
        <w:t>, 5 décembre 1916, p.</w:t>
      </w:r>
      <w:r>
        <w:rPr>
          <w:lang w:val="fr-CA"/>
        </w:rPr>
        <w:t> </w:t>
      </w:r>
      <w:r w:rsidRPr="0031513C">
        <w:rPr>
          <w:lang w:val="fr-CA"/>
        </w:rPr>
        <w:t>10.</w:t>
      </w:r>
    </w:p>
  </w:footnote>
  <w:footnote w:id="273">
    <w:p w14:paraId="72FB684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1</w:t>
      </w:r>
      <w:r w:rsidRPr="0031513C">
        <w:rPr>
          <w:vertAlign w:val="superscript"/>
          <w:lang w:val="fr-CA"/>
        </w:rPr>
        <w:t>er</w:t>
      </w:r>
      <w:r w:rsidRPr="0031513C">
        <w:rPr>
          <w:lang w:val="fr-CA"/>
        </w:rPr>
        <w:t xml:space="preserve"> régiment du </w:t>
      </w:r>
      <w:r>
        <w:rPr>
          <w:lang w:val="fr-CA"/>
        </w:rPr>
        <w:t>N</w:t>
      </w:r>
      <w:r w:rsidRPr="0031513C">
        <w:rPr>
          <w:lang w:val="fr-CA"/>
        </w:rPr>
        <w:t>ew Hampshire revient sous peu</w:t>
      </w:r>
      <w:r>
        <w:rPr>
          <w:lang w:val="fr-CA"/>
        </w:rPr>
        <w:t> </w:t>
      </w:r>
      <w:r w:rsidRPr="0031513C">
        <w:rPr>
          <w:lang w:val="fr-CA"/>
        </w:rPr>
        <w:t>»,</w:t>
      </w:r>
      <w:r w:rsidRPr="0031513C">
        <w:rPr>
          <w:i/>
          <w:iCs/>
          <w:lang w:val="fr-CA"/>
        </w:rPr>
        <w:t xml:space="preserve"> L’Avenir National</w:t>
      </w:r>
      <w:r w:rsidRPr="0031513C">
        <w:rPr>
          <w:lang w:val="fr-CA"/>
        </w:rPr>
        <w:t>, 22 janvier 1917, p.</w:t>
      </w:r>
      <w:r>
        <w:rPr>
          <w:lang w:val="fr-CA"/>
        </w:rPr>
        <w:t> </w:t>
      </w:r>
      <w:r w:rsidRPr="0031513C">
        <w:rPr>
          <w:lang w:val="fr-CA"/>
        </w:rPr>
        <w:t>8.</w:t>
      </w:r>
    </w:p>
  </w:footnote>
  <w:footnote w:id="274">
    <w:p w14:paraId="31DCABC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Notre régiment passé en revue et on l’admire</w:t>
      </w:r>
      <w:r>
        <w:rPr>
          <w:lang w:val="fr-CA"/>
        </w:rPr>
        <w:t> </w:t>
      </w:r>
      <w:r w:rsidRPr="0031513C">
        <w:rPr>
          <w:lang w:val="fr-CA"/>
        </w:rPr>
        <w:t>»,</w:t>
      </w:r>
      <w:r w:rsidRPr="0031513C">
        <w:rPr>
          <w:i/>
          <w:iCs/>
          <w:lang w:val="fr-CA"/>
        </w:rPr>
        <w:t xml:space="preserve"> L’Avenir National</w:t>
      </w:r>
      <w:r w:rsidRPr="0031513C">
        <w:rPr>
          <w:lang w:val="fr-CA"/>
        </w:rPr>
        <w:t>, 9 février 1917, p.</w:t>
      </w:r>
      <w:r>
        <w:rPr>
          <w:lang w:val="fr-CA"/>
        </w:rPr>
        <w:t> </w:t>
      </w:r>
      <w:r w:rsidRPr="0031513C">
        <w:rPr>
          <w:lang w:val="fr-CA"/>
        </w:rPr>
        <w:t>1 et 5.</w:t>
      </w:r>
    </w:p>
  </w:footnote>
  <w:footnote w:id="275">
    <w:p w14:paraId="79B61966" w14:textId="77777777" w:rsidR="00D40D7C" w:rsidRPr="0031513C" w:rsidRDefault="00D40D7C" w:rsidP="005F52D5">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Brigade Franco-Américaine est prête à aller se battre</w:t>
      </w:r>
      <w:r>
        <w:rPr>
          <w:lang w:val="fr-CA"/>
        </w:rPr>
        <w:t> </w:t>
      </w:r>
      <w:r w:rsidRPr="0031513C">
        <w:rPr>
          <w:lang w:val="fr-CA"/>
        </w:rPr>
        <w:t>»,</w:t>
      </w:r>
      <w:r w:rsidRPr="0031513C">
        <w:rPr>
          <w:i/>
          <w:iCs/>
          <w:lang w:val="fr-CA"/>
        </w:rPr>
        <w:t xml:space="preserve"> L’Avenir National</w:t>
      </w:r>
      <w:r w:rsidRPr="0031513C">
        <w:rPr>
          <w:lang w:val="fr-CA"/>
        </w:rPr>
        <w:t>, 7 février 1917, p.</w:t>
      </w:r>
      <w:r>
        <w:rPr>
          <w:lang w:val="fr-CA"/>
        </w:rPr>
        <w:t> </w:t>
      </w:r>
      <w:r w:rsidRPr="0031513C">
        <w:rPr>
          <w:lang w:val="fr-CA"/>
        </w:rPr>
        <w:t>2.</w:t>
      </w:r>
    </w:p>
  </w:footnote>
  <w:footnote w:id="276">
    <w:p w14:paraId="59F95BC8" w14:textId="77777777" w:rsidR="00D40D7C" w:rsidRPr="0031513C" w:rsidRDefault="00D40D7C" w:rsidP="005D6836">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L’Amoskeag fait les préparatifs d’un régiment</w:t>
      </w:r>
      <w:r>
        <w:rPr>
          <w:lang w:val="fr-CA"/>
        </w:rPr>
        <w:t> </w:t>
      </w:r>
      <w:r w:rsidRPr="0031513C">
        <w:rPr>
          <w:lang w:val="fr-CA"/>
        </w:rPr>
        <w:t>»,</w:t>
      </w:r>
      <w:r w:rsidRPr="0031513C">
        <w:rPr>
          <w:i/>
          <w:iCs/>
          <w:lang w:val="fr-CA"/>
        </w:rPr>
        <w:t xml:space="preserve"> L’Avenir National</w:t>
      </w:r>
      <w:r w:rsidRPr="0031513C">
        <w:rPr>
          <w:lang w:val="fr-CA"/>
        </w:rPr>
        <w:t>, 10 février 1917, p.</w:t>
      </w:r>
      <w:r>
        <w:rPr>
          <w:lang w:val="fr-CA"/>
        </w:rPr>
        <w:t> </w:t>
      </w:r>
      <w:r w:rsidRPr="0031513C">
        <w:rPr>
          <w:lang w:val="fr-CA"/>
        </w:rPr>
        <w:t>5.</w:t>
      </w:r>
    </w:p>
  </w:footnote>
  <w:footnote w:id="277">
    <w:p w14:paraId="4E43001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Président proclame l’état de guerre avec l’Empire allemand</w:t>
      </w:r>
      <w:r>
        <w:rPr>
          <w:lang w:val="fr-CA"/>
        </w:rPr>
        <w:t> </w:t>
      </w:r>
      <w:r w:rsidRPr="0031513C">
        <w:rPr>
          <w:lang w:val="fr-CA"/>
        </w:rPr>
        <w:t>»,</w:t>
      </w:r>
      <w:r w:rsidRPr="0031513C">
        <w:rPr>
          <w:i/>
          <w:iCs/>
          <w:lang w:val="fr-CA"/>
        </w:rPr>
        <w:t xml:space="preserve"> L’Avenir National</w:t>
      </w:r>
      <w:r w:rsidRPr="0031513C">
        <w:rPr>
          <w:lang w:val="fr-CA"/>
        </w:rPr>
        <w:t>, 6 avril 1917, p. 1.</w:t>
      </w:r>
    </w:p>
  </w:footnote>
  <w:footnote w:id="278">
    <w:p w14:paraId="7B66620A"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Ce que vous pouvez faire</w:t>
      </w:r>
      <w:r>
        <w:rPr>
          <w:lang w:val="fr-CA"/>
        </w:rPr>
        <w:t> </w:t>
      </w:r>
      <w:r w:rsidRPr="0031513C">
        <w:rPr>
          <w:lang w:val="fr-CA"/>
        </w:rPr>
        <w:t>»,</w:t>
      </w:r>
      <w:r w:rsidRPr="0031513C">
        <w:rPr>
          <w:i/>
          <w:iCs/>
          <w:lang w:val="fr-CA"/>
        </w:rPr>
        <w:t xml:space="preserve"> L’Avenir National</w:t>
      </w:r>
      <w:r w:rsidRPr="0031513C">
        <w:rPr>
          <w:lang w:val="fr-CA"/>
        </w:rPr>
        <w:t>, 4 octobre 1917, p.</w:t>
      </w:r>
      <w:r>
        <w:rPr>
          <w:lang w:val="fr-CA"/>
        </w:rPr>
        <w:t> </w:t>
      </w:r>
      <w:r w:rsidRPr="0031513C">
        <w:rPr>
          <w:lang w:val="fr-CA"/>
        </w:rPr>
        <w:t>4.</w:t>
      </w:r>
    </w:p>
  </w:footnote>
  <w:footnote w:id="279">
    <w:p w14:paraId="21CC1FFB" w14:textId="77777777" w:rsidR="00D40D7C" w:rsidRPr="0031513C" w:rsidRDefault="00D40D7C" w:rsidP="005B47B7">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Notes du carnet</w:t>
      </w:r>
      <w:r>
        <w:rPr>
          <w:lang w:val="fr-CA"/>
        </w:rPr>
        <w:t> </w:t>
      </w:r>
      <w:r w:rsidRPr="0031513C">
        <w:rPr>
          <w:lang w:val="fr-CA"/>
        </w:rPr>
        <w:t>»,</w:t>
      </w:r>
      <w:r w:rsidRPr="0031513C">
        <w:rPr>
          <w:i/>
          <w:iCs/>
          <w:lang w:val="fr-CA"/>
        </w:rPr>
        <w:t xml:space="preserve"> L’Avenir National</w:t>
      </w:r>
      <w:r w:rsidRPr="0031513C">
        <w:rPr>
          <w:lang w:val="fr-CA"/>
        </w:rPr>
        <w:t>, 24 avril 1917, p.</w:t>
      </w:r>
      <w:r>
        <w:rPr>
          <w:lang w:val="fr-CA"/>
        </w:rPr>
        <w:t> </w:t>
      </w:r>
      <w:r w:rsidRPr="0031513C">
        <w:rPr>
          <w:lang w:val="fr-CA"/>
        </w:rPr>
        <w:t>3.</w:t>
      </w:r>
    </w:p>
  </w:footnote>
  <w:footnote w:id="280">
    <w:p w14:paraId="2EF3ADE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bookmarkStart w:id="12" w:name="_Hlk27827608"/>
      <w:r w:rsidRPr="0031513C">
        <w:rPr>
          <w:lang w:val="fr-CA"/>
        </w:rPr>
        <w:t>«</w:t>
      </w:r>
      <w:bookmarkEnd w:id="12"/>
      <w:r>
        <w:rPr>
          <w:lang w:val="fr-CA"/>
        </w:rPr>
        <w:t> </w:t>
      </w:r>
      <w:r w:rsidRPr="0031513C">
        <w:rPr>
          <w:lang w:val="fr-CA"/>
        </w:rPr>
        <w:t>Le recrutement dans Manchester battra le record</w:t>
      </w:r>
      <w:r>
        <w:rPr>
          <w:lang w:val="fr-CA"/>
        </w:rPr>
        <w:t> </w:t>
      </w:r>
      <w:r w:rsidRPr="0031513C">
        <w:rPr>
          <w:lang w:val="fr-CA"/>
        </w:rPr>
        <w:t>»,</w:t>
      </w:r>
      <w:r w:rsidRPr="0031513C">
        <w:rPr>
          <w:i/>
          <w:iCs/>
          <w:lang w:val="fr-CA"/>
        </w:rPr>
        <w:t xml:space="preserve"> L’Avenir National</w:t>
      </w:r>
      <w:r w:rsidRPr="0031513C">
        <w:rPr>
          <w:lang w:val="fr-CA"/>
        </w:rPr>
        <w:t>, 10 avril 1917, p.</w:t>
      </w:r>
      <w:r>
        <w:rPr>
          <w:lang w:val="fr-CA"/>
        </w:rPr>
        <w:t> </w:t>
      </w:r>
      <w:r w:rsidRPr="0031513C">
        <w:rPr>
          <w:lang w:val="fr-CA"/>
        </w:rPr>
        <w:t>7</w:t>
      </w:r>
      <w:r>
        <w:rPr>
          <w:lang w:val="fr-CA"/>
        </w:rPr>
        <w:t> </w:t>
      </w:r>
      <w:r w:rsidRPr="0031513C">
        <w:rPr>
          <w:lang w:val="fr-CA"/>
        </w:rPr>
        <w:t>; «</w:t>
      </w:r>
      <w:r>
        <w:rPr>
          <w:lang w:val="fr-CA"/>
        </w:rPr>
        <w:t> </w:t>
      </w:r>
      <w:r w:rsidRPr="0031513C">
        <w:rPr>
          <w:lang w:val="fr-CA"/>
        </w:rPr>
        <w:t>Le recrutement au bureau local</w:t>
      </w:r>
      <w:r>
        <w:rPr>
          <w:lang w:val="fr-CA"/>
        </w:rPr>
        <w:t> </w:t>
      </w:r>
      <w:r w:rsidRPr="0031513C">
        <w:rPr>
          <w:lang w:val="fr-CA"/>
        </w:rPr>
        <w:t>»,</w:t>
      </w:r>
      <w:r w:rsidRPr="0031513C">
        <w:rPr>
          <w:i/>
          <w:iCs/>
          <w:lang w:val="fr-CA"/>
        </w:rPr>
        <w:t xml:space="preserve"> L’Avenir National</w:t>
      </w:r>
      <w:r w:rsidRPr="0031513C">
        <w:rPr>
          <w:lang w:val="fr-CA"/>
        </w:rPr>
        <w:t>, 12 avril 1917, p.</w:t>
      </w:r>
      <w:r>
        <w:rPr>
          <w:lang w:val="fr-CA"/>
        </w:rPr>
        <w:t> </w:t>
      </w:r>
      <w:r w:rsidRPr="0031513C">
        <w:rPr>
          <w:lang w:val="fr-CA"/>
        </w:rPr>
        <w:t>3.</w:t>
      </w:r>
    </w:p>
  </w:footnote>
  <w:footnote w:id="281">
    <w:p w14:paraId="55629ECD"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recrutement au poste va bon train</w:t>
      </w:r>
      <w:r>
        <w:rPr>
          <w:lang w:val="fr-CA"/>
        </w:rPr>
        <w:t> </w:t>
      </w:r>
      <w:r w:rsidRPr="0031513C">
        <w:rPr>
          <w:lang w:val="fr-CA"/>
        </w:rPr>
        <w:t>»,</w:t>
      </w:r>
      <w:r w:rsidRPr="0031513C">
        <w:rPr>
          <w:i/>
          <w:iCs/>
          <w:lang w:val="fr-CA"/>
        </w:rPr>
        <w:t xml:space="preserve"> L’Avenir National</w:t>
      </w:r>
      <w:r w:rsidRPr="0031513C">
        <w:rPr>
          <w:lang w:val="fr-CA"/>
        </w:rPr>
        <w:t>, 2 mai 1917, p.</w:t>
      </w:r>
      <w:r>
        <w:rPr>
          <w:lang w:val="fr-CA"/>
        </w:rPr>
        <w:t> </w:t>
      </w:r>
      <w:r w:rsidRPr="0031513C">
        <w:rPr>
          <w:lang w:val="fr-CA"/>
        </w:rPr>
        <w:t>5</w:t>
      </w:r>
      <w:r>
        <w:rPr>
          <w:lang w:val="fr-CA"/>
        </w:rPr>
        <w:t> </w:t>
      </w:r>
      <w:r w:rsidRPr="0031513C">
        <w:rPr>
          <w:lang w:val="fr-CA"/>
        </w:rPr>
        <w:t>; «</w:t>
      </w:r>
      <w:r>
        <w:rPr>
          <w:lang w:val="fr-CA"/>
        </w:rPr>
        <w:t> </w:t>
      </w:r>
      <w:r w:rsidRPr="0031513C">
        <w:rPr>
          <w:lang w:val="fr-CA"/>
        </w:rPr>
        <w:t>La marine a fait plusieurs recrues</w:t>
      </w:r>
      <w:r>
        <w:rPr>
          <w:lang w:val="fr-CA"/>
        </w:rPr>
        <w:t> </w:t>
      </w:r>
      <w:r w:rsidRPr="0031513C">
        <w:rPr>
          <w:lang w:val="fr-CA"/>
        </w:rPr>
        <w:t>»,</w:t>
      </w:r>
      <w:r w:rsidRPr="0031513C">
        <w:rPr>
          <w:i/>
          <w:iCs/>
          <w:lang w:val="fr-CA"/>
        </w:rPr>
        <w:t xml:space="preserve"> L’Avenir National</w:t>
      </w:r>
      <w:r w:rsidRPr="0031513C">
        <w:rPr>
          <w:lang w:val="fr-CA"/>
        </w:rPr>
        <w:t>, 4 mai 1917, p.</w:t>
      </w:r>
      <w:r>
        <w:rPr>
          <w:lang w:val="fr-CA"/>
        </w:rPr>
        <w:t> </w:t>
      </w:r>
      <w:r w:rsidRPr="0031513C">
        <w:rPr>
          <w:lang w:val="fr-CA"/>
        </w:rPr>
        <w:t>3.</w:t>
      </w:r>
    </w:p>
  </w:footnote>
  <w:footnote w:id="282">
    <w:p w14:paraId="4373074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Notes du carnet</w:t>
      </w:r>
      <w:r>
        <w:rPr>
          <w:lang w:val="fr-CA"/>
        </w:rPr>
        <w:t> </w:t>
      </w:r>
      <w:r w:rsidRPr="0031513C">
        <w:rPr>
          <w:lang w:val="fr-CA"/>
        </w:rPr>
        <w:t>»,</w:t>
      </w:r>
      <w:r w:rsidRPr="0031513C">
        <w:rPr>
          <w:i/>
          <w:iCs/>
          <w:lang w:val="fr-CA"/>
        </w:rPr>
        <w:t xml:space="preserve"> L’Avenir National</w:t>
      </w:r>
      <w:r w:rsidRPr="0031513C">
        <w:rPr>
          <w:lang w:val="fr-CA"/>
        </w:rPr>
        <w:t>, 5 mai 1917, p.</w:t>
      </w:r>
      <w:r>
        <w:rPr>
          <w:lang w:val="fr-CA"/>
        </w:rPr>
        <w:t> </w:t>
      </w:r>
      <w:r w:rsidRPr="0031513C">
        <w:rPr>
          <w:lang w:val="fr-CA"/>
        </w:rPr>
        <w:t>17</w:t>
      </w:r>
      <w:r>
        <w:rPr>
          <w:lang w:val="fr-CA"/>
        </w:rPr>
        <w:t> </w:t>
      </w:r>
      <w:r w:rsidRPr="0031513C">
        <w:rPr>
          <w:lang w:val="fr-CA"/>
        </w:rPr>
        <w:t>; «</w:t>
      </w:r>
      <w:r>
        <w:rPr>
          <w:lang w:val="fr-CA"/>
        </w:rPr>
        <w:t> </w:t>
      </w:r>
      <w:r w:rsidRPr="0031513C">
        <w:rPr>
          <w:lang w:val="fr-CA"/>
        </w:rPr>
        <w:t>Notes du carnet</w:t>
      </w:r>
      <w:r>
        <w:rPr>
          <w:lang w:val="fr-CA"/>
        </w:rPr>
        <w:t> </w:t>
      </w:r>
      <w:r w:rsidRPr="0031513C">
        <w:rPr>
          <w:lang w:val="fr-CA"/>
        </w:rPr>
        <w:t>»,</w:t>
      </w:r>
      <w:r w:rsidRPr="0031513C">
        <w:rPr>
          <w:i/>
          <w:iCs/>
          <w:lang w:val="fr-CA"/>
        </w:rPr>
        <w:t xml:space="preserve"> L’Avenir National</w:t>
      </w:r>
      <w:r w:rsidRPr="0031513C">
        <w:rPr>
          <w:lang w:val="fr-CA"/>
        </w:rPr>
        <w:t>, 18 avril 1917, p.</w:t>
      </w:r>
      <w:r>
        <w:rPr>
          <w:lang w:val="fr-CA"/>
        </w:rPr>
        <w:t> </w:t>
      </w:r>
      <w:r w:rsidRPr="0031513C">
        <w:rPr>
          <w:lang w:val="fr-CA"/>
        </w:rPr>
        <w:t>5</w:t>
      </w:r>
      <w:r>
        <w:rPr>
          <w:lang w:val="fr-CA"/>
        </w:rPr>
        <w:t> </w:t>
      </w:r>
      <w:r w:rsidRPr="0031513C">
        <w:rPr>
          <w:lang w:val="fr-CA"/>
        </w:rPr>
        <w:t>; «</w:t>
      </w:r>
      <w:r>
        <w:rPr>
          <w:lang w:val="fr-CA"/>
        </w:rPr>
        <w:t> </w:t>
      </w:r>
      <w:r w:rsidRPr="0031513C">
        <w:rPr>
          <w:lang w:val="fr-CA"/>
        </w:rPr>
        <w:t>Une moyenne de dix par jour</w:t>
      </w:r>
      <w:r>
        <w:rPr>
          <w:lang w:val="fr-CA"/>
        </w:rPr>
        <w:t> </w:t>
      </w:r>
      <w:r w:rsidRPr="0031513C">
        <w:rPr>
          <w:lang w:val="fr-CA"/>
        </w:rPr>
        <w:t>»,</w:t>
      </w:r>
      <w:r w:rsidRPr="0031513C">
        <w:rPr>
          <w:i/>
          <w:iCs/>
          <w:lang w:val="fr-CA"/>
        </w:rPr>
        <w:t xml:space="preserve"> L’Avenir National</w:t>
      </w:r>
      <w:r w:rsidRPr="0031513C">
        <w:rPr>
          <w:lang w:val="fr-CA"/>
        </w:rPr>
        <w:t>, 18 avril 1917, p.</w:t>
      </w:r>
      <w:r>
        <w:rPr>
          <w:lang w:val="fr-CA"/>
        </w:rPr>
        <w:t> </w:t>
      </w:r>
      <w:r w:rsidRPr="0031513C">
        <w:rPr>
          <w:lang w:val="fr-CA"/>
        </w:rPr>
        <w:t>5.</w:t>
      </w:r>
    </w:p>
  </w:footnote>
  <w:footnote w:id="283">
    <w:p w14:paraId="2EEBCCD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Des ralliements à deux théâtres dimanche soir</w:t>
      </w:r>
      <w:r>
        <w:rPr>
          <w:lang w:val="fr-CA"/>
        </w:rPr>
        <w:t> </w:t>
      </w:r>
      <w:r w:rsidRPr="0031513C">
        <w:rPr>
          <w:lang w:val="fr-CA"/>
        </w:rPr>
        <w:t>»,</w:t>
      </w:r>
      <w:r w:rsidRPr="0031513C">
        <w:rPr>
          <w:i/>
          <w:iCs/>
          <w:lang w:val="fr-CA"/>
        </w:rPr>
        <w:t xml:space="preserve"> L’Avenir National</w:t>
      </w:r>
      <w:r w:rsidRPr="0031513C">
        <w:rPr>
          <w:lang w:val="fr-CA"/>
        </w:rPr>
        <w:t>, 3 mai 1917, p.</w:t>
      </w:r>
      <w:r>
        <w:rPr>
          <w:lang w:val="fr-CA"/>
        </w:rPr>
        <w:t> </w:t>
      </w:r>
      <w:r w:rsidRPr="0031513C">
        <w:rPr>
          <w:lang w:val="fr-CA"/>
        </w:rPr>
        <w:t>5.</w:t>
      </w:r>
    </w:p>
  </w:footnote>
  <w:footnote w:id="284">
    <w:p w14:paraId="271F4DD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Une salve peu banale au drapeau</w:t>
      </w:r>
      <w:r>
        <w:rPr>
          <w:lang w:val="fr-CA"/>
        </w:rPr>
        <w:t> </w:t>
      </w:r>
      <w:r w:rsidRPr="0031513C">
        <w:rPr>
          <w:lang w:val="fr-CA"/>
        </w:rPr>
        <w:t>»,</w:t>
      </w:r>
      <w:r w:rsidRPr="0031513C">
        <w:rPr>
          <w:i/>
          <w:iCs/>
          <w:lang w:val="fr-CA"/>
        </w:rPr>
        <w:t xml:space="preserve"> L’Avenir National</w:t>
      </w:r>
      <w:r w:rsidRPr="0031513C">
        <w:rPr>
          <w:lang w:val="fr-CA"/>
        </w:rPr>
        <w:t>, 4 mai 1917, p.</w:t>
      </w:r>
      <w:r>
        <w:rPr>
          <w:lang w:val="fr-CA"/>
        </w:rPr>
        <w:t> </w:t>
      </w:r>
      <w:r w:rsidRPr="0031513C">
        <w:rPr>
          <w:lang w:val="fr-CA"/>
        </w:rPr>
        <w:t>10.</w:t>
      </w:r>
    </w:p>
  </w:footnote>
  <w:footnote w:id="285">
    <w:p w14:paraId="76F93DB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Cent cinquante s’engagent pour défendre le pays</w:t>
      </w:r>
      <w:r>
        <w:rPr>
          <w:lang w:val="fr-CA"/>
        </w:rPr>
        <w:t> </w:t>
      </w:r>
      <w:r w:rsidRPr="0031513C">
        <w:rPr>
          <w:lang w:val="fr-CA"/>
        </w:rPr>
        <w:t>»,</w:t>
      </w:r>
      <w:r w:rsidRPr="0031513C">
        <w:rPr>
          <w:i/>
          <w:iCs/>
          <w:lang w:val="fr-CA"/>
        </w:rPr>
        <w:t xml:space="preserve"> L’Avenir National</w:t>
      </w:r>
      <w:r w:rsidRPr="0031513C">
        <w:rPr>
          <w:lang w:val="fr-CA"/>
        </w:rPr>
        <w:t>, 7 mai 1917, p.</w:t>
      </w:r>
      <w:r>
        <w:rPr>
          <w:lang w:val="fr-CA"/>
        </w:rPr>
        <w:t> </w:t>
      </w:r>
      <w:r w:rsidRPr="0031513C">
        <w:rPr>
          <w:lang w:val="fr-CA"/>
        </w:rPr>
        <w:t>5.</w:t>
      </w:r>
    </w:p>
  </w:footnote>
  <w:footnote w:id="286">
    <w:p w14:paraId="52C179C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recrutement va de mieux en mieux</w:t>
      </w:r>
      <w:r>
        <w:rPr>
          <w:lang w:val="fr-CA"/>
        </w:rPr>
        <w:t> </w:t>
      </w:r>
      <w:r w:rsidRPr="0031513C">
        <w:rPr>
          <w:lang w:val="fr-CA"/>
        </w:rPr>
        <w:t>»,</w:t>
      </w:r>
      <w:r w:rsidRPr="0031513C">
        <w:rPr>
          <w:i/>
          <w:iCs/>
          <w:lang w:val="fr-CA"/>
        </w:rPr>
        <w:t xml:space="preserve"> L’Avenir National</w:t>
      </w:r>
      <w:r w:rsidRPr="0031513C">
        <w:rPr>
          <w:lang w:val="fr-CA"/>
        </w:rPr>
        <w:t>, 8 mai 1917, p.</w:t>
      </w:r>
      <w:r>
        <w:rPr>
          <w:lang w:val="fr-CA"/>
        </w:rPr>
        <w:t> </w:t>
      </w:r>
      <w:r w:rsidRPr="0031513C">
        <w:rPr>
          <w:lang w:val="fr-CA"/>
        </w:rPr>
        <w:t>3.</w:t>
      </w:r>
    </w:p>
  </w:footnote>
  <w:footnote w:id="287">
    <w:p w14:paraId="636ADC6E"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Cinq médecins de cette ville sont officiers</w:t>
      </w:r>
      <w:r>
        <w:rPr>
          <w:lang w:val="fr-CA"/>
        </w:rPr>
        <w:t> </w:t>
      </w:r>
      <w:r w:rsidRPr="0031513C">
        <w:rPr>
          <w:lang w:val="fr-CA"/>
        </w:rPr>
        <w:t>»,</w:t>
      </w:r>
      <w:r w:rsidRPr="0031513C">
        <w:rPr>
          <w:i/>
          <w:iCs/>
          <w:lang w:val="fr-CA"/>
        </w:rPr>
        <w:t xml:space="preserve"> L’Avenir National</w:t>
      </w:r>
      <w:r w:rsidRPr="0031513C">
        <w:rPr>
          <w:lang w:val="fr-CA"/>
        </w:rPr>
        <w:t>, 8 mai 1917, p.</w:t>
      </w:r>
      <w:r>
        <w:rPr>
          <w:lang w:val="fr-CA"/>
        </w:rPr>
        <w:t> </w:t>
      </w:r>
      <w:r w:rsidRPr="0031513C">
        <w:rPr>
          <w:lang w:val="fr-CA"/>
        </w:rPr>
        <w:t>8.</w:t>
      </w:r>
    </w:p>
  </w:footnote>
  <w:footnote w:id="288">
    <w:p w14:paraId="159746D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De jeunes braves sont applaudis à leur départ hier</w:t>
      </w:r>
      <w:r>
        <w:rPr>
          <w:lang w:val="fr-CA"/>
        </w:rPr>
        <w:t> </w:t>
      </w:r>
      <w:r w:rsidRPr="0031513C">
        <w:rPr>
          <w:lang w:val="fr-CA"/>
        </w:rPr>
        <w:t>»,</w:t>
      </w:r>
      <w:r w:rsidRPr="0031513C">
        <w:rPr>
          <w:i/>
          <w:iCs/>
          <w:lang w:val="fr-CA"/>
        </w:rPr>
        <w:t xml:space="preserve"> L’Avenir National</w:t>
      </w:r>
      <w:r w:rsidRPr="0031513C">
        <w:rPr>
          <w:lang w:val="fr-CA"/>
        </w:rPr>
        <w:t>, 10 mai 1917, p.</w:t>
      </w:r>
      <w:r>
        <w:rPr>
          <w:lang w:val="fr-CA"/>
        </w:rPr>
        <w:t> </w:t>
      </w:r>
      <w:r w:rsidRPr="0031513C">
        <w:rPr>
          <w:lang w:val="fr-CA"/>
        </w:rPr>
        <w:t>8. Note. Les recrues que nous avons identifiées comme étant Franco-Américains de Manchester seraient : F. Bouchard, William Roy, Charles Vadeboncoeur et Aldor Dufresne.</w:t>
      </w:r>
    </w:p>
  </w:footnote>
  <w:footnote w:id="289">
    <w:p w14:paraId="6784BE7A"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Sept recrues pour la marine des É.-U</w:t>
      </w:r>
      <w:r>
        <w:rPr>
          <w:lang w:val="fr-CA"/>
        </w:rPr>
        <w:t> </w:t>
      </w:r>
      <w:r w:rsidRPr="0031513C">
        <w:rPr>
          <w:lang w:val="fr-CA"/>
        </w:rPr>
        <w:t>»,</w:t>
      </w:r>
      <w:r w:rsidRPr="0031513C">
        <w:rPr>
          <w:i/>
          <w:iCs/>
          <w:lang w:val="fr-CA"/>
        </w:rPr>
        <w:t xml:space="preserve"> L’Avenir National</w:t>
      </w:r>
      <w:r w:rsidRPr="0031513C">
        <w:rPr>
          <w:lang w:val="fr-CA"/>
        </w:rPr>
        <w:t>, 15 mai 1917, p.</w:t>
      </w:r>
      <w:r>
        <w:rPr>
          <w:lang w:val="fr-CA"/>
        </w:rPr>
        <w:t> </w:t>
      </w:r>
      <w:r w:rsidRPr="0031513C">
        <w:rPr>
          <w:lang w:val="fr-CA"/>
        </w:rPr>
        <w:t>3.</w:t>
      </w:r>
    </w:p>
  </w:footnote>
  <w:footnote w:id="290">
    <w:p w14:paraId="6A8C468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32 recrues vont hier après-midi au Fort Slocum</w:t>
      </w:r>
      <w:r>
        <w:rPr>
          <w:lang w:val="fr-CA"/>
        </w:rPr>
        <w:t> </w:t>
      </w:r>
      <w:r w:rsidRPr="0031513C">
        <w:rPr>
          <w:lang w:val="fr-CA"/>
        </w:rPr>
        <w:t>»,</w:t>
      </w:r>
      <w:r w:rsidRPr="0031513C">
        <w:rPr>
          <w:i/>
          <w:iCs/>
          <w:lang w:val="fr-CA"/>
        </w:rPr>
        <w:t xml:space="preserve"> L’Avenir National</w:t>
      </w:r>
      <w:r w:rsidRPr="0031513C">
        <w:rPr>
          <w:lang w:val="fr-CA"/>
        </w:rPr>
        <w:t>, 18 mai 1917, p.</w:t>
      </w:r>
      <w:r>
        <w:rPr>
          <w:lang w:val="fr-CA"/>
        </w:rPr>
        <w:t> </w:t>
      </w:r>
      <w:r w:rsidRPr="0031513C">
        <w:rPr>
          <w:lang w:val="fr-CA"/>
        </w:rPr>
        <w:t>10</w:t>
      </w:r>
      <w:r>
        <w:rPr>
          <w:lang w:val="fr-CA"/>
        </w:rPr>
        <w:t> </w:t>
      </w:r>
      <w:r w:rsidRPr="0031513C">
        <w:rPr>
          <w:lang w:val="fr-CA"/>
        </w:rPr>
        <w:t>; «</w:t>
      </w:r>
      <w:r>
        <w:rPr>
          <w:lang w:val="fr-CA"/>
        </w:rPr>
        <w:t> </w:t>
      </w:r>
      <w:r w:rsidRPr="0031513C">
        <w:rPr>
          <w:lang w:val="fr-CA"/>
        </w:rPr>
        <w:t xml:space="preserve">Les recrues pour le </w:t>
      </w:r>
      <w:r>
        <w:rPr>
          <w:lang w:val="fr-CA"/>
        </w:rPr>
        <w:t>F</w:t>
      </w:r>
      <w:r w:rsidRPr="0031513C">
        <w:rPr>
          <w:lang w:val="fr-CA"/>
        </w:rPr>
        <w:t>ort Slocum</w:t>
      </w:r>
      <w:r>
        <w:rPr>
          <w:lang w:val="fr-CA"/>
        </w:rPr>
        <w:t> </w:t>
      </w:r>
      <w:r w:rsidRPr="0031513C">
        <w:rPr>
          <w:lang w:val="fr-CA"/>
        </w:rPr>
        <w:t>»,</w:t>
      </w:r>
      <w:r w:rsidRPr="0031513C">
        <w:rPr>
          <w:i/>
          <w:iCs/>
          <w:lang w:val="fr-CA"/>
        </w:rPr>
        <w:t xml:space="preserve"> L’Avenir National</w:t>
      </w:r>
      <w:r w:rsidRPr="0031513C">
        <w:rPr>
          <w:lang w:val="fr-CA"/>
        </w:rPr>
        <w:t>, 24 mai 1917, p.</w:t>
      </w:r>
      <w:r>
        <w:rPr>
          <w:lang w:val="fr-CA"/>
        </w:rPr>
        <w:t> </w:t>
      </w:r>
      <w:r w:rsidRPr="0031513C">
        <w:rPr>
          <w:lang w:val="fr-CA"/>
        </w:rPr>
        <w:t>8.</w:t>
      </w:r>
    </w:p>
  </w:footnote>
  <w:footnote w:id="291">
    <w:p w14:paraId="2279AA31" w14:textId="77777777" w:rsidR="00D40D7C" w:rsidRPr="0031513C" w:rsidRDefault="00D40D7C" w:rsidP="00E8478D">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L’enrôlement bon en 2 mois mais pas assez</w:t>
      </w:r>
      <w:r>
        <w:rPr>
          <w:lang w:val="fr-CA"/>
        </w:rPr>
        <w:t> </w:t>
      </w:r>
      <w:r w:rsidRPr="0031513C">
        <w:rPr>
          <w:lang w:val="fr-CA"/>
        </w:rPr>
        <w:t>»,</w:t>
      </w:r>
      <w:r w:rsidRPr="0031513C">
        <w:rPr>
          <w:i/>
          <w:iCs/>
          <w:lang w:val="fr-CA"/>
        </w:rPr>
        <w:t xml:space="preserve"> L’Avenir National</w:t>
      </w:r>
      <w:r w:rsidRPr="0031513C">
        <w:rPr>
          <w:lang w:val="fr-CA"/>
        </w:rPr>
        <w:t>, 2 juin 1917, p.</w:t>
      </w:r>
      <w:r>
        <w:rPr>
          <w:lang w:val="fr-CA"/>
        </w:rPr>
        <w:t> </w:t>
      </w:r>
      <w:r w:rsidRPr="0031513C">
        <w:rPr>
          <w:lang w:val="fr-CA"/>
        </w:rPr>
        <w:t>3.</w:t>
      </w:r>
    </w:p>
  </w:footnote>
  <w:footnote w:id="292">
    <w:p w14:paraId="3082DFC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Nouvelles recrues à fort Slocum, ME</w:t>
      </w:r>
      <w:r>
        <w:rPr>
          <w:lang w:val="fr-CA"/>
        </w:rPr>
        <w:t> </w:t>
      </w:r>
      <w:r w:rsidRPr="0031513C">
        <w:rPr>
          <w:lang w:val="fr-CA"/>
        </w:rPr>
        <w:t>»,</w:t>
      </w:r>
      <w:r w:rsidRPr="0031513C">
        <w:rPr>
          <w:i/>
          <w:iCs/>
          <w:lang w:val="fr-CA"/>
        </w:rPr>
        <w:t xml:space="preserve"> L’Avenir National</w:t>
      </w:r>
      <w:r w:rsidRPr="0031513C">
        <w:rPr>
          <w:lang w:val="fr-CA"/>
        </w:rPr>
        <w:t>, 22 juin 1917, p.</w:t>
      </w:r>
      <w:r>
        <w:rPr>
          <w:lang w:val="fr-CA"/>
        </w:rPr>
        <w:t> </w:t>
      </w:r>
      <w:r w:rsidRPr="0031513C">
        <w:rPr>
          <w:lang w:val="fr-CA"/>
        </w:rPr>
        <w:t>7.</w:t>
      </w:r>
    </w:p>
  </w:footnote>
  <w:footnote w:id="293">
    <w:p w14:paraId="27CFEE8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Une campagne de recrutement commencée hier</w:t>
      </w:r>
      <w:r>
        <w:rPr>
          <w:lang w:val="fr-CA"/>
        </w:rPr>
        <w:t> </w:t>
      </w:r>
      <w:r w:rsidRPr="0031513C">
        <w:rPr>
          <w:lang w:val="fr-CA"/>
        </w:rPr>
        <w:t>»,</w:t>
      </w:r>
      <w:r w:rsidRPr="0031513C">
        <w:rPr>
          <w:i/>
          <w:iCs/>
          <w:lang w:val="fr-CA"/>
        </w:rPr>
        <w:t xml:space="preserve"> L’Avenir National</w:t>
      </w:r>
      <w:r w:rsidRPr="0031513C">
        <w:rPr>
          <w:lang w:val="fr-CA"/>
        </w:rPr>
        <w:t>, 26 juin 1917, p.</w:t>
      </w:r>
      <w:r>
        <w:rPr>
          <w:lang w:val="fr-CA"/>
        </w:rPr>
        <w:t> </w:t>
      </w:r>
      <w:r w:rsidRPr="0031513C">
        <w:rPr>
          <w:lang w:val="fr-CA"/>
        </w:rPr>
        <w:t>3.</w:t>
      </w:r>
    </w:p>
  </w:footnote>
  <w:footnote w:id="294">
    <w:p w14:paraId="6EFE4F9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Des assemblées tenues en faveur du recrutement</w:t>
      </w:r>
      <w:r>
        <w:rPr>
          <w:lang w:val="fr-CA"/>
        </w:rPr>
        <w:t> </w:t>
      </w:r>
      <w:r w:rsidRPr="0031513C">
        <w:rPr>
          <w:lang w:val="fr-CA"/>
        </w:rPr>
        <w:t>»,</w:t>
      </w:r>
      <w:r w:rsidRPr="0031513C">
        <w:rPr>
          <w:i/>
          <w:iCs/>
          <w:lang w:val="fr-CA"/>
        </w:rPr>
        <w:t xml:space="preserve"> L’Avenir National</w:t>
      </w:r>
      <w:r w:rsidRPr="0031513C">
        <w:rPr>
          <w:lang w:val="fr-CA"/>
        </w:rPr>
        <w:t>, 30 juin 1917, p.</w:t>
      </w:r>
      <w:r>
        <w:rPr>
          <w:lang w:val="fr-CA"/>
        </w:rPr>
        <w:t> </w:t>
      </w:r>
      <w:r w:rsidRPr="0031513C">
        <w:rPr>
          <w:lang w:val="fr-CA"/>
        </w:rPr>
        <w:t>5.</w:t>
      </w:r>
    </w:p>
  </w:footnote>
  <w:footnote w:id="295">
    <w:p w14:paraId="2D41181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Voici la liste de ceux qui sont sujets à être conscrits pour l’armée nationale</w:t>
      </w:r>
      <w:r>
        <w:rPr>
          <w:lang w:val="fr-CA"/>
        </w:rPr>
        <w:t> </w:t>
      </w:r>
      <w:r w:rsidRPr="0031513C">
        <w:rPr>
          <w:lang w:val="fr-CA"/>
        </w:rPr>
        <w:t>»,</w:t>
      </w:r>
      <w:r w:rsidRPr="0031513C">
        <w:rPr>
          <w:i/>
          <w:iCs/>
          <w:lang w:val="fr-CA"/>
        </w:rPr>
        <w:t xml:space="preserve"> L’Avenir National</w:t>
      </w:r>
      <w:r w:rsidRPr="0031513C">
        <w:rPr>
          <w:lang w:val="fr-CA"/>
        </w:rPr>
        <w:t>, 9 juillet 1917, p.</w:t>
      </w:r>
      <w:r>
        <w:rPr>
          <w:lang w:val="fr-CA"/>
        </w:rPr>
        <w:t> </w:t>
      </w:r>
      <w:r w:rsidRPr="0031513C">
        <w:rPr>
          <w:lang w:val="fr-CA"/>
        </w:rPr>
        <w:t>4</w:t>
      </w:r>
      <w:r>
        <w:rPr>
          <w:lang w:val="fr-CA"/>
        </w:rPr>
        <w:t> </w:t>
      </w:r>
      <w:r w:rsidRPr="0031513C">
        <w:rPr>
          <w:lang w:val="fr-CA"/>
        </w:rPr>
        <w:t>; 10 juillet 1917, p.</w:t>
      </w:r>
      <w:r>
        <w:rPr>
          <w:lang w:val="fr-CA"/>
        </w:rPr>
        <w:t> </w:t>
      </w:r>
      <w:r w:rsidRPr="0031513C">
        <w:rPr>
          <w:lang w:val="fr-CA"/>
        </w:rPr>
        <w:t>5</w:t>
      </w:r>
      <w:r>
        <w:rPr>
          <w:lang w:val="fr-CA"/>
        </w:rPr>
        <w:t> </w:t>
      </w:r>
      <w:r w:rsidRPr="0031513C">
        <w:rPr>
          <w:lang w:val="fr-CA"/>
        </w:rPr>
        <w:t>; 11 juillet 1917, p</w:t>
      </w:r>
      <w:r>
        <w:rPr>
          <w:lang w:val="fr-CA"/>
        </w:rPr>
        <w:t> </w:t>
      </w:r>
      <w:r w:rsidRPr="0031513C">
        <w:rPr>
          <w:lang w:val="fr-CA"/>
        </w:rPr>
        <w:t>8</w:t>
      </w:r>
      <w:r>
        <w:rPr>
          <w:lang w:val="fr-CA"/>
        </w:rPr>
        <w:t> </w:t>
      </w:r>
      <w:r w:rsidRPr="0031513C">
        <w:rPr>
          <w:lang w:val="fr-CA"/>
        </w:rPr>
        <w:t>; 12 juillet p.</w:t>
      </w:r>
      <w:r>
        <w:rPr>
          <w:lang w:val="fr-CA"/>
        </w:rPr>
        <w:t> </w:t>
      </w:r>
      <w:r w:rsidRPr="0031513C">
        <w:rPr>
          <w:lang w:val="fr-CA"/>
        </w:rPr>
        <w:t>3</w:t>
      </w:r>
      <w:r>
        <w:rPr>
          <w:lang w:val="fr-CA"/>
        </w:rPr>
        <w:t> </w:t>
      </w:r>
      <w:r w:rsidRPr="0031513C">
        <w:rPr>
          <w:lang w:val="fr-CA"/>
        </w:rPr>
        <w:t>; «</w:t>
      </w:r>
      <w:r>
        <w:rPr>
          <w:lang w:val="fr-CA"/>
        </w:rPr>
        <w:t> </w:t>
      </w:r>
      <w:r w:rsidRPr="0031513C">
        <w:rPr>
          <w:lang w:val="fr-CA"/>
        </w:rPr>
        <w:t>La conscription et son effet sur les nôtres d’ici</w:t>
      </w:r>
      <w:r>
        <w:rPr>
          <w:lang w:val="fr-CA"/>
        </w:rPr>
        <w:t> </w:t>
      </w:r>
      <w:r w:rsidRPr="0031513C">
        <w:rPr>
          <w:lang w:val="fr-CA"/>
        </w:rPr>
        <w:t>», «</w:t>
      </w:r>
      <w:r>
        <w:rPr>
          <w:lang w:val="fr-CA"/>
        </w:rPr>
        <w:t> </w:t>
      </w:r>
      <w:r w:rsidRPr="0031513C">
        <w:rPr>
          <w:lang w:val="fr-CA"/>
        </w:rPr>
        <w:t>La conscription</w:t>
      </w:r>
      <w:r>
        <w:rPr>
          <w:lang w:val="fr-CA"/>
        </w:rPr>
        <w:t> </w:t>
      </w:r>
      <w:r w:rsidRPr="0031513C">
        <w:rPr>
          <w:lang w:val="fr-CA"/>
        </w:rPr>
        <w:t>», «</w:t>
      </w:r>
      <w:r>
        <w:rPr>
          <w:lang w:val="fr-CA"/>
        </w:rPr>
        <w:t> </w:t>
      </w:r>
      <w:r w:rsidRPr="0031513C">
        <w:rPr>
          <w:lang w:val="fr-CA"/>
        </w:rPr>
        <w:t>Les conscrits</w:t>
      </w:r>
      <w:r>
        <w:rPr>
          <w:lang w:val="fr-CA"/>
        </w:rPr>
        <w:t> </w:t>
      </w:r>
      <w:r w:rsidRPr="0031513C">
        <w:rPr>
          <w:lang w:val="fr-CA"/>
        </w:rPr>
        <w:t xml:space="preserve">», </w:t>
      </w:r>
      <w:r w:rsidRPr="0031513C">
        <w:rPr>
          <w:i/>
          <w:iCs/>
          <w:lang w:val="fr-CA"/>
        </w:rPr>
        <w:t>L’Avenir National</w:t>
      </w:r>
      <w:r w:rsidRPr="0031513C">
        <w:rPr>
          <w:lang w:val="fr-CA"/>
        </w:rPr>
        <w:t>, 20 juillet 1917, p.</w:t>
      </w:r>
      <w:r>
        <w:rPr>
          <w:lang w:val="fr-CA"/>
        </w:rPr>
        <w:t> </w:t>
      </w:r>
      <w:r w:rsidRPr="0031513C">
        <w:rPr>
          <w:lang w:val="fr-CA"/>
        </w:rPr>
        <w:t>1, 3, et 5</w:t>
      </w:r>
      <w:r>
        <w:rPr>
          <w:lang w:val="fr-CA"/>
        </w:rPr>
        <w:t> </w:t>
      </w:r>
      <w:r w:rsidRPr="0031513C">
        <w:rPr>
          <w:lang w:val="fr-CA"/>
        </w:rPr>
        <w:t>; «</w:t>
      </w:r>
      <w:r>
        <w:rPr>
          <w:lang w:val="fr-CA"/>
        </w:rPr>
        <w:t> </w:t>
      </w:r>
      <w:r w:rsidRPr="0031513C">
        <w:rPr>
          <w:lang w:val="fr-CA"/>
        </w:rPr>
        <w:t>La liste des conscrits</w:t>
      </w:r>
      <w:r>
        <w:rPr>
          <w:lang w:val="fr-CA"/>
        </w:rPr>
        <w:t> </w:t>
      </w:r>
      <w:r w:rsidRPr="0031513C">
        <w:rPr>
          <w:lang w:val="fr-CA"/>
        </w:rPr>
        <w:t xml:space="preserve">», </w:t>
      </w:r>
      <w:r w:rsidRPr="0031513C">
        <w:rPr>
          <w:i/>
          <w:iCs/>
          <w:lang w:val="fr-CA"/>
        </w:rPr>
        <w:t>L’Avenir National</w:t>
      </w:r>
      <w:r w:rsidRPr="0031513C">
        <w:rPr>
          <w:lang w:val="fr-CA"/>
        </w:rPr>
        <w:t>, 23 juillet 1917, p.</w:t>
      </w:r>
      <w:r>
        <w:rPr>
          <w:lang w:val="fr-CA"/>
        </w:rPr>
        <w:t> </w:t>
      </w:r>
      <w:r w:rsidRPr="0031513C">
        <w:rPr>
          <w:lang w:val="fr-CA"/>
        </w:rPr>
        <w:t>4 et 5</w:t>
      </w:r>
      <w:r>
        <w:rPr>
          <w:lang w:val="fr-CA"/>
        </w:rPr>
        <w:t> </w:t>
      </w:r>
      <w:r w:rsidRPr="0031513C">
        <w:rPr>
          <w:lang w:val="fr-CA"/>
        </w:rPr>
        <w:t>; «</w:t>
      </w:r>
      <w:r>
        <w:rPr>
          <w:lang w:val="fr-CA"/>
        </w:rPr>
        <w:t> </w:t>
      </w:r>
      <w:r w:rsidRPr="0031513C">
        <w:rPr>
          <w:lang w:val="fr-CA"/>
        </w:rPr>
        <w:t>La liste des conscrits</w:t>
      </w:r>
      <w:r>
        <w:rPr>
          <w:lang w:val="fr-CA"/>
        </w:rPr>
        <w:t> </w:t>
      </w:r>
      <w:r w:rsidRPr="0031513C">
        <w:rPr>
          <w:lang w:val="fr-CA"/>
        </w:rPr>
        <w:t xml:space="preserve">», </w:t>
      </w:r>
      <w:r w:rsidRPr="0031513C">
        <w:rPr>
          <w:i/>
          <w:iCs/>
          <w:lang w:val="fr-CA"/>
        </w:rPr>
        <w:t>L’Avenir National</w:t>
      </w:r>
      <w:r w:rsidRPr="0031513C">
        <w:rPr>
          <w:lang w:val="fr-CA"/>
        </w:rPr>
        <w:t>, 25 juillet 1917, p.</w:t>
      </w:r>
      <w:r>
        <w:rPr>
          <w:lang w:val="fr-CA"/>
        </w:rPr>
        <w:t> </w:t>
      </w:r>
      <w:r w:rsidRPr="0031513C">
        <w:rPr>
          <w:lang w:val="fr-CA"/>
        </w:rPr>
        <w:t>6</w:t>
      </w:r>
      <w:r>
        <w:rPr>
          <w:lang w:val="fr-CA"/>
        </w:rPr>
        <w:t> </w:t>
      </w:r>
      <w:r w:rsidRPr="0031513C">
        <w:rPr>
          <w:lang w:val="fr-CA"/>
        </w:rPr>
        <w:t>; «</w:t>
      </w:r>
      <w:r>
        <w:rPr>
          <w:lang w:val="fr-CA"/>
        </w:rPr>
        <w:t> </w:t>
      </w:r>
      <w:r w:rsidRPr="0031513C">
        <w:rPr>
          <w:lang w:val="fr-CA"/>
        </w:rPr>
        <w:t>La liste des conscrits</w:t>
      </w:r>
      <w:r>
        <w:rPr>
          <w:lang w:val="fr-CA"/>
        </w:rPr>
        <w:t> </w:t>
      </w:r>
      <w:r w:rsidRPr="0031513C">
        <w:rPr>
          <w:lang w:val="fr-CA"/>
        </w:rPr>
        <w:t xml:space="preserve">», </w:t>
      </w:r>
      <w:r w:rsidRPr="0031513C">
        <w:rPr>
          <w:i/>
          <w:iCs/>
          <w:lang w:val="fr-CA"/>
        </w:rPr>
        <w:t>L’Avenir National</w:t>
      </w:r>
      <w:r w:rsidRPr="0031513C">
        <w:rPr>
          <w:lang w:val="fr-CA"/>
        </w:rPr>
        <w:t>, 27 juillet 1917, p.</w:t>
      </w:r>
      <w:r>
        <w:rPr>
          <w:lang w:val="fr-CA"/>
        </w:rPr>
        <w:t> </w:t>
      </w:r>
      <w:r w:rsidRPr="0031513C">
        <w:rPr>
          <w:lang w:val="fr-CA"/>
        </w:rPr>
        <w:t>3</w:t>
      </w:r>
      <w:r>
        <w:rPr>
          <w:lang w:val="fr-CA"/>
        </w:rPr>
        <w:t> </w:t>
      </w:r>
      <w:r w:rsidRPr="0031513C">
        <w:rPr>
          <w:lang w:val="fr-CA"/>
        </w:rPr>
        <w:t>; «</w:t>
      </w:r>
      <w:r>
        <w:rPr>
          <w:lang w:val="fr-CA"/>
        </w:rPr>
        <w:t> </w:t>
      </w:r>
      <w:r w:rsidRPr="0031513C">
        <w:rPr>
          <w:lang w:val="fr-CA"/>
        </w:rPr>
        <w:t>La liste des conscrits</w:t>
      </w:r>
      <w:r>
        <w:rPr>
          <w:lang w:val="fr-CA"/>
        </w:rPr>
        <w:t> </w:t>
      </w:r>
      <w:r w:rsidRPr="0031513C">
        <w:rPr>
          <w:lang w:val="fr-CA"/>
        </w:rPr>
        <w:t xml:space="preserve">», </w:t>
      </w:r>
      <w:r w:rsidRPr="0031513C">
        <w:rPr>
          <w:i/>
          <w:iCs/>
          <w:lang w:val="fr-CA"/>
        </w:rPr>
        <w:t>L’Avenir National</w:t>
      </w:r>
      <w:r w:rsidRPr="0031513C">
        <w:rPr>
          <w:lang w:val="fr-CA"/>
        </w:rPr>
        <w:t>, 28 juillet 1917. p.</w:t>
      </w:r>
      <w:r>
        <w:rPr>
          <w:lang w:val="fr-CA"/>
        </w:rPr>
        <w:t> </w:t>
      </w:r>
      <w:r w:rsidRPr="0031513C">
        <w:rPr>
          <w:lang w:val="fr-CA"/>
        </w:rPr>
        <w:t>4. Note. Les quatre listes de conscrits comprennent chacune approximativement 600 noms de citoyens de Manchester.</w:t>
      </w:r>
    </w:p>
  </w:footnote>
  <w:footnote w:id="296">
    <w:p w14:paraId="354542E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 xml:space="preserve">Nouvelles recrues pour </w:t>
      </w:r>
      <w:r>
        <w:rPr>
          <w:lang w:val="fr-CA"/>
        </w:rPr>
        <w:t>F</w:t>
      </w:r>
      <w:r w:rsidRPr="0031513C">
        <w:rPr>
          <w:lang w:val="fr-CA"/>
        </w:rPr>
        <w:t>ort Slocum</w:t>
      </w:r>
      <w:r>
        <w:rPr>
          <w:lang w:val="fr-CA"/>
        </w:rPr>
        <w:t> </w:t>
      </w:r>
      <w:r w:rsidRPr="0031513C">
        <w:rPr>
          <w:lang w:val="fr-CA"/>
        </w:rPr>
        <w:t xml:space="preserve">», </w:t>
      </w:r>
      <w:r w:rsidRPr="0031513C">
        <w:rPr>
          <w:i/>
          <w:iCs/>
          <w:lang w:val="fr-CA"/>
        </w:rPr>
        <w:t>L’Avenir National</w:t>
      </w:r>
      <w:r w:rsidRPr="0031513C">
        <w:rPr>
          <w:lang w:val="fr-CA"/>
        </w:rPr>
        <w:t>, 24 juillet 1917, p.</w:t>
      </w:r>
      <w:r>
        <w:rPr>
          <w:lang w:val="fr-CA"/>
        </w:rPr>
        <w:t> </w:t>
      </w:r>
      <w:r w:rsidRPr="0031513C">
        <w:rPr>
          <w:lang w:val="fr-CA"/>
        </w:rPr>
        <w:t>8.</w:t>
      </w:r>
    </w:p>
  </w:footnote>
  <w:footnote w:id="297">
    <w:p w14:paraId="3D23917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On envoie d’ici 39 recrues hier c’est un record</w:t>
      </w:r>
      <w:r>
        <w:rPr>
          <w:lang w:val="fr-CA"/>
        </w:rPr>
        <w:t> </w:t>
      </w:r>
      <w:r w:rsidRPr="0031513C">
        <w:rPr>
          <w:lang w:val="fr-CA"/>
        </w:rPr>
        <w:t xml:space="preserve">», </w:t>
      </w:r>
      <w:r w:rsidRPr="0031513C">
        <w:rPr>
          <w:i/>
          <w:iCs/>
          <w:lang w:val="fr-CA"/>
        </w:rPr>
        <w:t>L’Avenir National</w:t>
      </w:r>
      <w:r w:rsidRPr="0031513C">
        <w:rPr>
          <w:lang w:val="fr-CA"/>
        </w:rPr>
        <w:t>, 25 juillet 1917, p.</w:t>
      </w:r>
      <w:r>
        <w:rPr>
          <w:lang w:val="fr-CA"/>
        </w:rPr>
        <w:t> </w:t>
      </w:r>
      <w:r w:rsidRPr="0031513C">
        <w:rPr>
          <w:lang w:val="fr-CA"/>
        </w:rPr>
        <w:t>8.</w:t>
      </w:r>
    </w:p>
  </w:footnote>
  <w:footnote w:id="298">
    <w:p w14:paraId="1891943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Manchester tient le record pour le nombre de recrues</w:t>
      </w:r>
      <w:r>
        <w:rPr>
          <w:lang w:val="fr-CA"/>
        </w:rPr>
        <w:t> </w:t>
      </w:r>
      <w:r w:rsidRPr="0031513C">
        <w:rPr>
          <w:lang w:val="fr-CA"/>
        </w:rPr>
        <w:t xml:space="preserve">», </w:t>
      </w:r>
      <w:r w:rsidRPr="0031513C">
        <w:rPr>
          <w:i/>
          <w:iCs/>
          <w:lang w:val="fr-CA"/>
        </w:rPr>
        <w:t>L’Avenir National</w:t>
      </w:r>
      <w:r w:rsidRPr="0031513C">
        <w:rPr>
          <w:lang w:val="fr-CA"/>
        </w:rPr>
        <w:t>, 11 septembre 1917, p.</w:t>
      </w:r>
      <w:r>
        <w:rPr>
          <w:lang w:val="fr-CA"/>
        </w:rPr>
        <w:t> </w:t>
      </w:r>
      <w:r w:rsidRPr="0031513C">
        <w:rPr>
          <w:lang w:val="fr-CA"/>
        </w:rPr>
        <w:t>3.</w:t>
      </w:r>
    </w:p>
  </w:footnote>
  <w:footnote w:id="299">
    <w:p w14:paraId="23F01571" w14:textId="77777777" w:rsidR="00D40D7C" w:rsidRPr="0031513C" w:rsidRDefault="00D40D7C" w:rsidP="0011316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départ de nos conscrits</w:t>
      </w:r>
      <w:r>
        <w:rPr>
          <w:lang w:val="fr-CA"/>
        </w:rPr>
        <w:t> </w:t>
      </w:r>
      <w:r w:rsidRPr="0031513C">
        <w:rPr>
          <w:lang w:val="fr-CA"/>
        </w:rPr>
        <w:t xml:space="preserve">», </w:t>
      </w:r>
      <w:r w:rsidRPr="0031513C">
        <w:rPr>
          <w:i/>
          <w:iCs/>
          <w:lang w:val="fr-CA"/>
        </w:rPr>
        <w:t>L’Avenir National</w:t>
      </w:r>
      <w:r w:rsidRPr="0031513C">
        <w:rPr>
          <w:lang w:val="fr-CA"/>
        </w:rPr>
        <w:t>, 20 septembre 1917, p.</w:t>
      </w:r>
      <w:r>
        <w:rPr>
          <w:lang w:val="fr-CA"/>
        </w:rPr>
        <w:t> </w:t>
      </w:r>
      <w:r w:rsidRPr="0031513C">
        <w:rPr>
          <w:lang w:val="fr-CA"/>
        </w:rPr>
        <w:t>4.</w:t>
      </w:r>
    </w:p>
  </w:footnote>
  <w:footnote w:id="300">
    <w:p w14:paraId="4C73558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 recruteur devra parler français aussi</w:t>
      </w:r>
      <w:r>
        <w:rPr>
          <w:lang w:val="fr-CA"/>
        </w:rPr>
        <w:t> </w:t>
      </w:r>
      <w:r w:rsidRPr="0031513C">
        <w:rPr>
          <w:lang w:val="fr-CA"/>
        </w:rPr>
        <w:t xml:space="preserve">», </w:t>
      </w:r>
      <w:r w:rsidRPr="0031513C">
        <w:rPr>
          <w:i/>
          <w:iCs/>
          <w:lang w:val="fr-CA"/>
        </w:rPr>
        <w:t>L’Avenir National</w:t>
      </w:r>
      <w:r w:rsidRPr="0031513C">
        <w:rPr>
          <w:lang w:val="fr-CA"/>
        </w:rPr>
        <w:t>, 31 octobre 1917, p.</w:t>
      </w:r>
      <w:r>
        <w:rPr>
          <w:lang w:val="fr-CA"/>
        </w:rPr>
        <w:t> </w:t>
      </w:r>
      <w:r w:rsidRPr="0031513C">
        <w:rPr>
          <w:lang w:val="fr-CA"/>
        </w:rPr>
        <w:t>12.</w:t>
      </w:r>
    </w:p>
  </w:footnote>
  <w:footnote w:id="301">
    <w:p w14:paraId="7FA444A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Cinq mille vont voir partir les volontaires hier</w:t>
      </w:r>
      <w:r>
        <w:rPr>
          <w:lang w:val="fr-CA"/>
        </w:rPr>
        <w:t> </w:t>
      </w:r>
      <w:r w:rsidRPr="0031513C">
        <w:rPr>
          <w:lang w:val="fr-CA"/>
        </w:rPr>
        <w:t xml:space="preserve">», </w:t>
      </w:r>
      <w:r w:rsidRPr="0031513C">
        <w:rPr>
          <w:i/>
          <w:iCs/>
          <w:lang w:val="fr-CA"/>
        </w:rPr>
        <w:t>L’Avenir National</w:t>
      </w:r>
      <w:r w:rsidRPr="0031513C">
        <w:rPr>
          <w:lang w:val="fr-CA"/>
        </w:rPr>
        <w:t>, 14 décembre 1917, p.</w:t>
      </w:r>
      <w:r>
        <w:rPr>
          <w:lang w:val="fr-CA"/>
        </w:rPr>
        <w:t> </w:t>
      </w:r>
      <w:r w:rsidRPr="0031513C">
        <w:rPr>
          <w:lang w:val="fr-CA"/>
        </w:rPr>
        <w:t>12.</w:t>
      </w:r>
    </w:p>
  </w:footnote>
  <w:footnote w:id="302">
    <w:p w14:paraId="5BEB82A1" w14:textId="77777777" w:rsidR="00D40D7C" w:rsidRPr="0031513C" w:rsidRDefault="00D40D7C" w:rsidP="001B22CA">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 grand besoin d’hommes pour la section d’aviation</w:t>
      </w:r>
      <w:r>
        <w:rPr>
          <w:lang w:val="fr-CA"/>
        </w:rPr>
        <w:t> </w:t>
      </w:r>
      <w:r w:rsidRPr="0031513C">
        <w:rPr>
          <w:lang w:val="fr-CA"/>
        </w:rPr>
        <w:t xml:space="preserve">», </w:t>
      </w:r>
      <w:r w:rsidRPr="0031513C">
        <w:rPr>
          <w:i/>
          <w:iCs/>
          <w:lang w:val="fr-CA"/>
        </w:rPr>
        <w:t>L’Avenir National</w:t>
      </w:r>
      <w:r w:rsidRPr="0031513C">
        <w:rPr>
          <w:lang w:val="fr-CA"/>
        </w:rPr>
        <w:t>, 27 juillet 1917, p.</w:t>
      </w:r>
      <w:r>
        <w:rPr>
          <w:lang w:val="fr-CA"/>
        </w:rPr>
        <w:t> </w:t>
      </w:r>
      <w:r w:rsidRPr="0031513C">
        <w:rPr>
          <w:lang w:val="fr-CA"/>
        </w:rPr>
        <w:t>8.</w:t>
      </w:r>
    </w:p>
  </w:footnote>
  <w:footnote w:id="303">
    <w:p w14:paraId="74FF35F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New Hampshire a 9,000 hommes sous les armes</w:t>
      </w:r>
      <w:r>
        <w:rPr>
          <w:lang w:val="fr-CA"/>
        </w:rPr>
        <w:t> </w:t>
      </w:r>
      <w:r w:rsidRPr="0031513C">
        <w:rPr>
          <w:lang w:val="fr-CA"/>
        </w:rPr>
        <w:t xml:space="preserve">», </w:t>
      </w:r>
      <w:r w:rsidRPr="0031513C">
        <w:rPr>
          <w:i/>
          <w:iCs/>
          <w:lang w:val="fr-CA"/>
        </w:rPr>
        <w:t>L’Avenir National</w:t>
      </w:r>
      <w:r w:rsidRPr="0031513C">
        <w:rPr>
          <w:lang w:val="fr-CA"/>
        </w:rPr>
        <w:t>, 28 mars 1918, p.</w:t>
      </w:r>
      <w:r>
        <w:rPr>
          <w:lang w:val="fr-CA"/>
        </w:rPr>
        <w:t> </w:t>
      </w:r>
      <w:r w:rsidRPr="0031513C">
        <w:rPr>
          <w:lang w:val="fr-CA"/>
        </w:rPr>
        <w:t>2.</w:t>
      </w:r>
    </w:p>
  </w:footnote>
  <w:footnote w:id="304">
    <w:p w14:paraId="7DC68957" w14:textId="77777777" w:rsidR="00D40D7C" w:rsidRPr="0031513C" w:rsidRDefault="00D40D7C">
      <w:pPr>
        <w:pStyle w:val="FootnoteText"/>
        <w:rPr>
          <w:lang w:val="fr-CA"/>
        </w:rPr>
      </w:pPr>
      <w:r w:rsidRPr="0031513C">
        <w:rPr>
          <w:rStyle w:val="FootnoteReference"/>
        </w:rPr>
        <w:footnoteRef/>
      </w:r>
      <w:r w:rsidRPr="0031513C">
        <w:rPr>
          <w:lang w:val="fr-CA"/>
        </w:rPr>
        <w:t xml:space="preserve"> Albert, Bélanger, Le guide officiel des Franco-Américains, Fall River, Massachusetts, 1921, p.</w:t>
      </w:r>
      <w:r>
        <w:rPr>
          <w:lang w:val="fr-CA"/>
        </w:rPr>
        <w:t> </w:t>
      </w:r>
      <w:r w:rsidRPr="0031513C">
        <w:rPr>
          <w:lang w:val="fr-CA"/>
        </w:rPr>
        <w:t>135.</w:t>
      </w:r>
    </w:p>
  </w:footnote>
  <w:footnote w:id="305">
    <w:p w14:paraId="448FC06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recrutement des infirmières par tout l’États</w:t>
      </w:r>
      <w:r>
        <w:rPr>
          <w:lang w:val="fr-CA"/>
        </w:rPr>
        <w:t> </w:t>
      </w:r>
      <w:r w:rsidRPr="0031513C">
        <w:rPr>
          <w:lang w:val="fr-CA"/>
        </w:rPr>
        <w:t xml:space="preserve">», </w:t>
      </w:r>
      <w:r w:rsidRPr="0031513C">
        <w:rPr>
          <w:i/>
          <w:iCs/>
          <w:lang w:val="fr-CA"/>
        </w:rPr>
        <w:t>L’Avenir National</w:t>
      </w:r>
      <w:r w:rsidRPr="0031513C">
        <w:rPr>
          <w:lang w:val="fr-CA"/>
        </w:rPr>
        <w:t>, 6 juin 1918, p.</w:t>
      </w:r>
      <w:r>
        <w:rPr>
          <w:lang w:val="fr-CA"/>
        </w:rPr>
        <w:t> </w:t>
      </w:r>
      <w:r w:rsidRPr="0031513C">
        <w:rPr>
          <w:lang w:val="fr-CA"/>
        </w:rPr>
        <w:t>8.</w:t>
      </w:r>
    </w:p>
  </w:footnote>
  <w:footnote w:id="306">
    <w:p w14:paraId="59D5C5C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Bertrand Tremblay s’en va en France comme ambulancier</w:t>
      </w:r>
      <w:r>
        <w:rPr>
          <w:lang w:val="fr-CA"/>
        </w:rPr>
        <w:t> </w:t>
      </w:r>
      <w:r w:rsidRPr="0031513C">
        <w:rPr>
          <w:lang w:val="fr-CA"/>
        </w:rPr>
        <w:t xml:space="preserve">», </w:t>
      </w:r>
      <w:r w:rsidRPr="0031513C">
        <w:rPr>
          <w:i/>
          <w:iCs/>
          <w:lang w:val="fr-CA"/>
        </w:rPr>
        <w:t>L’Avenir National</w:t>
      </w:r>
      <w:r w:rsidRPr="0031513C">
        <w:rPr>
          <w:lang w:val="fr-CA"/>
        </w:rPr>
        <w:t>, 31 mai 1917, p.</w:t>
      </w:r>
      <w:r>
        <w:rPr>
          <w:lang w:val="fr-CA"/>
        </w:rPr>
        <w:t> </w:t>
      </w:r>
      <w:r w:rsidRPr="0031513C">
        <w:rPr>
          <w:lang w:val="fr-CA"/>
        </w:rPr>
        <w:t>3.</w:t>
      </w:r>
    </w:p>
  </w:footnote>
  <w:footnote w:id="307">
    <w:p w14:paraId="7911354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Bonnes nouvelles de Bertrand Tremblay</w:t>
      </w:r>
      <w:r>
        <w:rPr>
          <w:lang w:val="fr-CA"/>
        </w:rPr>
        <w:t> </w:t>
      </w:r>
      <w:r w:rsidRPr="0031513C">
        <w:rPr>
          <w:lang w:val="fr-CA"/>
        </w:rPr>
        <w:t xml:space="preserve">», </w:t>
      </w:r>
      <w:r w:rsidRPr="0031513C">
        <w:rPr>
          <w:i/>
          <w:iCs/>
          <w:lang w:val="fr-CA"/>
        </w:rPr>
        <w:t>L’Avenir National</w:t>
      </w:r>
      <w:r w:rsidRPr="0031513C">
        <w:rPr>
          <w:lang w:val="fr-CA"/>
        </w:rPr>
        <w:t>, 9 septembre 1917, p.</w:t>
      </w:r>
      <w:r>
        <w:rPr>
          <w:lang w:val="fr-CA"/>
        </w:rPr>
        <w:t> </w:t>
      </w:r>
      <w:r w:rsidRPr="0031513C">
        <w:rPr>
          <w:lang w:val="fr-CA"/>
        </w:rPr>
        <w:t>3.</w:t>
      </w:r>
    </w:p>
  </w:footnote>
  <w:footnote w:id="308">
    <w:p w14:paraId="2435409B"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marin Hébert fut aussi soldat pendant 4 années</w:t>
      </w:r>
      <w:r>
        <w:rPr>
          <w:lang w:val="fr-CA"/>
        </w:rPr>
        <w:t> </w:t>
      </w:r>
      <w:r w:rsidRPr="0031513C">
        <w:rPr>
          <w:lang w:val="fr-CA"/>
        </w:rPr>
        <w:t xml:space="preserve">», </w:t>
      </w:r>
      <w:r w:rsidRPr="0031513C">
        <w:rPr>
          <w:i/>
          <w:iCs/>
          <w:lang w:val="fr-CA"/>
        </w:rPr>
        <w:t>L’Avenir National</w:t>
      </w:r>
      <w:r w:rsidRPr="0031513C">
        <w:rPr>
          <w:lang w:val="fr-CA"/>
        </w:rPr>
        <w:t>, 26 juin 1917, p.</w:t>
      </w:r>
      <w:r>
        <w:rPr>
          <w:lang w:val="fr-CA"/>
        </w:rPr>
        <w:t> </w:t>
      </w:r>
      <w:r w:rsidRPr="0031513C">
        <w:rPr>
          <w:lang w:val="fr-CA"/>
        </w:rPr>
        <w:t>8.</w:t>
      </w:r>
    </w:p>
  </w:footnote>
  <w:footnote w:id="309">
    <w:p w14:paraId="29FC382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Deux des nôtres sont ingénieurs de 1</w:t>
      </w:r>
      <w:r w:rsidRPr="0031513C">
        <w:rPr>
          <w:vertAlign w:val="superscript"/>
          <w:lang w:val="fr-CA"/>
        </w:rPr>
        <w:t>ere</w:t>
      </w:r>
      <w:r w:rsidRPr="0031513C">
        <w:rPr>
          <w:lang w:val="fr-CA"/>
        </w:rPr>
        <w:t xml:space="preserve"> classe</w:t>
      </w:r>
      <w:r>
        <w:rPr>
          <w:lang w:val="fr-CA"/>
        </w:rPr>
        <w:t> </w:t>
      </w:r>
      <w:r w:rsidRPr="0031513C">
        <w:rPr>
          <w:lang w:val="fr-CA"/>
        </w:rPr>
        <w:t xml:space="preserve">», </w:t>
      </w:r>
      <w:r w:rsidRPr="0031513C">
        <w:rPr>
          <w:i/>
          <w:iCs/>
          <w:lang w:val="fr-CA"/>
        </w:rPr>
        <w:t>L’Avenir National</w:t>
      </w:r>
      <w:r w:rsidRPr="0031513C">
        <w:rPr>
          <w:lang w:val="fr-CA"/>
        </w:rPr>
        <w:t>, 14 juin 1917, p.</w:t>
      </w:r>
      <w:r>
        <w:rPr>
          <w:lang w:val="fr-CA"/>
        </w:rPr>
        <w:t> </w:t>
      </w:r>
      <w:r w:rsidRPr="0031513C">
        <w:rPr>
          <w:lang w:val="fr-CA"/>
        </w:rPr>
        <w:t>8.</w:t>
      </w:r>
    </w:p>
  </w:footnote>
  <w:footnote w:id="310">
    <w:p w14:paraId="4C01F7D8"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Poste de confiance à un Canadien du New Hampshire</w:t>
      </w:r>
      <w:r>
        <w:rPr>
          <w:lang w:val="fr-CA"/>
        </w:rPr>
        <w:t> </w:t>
      </w:r>
      <w:r w:rsidRPr="0031513C">
        <w:rPr>
          <w:lang w:val="fr-CA"/>
        </w:rPr>
        <w:t xml:space="preserve">», </w:t>
      </w:r>
      <w:r w:rsidRPr="0031513C">
        <w:rPr>
          <w:i/>
          <w:iCs/>
          <w:lang w:val="fr-CA"/>
        </w:rPr>
        <w:t>L’Avenir National</w:t>
      </w:r>
      <w:r w:rsidRPr="0031513C">
        <w:rPr>
          <w:lang w:val="fr-CA"/>
        </w:rPr>
        <w:t>, 15 juin 1917, p.</w:t>
      </w:r>
      <w:r>
        <w:rPr>
          <w:lang w:val="fr-CA"/>
        </w:rPr>
        <w:t> </w:t>
      </w:r>
      <w:r w:rsidRPr="0031513C">
        <w:rPr>
          <w:lang w:val="fr-CA"/>
        </w:rPr>
        <w:t>1.</w:t>
      </w:r>
    </w:p>
  </w:footnote>
  <w:footnote w:id="311">
    <w:p w14:paraId="028DF99B"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w:t>
      </w:r>
      <w:r>
        <w:rPr>
          <w:lang w:val="fr-CA"/>
        </w:rPr>
        <w:t> </w:t>
      </w:r>
      <w:r w:rsidRPr="0031513C">
        <w:rPr>
          <w:lang w:val="fr-CA"/>
        </w:rPr>
        <w:t>Quirin reçoit des Nouvelles de la vielle Europe</w:t>
      </w:r>
      <w:r>
        <w:rPr>
          <w:lang w:val="fr-CA"/>
        </w:rPr>
        <w:t> </w:t>
      </w:r>
      <w:r w:rsidRPr="0031513C">
        <w:rPr>
          <w:lang w:val="fr-CA"/>
        </w:rPr>
        <w:t xml:space="preserve">», </w:t>
      </w:r>
      <w:r w:rsidRPr="0031513C">
        <w:rPr>
          <w:i/>
          <w:iCs/>
          <w:lang w:val="fr-CA"/>
        </w:rPr>
        <w:t>L’Avenir National</w:t>
      </w:r>
      <w:r w:rsidRPr="0031513C">
        <w:rPr>
          <w:lang w:val="fr-CA"/>
        </w:rPr>
        <w:t>, 19 juin 1917, p.</w:t>
      </w:r>
      <w:r>
        <w:rPr>
          <w:lang w:val="fr-CA"/>
        </w:rPr>
        <w:t> </w:t>
      </w:r>
      <w:r w:rsidRPr="0031513C">
        <w:rPr>
          <w:lang w:val="fr-CA"/>
        </w:rPr>
        <w:t>6</w:t>
      </w:r>
      <w:r>
        <w:rPr>
          <w:lang w:val="fr-CA"/>
        </w:rPr>
        <w:t xml:space="preserve"> ;</w:t>
      </w:r>
      <w:r w:rsidRPr="0031513C">
        <w:rPr>
          <w:lang w:val="fr-CA"/>
        </w:rPr>
        <w:t xml:space="preserve"> «</w:t>
      </w:r>
      <w:r>
        <w:rPr>
          <w:lang w:val="fr-CA"/>
        </w:rPr>
        <w:t> </w:t>
      </w:r>
      <w:r w:rsidRPr="0031513C">
        <w:rPr>
          <w:lang w:val="fr-CA"/>
        </w:rPr>
        <w:t>M. Quirin écrit</w:t>
      </w:r>
      <w:r>
        <w:rPr>
          <w:lang w:val="fr-CA"/>
        </w:rPr>
        <w:t> </w:t>
      </w:r>
      <w:r w:rsidRPr="0031513C">
        <w:rPr>
          <w:lang w:val="fr-CA"/>
        </w:rPr>
        <w:t xml:space="preserve">», </w:t>
      </w:r>
      <w:r w:rsidRPr="0031513C">
        <w:rPr>
          <w:i/>
          <w:iCs/>
          <w:lang w:val="fr-CA"/>
        </w:rPr>
        <w:t>L’Avenir National</w:t>
      </w:r>
      <w:r w:rsidRPr="0031513C">
        <w:rPr>
          <w:lang w:val="fr-CA"/>
        </w:rPr>
        <w:t>, 24 juillet 1917, p.</w:t>
      </w:r>
      <w:r>
        <w:rPr>
          <w:lang w:val="fr-CA"/>
        </w:rPr>
        <w:t> </w:t>
      </w:r>
      <w:r w:rsidRPr="0031513C">
        <w:rPr>
          <w:lang w:val="fr-CA"/>
        </w:rPr>
        <w:t>6</w:t>
      </w:r>
      <w:r>
        <w:rPr>
          <w:lang w:val="fr-CA"/>
        </w:rPr>
        <w:t> </w:t>
      </w:r>
      <w:r w:rsidRPr="0031513C">
        <w:rPr>
          <w:lang w:val="fr-CA"/>
        </w:rPr>
        <w:t>; «</w:t>
      </w:r>
      <w:r>
        <w:rPr>
          <w:lang w:val="fr-CA"/>
        </w:rPr>
        <w:t> </w:t>
      </w:r>
      <w:r w:rsidRPr="0031513C">
        <w:rPr>
          <w:lang w:val="fr-CA"/>
        </w:rPr>
        <w:t>D’intéressantes nouvelles de la guerre d’Europe</w:t>
      </w:r>
      <w:r>
        <w:rPr>
          <w:lang w:val="fr-CA"/>
        </w:rPr>
        <w:t> </w:t>
      </w:r>
      <w:r w:rsidRPr="0031513C">
        <w:rPr>
          <w:lang w:val="fr-CA"/>
        </w:rPr>
        <w:t xml:space="preserve">», </w:t>
      </w:r>
      <w:r w:rsidRPr="0031513C">
        <w:rPr>
          <w:i/>
          <w:iCs/>
          <w:lang w:val="fr-CA"/>
        </w:rPr>
        <w:t>L’Avenir National</w:t>
      </w:r>
      <w:r w:rsidRPr="0031513C">
        <w:rPr>
          <w:lang w:val="fr-CA"/>
        </w:rPr>
        <w:t>, 31 juillet 1917, p.</w:t>
      </w:r>
      <w:r>
        <w:rPr>
          <w:lang w:val="fr-CA"/>
        </w:rPr>
        <w:t> </w:t>
      </w:r>
      <w:r w:rsidRPr="0031513C">
        <w:rPr>
          <w:lang w:val="fr-CA"/>
        </w:rPr>
        <w:t>6.</w:t>
      </w:r>
    </w:p>
  </w:footnote>
  <w:footnote w:id="312">
    <w:p w14:paraId="1BAD648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Lettres d’Europe reçues par M. et Mme</w:t>
      </w:r>
      <w:r>
        <w:rPr>
          <w:lang w:val="fr-CA"/>
        </w:rPr>
        <w:t> </w:t>
      </w:r>
      <w:r w:rsidRPr="0031513C">
        <w:rPr>
          <w:lang w:val="fr-CA"/>
        </w:rPr>
        <w:t>Eug. Quirin</w:t>
      </w:r>
      <w:r>
        <w:rPr>
          <w:lang w:val="fr-CA"/>
        </w:rPr>
        <w:t> </w:t>
      </w:r>
      <w:r w:rsidRPr="0031513C">
        <w:rPr>
          <w:lang w:val="fr-CA"/>
        </w:rPr>
        <w:t xml:space="preserve">», </w:t>
      </w:r>
      <w:r w:rsidRPr="0031513C">
        <w:rPr>
          <w:i/>
          <w:iCs/>
          <w:lang w:val="fr-CA"/>
        </w:rPr>
        <w:t>L’Avenir National</w:t>
      </w:r>
      <w:r w:rsidRPr="0031513C">
        <w:rPr>
          <w:lang w:val="fr-CA"/>
        </w:rPr>
        <w:t>, 12 février 1918, p.</w:t>
      </w:r>
      <w:r>
        <w:rPr>
          <w:lang w:val="fr-CA"/>
        </w:rPr>
        <w:t> </w:t>
      </w:r>
      <w:r w:rsidRPr="0031513C">
        <w:rPr>
          <w:lang w:val="fr-CA"/>
        </w:rPr>
        <w:t>6.</w:t>
      </w:r>
    </w:p>
  </w:footnote>
  <w:footnote w:id="313">
    <w:p w14:paraId="65F5A7B8" w14:textId="77777777" w:rsidR="00D40D7C" w:rsidRPr="0031513C" w:rsidRDefault="00D40D7C" w:rsidP="002B585A">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L’ambulancier F. X. Laflamme écrit d’Europe</w:t>
      </w:r>
      <w:r>
        <w:rPr>
          <w:lang w:val="fr-CA"/>
        </w:rPr>
        <w:t> </w:t>
      </w:r>
      <w:r w:rsidRPr="0031513C">
        <w:rPr>
          <w:lang w:val="fr-CA"/>
        </w:rPr>
        <w:t xml:space="preserve">», </w:t>
      </w:r>
      <w:r w:rsidRPr="0031513C">
        <w:rPr>
          <w:i/>
          <w:iCs/>
          <w:lang w:val="fr-CA"/>
        </w:rPr>
        <w:t>L’Avenir National</w:t>
      </w:r>
      <w:r w:rsidRPr="0031513C">
        <w:rPr>
          <w:lang w:val="fr-CA"/>
        </w:rPr>
        <w:t>, 10 octobre 1917, p.</w:t>
      </w:r>
      <w:r>
        <w:rPr>
          <w:lang w:val="fr-CA"/>
        </w:rPr>
        <w:t> </w:t>
      </w:r>
      <w:r w:rsidRPr="0031513C">
        <w:rPr>
          <w:lang w:val="fr-CA"/>
        </w:rPr>
        <w:t>5.</w:t>
      </w:r>
    </w:p>
  </w:footnote>
  <w:footnote w:id="314">
    <w:p w14:paraId="1C301C2E"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Une bonne missive d’Arthur Soucy à un vieil ami</w:t>
      </w:r>
      <w:r>
        <w:rPr>
          <w:lang w:val="fr-CA"/>
        </w:rPr>
        <w:t> </w:t>
      </w:r>
      <w:r w:rsidRPr="0031513C">
        <w:rPr>
          <w:lang w:val="fr-CA"/>
        </w:rPr>
        <w:t xml:space="preserve">», </w:t>
      </w:r>
      <w:r w:rsidRPr="0031513C">
        <w:rPr>
          <w:i/>
          <w:iCs/>
          <w:lang w:val="fr-CA"/>
        </w:rPr>
        <w:t>L’Avenir National</w:t>
      </w:r>
      <w:r w:rsidRPr="0031513C">
        <w:rPr>
          <w:lang w:val="fr-CA"/>
        </w:rPr>
        <w:t>, 11 août 1917, p.</w:t>
      </w:r>
      <w:r>
        <w:rPr>
          <w:lang w:val="fr-CA"/>
        </w:rPr>
        <w:t> </w:t>
      </w:r>
      <w:r w:rsidRPr="0031513C">
        <w:rPr>
          <w:lang w:val="fr-CA"/>
        </w:rPr>
        <w:t>3.</w:t>
      </w:r>
    </w:p>
  </w:footnote>
  <w:footnote w:id="315">
    <w:p w14:paraId="7CB5DE7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 Arthur Soucy marin à Newport écrit à un ami</w:t>
      </w:r>
      <w:r>
        <w:rPr>
          <w:lang w:val="fr-CA"/>
        </w:rPr>
        <w:t> </w:t>
      </w:r>
      <w:r w:rsidRPr="0031513C">
        <w:rPr>
          <w:lang w:val="fr-CA"/>
        </w:rPr>
        <w:t xml:space="preserve">», </w:t>
      </w:r>
      <w:r w:rsidRPr="0031513C">
        <w:rPr>
          <w:i/>
          <w:iCs/>
          <w:lang w:val="fr-CA"/>
        </w:rPr>
        <w:t>L’Avenir National</w:t>
      </w:r>
      <w:r w:rsidRPr="0031513C">
        <w:rPr>
          <w:lang w:val="fr-CA"/>
        </w:rPr>
        <w:t>, 7 décembre 1917, p.</w:t>
      </w:r>
      <w:r>
        <w:rPr>
          <w:lang w:val="fr-CA"/>
        </w:rPr>
        <w:t> </w:t>
      </w:r>
      <w:r w:rsidRPr="0031513C">
        <w:rPr>
          <w:lang w:val="fr-CA"/>
        </w:rPr>
        <w:t>10.</w:t>
      </w:r>
    </w:p>
  </w:footnote>
  <w:footnote w:id="316">
    <w:p w14:paraId="682529B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caporal Beaudet ira à Plattsburg N.Y</w:t>
      </w:r>
      <w:r>
        <w:rPr>
          <w:lang w:val="fr-CA"/>
        </w:rPr>
        <w:t> </w:t>
      </w:r>
      <w:r w:rsidRPr="0031513C">
        <w:rPr>
          <w:lang w:val="fr-CA"/>
        </w:rPr>
        <w:t xml:space="preserve">», </w:t>
      </w:r>
      <w:r w:rsidRPr="0031513C">
        <w:rPr>
          <w:i/>
          <w:iCs/>
          <w:lang w:val="fr-CA"/>
        </w:rPr>
        <w:t>L’Avenir National</w:t>
      </w:r>
      <w:r w:rsidRPr="0031513C">
        <w:rPr>
          <w:lang w:val="fr-CA"/>
        </w:rPr>
        <w:t>, 11 mai 1917, p.</w:t>
      </w:r>
      <w:r>
        <w:rPr>
          <w:lang w:val="fr-CA"/>
        </w:rPr>
        <w:t> </w:t>
      </w:r>
      <w:r w:rsidRPr="0031513C">
        <w:rPr>
          <w:lang w:val="fr-CA"/>
        </w:rPr>
        <w:t>5.</w:t>
      </w:r>
    </w:p>
  </w:footnote>
  <w:footnote w:id="317">
    <w:p w14:paraId="74BE364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Article de M. X. sur la cérémonie de dimanche</w:t>
      </w:r>
      <w:r>
        <w:rPr>
          <w:lang w:val="fr-CA"/>
        </w:rPr>
        <w:t> </w:t>
      </w:r>
      <w:r w:rsidRPr="0031513C">
        <w:rPr>
          <w:lang w:val="fr-CA"/>
        </w:rPr>
        <w:t xml:space="preserve">», </w:t>
      </w:r>
      <w:r w:rsidRPr="0031513C">
        <w:rPr>
          <w:i/>
          <w:iCs/>
          <w:lang w:val="fr-CA"/>
        </w:rPr>
        <w:t>L’Avenir National</w:t>
      </w:r>
      <w:r w:rsidRPr="0031513C">
        <w:rPr>
          <w:lang w:val="fr-CA"/>
        </w:rPr>
        <w:t>, 8 mai 1917, p.</w:t>
      </w:r>
      <w:r>
        <w:rPr>
          <w:lang w:val="fr-CA"/>
        </w:rPr>
        <w:t> </w:t>
      </w:r>
      <w:r w:rsidRPr="0031513C">
        <w:rPr>
          <w:lang w:val="fr-CA"/>
        </w:rPr>
        <w:t>6.</w:t>
      </w:r>
    </w:p>
  </w:footnote>
  <w:footnote w:id="318">
    <w:p w14:paraId="40346794"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 xml:space="preserve">La </w:t>
      </w:r>
      <w:r>
        <w:rPr>
          <w:lang w:val="fr-CA"/>
        </w:rPr>
        <w:t>“</w:t>
      </w:r>
      <w:r w:rsidRPr="0031513C">
        <w:rPr>
          <w:lang w:val="fr-CA"/>
        </w:rPr>
        <w:t>Croix de Guerre</w:t>
      </w:r>
      <w:r>
        <w:rPr>
          <w:lang w:val="fr-CA"/>
        </w:rPr>
        <w:t>”</w:t>
      </w:r>
      <w:r w:rsidRPr="0031513C">
        <w:rPr>
          <w:lang w:val="fr-CA"/>
        </w:rPr>
        <w:t xml:space="preserve"> accordée à un neveu du Rév. M.</w:t>
      </w:r>
      <w:r>
        <w:rPr>
          <w:lang w:val="fr-CA"/>
        </w:rPr>
        <w:t> </w:t>
      </w:r>
      <w:r w:rsidRPr="0031513C">
        <w:rPr>
          <w:lang w:val="fr-CA"/>
        </w:rPr>
        <w:t>Davignon</w:t>
      </w:r>
      <w:r>
        <w:rPr>
          <w:lang w:val="fr-CA"/>
        </w:rPr>
        <w:t> </w:t>
      </w:r>
      <w:r w:rsidRPr="0031513C">
        <w:rPr>
          <w:lang w:val="fr-CA"/>
        </w:rPr>
        <w:t xml:space="preserve">», </w:t>
      </w:r>
      <w:r w:rsidRPr="0031513C">
        <w:rPr>
          <w:i/>
          <w:iCs/>
          <w:lang w:val="fr-CA"/>
        </w:rPr>
        <w:t>L’Avenir National</w:t>
      </w:r>
      <w:r w:rsidRPr="0031513C">
        <w:rPr>
          <w:lang w:val="fr-CA"/>
        </w:rPr>
        <w:t>, 31 août 1917, p. 8.</w:t>
      </w:r>
    </w:p>
  </w:footnote>
  <w:footnote w:id="319">
    <w:p w14:paraId="35767E4B"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drapeau de Saint-Georges a 250 étoiles</w:t>
      </w:r>
      <w:r>
        <w:rPr>
          <w:lang w:val="fr-CA"/>
        </w:rPr>
        <w:t> </w:t>
      </w:r>
      <w:r w:rsidRPr="0031513C">
        <w:rPr>
          <w:lang w:val="fr-CA"/>
        </w:rPr>
        <w:t xml:space="preserve">», </w:t>
      </w:r>
      <w:r w:rsidRPr="0031513C">
        <w:rPr>
          <w:i/>
          <w:iCs/>
          <w:lang w:val="fr-CA"/>
        </w:rPr>
        <w:t>L’Avenir National</w:t>
      </w:r>
      <w:r w:rsidRPr="0031513C">
        <w:rPr>
          <w:lang w:val="fr-CA"/>
        </w:rPr>
        <w:t>, 17 juin 1918, p.</w:t>
      </w:r>
      <w:r>
        <w:rPr>
          <w:lang w:val="fr-CA"/>
        </w:rPr>
        <w:t> </w:t>
      </w:r>
      <w:r w:rsidRPr="0031513C">
        <w:rPr>
          <w:lang w:val="fr-CA"/>
        </w:rPr>
        <w:t>6.</w:t>
      </w:r>
    </w:p>
  </w:footnote>
  <w:footnote w:id="320">
    <w:p w14:paraId="1DD7E1CF" w14:textId="77777777" w:rsidR="00D40D7C" w:rsidRPr="0031513C" w:rsidRDefault="00D40D7C" w:rsidP="001833B9">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drapeau de Saint-Georges a 250 étoiles</w:t>
      </w:r>
      <w:r>
        <w:rPr>
          <w:lang w:val="fr-CA"/>
        </w:rPr>
        <w:t> </w:t>
      </w:r>
      <w:r w:rsidRPr="0031513C">
        <w:rPr>
          <w:lang w:val="fr-CA"/>
        </w:rPr>
        <w:t xml:space="preserve">», </w:t>
      </w:r>
      <w:r w:rsidRPr="0031513C">
        <w:rPr>
          <w:i/>
          <w:iCs/>
          <w:lang w:val="fr-CA"/>
        </w:rPr>
        <w:t>L’Avenir National</w:t>
      </w:r>
      <w:r w:rsidRPr="0031513C">
        <w:rPr>
          <w:lang w:val="fr-CA"/>
        </w:rPr>
        <w:t>, 17 juin 1918, p.</w:t>
      </w:r>
      <w:r>
        <w:rPr>
          <w:lang w:val="fr-CA"/>
        </w:rPr>
        <w:t> </w:t>
      </w:r>
      <w:r w:rsidRPr="0031513C">
        <w:rPr>
          <w:lang w:val="fr-CA"/>
        </w:rPr>
        <w:t>6.</w:t>
      </w:r>
    </w:p>
  </w:footnote>
  <w:footnote w:id="321">
    <w:p w14:paraId="7DFE7E8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Drapeau du souvenir à St-Augustin</w:t>
      </w:r>
      <w:r>
        <w:rPr>
          <w:lang w:val="fr-CA"/>
        </w:rPr>
        <w:t> </w:t>
      </w:r>
      <w:r w:rsidRPr="0031513C">
        <w:rPr>
          <w:lang w:val="fr-CA"/>
        </w:rPr>
        <w:t xml:space="preserve">», </w:t>
      </w:r>
      <w:r w:rsidRPr="0031513C">
        <w:rPr>
          <w:i/>
          <w:iCs/>
          <w:lang w:val="fr-CA"/>
        </w:rPr>
        <w:t>L’Avenir National</w:t>
      </w:r>
      <w:r w:rsidRPr="0031513C">
        <w:rPr>
          <w:lang w:val="fr-CA"/>
        </w:rPr>
        <w:t>, 17 juin 1918, p.</w:t>
      </w:r>
      <w:r>
        <w:rPr>
          <w:lang w:val="fr-CA"/>
        </w:rPr>
        <w:t> </w:t>
      </w:r>
      <w:r w:rsidRPr="0031513C">
        <w:rPr>
          <w:lang w:val="fr-CA"/>
        </w:rPr>
        <w:t>6.</w:t>
      </w:r>
    </w:p>
  </w:footnote>
  <w:footnote w:id="322">
    <w:p w14:paraId="2748704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Ste-Marie aura son drapeau de service demain</w:t>
      </w:r>
      <w:r>
        <w:rPr>
          <w:lang w:val="fr-CA"/>
        </w:rPr>
        <w:t> </w:t>
      </w:r>
      <w:r w:rsidRPr="0031513C">
        <w:rPr>
          <w:lang w:val="fr-CA"/>
        </w:rPr>
        <w:t xml:space="preserve">», </w:t>
      </w:r>
      <w:r w:rsidRPr="0031513C">
        <w:rPr>
          <w:i/>
          <w:iCs/>
          <w:lang w:val="fr-CA"/>
        </w:rPr>
        <w:t>L’Avenir National</w:t>
      </w:r>
      <w:r w:rsidRPr="0031513C">
        <w:rPr>
          <w:lang w:val="fr-CA"/>
        </w:rPr>
        <w:t>, 29 juin 1918, p.</w:t>
      </w:r>
      <w:r>
        <w:rPr>
          <w:lang w:val="fr-CA"/>
        </w:rPr>
        <w:t> </w:t>
      </w:r>
      <w:r w:rsidRPr="0031513C">
        <w:rPr>
          <w:lang w:val="fr-CA"/>
        </w:rPr>
        <w:t>8.</w:t>
      </w:r>
    </w:p>
  </w:footnote>
  <w:footnote w:id="323">
    <w:p w14:paraId="210779CE" w14:textId="77777777" w:rsidR="00D40D7C" w:rsidRPr="0031513C" w:rsidRDefault="00D40D7C" w:rsidP="00F16F1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compagnies seront portées à cent hommes</w:t>
      </w:r>
      <w:r>
        <w:rPr>
          <w:lang w:val="fr-CA"/>
        </w:rPr>
        <w:t> </w:t>
      </w:r>
      <w:r w:rsidRPr="0031513C">
        <w:rPr>
          <w:lang w:val="fr-CA"/>
        </w:rPr>
        <w:t xml:space="preserve">», </w:t>
      </w:r>
      <w:r w:rsidRPr="0031513C">
        <w:rPr>
          <w:i/>
          <w:iCs/>
          <w:lang w:val="fr-CA"/>
        </w:rPr>
        <w:t>L’Avenir National</w:t>
      </w:r>
      <w:r w:rsidRPr="0031513C">
        <w:rPr>
          <w:lang w:val="fr-CA"/>
        </w:rPr>
        <w:t>, 13 avril 1917, p.</w:t>
      </w:r>
      <w:r>
        <w:rPr>
          <w:lang w:val="fr-CA"/>
        </w:rPr>
        <w:t> </w:t>
      </w:r>
      <w:r w:rsidRPr="0031513C">
        <w:rPr>
          <w:lang w:val="fr-CA"/>
        </w:rPr>
        <w:t>10.</w:t>
      </w:r>
    </w:p>
  </w:footnote>
  <w:footnote w:id="324">
    <w:p w14:paraId="36D8A7E8" w14:textId="77777777" w:rsidR="00D40D7C" w:rsidRPr="0031513C" w:rsidRDefault="00D40D7C" w:rsidP="00F864F4">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compagnie A avec 22 recrues quasi au complet</w:t>
      </w:r>
      <w:r>
        <w:rPr>
          <w:lang w:val="fr-CA"/>
        </w:rPr>
        <w:t> </w:t>
      </w:r>
      <w:r w:rsidRPr="0031513C">
        <w:rPr>
          <w:lang w:val="fr-CA"/>
        </w:rPr>
        <w:t xml:space="preserve">», </w:t>
      </w:r>
      <w:r w:rsidRPr="0031513C">
        <w:rPr>
          <w:i/>
          <w:iCs/>
          <w:lang w:val="fr-CA"/>
        </w:rPr>
        <w:t>L’Avenir National</w:t>
      </w:r>
      <w:r w:rsidRPr="0031513C">
        <w:rPr>
          <w:lang w:val="fr-CA"/>
        </w:rPr>
        <w:t>, 12 juin 1917, p.</w:t>
      </w:r>
      <w:r>
        <w:rPr>
          <w:lang w:val="fr-CA"/>
        </w:rPr>
        <w:t> </w:t>
      </w:r>
      <w:r w:rsidRPr="0031513C">
        <w:rPr>
          <w:lang w:val="fr-CA"/>
        </w:rPr>
        <w:t>6</w:t>
      </w:r>
      <w:r>
        <w:rPr>
          <w:lang w:val="fr-CA"/>
        </w:rPr>
        <w:t> </w:t>
      </w:r>
      <w:r w:rsidRPr="0031513C">
        <w:rPr>
          <w:lang w:val="fr-CA"/>
        </w:rPr>
        <w:t>; «</w:t>
      </w:r>
      <w:r>
        <w:rPr>
          <w:lang w:val="fr-CA"/>
        </w:rPr>
        <w:t> </w:t>
      </w:r>
      <w:r w:rsidRPr="0031513C">
        <w:rPr>
          <w:lang w:val="fr-CA"/>
        </w:rPr>
        <w:t>Nos soldats sont partis pour Concord</w:t>
      </w:r>
      <w:r>
        <w:rPr>
          <w:lang w:val="fr-CA"/>
        </w:rPr>
        <w:t> </w:t>
      </w:r>
      <w:r w:rsidRPr="0031513C">
        <w:rPr>
          <w:lang w:val="fr-CA"/>
        </w:rPr>
        <w:t xml:space="preserve">», </w:t>
      </w:r>
      <w:r w:rsidRPr="0031513C">
        <w:rPr>
          <w:i/>
          <w:iCs/>
          <w:lang w:val="fr-CA"/>
        </w:rPr>
        <w:t>L’Avenir National</w:t>
      </w:r>
      <w:r w:rsidRPr="0031513C">
        <w:rPr>
          <w:lang w:val="fr-CA"/>
        </w:rPr>
        <w:t>, 27 juillet 1917, p.</w:t>
      </w:r>
      <w:r>
        <w:rPr>
          <w:lang w:val="fr-CA"/>
        </w:rPr>
        <w:t> </w:t>
      </w:r>
      <w:r w:rsidRPr="0031513C">
        <w:rPr>
          <w:lang w:val="fr-CA"/>
        </w:rPr>
        <w:t>8.</w:t>
      </w:r>
    </w:p>
  </w:footnote>
  <w:footnote w:id="325">
    <w:p w14:paraId="30AE417B" w14:textId="77777777" w:rsidR="00D40D7C" w:rsidRPr="0031513C" w:rsidRDefault="00D40D7C" w:rsidP="00F864F4">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Garde Nationale à la cathédrale S.J.</w:t>
      </w:r>
      <w:r>
        <w:rPr>
          <w:lang w:val="fr-CA"/>
        </w:rPr>
        <w:t> </w:t>
      </w:r>
      <w:r w:rsidRPr="0031513C">
        <w:rPr>
          <w:lang w:val="fr-CA"/>
        </w:rPr>
        <w:t>; C’est demain que nos gars se mobilisent</w:t>
      </w:r>
      <w:r>
        <w:rPr>
          <w:lang w:val="fr-CA"/>
        </w:rPr>
        <w:t> </w:t>
      </w:r>
      <w:r w:rsidRPr="0031513C">
        <w:rPr>
          <w:lang w:val="fr-CA"/>
        </w:rPr>
        <w:t xml:space="preserve">», </w:t>
      </w:r>
      <w:r w:rsidRPr="0031513C">
        <w:rPr>
          <w:i/>
          <w:iCs/>
          <w:lang w:val="fr-CA"/>
        </w:rPr>
        <w:t>L’Avenir National</w:t>
      </w:r>
      <w:r w:rsidRPr="0031513C">
        <w:rPr>
          <w:lang w:val="fr-CA"/>
        </w:rPr>
        <w:t>, 24 juillet 1917, p.</w:t>
      </w:r>
      <w:r>
        <w:rPr>
          <w:lang w:val="fr-CA"/>
        </w:rPr>
        <w:t> </w:t>
      </w:r>
      <w:r w:rsidRPr="0031513C">
        <w:rPr>
          <w:lang w:val="fr-CA"/>
        </w:rPr>
        <w:t xml:space="preserve">8. </w:t>
      </w:r>
    </w:p>
  </w:footnote>
  <w:footnote w:id="326">
    <w:p w14:paraId="2812C92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troupes du New Hampshire sont mobilisées</w:t>
      </w:r>
      <w:r>
        <w:rPr>
          <w:lang w:val="fr-CA"/>
        </w:rPr>
        <w:t> </w:t>
      </w:r>
      <w:r w:rsidRPr="0031513C">
        <w:rPr>
          <w:lang w:val="fr-CA"/>
        </w:rPr>
        <w:t xml:space="preserve">», </w:t>
      </w:r>
      <w:r w:rsidRPr="0031513C">
        <w:rPr>
          <w:i/>
          <w:iCs/>
          <w:lang w:val="fr-CA"/>
        </w:rPr>
        <w:t>L’Avenir National</w:t>
      </w:r>
      <w:r w:rsidRPr="0031513C">
        <w:rPr>
          <w:lang w:val="fr-CA"/>
        </w:rPr>
        <w:t>, 25 juillet 1917, p.</w:t>
      </w:r>
      <w:r>
        <w:rPr>
          <w:lang w:val="fr-CA"/>
        </w:rPr>
        <w:t> </w:t>
      </w:r>
      <w:r w:rsidRPr="0031513C">
        <w:rPr>
          <w:lang w:val="fr-CA"/>
        </w:rPr>
        <w:t>3.</w:t>
      </w:r>
    </w:p>
  </w:footnote>
  <w:footnote w:id="327">
    <w:p w14:paraId="73BAA85D"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troupes commencent la vie militaire réglée au Camp Keyes à Concord</w:t>
      </w:r>
      <w:r>
        <w:rPr>
          <w:lang w:val="fr-CA"/>
        </w:rPr>
        <w:t> </w:t>
      </w:r>
      <w:r w:rsidRPr="0031513C">
        <w:rPr>
          <w:lang w:val="fr-CA"/>
        </w:rPr>
        <w:t xml:space="preserve">», </w:t>
      </w:r>
      <w:r w:rsidRPr="0031513C">
        <w:rPr>
          <w:i/>
          <w:iCs/>
          <w:lang w:val="fr-CA"/>
        </w:rPr>
        <w:t>L’Avenir National</w:t>
      </w:r>
      <w:r w:rsidRPr="0031513C">
        <w:rPr>
          <w:lang w:val="fr-CA"/>
        </w:rPr>
        <w:t>, 28 juillet 1917, p.</w:t>
      </w:r>
      <w:r>
        <w:rPr>
          <w:lang w:val="fr-CA"/>
        </w:rPr>
        <w:t> </w:t>
      </w:r>
      <w:r w:rsidRPr="0031513C">
        <w:rPr>
          <w:lang w:val="fr-CA"/>
        </w:rPr>
        <w:t>10.</w:t>
      </w:r>
    </w:p>
  </w:footnote>
  <w:footnote w:id="328">
    <w:p w14:paraId="5AD9EC8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compagnie A subit l’examen avec succès</w:t>
      </w:r>
      <w:r>
        <w:rPr>
          <w:lang w:val="fr-CA"/>
        </w:rPr>
        <w:t> </w:t>
      </w:r>
      <w:r w:rsidRPr="0031513C">
        <w:rPr>
          <w:lang w:val="fr-CA"/>
        </w:rPr>
        <w:t xml:space="preserve">», </w:t>
      </w:r>
      <w:r w:rsidRPr="0031513C">
        <w:rPr>
          <w:i/>
          <w:iCs/>
          <w:lang w:val="fr-CA"/>
        </w:rPr>
        <w:t>L’Avenir National</w:t>
      </w:r>
      <w:r w:rsidRPr="0031513C">
        <w:rPr>
          <w:lang w:val="fr-CA"/>
        </w:rPr>
        <w:t>, 2 août 1917, p.</w:t>
      </w:r>
      <w:r>
        <w:rPr>
          <w:lang w:val="fr-CA"/>
        </w:rPr>
        <w:t> </w:t>
      </w:r>
      <w:r w:rsidRPr="0031513C">
        <w:rPr>
          <w:lang w:val="fr-CA"/>
        </w:rPr>
        <w:t>3</w:t>
      </w:r>
      <w:r>
        <w:rPr>
          <w:lang w:val="fr-CA"/>
        </w:rPr>
        <w:t> </w:t>
      </w:r>
      <w:r w:rsidRPr="0031513C">
        <w:rPr>
          <w:lang w:val="fr-CA"/>
        </w:rPr>
        <w:t>; «</w:t>
      </w:r>
      <w:r>
        <w:rPr>
          <w:lang w:val="fr-CA"/>
        </w:rPr>
        <w:t> </w:t>
      </w:r>
      <w:r w:rsidRPr="0031513C">
        <w:rPr>
          <w:lang w:val="fr-CA"/>
        </w:rPr>
        <w:t>Les miliciens mangent bien quoi qu’on dise</w:t>
      </w:r>
      <w:r>
        <w:rPr>
          <w:lang w:val="fr-CA"/>
        </w:rPr>
        <w:t> </w:t>
      </w:r>
      <w:r w:rsidRPr="0031513C">
        <w:rPr>
          <w:lang w:val="fr-CA"/>
        </w:rPr>
        <w:t xml:space="preserve">», </w:t>
      </w:r>
      <w:r w:rsidRPr="0031513C">
        <w:rPr>
          <w:i/>
          <w:iCs/>
          <w:lang w:val="fr-CA"/>
        </w:rPr>
        <w:t>L’Avenir National</w:t>
      </w:r>
      <w:r w:rsidRPr="0031513C">
        <w:rPr>
          <w:lang w:val="fr-CA"/>
        </w:rPr>
        <w:t>, 6 août 1917, p.</w:t>
      </w:r>
      <w:r>
        <w:rPr>
          <w:lang w:val="fr-CA"/>
        </w:rPr>
        <w:t> </w:t>
      </w:r>
      <w:r w:rsidRPr="0031513C">
        <w:rPr>
          <w:lang w:val="fr-CA"/>
        </w:rPr>
        <w:t>8.</w:t>
      </w:r>
    </w:p>
  </w:footnote>
  <w:footnote w:id="329">
    <w:p w14:paraId="7553AA84" w14:textId="77777777" w:rsidR="00D40D7C" w:rsidRPr="0031513C" w:rsidRDefault="00D40D7C" w:rsidP="002071DA">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régiment part de Concord et va au Massachusetts</w:t>
      </w:r>
      <w:r>
        <w:rPr>
          <w:lang w:val="fr-CA"/>
        </w:rPr>
        <w:t> </w:t>
      </w:r>
      <w:r w:rsidRPr="0031513C">
        <w:rPr>
          <w:lang w:val="fr-CA"/>
        </w:rPr>
        <w:t xml:space="preserve">», </w:t>
      </w:r>
      <w:r w:rsidRPr="0031513C">
        <w:rPr>
          <w:i/>
          <w:iCs/>
          <w:lang w:val="fr-CA"/>
        </w:rPr>
        <w:t>L’Avenir National</w:t>
      </w:r>
      <w:r w:rsidRPr="0031513C">
        <w:rPr>
          <w:lang w:val="fr-CA"/>
        </w:rPr>
        <w:t>, 22 août 1917, p.</w:t>
      </w:r>
      <w:r>
        <w:rPr>
          <w:lang w:val="fr-CA"/>
        </w:rPr>
        <w:t> </w:t>
      </w:r>
      <w:r w:rsidRPr="0031513C">
        <w:rPr>
          <w:lang w:val="fr-CA"/>
        </w:rPr>
        <w:t>6</w:t>
      </w:r>
    </w:p>
  </w:footnote>
  <w:footnote w:id="330">
    <w:p w14:paraId="25C181FD"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Des nouvelles du soldat Doré de la compag. A</w:t>
      </w:r>
      <w:r>
        <w:rPr>
          <w:lang w:val="fr-CA"/>
        </w:rPr>
        <w:t> </w:t>
      </w:r>
      <w:r w:rsidRPr="0031513C">
        <w:rPr>
          <w:lang w:val="fr-CA"/>
        </w:rPr>
        <w:t xml:space="preserve">», </w:t>
      </w:r>
      <w:r w:rsidRPr="0031513C">
        <w:rPr>
          <w:i/>
          <w:iCs/>
          <w:lang w:val="fr-CA"/>
        </w:rPr>
        <w:t>L’Avenir National</w:t>
      </w:r>
      <w:r w:rsidRPr="0031513C">
        <w:rPr>
          <w:lang w:val="fr-CA"/>
        </w:rPr>
        <w:t>, 25 août 1917, p.</w:t>
      </w:r>
      <w:r>
        <w:rPr>
          <w:lang w:val="fr-CA"/>
        </w:rPr>
        <w:t> </w:t>
      </w:r>
      <w:r w:rsidRPr="0031513C">
        <w:rPr>
          <w:lang w:val="fr-CA"/>
        </w:rPr>
        <w:t>1</w:t>
      </w:r>
      <w:r>
        <w:rPr>
          <w:lang w:val="fr-CA"/>
        </w:rPr>
        <w:t> </w:t>
      </w:r>
      <w:r w:rsidRPr="0031513C">
        <w:rPr>
          <w:lang w:val="fr-CA"/>
        </w:rPr>
        <w:t>; «</w:t>
      </w:r>
      <w:r>
        <w:rPr>
          <w:lang w:val="fr-CA"/>
        </w:rPr>
        <w:t> </w:t>
      </w:r>
      <w:r w:rsidRPr="0031513C">
        <w:rPr>
          <w:lang w:val="fr-CA"/>
        </w:rPr>
        <w:t>Ils s’amusent avant de partir pour la guerre</w:t>
      </w:r>
      <w:r>
        <w:rPr>
          <w:lang w:val="fr-CA"/>
        </w:rPr>
        <w:t> </w:t>
      </w:r>
      <w:r w:rsidRPr="0031513C">
        <w:rPr>
          <w:lang w:val="fr-CA"/>
        </w:rPr>
        <w:t xml:space="preserve">», </w:t>
      </w:r>
      <w:r w:rsidRPr="0031513C">
        <w:rPr>
          <w:i/>
          <w:iCs/>
          <w:lang w:val="fr-CA"/>
        </w:rPr>
        <w:t>L’Avenir National</w:t>
      </w:r>
      <w:r w:rsidRPr="0031513C">
        <w:rPr>
          <w:lang w:val="fr-CA"/>
        </w:rPr>
        <w:t>, 28 août 1917, p.</w:t>
      </w:r>
      <w:r>
        <w:rPr>
          <w:lang w:val="fr-CA"/>
        </w:rPr>
        <w:t> </w:t>
      </w:r>
      <w:r w:rsidRPr="0031513C">
        <w:rPr>
          <w:lang w:val="fr-CA"/>
        </w:rPr>
        <w:t>8</w:t>
      </w:r>
    </w:p>
  </w:footnote>
  <w:footnote w:id="331">
    <w:p w14:paraId="0BA4A074" w14:textId="77777777" w:rsidR="00D40D7C" w:rsidRPr="0031513C" w:rsidRDefault="00D40D7C" w:rsidP="00DA0FF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Nos Lafayette sont en France depuis mercredi</w:t>
      </w:r>
      <w:r>
        <w:rPr>
          <w:lang w:val="fr-CA"/>
        </w:rPr>
        <w:t> </w:t>
      </w:r>
      <w:r w:rsidRPr="0031513C">
        <w:rPr>
          <w:lang w:val="fr-CA"/>
        </w:rPr>
        <w:t xml:space="preserve">», </w:t>
      </w:r>
      <w:r w:rsidRPr="0031513C">
        <w:rPr>
          <w:i/>
          <w:iCs/>
          <w:lang w:val="fr-CA"/>
        </w:rPr>
        <w:t>L’Avenir National</w:t>
      </w:r>
      <w:r w:rsidRPr="0031513C">
        <w:rPr>
          <w:lang w:val="fr-CA"/>
        </w:rPr>
        <w:t>, 15 octobre 1917, p.</w:t>
      </w:r>
      <w:r>
        <w:rPr>
          <w:lang w:val="fr-CA"/>
        </w:rPr>
        <w:t> </w:t>
      </w:r>
      <w:r w:rsidRPr="0031513C">
        <w:rPr>
          <w:lang w:val="fr-CA"/>
        </w:rPr>
        <w:t>6.</w:t>
      </w:r>
    </w:p>
  </w:footnote>
  <w:footnote w:id="332">
    <w:p w14:paraId="45AC37F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Nos pioupious aiment fort la vie du soldat</w:t>
      </w:r>
      <w:r>
        <w:rPr>
          <w:lang w:val="fr-CA"/>
        </w:rPr>
        <w:t> </w:t>
      </w:r>
      <w:r w:rsidRPr="0031513C">
        <w:rPr>
          <w:lang w:val="fr-CA"/>
        </w:rPr>
        <w:t xml:space="preserve">», </w:t>
      </w:r>
      <w:r w:rsidRPr="0031513C">
        <w:rPr>
          <w:i/>
          <w:iCs/>
          <w:lang w:val="fr-CA"/>
        </w:rPr>
        <w:t>L’Avenir National</w:t>
      </w:r>
      <w:r w:rsidRPr="0031513C">
        <w:rPr>
          <w:lang w:val="fr-CA"/>
        </w:rPr>
        <w:t>, 22 décembre 1917, p.</w:t>
      </w:r>
      <w:r>
        <w:rPr>
          <w:lang w:val="fr-CA"/>
        </w:rPr>
        <w:t> </w:t>
      </w:r>
      <w:r w:rsidRPr="0031513C">
        <w:rPr>
          <w:lang w:val="fr-CA"/>
        </w:rPr>
        <w:t>10.</w:t>
      </w:r>
    </w:p>
  </w:footnote>
  <w:footnote w:id="333">
    <w:p w14:paraId="7AEADC0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soldat Tremblay écrit à des amis et se dit satisfait</w:t>
      </w:r>
      <w:r>
        <w:rPr>
          <w:lang w:val="fr-CA"/>
        </w:rPr>
        <w:t> </w:t>
      </w:r>
      <w:r w:rsidRPr="0031513C">
        <w:rPr>
          <w:lang w:val="fr-CA"/>
        </w:rPr>
        <w:t xml:space="preserve">», </w:t>
      </w:r>
      <w:r w:rsidRPr="0031513C">
        <w:rPr>
          <w:i/>
          <w:iCs/>
          <w:lang w:val="fr-CA"/>
        </w:rPr>
        <w:t>L’Avenir National</w:t>
      </w:r>
      <w:r w:rsidRPr="0031513C">
        <w:rPr>
          <w:lang w:val="fr-CA"/>
        </w:rPr>
        <w:t>, 8 février 1918, p.</w:t>
      </w:r>
      <w:r>
        <w:rPr>
          <w:lang w:val="fr-CA"/>
        </w:rPr>
        <w:t> </w:t>
      </w:r>
      <w:r w:rsidRPr="0031513C">
        <w:rPr>
          <w:lang w:val="fr-CA"/>
        </w:rPr>
        <w:t>2.</w:t>
      </w:r>
    </w:p>
  </w:footnote>
  <w:footnote w:id="334">
    <w:p w14:paraId="1F091E8B"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lieutenant H. Jutras écrit d’Europe</w:t>
      </w:r>
      <w:r>
        <w:rPr>
          <w:lang w:val="fr-CA"/>
        </w:rPr>
        <w:t> </w:t>
      </w:r>
      <w:r w:rsidRPr="0031513C">
        <w:rPr>
          <w:lang w:val="fr-CA"/>
        </w:rPr>
        <w:t xml:space="preserve">», </w:t>
      </w:r>
      <w:r w:rsidRPr="0031513C">
        <w:rPr>
          <w:i/>
          <w:iCs/>
          <w:lang w:val="fr-CA"/>
        </w:rPr>
        <w:t>L’Avenir National</w:t>
      </w:r>
      <w:r w:rsidRPr="0031513C">
        <w:rPr>
          <w:lang w:val="fr-CA"/>
        </w:rPr>
        <w:t>, 23 mars 1918, p.</w:t>
      </w:r>
      <w:r>
        <w:rPr>
          <w:lang w:val="fr-CA"/>
        </w:rPr>
        <w:t> </w:t>
      </w:r>
      <w:r w:rsidRPr="0031513C">
        <w:rPr>
          <w:lang w:val="fr-CA"/>
        </w:rPr>
        <w:t>10.</w:t>
      </w:r>
    </w:p>
  </w:footnote>
  <w:footnote w:id="335">
    <w:p w14:paraId="3BE56DF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Notre régiment du N. Hampshire est à l’honneur</w:t>
      </w:r>
      <w:r>
        <w:rPr>
          <w:lang w:val="fr-CA"/>
        </w:rPr>
        <w:t> </w:t>
      </w:r>
      <w:r w:rsidRPr="0031513C">
        <w:rPr>
          <w:lang w:val="fr-CA"/>
        </w:rPr>
        <w:t xml:space="preserve">», </w:t>
      </w:r>
      <w:r w:rsidRPr="0031513C">
        <w:rPr>
          <w:i/>
          <w:iCs/>
          <w:lang w:val="fr-CA"/>
        </w:rPr>
        <w:t>L’Avenir National</w:t>
      </w:r>
      <w:r w:rsidRPr="0031513C">
        <w:rPr>
          <w:lang w:val="fr-CA"/>
        </w:rPr>
        <w:t>, 5 décembre 1917. p.</w:t>
      </w:r>
      <w:r>
        <w:rPr>
          <w:lang w:val="fr-CA"/>
        </w:rPr>
        <w:t> </w:t>
      </w:r>
      <w:r w:rsidRPr="0031513C">
        <w:rPr>
          <w:lang w:val="fr-CA"/>
        </w:rPr>
        <w:t>5.</w:t>
      </w:r>
    </w:p>
  </w:footnote>
  <w:footnote w:id="336">
    <w:p w14:paraId="6BB8BB2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régiment de col. Healy est en France</w:t>
      </w:r>
      <w:r>
        <w:rPr>
          <w:lang w:val="fr-CA"/>
        </w:rPr>
        <w:t> </w:t>
      </w:r>
      <w:r w:rsidRPr="0031513C">
        <w:rPr>
          <w:lang w:val="fr-CA"/>
        </w:rPr>
        <w:t xml:space="preserve">», </w:t>
      </w:r>
      <w:r w:rsidRPr="0031513C">
        <w:rPr>
          <w:i/>
          <w:iCs/>
          <w:lang w:val="fr-CA"/>
        </w:rPr>
        <w:t>L’Avenir National</w:t>
      </w:r>
      <w:r w:rsidRPr="0031513C">
        <w:rPr>
          <w:lang w:val="fr-CA"/>
        </w:rPr>
        <w:t>, 10 avril 1918. p.</w:t>
      </w:r>
      <w:r>
        <w:rPr>
          <w:lang w:val="fr-CA"/>
        </w:rPr>
        <w:t> </w:t>
      </w:r>
      <w:r w:rsidRPr="0031513C">
        <w:rPr>
          <w:lang w:val="fr-CA"/>
        </w:rPr>
        <w:t>10.</w:t>
      </w:r>
    </w:p>
  </w:footnote>
  <w:footnote w:id="337">
    <w:p w14:paraId="28EFBA6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Capt. Hebert veut des recrues</w:t>
      </w:r>
      <w:r>
        <w:rPr>
          <w:lang w:val="fr-CA"/>
        </w:rPr>
        <w:t> </w:t>
      </w:r>
      <w:r w:rsidRPr="0031513C">
        <w:rPr>
          <w:lang w:val="fr-CA"/>
        </w:rPr>
        <w:t xml:space="preserve">», </w:t>
      </w:r>
      <w:r w:rsidRPr="0031513C">
        <w:rPr>
          <w:i/>
          <w:iCs/>
          <w:lang w:val="fr-CA"/>
        </w:rPr>
        <w:t>L’Avenir National</w:t>
      </w:r>
      <w:r w:rsidRPr="0031513C">
        <w:rPr>
          <w:lang w:val="fr-CA"/>
        </w:rPr>
        <w:t>, 12 mai 1917, p.</w:t>
      </w:r>
      <w:r>
        <w:rPr>
          <w:lang w:val="fr-CA"/>
        </w:rPr>
        <w:t> </w:t>
      </w:r>
      <w:r w:rsidRPr="0031513C">
        <w:rPr>
          <w:lang w:val="fr-CA"/>
        </w:rPr>
        <w:t>10.</w:t>
      </w:r>
    </w:p>
  </w:footnote>
  <w:footnote w:id="338">
    <w:p w14:paraId="0FCDE98B"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compagnie C du Cap. Hebert compte 40 hommes</w:t>
      </w:r>
      <w:r>
        <w:rPr>
          <w:lang w:val="fr-CA"/>
        </w:rPr>
        <w:t> </w:t>
      </w:r>
      <w:r w:rsidRPr="0031513C">
        <w:rPr>
          <w:lang w:val="fr-CA"/>
        </w:rPr>
        <w:t xml:space="preserve">», </w:t>
      </w:r>
      <w:r w:rsidRPr="0031513C">
        <w:rPr>
          <w:i/>
          <w:iCs/>
          <w:lang w:val="fr-CA"/>
        </w:rPr>
        <w:t>L’Avenir National</w:t>
      </w:r>
      <w:r w:rsidRPr="0031513C">
        <w:rPr>
          <w:lang w:val="fr-CA"/>
        </w:rPr>
        <w:t>, 23 mai 1917, p.</w:t>
      </w:r>
      <w:r>
        <w:rPr>
          <w:lang w:val="fr-CA"/>
        </w:rPr>
        <w:t> </w:t>
      </w:r>
      <w:r w:rsidRPr="0031513C">
        <w:rPr>
          <w:lang w:val="fr-CA"/>
        </w:rPr>
        <w:t>4</w:t>
      </w:r>
      <w:r>
        <w:rPr>
          <w:lang w:val="fr-CA"/>
        </w:rPr>
        <w:t> </w:t>
      </w:r>
      <w:r w:rsidRPr="0031513C">
        <w:rPr>
          <w:lang w:val="fr-CA"/>
        </w:rPr>
        <w:t>; «</w:t>
      </w:r>
      <w:r>
        <w:rPr>
          <w:lang w:val="fr-CA"/>
        </w:rPr>
        <w:t> </w:t>
      </w:r>
      <w:r w:rsidRPr="0031513C">
        <w:rPr>
          <w:lang w:val="fr-CA"/>
        </w:rPr>
        <w:t>La compagnie C garde de l’État compte 61</w:t>
      </w:r>
      <w:r>
        <w:rPr>
          <w:lang w:val="fr-CA"/>
        </w:rPr>
        <w:t> </w:t>
      </w:r>
      <w:r w:rsidRPr="0031513C">
        <w:rPr>
          <w:lang w:val="fr-CA"/>
        </w:rPr>
        <w:t xml:space="preserve">», </w:t>
      </w:r>
      <w:r w:rsidRPr="0031513C">
        <w:rPr>
          <w:i/>
          <w:iCs/>
          <w:lang w:val="fr-CA"/>
        </w:rPr>
        <w:t>L’Avenir National</w:t>
      </w:r>
      <w:r w:rsidRPr="0031513C">
        <w:rPr>
          <w:lang w:val="fr-CA"/>
        </w:rPr>
        <w:t>, 2 juin 1917, p.</w:t>
      </w:r>
      <w:r>
        <w:rPr>
          <w:lang w:val="fr-CA"/>
        </w:rPr>
        <w:t> </w:t>
      </w:r>
      <w:r w:rsidRPr="0031513C">
        <w:rPr>
          <w:lang w:val="fr-CA"/>
        </w:rPr>
        <w:t>5</w:t>
      </w:r>
      <w:r>
        <w:rPr>
          <w:lang w:val="fr-CA"/>
        </w:rPr>
        <w:t> </w:t>
      </w:r>
      <w:r w:rsidRPr="0031513C">
        <w:rPr>
          <w:lang w:val="fr-CA"/>
        </w:rPr>
        <w:t>; «</w:t>
      </w:r>
      <w:r>
        <w:rPr>
          <w:lang w:val="fr-CA"/>
        </w:rPr>
        <w:t> </w:t>
      </w:r>
      <w:r w:rsidRPr="0031513C">
        <w:rPr>
          <w:lang w:val="fr-CA"/>
        </w:rPr>
        <w:t xml:space="preserve">L’entrainement hebdomadaire de la </w:t>
      </w:r>
      <w:r>
        <w:rPr>
          <w:lang w:val="fr-CA"/>
        </w:rPr>
        <w:t>“</w:t>
      </w:r>
      <w:r w:rsidRPr="0031513C">
        <w:rPr>
          <w:lang w:val="fr-CA"/>
        </w:rPr>
        <w:t>Home Guard</w:t>
      </w:r>
      <w:r>
        <w:rPr>
          <w:lang w:val="fr-CA"/>
        </w:rPr>
        <w:t>” </w:t>
      </w:r>
      <w:r w:rsidRPr="0031513C">
        <w:rPr>
          <w:lang w:val="fr-CA"/>
        </w:rPr>
        <w:t xml:space="preserve">», </w:t>
      </w:r>
      <w:r w:rsidRPr="0031513C">
        <w:rPr>
          <w:i/>
          <w:iCs/>
          <w:lang w:val="fr-CA"/>
        </w:rPr>
        <w:t>L’Avenir National</w:t>
      </w:r>
      <w:r w:rsidRPr="0031513C">
        <w:rPr>
          <w:lang w:val="fr-CA"/>
        </w:rPr>
        <w:t>, 23 août 1917, p.</w:t>
      </w:r>
      <w:r>
        <w:rPr>
          <w:lang w:val="fr-CA"/>
        </w:rPr>
        <w:t> </w:t>
      </w:r>
      <w:r w:rsidRPr="0031513C">
        <w:rPr>
          <w:lang w:val="fr-CA"/>
        </w:rPr>
        <w:t>6.</w:t>
      </w:r>
    </w:p>
  </w:footnote>
  <w:footnote w:id="339">
    <w:p w14:paraId="698525DA" w14:textId="77777777" w:rsidR="00D40D7C" w:rsidRPr="0031513C" w:rsidRDefault="00D40D7C" w:rsidP="00866274">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garde d’état a remplacé les agents en grève</w:t>
      </w:r>
      <w:r>
        <w:rPr>
          <w:lang w:val="fr-CA"/>
        </w:rPr>
        <w:t> </w:t>
      </w:r>
      <w:r w:rsidRPr="0031513C">
        <w:rPr>
          <w:lang w:val="fr-CA"/>
        </w:rPr>
        <w:t xml:space="preserve">», </w:t>
      </w:r>
      <w:r w:rsidRPr="0031513C">
        <w:rPr>
          <w:i/>
          <w:iCs/>
          <w:lang w:val="fr-CA"/>
        </w:rPr>
        <w:t>L’Avenir National</w:t>
      </w:r>
      <w:r w:rsidRPr="0031513C">
        <w:rPr>
          <w:lang w:val="fr-CA"/>
        </w:rPr>
        <w:t>, 24 septembre 1918, p.</w:t>
      </w:r>
      <w:r>
        <w:rPr>
          <w:lang w:val="fr-CA"/>
        </w:rPr>
        <w:t> </w:t>
      </w:r>
      <w:r w:rsidRPr="0031513C">
        <w:rPr>
          <w:lang w:val="fr-CA"/>
        </w:rPr>
        <w:t>5.</w:t>
      </w:r>
    </w:p>
  </w:footnote>
  <w:footnote w:id="340">
    <w:p w14:paraId="340A0A6A"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w:t>
      </w:r>
      <w:r>
        <w:rPr>
          <w:lang w:val="fr-CA"/>
        </w:rPr>
        <w:t> </w:t>
      </w:r>
      <w:r w:rsidRPr="0031513C">
        <w:rPr>
          <w:lang w:val="fr-CA"/>
        </w:rPr>
        <w:t>Émile Côté est le premier d’ici qui tombe</w:t>
      </w:r>
      <w:r>
        <w:rPr>
          <w:lang w:val="fr-CA"/>
        </w:rPr>
        <w:t> </w:t>
      </w:r>
      <w:r w:rsidRPr="0031513C">
        <w:rPr>
          <w:lang w:val="fr-CA"/>
        </w:rPr>
        <w:t xml:space="preserve">», </w:t>
      </w:r>
      <w:r w:rsidRPr="0031513C">
        <w:rPr>
          <w:i/>
          <w:iCs/>
          <w:lang w:val="fr-CA"/>
        </w:rPr>
        <w:t>L’Avenir National</w:t>
      </w:r>
      <w:r w:rsidRPr="0031513C">
        <w:rPr>
          <w:lang w:val="fr-CA"/>
        </w:rPr>
        <w:t>, 1</w:t>
      </w:r>
      <w:r w:rsidRPr="0031513C">
        <w:rPr>
          <w:vertAlign w:val="superscript"/>
          <w:lang w:val="fr-CA"/>
        </w:rPr>
        <w:t>er</w:t>
      </w:r>
      <w:r w:rsidRPr="0031513C">
        <w:rPr>
          <w:lang w:val="fr-CA"/>
        </w:rPr>
        <w:t xml:space="preserve"> mars 1918, p.</w:t>
      </w:r>
      <w:r>
        <w:rPr>
          <w:lang w:val="fr-CA"/>
        </w:rPr>
        <w:t> </w:t>
      </w:r>
      <w:r w:rsidRPr="0031513C">
        <w:rPr>
          <w:lang w:val="fr-CA"/>
        </w:rPr>
        <w:t>1.</w:t>
      </w:r>
    </w:p>
  </w:footnote>
  <w:footnote w:id="341">
    <w:p w14:paraId="003E65C5"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soldat Lacasse blessé au front</w:t>
      </w:r>
      <w:r>
        <w:rPr>
          <w:lang w:val="fr-CA"/>
        </w:rPr>
        <w:t> </w:t>
      </w:r>
      <w:r w:rsidRPr="0031513C">
        <w:rPr>
          <w:lang w:val="fr-CA"/>
        </w:rPr>
        <w:t xml:space="preserve">», </w:t>
      </w:r>
      <w:r w:rsidRPr="0031513C">
        <w:rPr>
          <w:i/>
          <w:iCs/>
          <w:lang w:val="fr-CA"/>
        </w:rPr>
        <w:t>L’Avenir National</w:t>
      </w:r>
      <w:r w:rsidRPr="0031513C">
        <w:rPr>
          <w:lang w:val="fr-CA"/>
        </w:rPr>
        <w:t>, 16 mars 1918, p.</w:t>
      </w:r>
      <w:r>
        <w:rPr>
          <w:lang w:val="fr-CA"/>
        </w:rPr>
        <w:t> </w:t>
      </w:r>
      <w:r w:rsidRPr="0031513C">
        <w:rPr>
          <w:lang w:val="fr-CA"/>
        </w:rPr>
        <w:t>2.</w:t>
      </w:r>
    </w:p>
  </w:footnote>
  <w:footnote w:id="342">
    <w:p w14:paraId="74D2E13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soldat Savoy est indisposé en Angleterre</w:t>
      </w:r>
      <w:r>
        <w:rPr>
          <w:lang w:val="fr-CA"/>
        </w:rPr>
        <w:t> </w:t>
      </w:r>
      <w:r w:rsidRPr="0031513C">
        <w:rPr>
          <w:lang w:val="fr-CA"/>
        </w:rPr>
        <w:t xml:space="preserve">», </w:t>
      </w:r>
      <w:r w:rsidRPr="0031513C">
        <w:rPr>
          <w:i/>
          <w:iCs/>
          <w:lang w:val="fr-CA"/>
        </w:rPr>
        <w:t>L’Avenir National</w:t>
      </w:r>
      <w:r w:rsidRPr="0031513C">
        <w:rPr>
          <w:lang w:val="fr-CA"/>
        </w:rPr>
        <w:t>, 26 mars 1918, p.</w:t>
      </w:r>
      <w:r>
        <w:rPr>
          <w:lang w:val="fr-CA"/>
        </w:rPr>
        <w:t> </w:t>
      </w:r>
      <w:r w:rsidRPr="0031513C">
        <w:rPr>
          <w:lang w:val="fr-CA"/>
        </w:rPr>
        <w:t>2</w:t>
      </w:r>
      <w:r>
        <w:rPr>
          <w:lang w:val="fr-CA"/>
        </w:rPr>
        <w:t> </w:t>
      </w:r>
      <w:r w:rsidRPr="0031513C">
        <w:rPr>
          <w:lang w:val="fr-CA"/>
        </w:rPr>
        <w:t>; «</w:t>
      </w:r>
      <w:r>
        <w:rPr>
          <w:lang w:val="fr-CA"/>
        </w:rPr>
        <w:t> </w:t>
      </w:r>
      <w:r w:rsidRPr="0031513C">
        <w:rPr>
          <w:lang w:val="fr-CA"/>
        </w:rPr>
        <w:t>Le sergent W. Mailloux a été blessé</w:t>
      </w:r>
      <w:r>
        <w:rPr>
          <w:lang w:val="fr-CA"/>
        </w:rPr>
        <w:t> </w:t>
      </w:r>
      <w:r w:rsidRPr="0031513C">
        <w:rPr>
          <w:lang w:val="fr-CA"/>
        </w:rPr>
        <w:t xml:space="preserve">», </w:t>
      </w:r>
      <w:r w:rsidRPr="0031513C">
        <w:rPr>
          <w:i/>
          <w:iCs/>
          <w:lang w:val="fr-CA"/>
        </w:rPr>
        <w:t>L’Avenir National</w:t>
      </w:r>
      <w:r w:rsidRPr="0031513C">
        <w:rPr>
          <w:lang w:val="fr-CA"/>
        </w:rPr>
        <w:t>, 5 décembre 1917, p.</w:t>
      </w:r>
      <w:r>
        <w:rPr>
          <w:lang w:val="fr-CA"/>
        </w:rPr>
        <w:t> </w:t>
      </w:r>
      <w:r w:rsidRPr="0031513C">
        <w:rPr>
          <w:lang w:val="fr-CA"/>
        </w:rPr>
        <w:t>5</w:t>
      </w:r>
      <w:r>
        <w:rPr>
          <w:lang w:val="fr-CA"/>
        </w:rPr>
        <w:t> </w:t>
      </w:r>
      <w:r w:rsidRPr="0031513C">
        <w:rPr>
          <w:lang w:val="fr-CA"/>
        </w:rPr>
        <w:t>; «</w:t>
      </w:r>
      <w:r>
        <w:rPr>
          <w:lang w:val="fr-CA"/>
        </w:rPr>
        <w:t> </w:t>
      </w:r>
      <w:r w:rsidRPr="0031513C">
        <w:rPr>
          <w:lang w:val="fr-CA"/>
        </w:rPr>
        <w:t>Léo Normandeau écrit de France et personnel</w:t>
      </w:r>
      <w:r>
        <w:rPr>
          <w:lang w:val="fr-CA"/>
        </w:rPr>
        <w:t> </w:t>
      </w:r>
      <w:r w:rsidRPr="0031513C">
        <w:rPr>
          <w:lang w:val="fr-CA"/>
        </w:rPr>
        <w:t xml:space="preserve">», </w:t>
      </w:r>
      <w:r w:rsidRPr="0031513C">
        <w:rPr>
          <w:i/>
          <w:iCs/>
          <w:lang w:val="fr-CA"/>
        </w:rPr>
        <w:t>L’Avenir National</w:t>
      </w:r>
      <w:r w:rsidRPr="0031513C">
        <w:rPr>
          <w:lang w:val="fr-CA"/>
        </w:rPr>
        <w:t>, 29 avril 1918, p.</w:t>
      </w:r>
      <w:r>
        <w:rPr>
          <w:lang w:val="fr-CA"/>
        </w:rPr>
        <w:t> </w:t>
      </w:r>
      <w:r w:rsidRPr="0031513C">
        <w:rPr>
          <w:lang w:val="fr-CA"/>
        </w:rPr>
        <w:t>3</w:t>
      </w:r>
      <w:r>
        <w:rPr>
          <w:lang w:val="fr-CA"/>
        </w:rPr>
        <w:t> </w:t>
      </w:r>
      <w:r w:rsidRPr="0031513C">
        <w:rPr>
          <w:lang w:val="fr-CA"/>
        </w:rPr>
        <w:t>; «</w:t>
      </w:r>
      <w:r>
        <w:rPr>
          <w:lang w:val="fr-CA"/>
        </w:rPr>
        <w:t> </w:t>
      </w:r>
      <w:r w:rsidRPr="0031513C">
        <w:rPr>
          <w:lang w:val="fr-CA"/>
        </w:rPr>
        <w:t>Nos gars à l’armée et dans la marine</w:t>
      </w:r>
      <w:r>
        <w:rPr>
          <w:lang w:val="fr-CA"/>
        </w:rPr>
        <w:t> </w:t>
      </w:r>
      <w:r w:rsidRPr="0031513C">
        <w:rPr>
          <w:lang w:val="fr-CA"/>
        </w:rPr>
        <w:t xml:space="preserve">», </w:t>
      </w:r>
      <w:r w:rsidRPr="0031513C">
        <w:rPr>
          <w:i/>
          <w:iCs/>
          <w:lang w:val="fr-CA"/>
        </w:rPr>
        <w:t>L’Avenir National</w:t>
      </w:r>
      <w:r w:rsidRPr="0031513C">
        <w:rPr>
          <w:lang w:val="fr-CA"/>
        </w:rPr>
        <w:t>, 30 avril 1918, p.</w:t>
      </w:r>
      <w:r>
        <w:rPr>
          <w:lang w:val="fr-CA"/>
        </w:rPr>
        <w:t> </w:t>
      </w:r>
      <w:r w:rsidRPr="0031513C">
        <w:rPr>
          <w:lang w:val="fr-CA"/>
        </w:rPr>
        <w:t>6</w:t>
      </w:r>
      <w:r>
        <w:rPr>
          <w:lang w:val="fr-CA"/>
        </w:rPr>
        <w:t> </w:t>
      </w:r>
      <w:r w:rsidRPr="0031513C">
        <w:rPr>
          <w:lang w:val="fr-CA"/>
        </w:rPr>
        <w:t>; «</w:t>
      </w:r>
      <w:r>
        <w:rPr>
          <w:lang w:val="fr-CA"/>
        </w:rPr>
        <w:t> </w:t>
      </w:r>
      <w:r w:rsidRPr="0031513C">
        <w:rPr>
          <w:lang w:val="fr-CA"/>
        </w:rPr>
        <w:t>Le soldat Nadeau meurt en France</w:t>
      </w:r>
      <w:r>
        <w:rPr>
          <w:lang w:val="fr-CA"/>
        </w:rPr>
        <w:t> </w:t>
      </w:r>
      <w:r w:rsidRPr="0031513C">
        <w:rPr>
          <w:lang w:val="fr-CA"/>
        </w:rPr>
        <w:t xml:space="preserve">», </w:t>
      </w:r>
      <w:r w:rsidRPr="0031513C">
        <w:rPr>
          <w:i/>
          <w:iCs/>
          <w:lang w:val="fr-CA"/>
        </w:rPr>
        <w:t>L’Avenir National</w:t>
      </w:r>
      <w:r w:rsidRPr="0031513C">
        <w:rPr>
          <w:lang w:val="fr-CA"/>
        </w:rPr>
        <w:t>, 1</w:t>
      </w:r>
      <w:r w:rsidRPr="0031513C">
        <w:rPr>
          <w:vertAlign w:val="superscript"/>
          <w:lang w:val="fr-CA"/>
        </w:rPr>
        <w:t>er</w:t>
      </w:r>
      <w:r w:rsidRPr="0031513C">
        <w:rPr>
          <w:lang w:val="fr-CA"/>
        </w:rPr>
        <w:t xml:space="preserve"> mai 1918, p.</w:t>
      </w:r>
      <w:r>
        <w:rPr>
          <w:lang w:val="fr-CA"/>
        </w:rPr>
        <w:t> </w:t>
      </w:r>
      <w:r w:rsidRPr="0031513C">
        <w:rPr>
          <w:lang w:val="fr-CA"/>
        </w:rPr>
        <w:t>2</w:t>
      </w:r>
      <w:r>
        <w:rPr>
          <w:lang w:val="fr-CA"/>
        </w:rPr>
        <w:t> </w:t>
      </w:r>
      <w:r w:rsidRPr="0031513C">
        <w:rPr>
          <w:lang w:val="fr-CA"/>
        </w:rPr>
        <w:t>; «</w:t>
      </w:r>
      <w:r>
        <w:rPr>
          <w:lang w:val="fr-CA"/>
        </w:rPr>
        <w:t> </w:t>
      </w:r>
      <w:r w:rsidRPr="0031513C">
        <w:rPr>
          <w:lang w:val="fr-CA"/>
        </w:rPr>
        <w:t>Avis officiel de la mort de Stanis Cullerot</w:t>
      </w:r>
      <w:r>
        <w:rPr>
          <w:lang w:val="fr-CA"/>
        </w:rPr>
        <w:t> </w:t>
      </w:r>
      <w:r w:rsidRPr="0031513C">
        <w:rPr>
          <w:lang w:val="fr-CA"/>
        </w:rPr>
        <w:t xml:space="preserve">», </w:t>
      </w:r>
      <w:r w:rsidRPr="0031513C">
        <w:rPr>
          <w:i/>
          <w:iCs/>
          <w:lang w:val="fr-CA"/>
        </w:rPr>
        <w:t>L’Avenir National</w:t>
      </w:r>
      <w:r w:rsidRPr="0031513C">
        <w:rPr>
          <w:lang w:val="fr-CA"/>
        </w:rPr>
        <w:t>, 1</w:t>
      </w:r>
      <w:r w:rsidRPr="0031513C">
        <w:rPr>
          <w:vertAlign w:val="superscript"/>
          <w:lang w:val="fr-CA"/>
        </w:rPr>
        <w:t>er</w:t>
      </w:r>
      <w:r w:rsidRPr="0031513C">
        <w:rPr>
          <w:lang w:val="fr-CA"/>
        </w:rPr>
        <w:t xml:space="preserve"> mai 1918, p.</w:t>
      </w:r>
      <w:r>
        <w:rPr>
          <w:lang w:val="fr-CA"/>
        </w:rPr>
        <w:t> </w:t>
      </w:r>
      <w:r w:rsidRPr="0031513C">
        <w:rPr>
          <w:lang w:val="fr-CA"/>
        </w:rPr>
        <w:t>8</w:t>
      </w:r>
      <w:r>
        <w:rPr>
          <w:lang w:val="fr-CA"/>
        </w:rPr>
        <w:t> </w:t>
      </w:r>
      <w:r w:rsidRPr="0031513C">
        <w:rPr>
          <w:lang w:val="fr-CA"/>
        </w:rPr>
        <w:t>; «</w:t>
      </w:r>
      <w:r>
        <w:rPr>
          <w:lang w:val="fr-CA"/>
        </w:rPr>
        <w:t> </w:t>
      </w:r>
      <w:r w:rsidRPr="0031513C">
        <w:rPr>
          <w:lang w:val="fr-CA"/>
        </w:rPr>
        <w:t>Le cap. Abott de la batterie blessé en France</w:t>
      </w:r>
      <w:r>
        <w:rPr>
          <w:lang w:val="fr-CA"/>
        </w:rPr>
        <w:t> </w:t>
      </w:r>
      <w:r w:rsidRPr="0031513C">
        <w:rPr>
          <w:lang w:val="fr-CA"/>
        </w:rPr>
        <w:t xml:space="preserve">», </w:t>
      </w:r>
      <w:r w:rsidRPr="0031513C">
        <w:rPr>
          <w:i/>
          <w:iCs/>
          <w:lang w:val="fr-CA"/>
        </w:rPr>
        <w:t>L’Avenir National</w:t>
      </w:r>
      <w:r w:rsidRPr="0031513C">
        <w:rPr>
          <w:lang w:val="fr-CA"/>
        </w:rPr>
        <w:t>, 2 mai 1918, p.</w:t>
      </w:r>
      <w:r>
        <w:rPr>
          <w:lang w:val="fr-CA"/>
        </w:rPr>
        <w:t> </w:t>
      </w:r>
      <w:r w:rsidRPr="0031513C">
        <w:rPr>
          <w:lang w:val="fr-CA"/>
        </w:rPr>
        <w:t>6</w:t>
      </w:r>
    </w:p>
  </w:footnote>
  <w:footnote w:id="343">
    <w:p w14:paraId="591648EE" w14:textId="77777777" w:rsidR="00D40D7C" w:rsidRPr="0031513C" w:rsidRDefault="00D40D7C" w:rsidP="002955D7">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Nos gars à l’armée et dans la marine</w:t>
      </w:r>
      <w:r>
        <w:rPr>
          <w:lang w:val="fr-CA"/>
        </w:rPr>
        <w:t> </w:t>
      </w:r>
      <w:r w:rsidRPr="0031513C">
        <w:rPr>
          <w:lang w:val="fr-CA"/>
        </w:rPr>
        <w:t xml:space="preserve">», </w:t>
      </w:r>
      <w:r w:rsidRPr="0031513C">
        <w:rPr>
          <w:i/>
          <w:iCs/>
          <w:lang w:val="fr-CA"/>
        </w:rPr>
        <w:t>L’Avenir National</w:t>
      </w:r>
      <w:r w:rsidRPr="0031513C">
        <w:rPr>
          <w:lang w:val="fr-CA"/>
        </w:rPr>
        <w:t>, 26 mars 1918, p.</w:t>
      </w:r>
      <w:r>
        <w:rPr>
          <w:lang w:val="fr-CA"/>
        </w:rPr>
        <w:t> </w:t>
      </w:r>
      <w:r w:rsidRPr="0031513C">
        <w:rPr>
          <w:lang w:val="fr-CA"/>
        </w:rPr>
        <w:t>3.</w:t>
      </w:r>
    </w:p>
  </w:footnote>
  <w:footnote w:id="344">
    <w:p w14:paraId="46F8ADC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L’aubaine du soldat bi-lingue (sic)</w:t>
      </w:r>
      <w:r>
        <w:rPr>
          <w:lang w:val="fr-CA"/>
        </w:rPr>
        <w:t> </w:t>
      </w:r>
      <w:r w:rsidRPr="0031513C">
        <w:rPr>
          <w:lang w:val="fr-CA"/>
        </w:rPr>
        <w:t xml:space="preserve">», </w:t>
      </w:r>
      <w:r w:rsidRPr="0031513C">
        <w:rPr>
          <w:i/>
          <w:iCs/>
          <w:lang w:val="fr-CA"/>
        </w:rPr>
        <w:t>L’Avenir National</w:t>
      </w:r>
      <w:r w:rsidRPr="0031513C">
        <w:rPr>
          <w:lang w:val="fr-CA"/>
        </w:rPr>
        <w:t>, 23 mai 1918, p.</w:t>
      </w:r>
      <w:r>
        <w:rPr>
          <w:lang w:val="fr-CA"/>
        </w:rPr>
        <w:t> </w:t>
      </w:r>
      <w:r w:rsidRPr="0031513C">
        <w:rPr>
          <w:lang w:val="fr-CA"/>
        </w:rPr>
        <w:t>8.</w:t>
      </w:r>
    </w:p>
  </w:footnote>
  <w:footnote w:id="345">
    <w:p w14:paraId="4D30550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Lettre d’un soldat</w:t>
      </w:r>
      <w:r>
        <w:rPr>
          <w:lang w:val="fr-CA"/>
        </w:rPr>
        <w:t> </w:t>
      </w:r>
      <w:r w:rsidRPr="0031513C">
        <w:rPr>
          <w:lang w:val="fr-CA"/>
        </w:rPr>
        <w:t xml:space="preserve">», </w:t>
      </w:r>
      <w:r w:rsidRPr="0031513C">
        <w:rPr>
          <w:i/>
          <w:iCs/>
          <w:lang w:val="fr-CA"/>
        </w:rPr>
        <w:t>L’Avenir National</w:t>
      </w:r>
      <w:r w:rsidRPr="0031513C">
        <w:rPr>
          <w:lang w:val="fr-CA"/>
        </w:rPr>
        <w:t>, 25 mai 1918, p.</w:t>
      </w:r>
      <w:r>
        <w:rPr>
          <w:lang w:val="fr-CA"/>
        </w:rPr>
        <w:t> </w:t>
      </w:r>
      <w:r w:rsidRPr="0031513C">
        <w:rPr>
          <w:lang w:val="fr-CA"/>
        </w:rPr>
        <w:t>4.</w:t>
      </w:r>
    </w:p>
  </w:footnote>
  <w:footnote w:id="346">
    <w:p w14:paraId="523BF425" w14:textId="77777777" w:rsidR="00D40D7C" w:rsidRPr="0031513C" w:rsidRDefault="00D40D7C" w:rsidP="002A0DF5">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soldat Groux va en tranchées et il en revient</w:t>
      </w:r>
      <w:r>
        <w:rPr>
          <w:lang w:val="fr-CA"/>
        </w:rPr>
        <w:t> </w:t>
      </w:r>
      <w:r w:rsidRPr="0031513C">
        <w:rPr>
          <w:lang w:val="fr-CA"/>
        </w:rPr>
        <w:t xml:space="preserve">», </w:t>
      </w:r>
      <w:r w:rsidRPr="0031513C">
        <w:rPr>
          <w:i/>
          <w:iCs/>
          <w:lang w:val="fr-CA"/>
        </w:rPr>
        <w:t>L’Avenir National</w:t>
      </w:r>
      <w:r w:rsidRPr="0031513C">
        <w:rPr>
          <w:lang w:val="fr-CA"/>
        </w:rPr>
        <w:t>, 27</w:t>
      </w:r>
      <w:r>
        <w:rPr>
          <w:lang w:val="fr-CA"/>
        </w:rPr>
        <w:t> </w:t>
      </w:r>
      <w:r w:rsidRPr="0031513C">
        <w:rPr>
          <w:lang w:val="fr-CA"/>
        </w:rPr>
        <w:t>mars 1918, p.</w:t>
      </w:r>
      <w:r>
        <w:rPr>
          <w:lang w:val="fr-CA"/>
        </w:rPr>
        <w:t> </w:t>
      </w:r>
      <w:r w:rsidRPr="0031513C">
        <w:rPr>
          <w:lang w:val="fr-CA"/>
        </w:rPr>
        <w:t>4.</w:t>
      </w:r>
    </w:p>
  </w:footnote>
  <w:footnote w:id="347">
    <w:p w14:paraId="61120528"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Intéressante lettre du clairon Dubrûle</w:t>
      </w:r>
      <w:r>
        <w:rPr>
          <w:lang w:val="fr-CA"/>
        </w:rPr>
        <w:t> </w:t>
      </w:r>
      <w:r w:rsidRPr="0031513C">
        <w:rPr>
          <w:lang w:val="fr-CA"/>
        </w:rPr>
        <w:t xml:space="preserve">», </w:t>
      </w:r>
      <w:r w:rsidRPr="0031513C">
        <w:rPr>
          <w:i/>
          <w:iCs/>
          <w:lang w:val="fr-CA"/>
        </w:rPr>
        <w:t>L’Avenir National</w:t>
      </w:r>
      <w:r w:rsidRPr="0031513C">
        <w:rPr>
          <w:lang w:val="fr-CA"/>
        </w:rPr>
        <w:t>, 4 juin 1918, p.</w:t>
      </w:r>
      <w:r>
        <w:rPr>
          <w:lang w:val="fr-CA"/>
        </w:rPr>
        <w:t> </w:t>
      </w:r>
      <w:r w:rsidRPr="0031513C">
        <w:rPr>
          <w:lang w:val="fr-CA"/>
        </w:rPr>
        <w:t>6.</w:t>
      </w:r>
    </w:p>
  </w:footnote>
  <w:footnote w:id="348">
    <w:p w14:paraId="0B5CC7F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 obus envoyé par le soldat Lambert</w:t>
      </w:r>
      <w:r>
        <w:rPr>
          <w:lang w:val="fr-CA"/>
        </w:rPr>
        <w:t> </w:t>
      </w:r>
      <w:r w:rsidRPr="0031513C">
        <w:rPr>
          <w:lang w:val="fr-CA"/>
        </w:rPr>
        <w:t xml:space="preserve">», </w:t>
      </w:r>
      <w:r w:rsidRPr="0031513C">
        <w:rPr>
          <w:i/>
          <w:iCs/>
          <w:lang w:val="fr-CA"/>
        </w:rPr>
        <w:t>L’Avenir National</w:t>
      </w:r>
      <w:r w:rsidRPr="0031513C">
        <w:rPr>
          <w:lang w:val="fr-CA"/>
        </w:rPr>
        <w:t>, 24 août 1918, p.</w:t>
      </w:r>
      <w:r>
        <w:rPr>
          <w:lang w:val="fr-CA"/>
        </w:rPr>
        <w:t> </w:t>
      </w:r>
      <w:r w:rsidRPr="0031513C">
        <w:rPr>
          <w:lang w:val="fr-CA"/>
        </w:rPr>
        <w:t>2.</w:t>
      </w:r>
    </w:p>
  </w:footnote>
  <w:footnote w:id="349">
    <w:p w14:paraId="016F3E6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deux Boisvert sont à l’hôpital</w:t>
      </w:r>
      <w:r>
        <w:rPr>
          <w:lang w:val="fr-CA"/>
        </w:rPr>
        <w:t> </w:t>
      </w:r>
      <w:r w:rsidRPr="0031513C">
        <w:rPr>
          <w:lang w:val="fr-CA"/>
        </w:rPr>
        <w:t>», «</w:t>
      </w:r>
      <w:r>
        <w:rPr>
          <w:lang w:val="fr-CA"/>
        </w:rPr>
        <w:t> </w:t>
      </w:r>
      <w:r w:rsidRPr="0031513C">
        <w:rPr>
          <w:lang w:val="fr-CA"/>
        </w:rPr>
        <w:t>Intéressante lettre du soldat Labonté</w:t>
      </w:r>
      <w:r>
        <w:rPr>
          <w:lang w:val="fr-CA"/>
        </w:rPr>
        <w:t> </w:t>
      </w:r>
      <w:r w:rsidRPr="0031513C">
        <w:rPr>
          <w:lang w:val="fr-CA"/>
        </w:rPr>
        <w:t>», «</w:t>
      </w:r>
      <w:r>
        <w:rPr>
          <w:lang w:val="fr-CA"/>
        </w:rPr>
        <w:t> </w:t>
      </w:r>
      <w:r w:rsidRPr="0031513C">
        <w:rPr>
          <w:lang w:val="fr-CA"/>
        </w:rPr>
        <w:t>Le mécanicien Ern. Constant a 7 blessures</w:t>
      </w:r>
      <w:r>
        <w:rPr>
          <w:lang w:val="fr-CA"/>
        </w:rPr>
        <w:t> </w:t>
      </w:r>
      <w:r w:rsidRPr="0031513C">
        <w:rPr>
          <w:lang w:val="fr-CA"/>
        </w:rPr>
        <w:t>», «</w:t>
      </w:r>
      <w:r>
        <w:rPr>
          <w:lang w:val="fr-CA"/>
        </w:rPr>
        <w:t> </w:t>
      </w:r>
      <w:r w:rsidRPr="0031513C">
        <w:rPr>
          <w:lang w:val="fr-CA"/>
        </w:rPr>
        <w:t>La mort héroïque du caporal Ross</w:t>
      </w:r>
      <w:r>
        <w:rPr>
          <w:lang w:val="fr-CA"/>
        </w:rPr>
        <w:t> </w:t>
      </w:r>
      <w:r w:rsidRPr="0031513C">
        <w:rPr>
          <w:lang w:val="fr-CA"/>
        </w:rPr>
        <w:t>», «</w:t>
      </w:r>
      <w:r>
        <w:rPr>
          <w:lang w:val="fr-CA"/>
        </w:rPr>
        <w:t> </w:t>
      </w:r>
      <w:r w:rsidRPr="0031513C">
        <w:rPr>
          <w:lang w:val="fr-CA"/>
        </w:rPr>
        <w:t>Des nouvelles du front occidental</w:t>
      </w:r>
      <w:r>
        <w:rPr>
          <w:lang w:val="fr-CA"/>
        </w:rPr>
        <w:t> </w:t>
      </w:r>
      <w:r w:rsidRPr="0031513C">
        <w:rPr>
          <w:lang w:val="fr-CA"/>
        </w:rPr>
        <w:t>» et «</w:t>
      </w:r>
      <w:r>
        <w:rPr>
          <w:lang w:val="fr-CA"/>
        </w:rPr>
        <w:t> </w:t>
      </w:r>
      <w:r w:rsidRPr="0031513C">
        <w:rPr>
          <w:lang w:val="fr-CA"/>
        </w:rPr>
        <w:t>Lettres de France</w:t>
      </w:r>
      <w:r>
        <w:rPr>
          <w:lang w:val="fr-CA"/>
        </w:rPr>
        <w:t> </w:t>
      </w:r>
      <w:r w:rsidRPr="0031513C">
        <w:rPr>
          <w:lang w:val="fr-CA"/>
        </w:rPr>
        <w:t xml:space="preserve">» (soldats Daneault, Gagnon et Lapointe), </w:t>
      </w:r>
      <w:r w:rsidRPr="0031513C">
        <w:rPr>
          <w:i/>
          <w:iCs/>
          <w:lang w:val="fr-CA"/>
        </w:rPr>
        <w:t>L’Avenir National</w:t>
      </w:r>
      <w:r w:rsidRPr="0031513C">
        <w:rPr>
          <w:lang w:val="fr-CA"/>
        </w:rPr>
        <w:t>, 24 août 1918, p.</w:t>
      </w:r>
      <w:r>
        <w:rPr>
          <w:lang w:val="fr-CA"/>
        </w:rPr>
        <w:t> </w:t>
      </w:r>
      <w:r w:rsidRPr="0031513C">
        <w:rPr>
          <w:lang w:val="fr-CA"/>
        </w:rPr>
        <w:t>8.</w:t>
      </w:r>
    </w:p>
  </w:footnote>
  <w:footnote w:id="350">
    <w:p w14:paraId="23BA6EDB"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Mort en France du soldat côté cie A du 103</w:t>
      </w:r>
      <w:r w:rsidRPr="0031513C">
        <w:rPr>
          <w:vertAlign w:val="superscript"/>
          <w:lang w:val="fr-CA"/>
        </w:rPr>
        <w:t>e</w:t>
      </w:r>
      <w:r>
        <w:rPr>
          <w:vertAlign w:val="superscript"/>
          <w:lang w:val="fr-CA"/>
        </w:rPr>
        <w:t> </w:t>
      </w:r>
      <w:r w:rsidRPr="0031513C">
        <w:rPr>
          <w:lang w:val="fr-CA"/>
        </w:rPr>
        <w:t>» et «</w:t>
      </w:r>
      <w:r>
        <w:rPr>
          <w:lang w:val="fr-CA"/>
        </w:rPr>
        <w:t> </w:t>
      </w:r>
      <w:r w:rsidRPr="0031513C">
        <w:rPr>
          <w:lang w:val="fr-CA"/>
        </w:rPr>
        <w:t>Le soldat E. Gagné grièvement blessé</w:t>
      </w:r>
      <w:r>
        <w:rPr>
          <w:lang w:val="fr-CA"/>
        </w:rPr>
        <w:t> </w:t>
      </w:r>
      <w:r w:rsidRPr="0031513C">
        <w:rPr>
          <w:lang w:val="fr-CA"/>
        </w:rPr>
        <w:t xml:space="preserve">», </w:t>
      </w:r>
      <w:r w:rsidRPr="0031513C">
        <w:rPr>
          <w:i/>
          <w:iCs/>
          <w:lang w:val="fr-CA"/>
        </w:rPr>
        <w:t>L’Avenir National</w:t>
      </w:r>
      <w:r w:rsidRPr="0031513C">
        <w:rPr>
          <w:lang w:val="fr-CA"/>
        </w:rPr>
        <w:t>, 26 août 1918, p.</w:t>
      </w:r>
      <w:r>
        <w:rPr>
          <w:lang w:val="fr-CA"/>
        </w:rPr>
        <w:t> </w:t>
      </w:r>
      <w:r w:rsidRPr="0031513C">
        <w:rPr>
          <w:lang w:val="fr-CA"/>
        </w:rPr>
        <w:t>1.</w:t>
      </w:r>
    </w:p>
  </w:footnote>
  <w:footnote w:id="351">
    <w:p w14:paraId="423B953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lieut. Burpée est encore vivant</w:t>
      </w:r>
      <w:r>
        <w:rPr>
          <w:lang w:val="fr-CA"/>
        </w:rPr>
        <w:t> </w:t>
      </w:r>
      <w:r w:rsidRPr="0031513C">
        <w:rPr>
          <w:lang w:val="fr-CA"/>
        </w:rPr>
        <w:t xml:space="preserve">», </w:t>
      </w:r>
      <w:r w:rsidRPr="0031513C">
        <w:rPr>
          <w:i/>
          <w:iCs/>
          <w:lang w:val="fr-CA"/>
        </w:rPr>
        <w:t>L’Avenir National</w:t>
      </w:r>
      <w:r w:rsidRPr="0031513C">
        <w:rPr>
          <w:lang w:val="fr-CA"/>
        </w:rPr>
        <w:t>, 3 mai 1918, p.</w:t>
      </w:r>
      <w:r>
        <w:rPr>
          <w:lang w:val="fr-CA"/>
        </w:rPr>
        <w:t> </w:t>
      </w:r>
      <w:r w:rsidRPr="0031513C">
        <w:rPr>
          <w:lang w:val="fr-CA"/>
        </w:rPr>
        <w:t>3. Note. La famille Burpée a reçu un télégraphe de la Croix-Rouge.</w:t>
      </w:r>
    </w:p>
  </w:footnote>
  <w:footnote w:id="352">
    <w:p w14:paraId="02D71850" w14:textId="77777777" w:rsidR="00D40D7C" w:rsidRPr="0031513C" w:rsidRDefault="00D40D7C" w:rsidP="001353D5">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conférence de M. le Comte de Poncheville</w:t>
      </w:r>
      <w:r>
        <w:rPr>
          <w:lang w:val="fr-CA"/>
        </w:rPr>
        <w:t> </w:t>
      </w:r>
      <w:r w:rsidRPr="0031513C">
        <w:rPr>
          <w:lang w:val="fr-CA"/>
        </w:rPr>
        <w:t xml:space="preserve">», </w:t>
      </w:r>
      <w:r w:rsidRPr="0031513C">
        <w:rPr>
          <w:i/>
          <w:iCs/>
          <w:lang w:val="fr-CA"/>
        </w:rPr>
        <w:t>L’Avenir National</w:t>
      </w:r>
      <w:r w:rsidRPr="0031513C">
        <w:rPr>
          <w:lang w:val="fr-CA"/>
        </w:rPr>
        <w:t>, 13 avril 1917, p.</w:t>
      </w:r>
      <w:r>
        <w:rPr>
          <w:lang w:val="fr-CA"/>
        </w:rPr>
        <w:t> </w:t>
      </w:r>
      <w:r w:rsidRPr="0031513C">
        <w:rPr>
          <w:lang w:val="fr-CA"/>
        </w:rPr>
        <w:t>5</w:t>
      </w:r>
      <w:r>
        <w:rPr>
          <w:lang w:val="fr-CA"/>
        </w:rPr>
        <w:t> </w:t>
      </w:r>
      <w:r w:rsidRPr="0031513C">
        <w:rPr>
          <w:lang w:val="fr-CA"/>
        </w:rPr>
        <w:t xml:space="preserve">; </w:t>
      </w:r>
      <w:r>
        <w:rPr>
          <w:lang w:val="fr-CA"/>
        </w:rPr>
        <w:t>A</w:t>
      </w:r>
      <w:r w:rsidRPr="0031513C">
        <w:rPr>
          <w:lang w:val="fr-CA"/>
        </w:rPr>
        <w:t xml:space="preserve">nnonce publicitaire de l’Association </w:t>
      </w:r>
      <w:r>
        <w:rPr>
          <w:lang w:val="fr-CA"/>
        </w:rPr>
        <w:t>c</w:t>
      </w:r>
      <w:r w:rsidRPr="0031513C">
        <w:rPr>
          <w:lang w:val="fr-CA"/>
        </w:rPr>
        <w:t>anado-</w:t>
      </w:r>
      <w:r>
        <w:rPr>
          <w:lang w:val="fr-CA"/>
        </w:rPr>
        <w:t>a</w:t>
      </w:r>
      <w:r w:rsidRPr="0031513C">
        <w:rPr>
          <w:lang w:val="fr-CA"/>
        </w:rPr>
        <w:t xml:space="preserve">méricaine pour une séance d’information qui sera tenue le 27 avril 1915. </w:t>
      </w:r>
      <w:r w:rsidRPr="0031513C">
        <w:rPr>
          <w:i/>
          <w:iCs/>
          <w:lang w:val="fr-CA"/>
        </w:rPr>
        <w:t>L’Avenir National</w:t>
      </w:r>
      <w:r w:rsidRPr="0031513C">
        <w:rPr>
          <w:lang w:val="fr-CA"/>
        </w:rPr>
        <w:t>, 24 avril 1917, p.</w:t>
      </w:r>
      <w:r>
        <w:rPr>
          <w:lang w:val="fr-CA"/>
        </w:rPr>
        <w:t> </w:t>
      </w:r>
      <w:r w:rsidRPr="0031513C">
        <w:rPr>
          <w:lang w:val="fr-CA"/>
        </w:rPr>
        <w:t xml:space="preserve">4. Note. Les billets sont en vente aux prix de </w:t>
      </w:r>
      <w:r>
        <w:rPr>
          <w:lang w:val="fr-CA"/>
        </w:rPr>
        <w:t>1,00 $</w:t>
      </w:r>
      <w:r w:rsidRPr="0031513C">
        <w:rPr>
          <w:lang w:val="fr-CA"/>
        </w:rPr>
        <w:t xml:space="preserve">, </w:t>
      </w:r>
      <w:r>
        <w:rPr>
          <w:lang w:val="fr-CA"/>
        </w:rPr>
        <w:t>0,75 $</w:t>
      </w:r>
      <w:r w:rsidRPr="0031513C">
        <w:rPr>
          <w:lang w:val="fr-CA"/>
        </w:rPr>
        <w:t xml:space="preserve">, </w:t>
      </w:r>
      <w:r>
        <w:rPr>
          <w:lang w:val="fr-CA"/>
        </w:rPr>
        <w:t>0,50 $</w:t>
      </w:r>
      <w:r w:rsidRPr="0031513C">
        <w:rPr>
          <w:lang w:val="fr-CA"/>
        </w:rPr>
        <w:t xml:space="preserve"> et </w:t>
      </w:r>
      <w:r>
        <w:rPr>
          <w:lang w:val="fr-CA"/>
        </w:rPr>
        <w:t>0,35 $</w:t>
      </w:r>
      <w:r w:rsidRPr="0031513C">
        <w:rPr>
          <w:lang w:val="fr-CA"/>
        </w:rPr>
        <w:t>. De plus, M.</w:t>
      </w:r>
      <w:r>
        <w:rPr>
          <w:lang w:val="fr-CA"/>
        </w:rPr>
        <w:t> </w:t>
      </w:r>
      <w:r w:rsidRPr="0031513C">
        <w:rPr>
          <w:lang w:val="fr-CA"/>
        </w:rPr>
        <w:t>Tellier de Poncheville deviendra membre de l’Académie française.</w:t>
      </w:r>
    </w:p>
  </w:footnote>
  <w:footnote w:id="353">
    <w:p w14:paraId="10CC63F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 le Chanoine G.B. Cabanel parle de l’âme de la France incarnée dans ses défenseurs</w:t>
      </w:r>
      <w:r>
        <w:rPr>
          <w:lang w:val="fr-CA"/>
        </w:rPr>
        <w:t> </w:t>
      </w:r>
      <w:r w:rsidRPr="0031513C">
        <w:rPr>
          <w:lang w:val="fr-CA"/>
        </w:rPr>
        <w:t xml:space="preserve">», </w:t>
      </w:r>
      <w:r w:rsidRPr="0031513C">
        <w:rPr>
          <w:i/>
          <w:iCs/>
          <w:lang w:val="fr-CA"/>
        </w:rPr>
        <w:t>L’Avenir National</w:t>
      </w:r>
      <w:r w:rsidRPr="0031513C">
        <w:rPr>
          <w:lang w:val="fr-CA"/>
        </w:rPr>
        <w:t>, 4 avril 1918, p.</w:t>
      </w:r>
      <w:r>
        <w:rPr>
          <w:lang w:val="fr-CA"/>
        </w:rPr>
        <w:t> </w:t>
      </w:r>
      <w:r w:rsidRPr="0031513C">
        <w:rPr>
          <w:lang w:val="fr-CA"/>
        </w:rPr>
        <w:t>6.</w:t>
      </w:r>
    </w:p>
  </w:footnote>
  <w:footnote w:id="354">
    <w:p w14:paraId="0C23EFB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Croix-Rouge fait un appel pour des fonds</w:t>
      </w:r>
      <w:r>
        <w:rPr>
          <w:lang w:val="fr-CA"/>
        </w:rPr>
        <w:t> </w:t>
      </w:r>
      <w:r w:rsidRPr="0031513C">
        <w:rPr>
          <w:lang w:val="fr-CA"/>
        </w:rPr>
        <w:t xml:space="preserve">», </w:t>
      </w:r>
      <w:r w:rsidRPr="0031513C">
        <w:rPr>
          <w:i/>
          <w:iCs/>
          <w:lang w:val="fr-CA"/>
        </w:rPr>
        <w:t>L’Avenir National</w:t>
      </w:r>
      <w:r w:rsidRPr="0031513C">
        <w:rPr>
          <w:lang w:val="fr-CA"/>
        </w:rPr>
        <w:t>, 13 avril 1917, p.</w:t>
      </w:r>
      <w:r>
        <w:rPr>
          <w:lang w:val="fr-CA"/>
        </w:rPr>
        <w:t> </w:t>
      </w:r>
      <w:r w:rsidRPr="0031513C">
        <w:rPr>
          <w:lang w:val="fr-CA"/>
        </w:rPr>
        <w:t>10.</w:t>
      </w:r>
    </w:p>
  </w:footnote>
  <w:footnote w:id="355">
    <w:p w14:paraId="59AF5EE6"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Plusieurs dames demandent de la laine à tricoter</w:t>
      </w:r>
      <w:r>
        <w:rPr>
          <w:lang w:val="fr-CA"/>
        </w:rPr>
        <w:t> </w:t>
      </w:r>
      <w:r w:rsidRPr="0031513C">
        <w:rPr>
          <w:lang w:val="fr-CA"/>
        </w:rPr>
        <w:t xml:space="preserve">», </w:t>
      </w:r>
      <w:r w:rsidRPr="0031513C">
        <w:rPr>
          <w:i/>
          <w:iCs/>
          <w:lang w:val="fr-CA"/>
        </w:rPr>
        <w:t>L’Avenir National</w:t>
      </w:r>
      <w:r w:rsidRPr="0031513C">
        <w:rPr>
          <w:lang w:val="fr-CA"/>
        </w:rPr>
        <w:t>, 24 avril 1917, p.</w:t>
      </w:r>
      <w:r>
        <w:rPr>
          <w:lang w:val="fr-CA"/>
        </w:rPr>
        <w:t> </w:t>
      </w:r>
      <w:r w:rsidRPr="0031513C">
        <w:rPr>
          <w:lang w:val="fr-CA"/>
        </w:rPr>
        <w:t>8</w:t>
      </w:r>
    </w:p>
  </w:footnote>
  <w:footnote w:id="356">
    <w:p w14:paraId="37D87239"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Manchester doit sa contribution à la Croix-Rouge</w:t>
      </w:r>
      <w:r>
        <w:rPr>
          <w:lang w:val="fr-CA"/>
        </w:rPr>
        <w:t> </w:t>
      </w:r>
      <w:r w:rsidRPr="0031513C">
        <w:rPr>
          <w:lang w:val="fr-CA"/>
        </w:rPr>
        <w:t xml:space="preserve">», </w:t>
      </w:r>
      <w:r w:rsidRPr="0031513C">
        <w:rPr>
          <w:i/>
          <w:iCs/>
          <w:lang w:val="fr-CA"/>
        </w:rPr>
        <w:t>L’Avenir National</w:t>
      </w:r>
      <w:r w:rsidRPr="0031513C">
        <w:rPr>
          <w:lang w:val="fr-CA"/>
        </w:rPr>
        <w:t>, 13 juin 1917, p.</w:t>
      </w:r>
      <w:r>
        <w:rPr>
          <w:lang w:val="fr-CA"/>
        </w:rPr>
        <w:t> </w:t>
      </w:r>
      <w:r w:rsidRPr="0031513C">
        <w:rPr>
          <w:lang w:val="fr-CA"/>
        </w:rPr>
        <w:t>4.</w:t>
      </w:r>
    </w:p>
  </w:footnote>
  <w:footnote w:id="357">
    <w:p w14:paraId="05A2D84A"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 xml:space="preserve">Les Obsèques d’Une Ville </w:t>
      </w:r>
      <w:r w:rsidRPr="0031513C">
        <w:rPr>
          <w:i/>
          <w:iCs/>
          <w:lang w:val="fr-CA"/>
        </w:rPr>
        <w:t>(Sic)</w:t>
      </w:r>
      <w:r>
        <w:rPr>
          <w:lang w:val="fr-CA"/>
        </w:rPr>
        <w:t> </w:t>
      </w:r>
      <w:r w:rsidRPr="0031513C">
        <w:rPr>
          <w:lang w:val="fr-CA"/>
        </w:rPr>
        <w:t xml:space="preserve">», </w:t>
      </w:r>
      <w:r w:rsidRPr="0031513C">
        <w:rPr>
          <w:i/>
          <w:iCs/>
          <w:lang w:val="fr-CA"/>
        </w:rPr>
        <w:t>L’Avenir National</w:t>
      </w:r>
      <w:r w:rsidRPr="0031513C">
        <w:rPr>
          <w:lang w:val="fr-CA"/>
        </w:rPr>
        <w:t>, 18 juin 1917, p. 4.</w:t>
      </w:r>
      <w:r>
        <w:rPr>
          <w:lang w:val="fr-CA"/>
        </w:rPr>
        <w:t xml:space="preserve"> Publicité pour une conférence.</w:t>
      </w:r>
    </w:p>
  </w:footnote>
  <w:footnote w:id="358">
    <w:p w14:paraId="535051B8"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On a plus que la moitié du fonds de guerre</w:t>
      </w:r>
      <w:r>
        <w:rPr>
          <w:lang w:val="fr-CA"/>
        </w:rPr>
        <w:t> </w:t>
      </w:r>
      <w:r w:rsidRPr="0031513C">
        <w:rPr>
          <w:lang w:val="fr-CA"/>
        </w:rPr>
        <w:t xml:space="preserve">», </w:t>
      </w:r>
      <w:r w:rsidRPr="0031513C">
        <w:rPr>
          <w:i/>
          <w:iCs/>
          <w:lang w:val="fr-CA"/>
        </w:rPr>
        <w:t>L’Avenir National</w:t>
      </w:r>
      <w:r w:rsidRPr="0031513C">
        <w:rPr>
          <w:lang w:val="fr-CA"/>
        </w:rPr>
        <w:t>, 22 juin 1917, p.</w:t>
      </w:r>
      <w:r>
        <w:rPr>
          <w:lang w:val="fr-CA"/>
        </w:rPr>
        <w:t> </w:t>
      </w:r>
      <w:r w:rsidRPr="0031513C">
        <w:rPr>
          <w:lang w:val="fr-CA"/>
        </w:rPr>
        <w:t>7.</w:t>
      </w:r>
    </w:p>
  </w:footnote>
  <w:footnote w:id="359">
    <w:p w14:paraId="4B5BDA95"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$522.45 perçu</w:t>
      </w:r>
      <w:r>
        <w:rPr>
          <w:lang w:val="fr-CA"/>
        </w:rPr>
        <w:t>t</w:t>
      </w:r>
      <w:r w:rsidRPr="0031513C">
        <w:rPr>
          <w:lang w:val="fr-CA"/>
        </w:rPr>
        <w:t xml:space="preserve"> pour la Croix-Rouge à N.-Dame</w:t>
      </w:r>
      <w:r>
        <w:rPr>
          <w:lang w:val="fr-CA"/>
        </w:rPr>
        <w:t> </w:t>
      </w:r>
      <w:r w:rsidRPr="0031513C">
        <w:rPr>
          <w:lang w:val="fr-CA"/>
        </w:rPr>
        <w:t xml:space="preserve">», </w:t>
      </w:r>
      <w:r w:rsidRPr="0031513C">
        <w:rPr>
          <w:i/>
          <w:iCs/>
          <w:lang w:val="fr-CA"/>
        </w:rPr>
        <w:t>L’Avenir National</w:t>
      </w:r>
      <w:r w:rsidRPr="0031513C">
        <w:rPr>
          <w:lang w:val="fr-CA"/>
        </w:rPr>
        <w:t>, 27 juin 1917, p.</w:t>
      </w:r>
      <w:r>
        <w:rPr>
          <w:lang w:val="fr-CA"/>
        </w:rPr>
        <w:t> </w:t>
      </w:r>
      <w:r w:rsidRPr="0031513C">
        <w:rPr>
          <w:lang w:val="fr-CA"/>
        </w:rPr>
        <w:t>3.</w:t>
      </w:r>
    </w:p>
  </w:footnote>
  <w:footnote w:id="360">
    <w:p w14:paraId="1DDD5EB2" w14:textId="77777777" w:rsidR="00D40D7C" w:rsidRPr="0031513C" w:rsidRDefault="00D40D7C" w:rsidP="00594458">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carnaval de la Croix-Rouge va se prolonger</w:t>
      </w:r>
      <w:r>
        <w:rPr>
          <w:lang w:val="fr-CA"/>
        </w:rPr>
        <w:t> </w:t>
      </w:r>
      <w:r w:rsidRPr="0031513C">
        <w:rPr>
          <w:lang w:val="fr-CA"/>
        </w:rPr>
        <w:t xml:space="preserve">», </w:t>
      </w:r>
      <w:r w:rsidRPr="0031513C">
        <w:rPr>
          <w:i/>
          <w:iCs/>
          <w:lang w:val="fr-CA"/>
        </w:rPr>
        <w:t>L’Avenir National</w:t>
      </w:r>
      <w:r w:rsidRPr="0031513C">
        <w:rPr>
          <w:lang w:val="fr-CA"/>
        </w:rPr>
        <w:t>, 12 juillet 1917, p.</w:t>
      </w:r>
      <w:r>
        <w:rPr>
          <w:lang w:val="fr-CA"/>
        </w:rPr>
        <w:t> </w:t>
      </w:r>
      <w:r w:rsidRPr="0031513C">
        <w:rPr>
          <w:lang w:val="fr-CA"/>
        </w:rPr>
        <w:t>6.</w:t>
      </w:r>
    </w:p>
  </w:footnote>
  <w:footnote w:id="361">
    <w:p w14:paraId="5086A0F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gouverneur au carnaval de la Croix-Rouge</w:t>
      </w:r>
      <w:r>
        <w:rPr>
          <w:lang w:val="fr-CA"/>
        </w:rPr>
        <w:t> </w:t>
      </w:r>
      <w:r w:rsidRPr="0031513C">
        <w:rPr>
          <w:lang w:val="fr-CA"/>
        </w:rPr>
        <w:t xml:space="preserve">», </w:t>
      </w:r>
      <w:r w:rsidRPr="0031513C">
        <w:rPr>
          <w:i/>
          <w:iCs/>
          <w:lang w:val="fr-CA"/>
        </w:rPr>
        <w:t>L’Avenir National</w:t>
      </w:r>
      <w:r w:rsidRPr="0031513C">
        <w:rPr>
          <w:lang w:val="fr-CA"/>
        </w:rPr>
        <w:t>, 13 juillet 1917, p.</w:t>
      </w:r>
      <w:r>
        <w:rPr>
          <w:lang w:val="fr-CA"/>
        </w:rPr>
        <w:t> </w:t>
      </w:r>
      <w:r w:rsidRPr="0031513C">
        <w:rPr>
          <w:lang w:val="fr-CA"/>
        </w:rPr>
        <w:t>4.</w:t>
      </w:r>
    </w:p>
  </w:footnote>
  <w:footnote w:id="362">
    <w:p w14:paraId="57D9F673" w14:textId="77777777" w:rsidR="00D40D7C" w:rsidRPr="0031513C" w:rsidRDefault="00D40D7C" w:rsidP="00594458">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soldat sera au carnaval de la Croix-Rouge</w:t>
      </w:r>
      <w:r>
        <w:rPr>
          <w:lang w:val="fr-CA"/>
        </w:rPr>
        <w:t> </w:t>
      </w:r>
      <w:r w:rsidRPr="0031513C">
        <w:rPr>
          <w:lang w:val="fr-CA"/>
        </w:rPr>
        <w:t xml:space="preserve">», </w:t>
      </w:r>
      <w:r w:rsidRPr="0031513C">
        <w:rPr>
          <w:i/>
          <w:iCs/>
          <w:lang w:val="fr-CA"/>
        </w:rPr>
        <w:t>L’Avenir National</w:t>
      </w:r>
      <w:r w:rsidRPr="0031513C">
        <w:rPr>
          <w:lang w:val="fr-CA"/>
        </w:rPr>
        <w:t>, 5 juillet 1917, p.</w:t>
      </w:r>
      <w:r>
        <w:rPr>
          <w:lang w:val="fr-CA"/>
        </w:rPr>
        <w:t> </w:t>
      </w:r>
      <w:r w:rsidRPr="0031513C">
        <w:rPr>
          <w:lang w:val="fr-CA"/>
        </w:rPr>
        <w:t>5.</w:t>
      </w:r>
    </w:p>
  </w:footnote>
  <w:footnote w:id="363">
    <w:p w14:paraId="5FD087F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Croix-Rouge de cette ville a fait beaucoup</w:t>
      </w:r>
      <w:r>
        <w:rPr>
          <w:lang w:val="fr-CA"/>
        </w:rPr>
        <w:t> </w:t>
      </w:r>
      <w:r w:rsidRPr="0031513C">
        <w:rPr>
          <w:lang w:val="fr-CA"/>
        </w:rPr>
        <w:t xml:space="preserve">», </w:t>
      </w:r>
      <w:r w:rsidRPr="0031513C">
        <w:rPr>
          <w:i/>
          <w:iCs/>
          <w:lang w:val="fr-CA"/>
        </w:rPr>
        <w:t>L’Avenir National</w:t>
      </w:r>
      <w:r w:rsidRPr="0031513C">
        <w:rPr>
          <w:lang w:val="fr-CA"/>
        </w:rPr>
        <w:t>, 4 août 1917, p.</w:t>
      </w:r>
      <w:r>
        <w:rPr>
          <w:lang w:val="fr-CA"/>
        </w:rPr>
        <w:t> </w:t>
      </w:r>
      <w:r w:rsidRPr="0031513C">
        <w:rPr>
          <w:lang w:val="fr-CA"/>
        </w:rPr>
        <w:t>8. Note la liste détaillée des items est la suivante : pyjamas (310 paires), bas de laine (92 paires), chemises de lit (298), robes de convalescence (48), mouchoirs de tissus (1</w:t>
      </w:r>
      <w:r>
        <w:rPr>
          <w:lang w:val="fr-CA"/>
        </w:rPr>
        <w:t> </w:t>
      </w:r>
      <w:r w:rsidRPr="0031513C">
        <w:rPr>
          <w:lang w:val="fr-CA"/>
        </w:rPr>
        <w:t>236), souliers (25 praires) et sacs de réconfort (103). De plus, des items pour les salles d’opération sont aussi confectionnés comme des robes d’opérations (99), des casques (42), des bonnets en forme d</w:t>
      </w:r>
      <w:r>
        <w:rPr>
          <w:lang w:val="fr-CA"/>
        </w:rPr>
        <w:t xml:space="preserve">e </w:t>
      </w:r>
      <w:r w:rsidRPr="0031513C">
        <w:rPr>
          <w:lang w:val="fr-CA"/>
        </w:rPr>
        <w:t>heaumes (78), des paires de couvre poignets (109), des mitaines pour les bains, des débarbouillettes, des éponges et des bandages pour les yeux.</w:t>
      </w:r>
    </w:p>
  </w:footnote>
  <w:footnote w:id="364">
    <w:p w14:paraId="5DFE22E4"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Croix-Rouge fait très bien</w:t>
      </w:r>
      <w:r>
        <w:rPr>
          <w:lang w:val="fr-CA"/>
        </w:rPr>
        <w:t> </w:t>
      </w:r>
      <w:r w:rsidRPr="0031513C">
        <w:rPr>
          <w:lang w:val="fr-CA"/>
        </w:rPr>
        <w:t xml:space="preserve">», </w:t>
      </w:r>
      <w:r w:rsidRPr="0031513C">
        <w:rPr>
          <w:i/>
          <w:iCs/>
          <w:lang w:val="fr-CA"/>
        </w:rPr>
        <w:t>L’Avenir National</w:t>
      </w:r>
      <w:r w:rsidRPr="0031513C">
        <w:rPr>
          <w:lang w:val="fr-CA"/>
        </w:rPr>
        <w:t>, 27 février 1918, p.</w:t>
      </w:r>
      <w:r>
        <w:rPr>
          <w:lang w:val="fr-CA"/>
        </w:rPr>
        <w:t> </w:t>
      </w:r>
      <w:r w:rsidRPr="0031513C">
        <w:rPr>
          <w:lang w:val="fr-CA"/>
        </w:rPr>
        <w:t>7.</w:t>
      </w:r>
    </w:p>
  </w:footnote>
  <w:footnote w:id="365">
    <w:p w14:paraId="798D7C30" w14:textId="77777777" w:rsidR="00D40D7C" w:rsidRPr="0031513C" w:rsidRDefault="00D40D7C" w:rsidP="006E7ACB">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Ce que l’on fait pour la C.-R. au Cercle National</w:t>
      </w:r>
      <w:r>
        <w:rPr>
          <w:lang w:val="fr-CA"/>
        </w:rPr>
        <w:t> </w:t>
      </w:r>
      <w:r w:rsidRPr="0031513C">
        <w:rPr>
          <w:lang w:val="fr-CA"/>
        </w:rPr>
        <w:t xml:space="preserve">», </w:t>
      </w:r>
      <w:r w:rsidRPr="0031513C">
        <w:rPr>
          <w:i/>
          <w:iCs/>
          <w:lang w:val="fr-CA"/>
        </w:rPr>
        <w:t>L’Avenir National</w:t>
      </w:r>
      <w:r w:rsidRPr="0031513C">
        <w:rPr>
          <w:lang w:val="fr-CA"/>
        </w:rPr>
        <w:t>, 21 février 1918, p.</w:t>
      </w:r>
      <w:r>
        <w:rPr>
          <w:lang w:val="fr-CA"/>
        </w:rPr>
        <w:t> </w:t>
      </w:r>
      <w:r w:rsidRPr="0031513C">
        <w:rPr>
          <w:lang w:val="fr-CA"/>
        </w:rPr>
        <w:t>13.</w:t>
      </w:r>
    </w:p>
  </w:footnote>
  <w:footnote w:id="366">
    <w:p w14:paraId="43E224D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femmes de Notre-Dame et la Croix-Rouge</w:t>
      </w:r>
      <w:r>
        <w:rPr>
          <w:lang w:val="fr-CA"/>
        </w:rPr>
        <w:t> </w:t>
      </w:r>
      <w:r w:rsidRPr="0031513C">
        <w:rPr>
          <w:lang w:val="fr-CA"/>
        </w:rPr>
        <w:t xml:space="preserve">», </w:t>
      </w:r>
      <w:r w:rsidRPr="0031513C">
        <w:rPr>
          <w:i/>
          <w:iCs/>
          <w:lang w:val="fr-CA"/>
        </w:rPr>
        <w:t>L’Avenir National</w:t>
      </w:r>
      <w:r w:rsidRPr="0031513C">
        <w:rPr>
          <w:lang w:val="fr-CA"/>
        </w:rPr>
        <w:t>, 18 juin 1918, p.</w:t>
      </w:r>
      <w:r>
        <w:rPr>
          <w:lang w:val="fr-CA"/>
        </w:rPr>
        <w:t> </w:t>
      </w:r>
      <w:r w:rsidRPr="0031513C">
        <w:rPr>
          <w:lang w:val="fr-CA"/>
        </w:rPr>
        <w:t>6</w:t>
      </w:r>
      <w:r>
        <w:rPr>
          <w:lang w:val="fr-CA"/>
        </w:rPr>
        <w:t> </w:t>
      </w:r>
      <w:r w:rsidRPr="0031513C">
        <w:rPr>
          <w:lang w:val="fr-CA"/>
        </w:rPr>
        <w:t>; «</w:t>
      </w:r>
      <w:r>
        <w:rPr>
          <w:lang w:val="fr-CA"/>
        </w:rPr>
        <w:t> </w:t>
      </w:r>
      <w:r w:rsidRPr="0031513C">
        <w:rPr>
          <w:lang w:val="fr-CA"/>
        </w:rPr>
        <w:t>Les femmes de Notre-Dame et la Croix-Rouge</w:t>
      </w:r>
      <w:r>
        <w:rPr>
          <w:lang w:val="fr-CA"/>
        </w:rPr>
        <w:t> </w:t>
      </w:r>
      <w:r w:rsidRPr="0031513C">
        <w:rPr>
          <w:lang w:val="fr-CA"/>
        </w:rPr>
        <w:t xml:space="preserve">», </w:t>
      </w:r>
      <w:r w:rsidRPr="0031513C">
        <w:rPr>
          <w:i/>
          <w:iCs/>
          <w:lang w:val="fr-CA"/>
        </w:rPr>
        <w:t>L’Avenir National</w:t>
      </w:r>
      <w:r w:rsidRPr="0031513C">
        <w:rPr>
          <w:lang w:val="fr-CA"/>
        </w:rPr>
        <w:t>, 16 juillet 1918, p.</w:t>
      </w:r>
      <w:r>
        <w:rPr>
          <w:lang w:val="fr-CA"/>
        </w:rPr>
        <w:t> </w:t>
      </w:r>
      <w:r w:rsidRPr="0031513C">
        <w:rPr>
          <w:lang w:val="fr-CA"/>
        </w:rPr>
        <w:t>3.</w:t>
      </w:r>
    </w:p>
  </w:footnote>
  <w:footnote w:id="367">
    <w:p w14:paraId="55AC190E"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Concerts M.P.A. de 1917 pour la Croix-Rouge AM</w:t>
      </w:r>
      <w:r>
        <w:rPr>
          <w:lang w:val="fr-CA"/>
        </w:rPr>
        <w:t> </w:t>
      </w:r>
      <w:r w:rsidRPr="0031513C">
        <w:rPr>
          <w:lang w:val="fr-CA"/>
        </w:rPr>
        <w:t xml:space="preserve">», </w:t>
      </w:r>
      <w:r w:rsidRPr="0031513C">
        <w:rPr>
          <w:i/>
          <w:iCs/>
          <w:lang w:val="fr-CA"/>
        </w:rPr>
        <w:t>L’Avenir National</w:t>
      </w:r>
      <w:r w:rsidRPr="0031513C">
        <w:rPr>
          <w:lang w:val="fr-CA"/>
        </w:rPr>
        <w:t>, 14 septembre 1917, p.</w:t>
      </w:r>
      <w:r>
        <w:rPr>
          <w:lang w:val="fr-CA"/>
        </w:rPr>
        <w:t> </w:t>
      </w:r>
      <w:r w:rsidRPr="0031513C">
        <w:rPr>
          <w:lang w:val="fr-CA"/>
        </w:rPr>
        <w:t>10.</w:t>
      </w:r>
    </w:p>
  </w:footnote>
  <w:footnote w:id="368">
    <w:p w14:paraId="464A1CD4"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poussée de la Croix-Rouge débutera mardi</w:t>
      </w:r>
      <w:r>
        <w:rPr>
          <w:lang w:val="fr-CA"/>
        </w:rPr>
        <w:t> </w:t>
      </w:r>
      <w:r w:rsidRPr="0031513C">
        <w:rPr>
          <w:lang w:val="fr-CA"/>
        </w:rPr>
        <w:t xml:space="preserve">», </w:t>
      </w:r>
      <w:r w:rsidRPr="0031513C">
        <w:rPr>
          <w:i/>
          <w:iCs/>
          <w:lang w:val="fr-CA"/>
        </w:rPr>
        <w:t>L’Avenir National</w:t>
      </w:r>
      <w:r w:rsidRPr="0031513C">
        <w:rPr>
          <w:lang w:val="fr-CA"/>
        </w:rPr>
        <w:t>, 13 mai 1918, p.</w:t>
      </w:r>
      <w:r>
        <w:rPr>
          <w:lang w:val="fr-CA"/>
        </w:rPr>
        <w:t> </w:t>
      </w:r>
      <w:r w:rsidRPr="0031513C">
        <w:rPr>
          <w:lang w:val="fr-CA"/>
        </w:rPr>
        <w:t>6.</w:t>
      </w:r>
    </w:p>
  </w:footnote>
  <w:footnote w:id="369">
    <w:p w14:paraId="2440DCB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groupe de la Croix-Rouge de St-Augustin. 23 mai 1918, p.</w:t>
      </w:r>
      <w:r>
        <w:rPr>
          <w:lang w:val="fr-CA"/>
        </w:rPr>
        <w:t> </w:t>
      </w:r>
      <w:r w:rsidRPr="0031513C">
        <w:rPr>
          <w:lang w:val="fr-CA"/>
        </w:rPr>
        <w:t>4.</w:t>
      </w:r>
    </w:p>
  </w:footnote>
  <w:footnote w:id="370">
    <w:p w14:paraId="675F267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On a souscrit quasi $54,000 en cette ville</w:t>
      </w:r>
      <w:r>
        <w:rPr>
          <w:lang w:val="fr-CA"/>
        </w:rPr>
        <w:t> </w:t>
      </w:r>
      <w:r w:rsidRPr="0031513C">
        <w:rPr>
          <w:lang w:val="fr-CA"/>
        </w:rPr>
        <w:t xml:space="preserve">», </w:t>
      </w:r>
      <w:r w:rsidRPr="0031513C">
        <w:rPr>
          <w:i/>
          <w:iCs/>
          <w:lang w:val="fr-CA"/>
        </w:rPr>
        <w:t>L’Avenir National</w:t>
      </w:r>
      <w:r w:rsidRPr="0031513C">
        <w:rPr>
          <w:lang w:val="fr-CA"/>
        </w:rPr>
        <w:t>, 23 mai 1918, p.</w:t>
      </w:r>
      <w:r>
        <w:rPr>
          <w:lang w:val="fr-CA"/>
        </w:rPr>
        <w:t> </w:t>
      </w:r>
      <w:r w:rsidRPr="0031513C">
        <w:rPr>
          <w:lang w:val="fr-CA"/>
        </w:rPr>
        <w:t>8.</w:t>
      </w:r>
    </w:p>
  </w:footnote>
  <w:footnote w:id="371">
    <w:p w14:paraId="4852F3CD"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Sur le tocsin on somme 1-3-3 c’est $1,333,000</w:t>
      </w:r>
      <w:r>
        <w:rPr>
          <w:lang w:val="fr-CA"/>
        </w:rPr>
        <w:t> </w:t>
      </w:r>
      <w:r w:rsidRPr="0031513C">
        <w:rPr>
          <w:lang w:val="fr-CA"/>
        </w:rPr>
        <w:t xml:space="preserve">», </w:t>
      </w:r>
      <w:r w:rsidRPr="0031513C">
        <w:rPr>
          <w:i/>
          <w:iCs/>
          <w:lang w:val="fr-CA"/>
        </w:rPr>
        <w:t>L’Avenir National</w:t>
      </w:r>
      <w:r w:rsidRPr="0031513C">
        <w:rPr>
          <w:lang w:val="fr-CA"/>
        </w:rPr>
        <w:t>, 28 mai 1918, p.</w:t>
      </w:r>
      <w:r>
        <w:rPr>
          <w:lang w:val="fr-CA"/>
        </w:rPr>
        <w:t> </w:t>
      </w:r>
      <w:r w:rsidRPr="0031513C">
        <w:rPr>
          <w:lang w:val="fr-CA"/>
        </w:rPr>
        <w:t>2.</w:t>
      </w:r>
    </w:p>
  </w:footnote>
  <w:footnote w:id="372">
    <w:p w14:paraId="315FDA2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nouvelle émission de bons</w:t>
      </w:r>
      <w:r>
        <w:rPr>
          <w:lang w:val="fr-CA"/>
        </w:rPr>
        <w:t> </w:t>
      </w:r>
      <w:r w:rsidRPr="0031513C">
        <w:rPr>
          <w:lang w:val="fr-CA"/>
        </w:rPr>
        <w:t xml:space="preserve">», </w:t>
      </w:r>
      <w:r w:rsidRPr="0031513C">
        <w:rPr>
          <w:i/>
          <w:iCs/>
          <w:lang w:val="fr-CA"/>
        </w:rPr>
        <w:t>L’Avenir National</w:t>
      </w:r>
      <w:r w:rsidRPr="0031513C">
        <w:rPr>
          <w:lang w:val="fr-CA"/>
        </w:rPr>
        <w:t>, 13 octobre 1917, p.6.</w:t>
      </w:r>
    </w:p>
  </w:footnote>
  <w:footnote w:id="373">
    <w:p w14:paraId="45404250" w14:textId="77777777" w:rsidR="00D40D7C" w:rsidRPr="0031513C" w:rsidRDefault="00D40D7C">
      <w:pPr>
        <w:pStyle w:val="FootnoteText"/>
        <w:rPr>
          <w:lang w:val="fr-CA"/>
        </w:rPr>
      </w:pPr>
      <w:r w:rsidRPr="0031513C">
        <w:rPr>
          <w:rStyle w:val="FootnoteReference"/>
        </w:rPr>
        <w:footnoteRef/>
      </w:r>
      <w:r w:rsidRPr="00523E8E">
        <w:rPr>
          <w:lang w:val="fr-CA"/>
        </w:rPr>
        <w:t xml:space="preserve"> </w:t>
      </w:r>
      <w:r w:rsidRPr="0031513C">
        <w:rPr>
          <w:lang w:val="fr-CA"/>
        </w:rPr>
        <w:t>«</w:t>
      </w:r>
      <w:r>
        <w:rPr>
          <w:lang w:val="fr-CA"/>
        </w:rPr>
        <w:t> </w:t>
      </w:r>
      <w:r w:rsidRPr="0031513C">
        <w:rPr>
          <w:lang w:val="fr-CA"/>
        </w:rPr>
        <w:t>Aux Américains de Naissance étrangère</w:t>
      </w:r>
      <w:r>
        <w:rPr>
          <w:lang w:val="fr-CA"/>
        </w:rPr>
        <w:t> </w:t>
      </w:r>
      <w:r w:rsidRPr="0031513C">
        <w:rPr>
          <w:lang w:val="fr-CA"/>
        </w:rPr>
        <w:t xml:space="preserve">», </w:t>
      </w:r>
      <w:r w:rsidRPr="0031513C">
        <w:rPr>
          <w:i/>
          <w:iCs/>
          <w:lang w:val="fr-CA"/>
        </w:rPr>
        <w:t>L’Avenir National</w:t>
      </w:r>
      <w:r w:rsidRPr="0031513C">
        <w:rPr>
          <w:lang w:val="fr-CA"/>
        </w:rPr>
        <w:t>, 22 octobre 1917, p.</w:t>
      </w:r>
      <w:r>
        <w:rPr>
          <w:lang w:val="fr-CA"/>
        </w:rPr>
        <w:t> </w:t>
      </w:r>
      <w:r w:rsidRPr="0031513C">
        <w:rPr>
          <w:lang w:val="fr-CA"/>
        </w:rPr>
        <w:t>5.</w:t>
      </w:r>
      <w:r>
        <w:rPr>
          <w:lang w:val="fr-CA"/>
        </w:rPr>
        <w:t xml:space="preserve"> Publicité American Association of Foreign Language Newspapers, Inc.</w:t>
      </w:r>
    </w:p>
  </w:footnote>
  <w:footnote w:id="374">
    <w:p w14:paraId="4D3CC97C"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vie vaut plus que l’argent</w:t>
      </w:r>
      <w:r>
        <w:rPr>
          <w:lang w:val="fr-CA"/>
        </w:rPr>
        <w:t> </w:t>
      </w:r>
      <w:r w:rsidRPr="0031513C">
        <w:rPr>
          <w:lang w:val="fr-CA"/>
        </w:rPr>
        <w:t xml:space="preserve">», </w:t>
      </w:r>
      <w:r w:rsidRPr="0031513C">
        <w:rPr>
          <w:i/>
          <w:iCs/>
          <w:lang w:val="fr-CA"/>
        </w:rPr>
        <w:t>L’Avenir National</w:t>
      </w:r>
      <w:r w:rsidRPr="0031513C">
        <w:rPr>
          <w:lang w:val="fr-CA"/>
        </w:rPr>
        <w:t>, 20 octobre 1917, p.</w:t>
      </w:r>
      <w:r>
        <w:rPr>
          <w:lang w:val="fr-CA"/>
        </w:rPr>
        <w:t> </w:t>
      </w:r>
      <w:r w:rsidRPr="0031513C">
        <w:rPr>
          <w:lang w:val="fr-CA"/>
        </w:rPr>
        <w:t>4.</w:t>
      </w:r>
    </w:p>
  </w:footnote>
  <w:footnote w:id="375">
    <w:p w14:paraId="300A6C65"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3</w:t>
      </w:r>
      <w:r w:rsidRPr="0031513C">
        <w:rPr>
          <w:vertAlign w:val="superscript"/>
          <w:lang w:val="fr-CA"/>
        </w:rPr>
        <w:t>e</w:t>
      </w:r>
      <w:r w:rsidRPr="0031513C">
        <w:rPr>
          <w:lang w:val="fr-CA"/>
        </w:rPr>
        <w:t xml:space="preserve"> emprunt de la Liberté</w:t>
      </w:r>
      <w:r>
        <w:rPr>
          <w:lang w:val="fr-CA"/>
        </w:rPr>
        <w:t> </w:t>
      </w:r>
      <w:r w:rsidRPr="0031513C">
        <w:rPr>
          <w:lang w:val="fr-CA"/>
        </w:rPr>
        <w:t xml:space="preserve">», </w:t>
      </w:r>
      <w:r w:rsidRPr="0031513C">
        <w:rPr>
          <w:i/>
          <w:iCs/>
          <w:lang w:val="fr-CA"/>
        </w:rPr>
        <w:t>L’Avenir National</w:t>
      </w:r>
      <w:r w:rsidRPr="0031513C">
        <w:rPr>
          <w:lang w:val="fr-CA"/>
        </w:rPr>
        <w:t>, 27 mars 1918, p.</w:t>
      </w:r>
      <w:r>
        <w:rPr>
          <w:lang w:val="fr-CA"/>
        </w:rPr>
        <w:t> </w:t>
      </w:r>
      <w:r w:rsidRPr="0031513C">
        <w:rPr>
          <w:lang w:val="fr-CA"/>
        </w:rPr>
        <w:t>4.</w:t>
      </w:r>
    </w:p>
  </w:footnote>
  <w:footnote w:id="376">
    <w:p w14:paraId="1AED2A12" w14:textId="77777777" w:rsidR="00D40D7C" w:rsidRPr="0031513C" w:rsidRDefault="00D40D7C" w:rsidP="00AD1E72">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campagne de l’emprunt presque prête</w:t>
      </w:r>
      <w:r>
        <w:rPr>
          <w:lang w:val="fr-CA"/>
        </w:rPr>
        <w:t> </w:t>
      </w:r>
      <w:r w:rsidRPr="0031513C">
        <w:rPr>
          <w:lang w:val="fr-CA"/>
        </w:rPr>
        <w:t xml:space="preserve">», </w:t>
      </w:r>
      <w:r w:rsidRPr="0031513C">
        <w:rPr>
          <w:i/>
          <w:iCs/>
          <w:lang w:val="fr-CA"/>
        </w:rPr>
        <w:t>L’Avenir National</w:t>
      </w:r>
      <w:r w:rsidRPr="0031513C">
        <w:rPr>
          <w:lang w:val="fr-CA"/>
        </w:rPr>
        <w:t>, 28 février 1918, p.</w:t>
      </w:r>
      <w:r>
        <w:rPr>
          <w:lang w:val="fr-CA"/>
        </w:rPr>
        <w:t> </w:t>
      </w:r>
      <w:r w:rsidRPr="0031513C">
        <w:rPr>
          <w:lang w:val="fr-CA"/>
        </w:rPr>
        <w:t>6.</w:t>
      </w:r>
    </w:p>
  </w:footnote>
  <w:footnote w:id="377">
    <w:p w14:paraId="1773C40A"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Manchester devra souscrire quelque 2 millions de quart</w:t>
      </w:r>
      <w:r>
        <w:rPr>
          <w:lang w:val="fr-CA"/>
        </w:rPr>
        <w:t>s </w:t>
      </w:r>
      <w:r w:rsidRPr="0031513C">
        <w:rPr>
          <w:lang w:val="fr-CA"/>
        </w:rPr>
        <w:t xml:space="preserve">», </w:t>
      </w:r>
      <w:r w:rsidRPr="0031513C">
        <w:rPr>
          <w:i/>
          <w:iCs/>
          <w:lang w:val="fr-CA"/>
        </w:rPr>
        <w:t>L’Avenir National</w:t>
      </w:r>
      <w:r w:rsidRPr="0031513C">
        <w:rPr>
          <w:lang w:val="fr-CA"/>
        </w:rPr>
        <w:t>, 4 avril 1918, p.</w:t>
      </w:r>
      <w:r>
        <w:rPr>
          <w:lang w:val="fr-CA"/>
        </w:rPr>
        <w:t> </w:t>
      </w:r>
      <w:r w:rsidRPr="0031513C">
        <w:rPr>
          <w:lang w:val="fr-CA"/>
        </w:rPr>
        <w:t>1</w:t>
      </w:r>
      <w:r>
        <w:rPr>
          <w:lang w:val="fr-CA"/>
        </w:rPr>
        <w:t> </w:t>
      </w:r>
      <w:r w:rsidRPr="0031513C">
        <w:rPr>
          <w:lang w:val="fr-CA"/>
        </w:rPr>
        <w:t>; «</w:t>
      </w:r>
      <w:r>
        <w:rPr>
          <w:lang w:val="fr-CA"/>
        </w:rPr>
        <w:t> </w:t>
      </w:r>
      <w:r w:rsidRPr="0031513C">
        <w:rPr>
          <w:lang w:val="fr-CA"/>
        </w:rPr>
        <w:t>La quote-part de Manchester est $2,308,000.00</w:t>
      </w:r>
      <w:r>
        <w:rPr>
          <w:lang w:val="fr-CA"/>
        </w:rPr>
        <w:t> </w:t>
      </w:r>
      <w:r w:rsidRPr="0031513C">
        <w:rPr>
          <w:lang w:val="fr-CA"/>
        </w:rPr>
        <w:t xml:space="preserve">», </w:t>
      </w:r>
      <w:r w:rsidRPr="0031513C">
        <w:rPr>
          <w:i/>
          <w:iCs/>
          <w:lang w:val="fr-CA"/>
        </w:rPr>
        <w:t>L’Avenir National</w:t>
      </w:r>
      <w:r w:rsidRPr="0031513C">
        <w:rPr>
          <w:lang w:val="fr-CA"/>
        </w:rPr>
        <w:t>, 5 avril 1918, p.</w:t>
      </w:r>
      <w:r>
        <w:rPr>
          <w:lang w:val="fr-CA"/>
        </w:rPr>
        <w:t> </w:t>
      </w:r>
      <w:r w:rsidRPr="0031513C">
        <w:rPr>
          <w:lang w:val="fr-CA"/>
        </w:rPr>
        <w:t>3.</w:t>
      </w:r>
    </w:p>
  </w:footnote>
  <w:footnote w:id="378">
    <w:p w14:paraId="4F3482C2"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sidRPr="0031513C">
        <w:rPr>
          <w:i/>
          <w:iCs/>
          <w:lang w:val="fr-CA"/>
        </w:rPr>
        <w:t>Ibid</w:t>
      </w:r>
      <w:r w:rsidRPr="0031513C">
        <w:rPr>
          <w:lang w:val="fr-CA"/>
        </w:rPr>
        <w:t>., p.</w:t>
      </w:r>
      <w:r>
        <w:rPr>
          <w:lang w:val="fr-CA"/>
        </w:rPr>
        <w:t> </w:t>
      </w:r>
      <w:r w:rsidRPr="0031513C">
        <w:rPr>
          <w:lang w:val="fr-CA"/>
        </w:rPr>
        <w:t>3.</w:t>
      </w:r>
    </w:p>
  </w:footnote>
  <w:footnote w:id="379">
    <w:p w14:paraId="2C891F2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 ralliement patriotique pour l’emprunt de la Liberté à la salle du club Joliet</w:t>
      </w:r>
      <w:r>
        <w:rPr>
          <w:lang w:val="fr-CA"/>
        </w:rPr>
        <w:t> </w:t>
      </w:r>
      <w:r w:rsidRPr="0031513C">
        <w:rPr>
          <w:lang w:val="fr-CA"/>
        </w:rPr>
        <w:t xml:space="preserve">», </w:t>
      </w:r>
      <w:r w:rsidRPr="0031513C">
        <w:rPr>
          <w:i/>
          <w:iCs/>
          <w:lang w:val="fr-CA"/>
        </w:rPr>
        <w:t>L’Avenir National</w:t>
      </w:r>
      <w:r w:rsidRPr="0031513C">
        <w:rPr>
          <w:lang w:val="fr-CA"/>
        </w:rPr>
        <w:t>, 9 avril 1918, p.</w:t>
      </w:r>
      <w:r>
        <w:rPr>
          <w:lang w:val="fr-CA"/>
        </w:rPr>
        <w:t> </w:t>
      </w:r>
      <w:r w:rsidRPr="0031513C">
        <w:rPr>
          <w:lang w:val="fr-CA"/>
        </w:rPr>
        <w:t>6.</w:t>
      </w:r>
    </w:p>
  </w:footnote>
  <w:footnote w:id="380">
    <w:p w14:paraId="237BCF84" w14:textId="77777777" w:rsidR="00D40D7C" w:rsidRPr="0031513C" w:rsidRDefault="00D40D7C" w:rsidP="00164C8D">
      <w:pPr>
        <w:pStyle w:val="FootnoteText"/>
        <w:rPr>
          <w:lang w:val="fr-CA"/>
        </w:rPr>
      </w:pPr>
      <w:r w:rsidRPr="0031513C">
        <w:rPr>
          <w:rStyle w:val="FootnoteReference"/>
        </w:rPr>
        <w:footnoteRef/>
      </w:r>
      <w:r w:rsidRPr="0031513C">
        <w:rPr>
          <w:lang w:val="fr-CA"/>
        </w:rPr>
        <w:t xml:space="preserve"> </w:t>
      </w:r>
      <w:r w:rsidRPr="0031513C">
        <w:rPr>
          <w:i/>
          <w:iCs/>
          <w:lang w:val="fr-CA"/>
        </w:rPr>
        <w:t xml:space="preserve">Ibid., </w:t>
      </w:r>
      <w:r w:rsidRPr="0031513C">
        <w:rPr>
          <w:lang w:val="fr-CA"/>
        </w:rPr>
        <w:t>p.</w:t>
      </w:r>
      <w:r>
        <w:rPr>
          <w:lang w:val="fr-CA"/>
        </w:rPr>
        <w:t> </w:t>
      </w:r>
      <w:r w:rsidRPr="0031513C">
        <w:rPr>
          <w:lang w:val="fr-CA"/>
        </w:rPr>
        <w:t>6.</w:t>
      </w:r>
    </w:p>
  </w:footnote>
  <w:footnote w:id="381">
    <w:p w14:paraId="5FD4B9F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On espère finir la campagne de l’emprunt samedi</w:t>
      </w:r>
      <w:r>
        <w:rPr>
          <w:lang w:val="fr-CA"/>
        </w:rPr>
        <w:t> </w:t>
      </w:r>
      <w:r w:rsidRPr="0031513C">
        <w:rPr>
          <w:lang w:val="fr-CA"/>
        </w:rPr>
        <w:t xml:space="preserve">», </w:t>
      </w:r>
      <w:r w:rsidRPr="0031513C">
        <w:rPr>
          <w:i/>
          <w:iCs/>
          <w:lang w:val="fr-CA"/>
        </w:rPr>
        <w:t>L’Avenir National</w:t>
      </w:r>
      <w:r w:rsidRPr="0031513C">
        <w:rPr>
          <w:lang w:val="fr-CA"/>
        </w:rPr>
        <w:t>, 16 avril 1918, p.</w:t>
      </w:r>
      <w:r>
        <w:rPr>
          <w:lang w:val="fr-CA"/>
        </w:rPr>
        <w:t> </w:t>
      </w:r>
      <w:r w:rsidRPr="0031513C">
        <w:rPr>
          <w:lang w:val="fr-CA"/>
        </w:rPr>
        <w:t>2.</w:t>
      </w:r>
    </w:p>
  </w:footnote>
  <w:footnote w:id="382">
    <w:p w14:paraId="7EEF2FB7"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campagne du 3ieme emprunt dans la N.-A</w:t>
      </w:r>
      <w:r>
        <w:rPr>
          <w:lang w:val="fr-CA"/>
        </w:rPr>
        <w:t> </w:t>
      </w:r>
      <w:r w:rsidRPr="0031513C">
        <w:rPr>
          <w:lang w:val="fr-CA"/>
        </w:rPr>
        <w:t xml:space="preserve">», </w:t>
      </w:r>
      <w:r w:rsidRPr="0031513C">
        <w:rPr>
          <w:i/>
          <w:iCs/>
          <w:lang w:val="fr-CA"/>
        </w:rPr>
        <w:t>L’Avenir National</w:t>
      </w:r>
      <w:r w:rsidRPr="0031513C">
        <w:rPr>
          <w:lang w:val="fr-CA"/>
        </w:rPr>
        <w:t>, 18 avril 1918, p.</w:t>
      </w:r>
      <w:r>
        <w:rPr>
          <w:lang w:val="fr-CA"/>
        </w:rPr>
        <w:t> </w:t>
      </w:r>
      <w:r w:rsidRPr="0031513C">
        <w:rPr>
          <w:lang w:val="fr-CA"/>
        </w:rPr>
        <w:t>1.</w:t>
      </w:r>
    </w:p>
  </w:footnote>
  <w:footnote w:id="383">
    <w:p w14:paraId="39066A67" w14:textId="77777777" w:rsidR="00D40D7C" w:rsidRPr="0031513C" w:rsidRDefault="00D40D7C" w:rsidP="0028648A">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patriotisme de notre ville se révèle bien</w:t>
      </w:r>
      <w:r>
        <w:rPr>
          <w:lang w:val="fr-CA"/>
        </w:rPr>
        <w:t> </w:t>
      </w:r>
      <w:r w:rsidRPr="0031513C">
        <w:rPr>
          <w:lang w:val="fr-CA"/>
        </w:rPr>
        <w:t xml:space="preserve">», </w:t>
      </w:r>
      <w:r w:rsidRPr="0031513C">
        <w:rPr>
          <w:i/>
          <w:iCs/>
          <w:lang w:val="fr-CA"/>
        </w:rPr>
        <w:t>L’Avenir National</w:t>
      </w:r>
      <w:r w:rsidRPr="0031513C">
        <w:rPr>
          <w:lang w:val="fr-CA"/>
        </w:rPr>
        <w:t>, 22 avril 1918, p.</w:t>
      </w:r>
      <w:r>
        <w:rPr>
          <w:lang w:val="fr-CA"/>
        </w:rPr>
        <w:t> </w:t>
      </w:r>
      <w:r w:rsidRPr="0031513C">
        <w:rPr>
          <w:lang w:val="fr-CA"/>
        </w:rPr>
        <w:t>6.</w:t>
      </w:r>
    </w:p>
  </w:footnote>
  <w:footnote w:id="384">
    <w:p w14:paraId="462CD30D" w14:textId="77777777" w:rsidR="00D40D7C" w:rsidRPr="0031513C" w:rsidRDefault="00D40D7C" w:rsidP="001E4AB5">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Notre ville ajoute encore à son triomphe</w:t>
      </w:r>
      <w:r>
        <w:rPr>
          <w:lang w:val="fr-CA"/>
        </w:rPr>
        <w:t> </w:t>
      </w:r>
      <w:r w:rsidRPr="0031513C">
        <w:rPr>
          <w:lang w:val="fr-CA"/>
        </w:rPr>
        <w:t xml:space="preserve">», </w:t>
      </w:r>
      <w:r w:rsidRPr="0031513C">
        <w:rPr>
          <w:i/>
          <w:iCs/>
          <w:lang w:val="fr-CA"/>
        </w:rPr>
        <w:t>L’Avenir National</w:t>
      </w:r>
      <w:r w:rsidRPr="0031513C">
        <w:rPr>
          <w:lang w:val="fr-CA"/>
        </w:rPr>
        <w:t>, 30 avril 1918, p.</w:t>
      </w:r>
      <w:r>
        <w:rPr>
          <w:lang w:val="fr-CA"/>
        </w:rPr>
        <w:t> </w:t>
      </w:r>
      <w:r w:rsidRPr="0031513C">
        <w:rPr>
          <w:lang w:val="fr-CA"/>
        </w:rPr>
        <w:t>8</w:t>
      </w:r>
      <w:r>
        <w:rPr>
          <w:lang w:val="fr-CA"/>
        </w:rPr>
        <w:t> </w:t>
      </w:r>
      <w:r w:rsidRPr="0031513C">
        <w:rPr>
          <w:lang w:val="fr-CA"/>
        </w:rPr>
        <w:t>; «</w:t>
      </w:r>
      <w:r>
        <w:rPr>
          <w:lang w:val="fr-CA"/>
        </w:rPr>
        <w:t> </w:t>
      </w:r>
      <w:r w:rsidRPr="0031513C">
        <w:rPr>
          <w:lang w:val="fr-CA"/>
        </w:rPr>
        <w:t>Les souscriptions de Manchester sont $3,330,400</w:t>
      </w:r>
      <w:r>
        <w:rPr>
          <w:lang w:val="fr-CA"/>
        </w:rPr>
        <w:t> </w:t>
      </w:r>
      <w:r w:rsidRPr="0031513C">
        <w:rPr>
          <w:lang w:val="fr-CA"/>
        </w:rPr>
        <w:t xml:space="preserve">», </w:t>
      </w:r>
      <w:r w:rsidRPr="0031513C">
        <w:rPr>
          <w:i/>
          <w:iCs/>
          <w:lang w:val="fr-CA"/>
        </w:rPr>
        <w:t>L’Avenir National</w:t>
      </w:r>
      <w:r w:rsidRPr="0031513C">
        <w:rPr>
          <w:lang w:val="fr-CA"/>
        </w:rPr>
        <w:t>, 3 mai 1918, p.</w:t>
      </w:r>
      <w:r>
        <w:rPr>
          <w:lang w:val="fr-CA"/>
        </w:rPr>
        <w:t> </w:t>
      </w:r>
      <w:r w:rsidRPr="0031513C">
        <w:rPr>
          <w:lang w:val="fr-CA"/>
        </w:rPr>
        <w:t>8.</w:t>
      </w:r>
    </w:p>
  </w:footnote>
  <w:footnote w:id="385">
    <w:p w14:paraId="40A9673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Les préparatifs de la campagne du 4</w:t>
      </w:r>
      <w:r w:rsidRPr="0031513C">
        <w:rPr>
          <w:vertAlign w:val="superscript"/>
          <w:lang w:val="fr-CA"/>
        </w:rPr>
        <w:t>me</w:t>
      </w:r>
      <w:r w:rsidRPr="0031513C">
        <w:rPr>
          <w:lang w:val="fr-CA"/>
        </w:rPr>
        <w:t xml:space="preserve"> emprunt</w:t>
      </w:r>
      <w:r>
        <w:rPr>
          <w:lang w:val="fr-CA"/>
        </w:rPr>
        <w:t> </w:t>
      </w:r>
      <w:r w:rsidRPr="0031513C">
        <w:rPr>
          <w:lang w:val="fr-CA"/>
        </w:rPr>
        <w:t xml:space="preserve">», </w:t>
      </w:r>
      <w:r w:rsidRPr="0031513C">
        <w:rPr>
          <w:i/>
          <w:iCs/>
          <w:lang w:val="fr-CA"/>
        </w:rPr>
        <w:t>L’Avenir National</w:t>
      </w:r>
      <w:r w:rsidRPr="0031513C">
        <w:rPr>
          <w:lang w:val="fr-CA"/>
        </w:rPr>
        <w:t>, 17 septembre 1918, p.</w:t>
      </w:r>
      <w:r>
        <w:rPr>
          <w:lang w:val="fr-CA"/>
        </w:rPr>
        <w:t> </w:t>
      </w:r>
      <w:r w:rsidRPr="0031513C">
        <w:rPr>
          <w:lang w:val="fr-CA"/>
        </w:rPr>
        <w:t>2.</w:t>
      </w:r>
    </w:p>
  </w:footnote>
  <w:footnote w:id="386">
    <w:p w14:paraId="3DE8E253"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campagne du 4</w:t>
      </w:r>
      <w:r w:rsidRPr="0031513C">
        <w:rPr>
          <w:vertAlign w:val="superscript"/>
          <w:lang w:val="fr-CA"/>
        </w:rPr>
        <w:t>e</w:t>
      </w:r>
      <w:r w:rsidRPr="0031513C">
        <w:rPr>
          <w:lang w:val="fr-CA"/>
        </w:rPr>
        <w:t xml:space="preserve"> emprunt de la Libertés</w:t>
      </w:r>
      <w:r>
        <w:rPr>
          <w:lang w:val="fr-CA"/>
        </w:rPr>
        <w:t> </w:t>
      </w:r>
      <w:r w:rsidRPr="0031513C">
        <w:rPr>
          <w:lang w:val="fr-CA"/>
        </w:rPr>
        <w:t xml:space="preserve">», </w:t>
      </w:r>
      <w:r w:rsidRPr="0031513C">
        <w:rPr>
          <w:i/>
          <w:iCs/>
          <w:lang w:val="fr-CA"/>
        </w:rPr>
        <w:t>L’Avenir National</w:t>
      </w:r>
      <w:r w:rsidRPr="0031513C">
        <w:rPr>
          <w:lang w:val="fr-CA"/>
        </w:rPr>
        <w:t>, 8 octobre 1918, p.</w:t>
      </w:r>
      <w:r>
        <w:rPr>
          <w:lang w:val="fr-CA"/>
        </w:rPr>
        <w:t> </w:t>
      </w:r>
      <w:r w:rsidRPr="0031513C">
        <w:rPr>
          <w:lang w:val="fr-CA"/>
        </w:rPr>
        <w:t>8</w:t>
      </w:r>
      <w:r>
        <w:rPr>
          <w:lang w:val="fr-CA"/>
        </w:rPr>
        <w:t> </w:t>
      </w:r>
      <w:r w:rsidRPr="0031513C">
        <w:rPr>
          <w:lang w:val="fr-CA"/>
        </w:rPr>
        <w:t>; «</w:t>
      </w:r>
      <w:r>
        <w:rPr>
          <w:lang w:val="fr-CA"/>
        </w:rPr>
        <w:t> </w:t>
      </w:r>
      <w:r w:rsidRPr="0031513C">
        <w:rPr>
          <w:lang w:val="fr-CA"/>
        </w:rPr>
        <w:t>Une somme de $115,450.00 est obtenue hier</w:t>
      </w:r>
      <w:r>
        <w:rPr>
          <w:lang w:val="fr-CA"/>
        </w:rPr>
        <w:t> </w:t>
      </w:r>
      <w:r w:rsidRPr="0031513C">
        <w:rPr>
          <w:lang w:val="fr-CA"/>
        </w:rPr>
        <w:t xml:space="preserve">», </w:t>
      </w:r>
      <w:r w:rsidRPr="0031513C">
        <w:rPr>
          <w:i/>
          <w:iCs/>
          <w:lang w:val="fr-CA"/>
        </w:rPr>
        <w:t>L’Avenir National</w:t>
      </w:r>
      <w:r w:rsidRPr="0031513C">
        <w:rPr>
          <w:lang w:val="fr-CA"/>
        </w:rPr>
        <w:t>, 10 octobre 1918, p.</w:t>
      </w:r>
      <w:r>
        <w:rPr>
          <w:lang w:val="fr-CA"/>
        </w:rPr>
        <w:t> </w:t>
      </w:r>
      <w:r w:rsidRPr="0031513C">
        <w:rPr>
          <w:lang w:val="fr-CA"/>
        </w:rPr>
        <w:t>8</w:t>
      </w:r>
      <w:r>
        <w:rPr>
          <w:lang w:val="fr-CA"/>
        </w:rPr>
        <w:t> </w:t>
      </w:r>
      <w:r w:rsidRPr="0031513C">
        <w:rPr>
          <w:lang w:val="fr-CA"/>
        </w:rPr>
        <w:t>; «</w:t>
      </w:r>
      <w:r>
        <w:rPr>
          <w:lang w:val="fr-CA"/>
        </w:rPr>
        <w:t> </w:t>
      </w:r>
      <w:r w:rsidRPr="0031513C">
        <w:rPr>
          <w:lang w:val="fr-CA"/>
        </w:rPr>
        <w:t>Quatrième emprunt</w:t>
      </w:r>
      <w:r>
        <w:rPr>
          <w:lang w:val="fr-CA"/>
        </w:rPr>
        <w:t> </w:t>
      </w:r>
      <w:r w:rsidRPr="0031513C">
        <w:rPr>
          <w:lang w:val="fr-CA"/>
        </w:rPr>
        <w:t xml:space="preserve">», </w:t>
      </w:r>
      <w:r w:rsidRPr="0031513C">
        <w:rPr>
          <w:i/>
          <w:iCs/>
          <w:lang w:val="fr-CA"/>
        </w:rPr>
        <w:t>L’Avenir National</w:t>
      </w:r>
      <w:r w:rsidRPr="0031513C">
        <w:rPr>
          <w:lang w:val="fr-CA"/>
        </w:rPr>
        <w:t>, 21 octobre 1918, p.</w:t>
      </w:r>
      <w:r>
        <w:rPr>
          <w:lang w:val="fr-CA"/>
        </w:rPr>
        <w:t> </w:t>
      </w:r>
      <w:r w:rsidRPr="0031513C">
        <w:rPr>
          <w:lang w:val="fr-CA"/>
        </w:rPr>
        <w:t>3.</w:t>
      </w:r>
    </w:p>
  </w:footnote>
  <w:footnote w:id="387">
    <w:p w14:paraId="2A3F58FB" w14:textId="77777777" w:rsidR="00D40D7C" w:rsidRPr="0031513C" w:rsidRDefault="00D40D7C" w:rsidP="002F2EF7">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L’emprunt un vrai triomphe à Manchester</w:t>
      </w:r>
      <w:r>
        <w:rPr>
          <w:lang w:val="fr-CA"/>
        </w:rPr>
        <w:t> </w:t>
      </w:r>
      <w:r w:rsidRPr="0031513C">
        <w:rPr>
          <w:lang w:val="fr-CA"/>
        </w:rPr>
        <w:t xml:space="preserve">», </w:t>
      </w:r>
      <w:r w:rsidRPr="0031513C">
        <w:rPr>
          <w:i/>
          <w:iCs/>
          <w:lang w:val="fr-CA"/>
        </w:rPr>
        <w:t>L’Avenir National</w:t>
      </w:r>
      <w:r w:rsidRPr="0031513C">
        <w:rPr>
          <w:lang w:val="fr-CA"/>
        </w:rPr>
        <w:t>, 19 octobre 1918, p.</w:t>
      </w:r>
      <w:r>
        <w:rPr>
          <w:lang w:val="fr-CA"/>
        </w:rPr>
        <w:t> </w:t>
      </w:r>
      <w:r w:rsidRPr="0031513C">
        <w:rPr>
          <w:lang w:val="fr-CA"/>
        </w:rPr>
        <w:t>8.</w:t>
      </w:r>
    </w:p>
  </w:footnote>
  <w:footnote w:id="388">
    <w:p w14:paraId="5B454BF4"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poussée des timbres va de l’avant</w:t>
      </w:r>
      <w:r>
        <w:rPr>
          <w:lang w:val="fr-CA"/>
        </w:rPr>
        <w:t> </w:t>
      </w:r>
      <w:r w:rsidRPr="0031513C">
        <w:rPr>
          <w:lang w:val="fr-CA"/>
        </w:rPr>
        <w:t xml:space="preserve">», </w:t>
      </w:r>
      <w:r w:rsidRPr="0031513C">
        <w:rPr>
          <w:i/>
          <w:iCs/>
          <w:lang w:val="fr-CA"/>
        </w:rPr>
        <w:t>L’Avenir National</w:t>
      </w:r>
      <w:r w:rsidRPr="0031513C">
        <w:rPr>
          <w:lang w:val="fr-CA"/>
        </w:rPr>
        <w:t>, 11 juin 1918, p.</w:t>
      </w:r>
      <w:r>
        <w:rPr>
          <w:lang w:val="fr-CA"/>
        </w:rPr>
        <w:t> </w:t>
      </w:r>
      <w:r w:rsidRPr="0031513C">
        <w:rPr>
          <w:lang w:val="fr-CA"/>
        </w:rPr>
        <w:t>6</w:t>
      </w:r>
      <w:r>
        <w:rPr>
          <w:lang w:val="fr-CA"/>
        </w:rPr>
        <w:t> </w:t>
      </w:r>
      <w:r w:rsidRPr="0031513C">
        <w:rPr>
          <w:lang w:val="fr-CA"/>
        </w:rPr>
        <w:t>; «</w:t>
      </w:r>
      <w:r>
        <w:rPr>
          <w:lang w:val="fr-CA"/>
        </w:rPr>
        <w:t> </w:t>
      </w:r>
      <w:r w:rsidRPr="0031513C">
        <w:rPr>
          <w:lang w:val="fr-CA"/>
        </w:rPr>
        <w:t>On a 4105,00 dans la poussée du go-the limit et pour la vente de timbres de guerre</w:t>
      </w:r>
      <w:r>
        <w:rPr>
          <w:lang w:val="fr-CA"/>
        </w:rPr>
        <w:t> </w:t>
      </w:r>
      <w:r w:rsidRPr="0031513C">
        <w:rPr>
          <w:lang w:val="fr-CA"/>
        </w:rPr>
        <w:t xml:space="preserve">», </w:t>
      </w:r>
      <w:r w:rsidRPr="0031513C">
        <w:rPr>
          <w:i/>
          <w:iCs/>
          <w:lang w:val="fr-CA"/>
        </w:rPr>
        <w:t>L’Avenir National</w:t>
      </w:r>
      <w:r w:rsidRPr="0031513C">
        <w:rPr>
          <w:lang w:val="fr-CA"/>
        </w:rPr>
        <w:t>, 18 juin 1918, p.</w:t>
      </w:r>
      <w:r>
        <w:rPr>
          <w:lang w:val="fr-CA"/>
        </w:rPr>
        <w:t> </w:t>
      </w:r>
      <w:r w:rsidRPr="0031513C">
        <w:rPr>
          <w:lang w:val="fr-CA"/>
        </w:rPr>
        <w:t>8</w:t>
      </w:r>
      <w:r>
        <w:rPr>
          <w:lang w:val="fr-CA"/>
        </w:rPr>
        <w:t> </w:t>
      </w:r>
      <w:r w:rsidRPr="0031513C">
        <w:rPr>
          <w:lang w:val="fr-CA"/>
        </w:rPr>
        <w:t>; «</w:t>
      </w:r>
      <w:r>
        <w:rPr>
          <w:lang w:val="fr-CA"/>
        </w:rPr>
        <w:t> </w:t>
      </w:r>
      <w:r w:rsidRPr="0031513C">
        <w:rPr>
          <w:lang w:val="fr-CA"/>
        </w:rPr>
        <w:t>La poussée de l’Assomption ne languit pas</w:t>
      </w:r>
      <w:r>
        <w:rPr>
          <w:lang w:val="fr-CA"/>
        </w:rPr>
        <w:t> </w:t>
      </w:r>
      <w:r w:rsidRPr="0031513C">
        <w:rPr>
          <w:lang w:val="fr-CA"/>
        </w:rPr>
        <w:t xml:space="preserve">», </w:t>
      </w:r>
      <w:r w:rsidRPr="0031513C">
        <w:rPr>
          <w:i/>
          <w:iCs/>
          <w:lang w:val="fr-CA"/>
        </w:rPr>
        <w:t>L’Avenir National</w:t>
      </w:r>
      <w:r w:rsidRPr="0031513C">
        <w:rPr>
          <w:lang w:val="fr-CA"/>
        </w:rPr>
        <w:t>, 22 juin 1918, p.</w:t>
      </w:r>
      <w:r>
        <w:rPr>
          <w:lang w:val="fr-CA"/>
        </w:rPr>
        <w:t> </w:t>
      </w:r>
      <w:r w:rsidRPr="0031513C">
        <w:rPr>
          <w:lang w:val="fr-CA"/>
        </w:rPr>
        <w:t>3</w:t>
      </w:r>
      <w:r>
        <w:rPr>
          <w:lang w:val="fr-CA"/>
        </w:rPr>
        <w:t> </w:t>
      </w:r>
      <w:r w:rsidRPr="0031513C">
        <w:rPr>
          <w:lang w:val="fr-CA"/>
        </w:rPr>
        <w:t>; «</w:t>
      </w:r>
      <w:r>
        <w:rPr>
          <w:lang w:val="fr-CA"/>
        </w:rPr>
        <w:t> </w:t>
      </w:r>
      <w:r w:rsidRPr="0031513C">
        <w:rPr>
          <w:lang w:val="fr-CA"/>
        </w:rPr>
        <w:t>L’ouverture de la campagne des timbres ce matin et autres recettes pour le collège de l’Assomption</w:t>
      </w:r>
      <w:r>
        <w:rPr>
          <w:lang w:val="fr-CA"/>
        </w:rPr>
        <w:t> </w:t>
      </w:r>
      <w:r w:rsidRPr="0031513C">
        <w:rPr>
          <w:lang w:val="fr-CA"/>
        </w:rPr>
        <w:t xml:space="preserve">», </w:t>
      </w:r>
      <w:r w:rsidRPr="0031513C">
        <w:rPr>
          <w:i/>
          <w:iCs/>
          <w:lang w:val="fr-CA"/>
        </w:rPr>
        <w:t>L’Avenir National</w:t>
      </w:r>
      <w:r w:rsidRPr="0031513C">
        <w:rPr>
          <w:lang w:val="fr-CA"/>
        </w:rPr>
        <w:t>, 24 juin 1918. p.</w:t>
      </w:r>
      <w:r>
        <w:rPr>
          <w:lang w:val="fr-CA"/>
        </w:rPr>
        <w:t> </w:t>
      </w:r>
      <w:r w:rsidRPr="0031513C">
        <w:rPr>
          <w:lang w:val="fr-CA"/>
        </w:rPr>
        <w:t>8</w:t>
      </w:r>
      <w:r>
        <w:rPr>
          <w:lang w:val="fr-CA"/>
        </w:rPr>
        <w:t> </w:t>
      </w:r>
      <w:r w:rsidRPr="0031513C">
        <w:rPr>
          <w:lang w:val="fr-CA"/>
        </w:rPr>
        <w:t>; «</w:t>
      </w:r>
      <w:r>
        <w:rPr>
          <w:lang w:val="fr-CA"/>
        </w:rPr>
        <w:t> </w:t>
      </w:r>
      <w:r w:rsidRPr="0031513C">
        <w:rPr>
          <w:lang w:val="fr-CA"/>
        </w:rPr>
        <w:t>Une soirée pour encourager la vente des timbres</w:t>
      </w:r>
      <w:r>
        <w:rPr>
          <w:lang w:val="fr-CA"/>
        </w:rPr>
        <w:t> </w:t>
      </w:r>
      <w:r w:rsidRPr="0031513C">
        <w:rPr>
          <w:lang w:val="fr-CA"/>
        </w:rPr>
        <w:t xml:space="preserve">», </w:t>
      </w:r>
      <w:r w:rsidRPr="0031513C">
        <w:rPr>
          <w:i/>
          <w:iCs/>
          <w:lang w:val="fr-CA"/>
        </w:rPr>
        <w:t>L’Avenir National</w:t>
      </w:r>
      <w:r w:rsidRPr="0031513C">
        <w:rPr>
          <w:lang w:val="fr-CA"/>
        </w:rPr>
        <w:t>, 26 juin 1918, p. 7</w:t>
      </w:r>
      <w:r>
        <w:rPr>
          <w:lang w:val="fr-CA"/>
        </w:rPr>
        <w:t> </w:t>
      </w:r>
      <w:r w:rsidRPr="0031513C">
        <w:rPr>
          <w:lang w:val="fr-CA"/>
        </w:rPr>
        <w:t>; «</w:t>
      </w:r>
      <w:r>
        <w:rPr>
          <w:lang w:val="fr-CA"/>
        </w:rPr>
        <w:t> </w:t>
      </w:r>
      <w:r w:rsidRPr="0031513C">
        <w:rPr>
          <w:lang w:val="fr-CA"/>
        </w:rPr>
        <w:t>Glorieuse fin de la poussée des épargnes</w:t>
      </w:r>
      <w:r>
        <w:rPr>
          <w:lang w:val="fr-CA"/>
        </w:rPr>
        <w:t> </w:t>
      </w:r>
      <w:r w:rsidRPr="0031513C">
        <w:rPr>
          <w:lang w:val="fr-CA"/>
        </w:rPr>
        <w:t xml:space="preserve">», </w:t>
      </w:r>
      <w:r w:rsidRPr="0031513C">
        <w:rPr>
          <w:i/>
          <w:iCs/>
          <w:lang w:val="fr-CA"/>
        </w:rPr>
        <w:t>L’Avenir National</w:t>
      </w:r>
      <w:r w:rsidRPr="0031513C">
        <w:rPr>
          <w:lang w:val="fr-CA"/>
        </w:rPr>
        <w:t>, 29 juin 1918, p.</w:t>
      </w:r>
      <w:r>
        <w:rPr>
          <w:lang w:val="fr-CA"/>
        </w:rPr>
        <w:t> </w:t>
      </w:r>
      <w:r w:rsidRPr="0031513C">
        <w:rPr>
          <w:lang w:val="fr-CA"/>
        </w:rPr>
        <w:t>8.</w:t>
      </w:r>
    </w:p>
  </w:footnote>
  <w:footnote w:id="389">
    <w:p w14:paraId="0C7FC761" w14:textId="77777777" w:rsidR="00D40D7C" w:rsidRPr="000545B4" w:rsidRDefault="00D40D7C">
      <w:pPr>
        <w:pStyle w:val="FootnoteText"/>
        <w:rPr>
          <w:lang w:val="fr-CA"/>
        </w:rPr>
      </w:pPr>
      <w:r w:rsidRPr="0031513C">
        <w:rPr>
          <w:rStyle w:val="FootnoteReference"/>
        </w:rPr>
        <w:footnoteRef/>
      </w:r>
      <w:r w:rsidRPr="0031513C">
        <w:t xml:space="preserve"> Rhode Island Statewide Planning, One Capitol Hill, Providence, RI </w:t>
      </w:r>
      <w:r>
        <w:t xml:space="preserve"> </w:t>
      </w:r>
      <w:r w:rsidRPr="0031513C">
        <w:t xml:space="preserve">02908, </w:t>
      </w:r>
      <w:hyperlink r:id="rId5" w:history="1">
        <w:r w:rsidRPr="0031513C">
          <w:rPr>
            <w:rStyle w:val="Hyperlink"/>
          </w:rPr>
          <w:t>http://www.planning.ri.gov/documents/census/popcounts_est/pop_cities_towns_historic_1790-2010.pdf</w:t>
        </w:r>
      </w:hyperlink>
      <w:r>
        <w:t>.</w:t>
      </w:r>
      <w:r w:rsidRPr="0031513C">
        <w:t xml:space="preserve"> </w:t>
      </w:r>
      <w:r w:rsidRPr="000545B4">
        <w:rPr>
          <w:lang w:val="fr-CA"/>
        </w:rPr>
        <w:t xml:space="preserve">Consulté le 23 octobre 2019. </w:t>
      </w:r>
    </w:p>
  </w:footnote>
  <w:footnote w:id="390">
    <w:p w14:paraId="1D1091C2" w14:textId="77777777" w:rsidR="00D40D7C" w:rsidRPr="0031513C" w:rsidRDefault="00D40D7C">
      <w:pPr>
        <w:pStyle w:val="FootnoteText"/>
        <w:rPr>
          <w:lang w:val="fr-CA"/>
        </w:rPr>
      </w:pPr>
      <w:r w:rsidRPr="0031513C">
        <w:rPr>
          <w:rStyle w:val="FootnoteReference"/>
        </w:rPr>
        <w:footnoteRef/>
      </w:r>
      <w:r w:rsidRPr="0031513C">
        <w:rPr>
          <w:lang w:val="fr-CA"/>
        </w:rPr>
        <w:t xml:space="preserve"> Lemelin, </w:t>
      </w:r>
      <w:r w:rsidRPr="0031513C">
        <w:rPr>
          <w:i/>
          <w:iCs/>
          <w:lang w:val="fr-CA"/>
        </w:rPr>
        <w:t>op. cit</w:t>
      </w:r>
      <w:r w:rsidRPr="0031513C">
        <w:rPr>
          <w:lang w:val="fr-CA"/>
        </w:rPr>
        <w:t xml:space="preserve">., p. 6. </w:t>
      </w:r>
    </w:p>
  </w:footnote>
  <w:footnote w:id="391">
    <w:p w14:paraId="1FB477D3" w14:textId="77777777" w:rsidR="00D40D7C" w:rsidRPr="0031513C" w:rsidRDefault="00D40D7C">
      <w:pPr>
        <w:pStyle w:val="FootnoteText"/>
        <w:rPr>
          <w:lang w:val="fr-CA"/>
        </w:rPr>
      </w:pPr>
      <w:r w:rsidRPr="0031513C">
        <w:rPr>
          <w:rStyle w:val="FootnoteReference"/>
        </w:rPr>
        <w:footnoteRef/>
      </w:r>
      <w:r w:rsidRPr="0031513C">
        <w:rPr>
          <w:lang w:val="fr-CA"/>
        </w:rPr>
        <w:t xml:space="preserve"> Bélanger, </w:t>
      </w:r>
      <w:r w:rsidRPr="0031513C">
        <w:rPr>
          <w:i/>
          <w:iCs/>
          <w:lang w:val="fr-CA"/>
        </w:rPr>
        <w:t>op. cit.</w:t>
      </w:r>
      <w:r w:rsidRPr="0031513C">
        <w:rPr>
          <w:lang w:val="fr-CA"/>
        </w:rPr>
        <w:t>, p.</w:t>
      </w:r>
      <w:r>
        <w:rPr>
          <w:lang w:val="fr-CA"/>
        </w:rPr>
        <w:t> </w:t>
      </w:r>
      <w:r w:rsidRPr="0031513C">
        <w:rPr>
          <w:lang w:val="fr-CA"/>
        </w:rPr>
        <w:t>172-174.</w:t>
      </w:r>
    </w:p>
  </w:footnote>
  <w:footnote w:id="392">
    <w:p w14:paraId="6965A3E7" w14:textId="77777777" w:rsidR="00D40D7C" w:rsidRPr="0031513C" w:rsidRDefault="00D40D7C">
      <w:pPr>
        <w:pStyle w:val="FootnoteText"/>
        <w:rPr>
          <w:lang w:val="fr-CA"/>
        </w:rPr>
      </w:pPr>
      <w:r w:rsidRPr="0031513C">
        <w:rPr>
          <w:rStyle w:val="FootnoteReference"/>
        </w:rPr>
        <w:footnoteRef/>
      </w:r>
      <w:r w:rsidRPr="0031513C">
        <w:rPr>
          <w:lang w:val="fr-CA"/>
        </w:rPr>
        <w:t xml:space="preserve"> Ce pourcentage provient des données du </w:t>
      </w:r>
      <w:r w:rsidRPr="0031513C">
        <w:rPr>
          <w:i/>
          <w:iCs/>
          <w:lang w:val="fr-CA"/>
        </w:rPr>
        <w:t xml:space="preserve">Guide officiel des Franco-Américains </w:t>
      </w:r>
      <w:r w:rsidRPr="0031513C">
        <w:rPr>
          <w:lang w:val="fr-CA"/>
        </w:rPr>
        <w:t>(1921) et du recensement américain de 1920.</w:t>
      </w:r>
    </w:p>
  </w:footnote>
  <w:footnote w:id="393">
    <w:p w14:paraId="7B4DD557" w14:textId="77777777" w:rsidR="00D40D7C" w:rsidRPr="005720F3" w:rsidRDefault="00D40D7C" w:rsidP="0005412F">
      <w:pPr>
        <w:pStyle w:val="FootnoteText"/>
        <w:rPr>
          <w:lang w:val="fr-CA"/>
        </w:rPr>
      </w:pPr>
      <w:r w:rsidRPr="0031513C">
        <w:rPr>
          <w:rStyle w:val="FootnoteReference"/>
        </w:rPr>
        <w:footnoteRef/>
      </w:r>
      <w:r w:rsidRPr="005720F3">
        <w:rPr>
          <w:lang w:val="fr-CA"/>
        </w:rPr>
        <w:t xml:space="preserve"> Roby, </w:t>
      </w:r>
      <w:r w:rsidRPr="005720F3">
        <w:rPr>
          <w:i/>
          <w:iCs/>
          <w:lang w:val="fr-CA"/>
        </w:rPr>
        <w:t>op. cit.,</w:t>
      </w:r>
      <w:r w:rsidRPr="005720F3">
        <w:rPr>
          <w:lang w:val="fr-CA"/>
        </w:rPr>
        <w:t xml:space="preserve"> p.</w:t>
      </w:r>
      <w:r>
        <w:rPr>
          <w:lang w:val="fr-CA"/>
        </w:rPr>
        <w:t> </w:t>
      </w:r>
      <w:r w:rsidRPr="005720F3">
        <w:rPr>
          <w:lang w:val="fr-CA"/>
        </w:rPr>
        <w:t>286.</w:t>
      </w:r>
    </w:p>
  </w:footnote>
  <w:footnote w:id="394">
    <w:p w14:paraId="73FE778B" w14:textId="77777777" w:rsidR="00D40D7C" w:rsidRPr="0031513C" w:rsidRDefault="00D40D7C" w:rsidP="000A77DB">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drapeau de Saint-Georges a 250 étoiles</w:t>
      </w:r>
      <w:r>
        <w:rPr>
          <w:lang w:val="fr-CA"/>
        </w:rPr>
        <w:t> </w:t>
      </w:r>
      <w:r w:rsidRPr="0031513C">
        <w:rPr>
          <w:lang w:val="fr-CA"/>
        </w:rPr>
        <w:t xml:space="preserve">», </w:t>
      </w:r>
      <w:r w:rsidRPr="0031513C">
        <w:rPr>
          <w:i/>
          <w:iCs/>
          <w:lang w:val="fr-CA"/>
        </w:rPr>
        <w:t>L’Avenir National</w:t>
      </w:r>
      <w:r w:rsidRPr="0031513C">
        <w:rPr>
          <w:lang w:val="fr-CA"/>
        </w:rPr>
        <w:t>, 17 juin 1918, p.</w:t>
      </w:r>
      <w:r>
        <w:rPr>
          <w:lang w:val="fr-CA"/>
        </w:rPr>
        <w:t> </w:t>
      </w:r>
      <w:r w:rsidRPr="0031513C">
        <w:rPr>
          <w:lang w:val="fr-CA"/>
        </w:rPr>
        <w:t>6</w:t>
      </w:r>
      <w:r>
        <w:rPr>
          <w:lang w:val="fr-CA"/>
        </w:rPr>
        <w:t> </w:t>
      </w:r>
      <w:r w:rsidRPr="0031513C">
        <w:rPr>
          <w:lang w:val="fr-CA"/>
        </w:rPr>
        <w:t>; «</w:t>
      </w:r>
      <w:r>
        <w:rPr>
          <w:lang w:val="fr-CA"/>
        </w:rPr>
        <w:t> </w:t>
      </w:r>
      <w:r w:rsidRPr="0031513C">
        <w:rPr>
          <w:lang w:val="fr-CA"/>
        </w:rPr>
        <w:t>Drapeau du souvenir à St-Augustin</w:t>
      </w:r>
      <w:r>
        <w:rPr>
          <w:lang w:val="fr-CA"/>
        </w:rPr>
        <w:t> </w:t>
      </w:r>
      <w:r w:rsidRPr="0031513C">
        <w:rPr>
          <w:lang w:val="fr-CA"/>
        </w:rPr>
        <w:t xml:space="preserve">», </w:t>
      </w:r>
      <w:r w:rsidRPr="0031513C">
        <w:rPr>
          <w:i/>
          <w:iCs/>
          <w:lang w:val="fr-CA"/>
        </w:rPr>
        <w:t>L’Avenir National</w:t>
      </w:r>
      <w:r w:rsidRPr="0031513C">
        <w:rPr>
          <w:lang w:val="fr-CA"/>
        </w:rPr>
        <w:t>, 17 juin 1918, p.</w:t>
      </w:r>
      <w:r>
        <w:rPr>
          <w:lang w:val="fr-CA"/>
        </w:rPr>
        <w:t> </w:t>
      </w:r>
      <w:r w:rsidRPr="0031513C">
        <w:rPr>
          <w:lang w:val="fr-CA"/>
        </w:rPr>
        <w:t>6</w:t>
      </w:r>
      <w:r>
        <w:rPr>
          <w:lang w:val="fr-CA"/>
        </w:rPr>
        <w:t> </w:t>
      </w:r>
      <w:r w:rsidRPr="0031513C">
        <w:rPr>
          <w:lang w:val="fr-CA"/>
        </w:rPr>
        <w:t>; «</w:t>
      </w:r>
      <w:r>
        <w:rPr>
          <w:lang w:val="fr-CA"/>
        </w:rPr>
        <w:t> </w:t>
      </w:r>
      <w:r w:rsidRPr="0031513C">
        <w:rPr>
          <w:lang w:val="fr-CA"/>
        </w:rPr>
        <w:t>Ste-Marie aura son drapeau de service demain</w:t>
      </w:r>
      <w:r>
        <w:rPr>
          <w:lang w:val="fr-CA"/>
        </w:rPr>
        <w:t> </w:t>
      </w:r>
      <w:r w:rsidRPr="0031513C">
        <w:rPr>
          <w:lang w:val="fr-CA"/>
        </w:rPr>
        <w:t xml:space="preserve">», </w:t>
      </w:r>
      <w:r w:rsidRPr="0031513C">
        <w:rPr>
          <w:i/>
          <w:iCs/>
          <w:lang w:val="fr-CA"/>
        </w:rPr>
        <w:t>L’Avenir National</w:t>
      </w:r>
      <w:r w:rsidRPr="0031513C">
        <w:rPr>
          <w:lang w:val="fr-CA"/>
        </w:rPr>
        <w:t>, 29 juin 1918, p.</w:t>
      </w:r>
      <w:r>
        <w:rPr>
          <w:lang w:val="fr-CA"/>
        </w:rPr>
        <w:t> </w:t>
      </w:r>
      <w:r w:rsidRPr="0031513C">
        <w:rPr>
          <w:lang w:val="fr-CA"/>
        </w:rPr>
        <w:t>8</w:t>
      </w:r>
      <w:r>
        <w:rPr>
          <w:lang w:val="fr-CA"/>
        </w:rPr>
        <w:t> </w:t>
      </w:r>
      <w:r w:rsidRPr="0031513C">
        <w:rPr>
          <w:lang w:val="fr-CA"/>
        </w:rPr>
        <w:t xml:space="preserve">; Albert, Bélanger, </w:t>
      </w:r>
      <w:r w:rsidRPr="0031513C">
        <w:rPr>
          <w:i/>
          <w:iCs/>
          <w:lang w:val="fr-CA"/>
        </w:rPr>
        <w:t>op. cit</w:t>
      </w:r>
      <w:r w:rsidRPr="0031513C">
        <w:rPr>
          <w:lang w:val="fr-CA"/>
        </w:rPr>
        <w:t>., p.</w:t>
      </w:r>
      <w:r>
        <w:rPr>
          <w:lang w:val="fr-CA"/>
        </w:rPr>
        <w:t> </w:t>
      </w:r>
      <w:r w:rsidRPr="0031513C">
        <w:rPr>
          <w:lang w:val="fr-CA"/>
        </w:rPr>
        <w:t>135-138.</w:t>
      </w:r>
    </w:p>
  </w:footnote>
  <w:footnote w:id="395">
    <w:p w14:paraId="043D02F7" w14:textId="77777777" w:rsidR="00D40D7C" w:rsidRPr="0031513C" w:rsidRDefault="00D40D7C" w:rsidP="00086A10">
      <w:pPr>
        <w:pStyle w:val="FootnoteText"/>
        <w:rPr>
          <w:lang w:val="fr-CA"/>
        </w:rPr>
      </w:pPr>
      <w:r w:rsidRPr="0031513C">
        <w:rPr>
          <w:rStyle w:val="FootnoteReference"/>
        </w:rPr>
        <w:footnoteRef/>
      </w:r>
      <w:r w:rsidRPr="0031513C">
        <w:rPr>
          <w:lang w:val="fr-CA"/>
        </w:rPr>
        <w:t xml:space="preserve"> Ce pourcentage provient des données du </w:t>
      </w:r>
      <w:r w:rsidRPr="0031513C">
        <w:rPr>
          <w:i/>
          <w:iCs/>
          <w:lang w:val="fr-CA"/>
        </w:rPr>
        <w:t xml:space="preserve">Guide officiel des Franco-Américains </w:t>
      </w:r>
      <w:r w:rsidRPr="0031513C">
        <w:rPr>
          <w:lang w:val="fr-CA"/>
        </w:rPr>
        <w:t>(1921) et du recensement américain de 1920.</w:t>
      </w:r>
    </w:p>
  </w:footnote>
  <w:footnote w:id="396">
    <w:p w14:paraId="33A76DC3" w14:textId="77777777" w:rsidR="00D40D7C" w:rsidRPr="0031513C" w:rsidRDefault="00D40D7C">
      <w:pPr>
        <w:pStyle w:val="FootnoteText"/>
        <w:rPr>
          <w:lang w:val="fr-CA"/>
        </w:rPr>
      </w:pPr>
      <w:r w:rsidRPr="0031513C">
        <w:rPr>
          <w:rStyle w:val="FootnoteReference"/>
        </w:rPr>
        <w:footnoteRef/>
      </w:r>
      <w:r w:rsidRPr="0031513C">
        <w:rPr>
          <w:lang w:val="fr-CA"/>
        </w:rPr>
        <w:t xml:space="preserve"> Ses données semblent être réalistes, car le nombre de vétérans qu’il mentionne correspond au nombre d’étoiles qu’abordent les drapeaux de service, car chacune d’elle représente un militaire enrôlé par paroisse, qui </w:t>
      </w:r>
      <w:r>
        <w:rPr>
          <w:lang w:val="fr-CA"/>
        </w:rPr>
        <w:t xml:space="preserve">a été </w:t>
      </w:r>
      <w:r w:rsidRPr="0031513C">
        <w:rPr>
          <w:lang w:val="fr-CA"/>
        </w:rPr>
        <w:t xml:space="preserve">annoncé par </w:t>
      </w:r>
      <w:r w:rsidRPr="0031513C">
        <w:rPr>
          <w:i/>
          <w:iCs/>
          <w:lang w:val="fr-CA"/>
        </w:rPr>
        <w:t>L’Avenir National</w:t>
      </w:r>
      <w:r w:rsidRPr="0031513C">
        <w:rPr>
          <w:lang w:val="fr-CA"/>
        </w:rPr>
        <w:t>.</w:t>
      </w:r>
    </w:p>
  </w:footnote>
  <w:footnote w:id="397">
    <w:p w14:paraId="392A95E0" w14:textId="77777777" w:rsidR="00D40D7C" w:rsidRPr="0031513C" w:rsidRDefault="00D40D7C" w:rsidP="005452D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drapeau de Saint-Georges a 250 étoiles</w:t>
      </w:r>
      <w:r>
        <w:rPr>
          <w:lang w:val="fr-CA"/>
        </w:rPr>
        <w:t> </w:t>
      </w:r>
      <w:r w:rsidRPr="0031513C">
        <w:rPr>
          <w:lang w:val="fr-CA"/>
        </w:rPr>
        <w:t xml:space="preserve">», </w:t>
      </w:r>
      <w:r w:rsidRPr="0031513C">
        <w:rPr>
          <w:i/>
          <w:iCs/>
          <w:lang w:val="fr-CA"/>
        </w:rPr>
        <w:t>L’Avenir National</w:t>
      </w:r>
      <w:r w:rsidRPr="0031513C">
        <w:rPr>
          <w:lang w:val="fr-CA"/>
        </w:rPr>
        <w:t>, 17 juin 1918, p.</w:t>
      </w:r>
      <w:r>
        <w:rPr>
          <w:lang w:val="fr-CA"/>
        </w:rPr>
        <w:t> </w:t>
      </w:r>
      <w:r w:rsidRPr="0031513C">
        <w:rPr>
          <w:lang w:val="fr-CA"/>
        </w:rPr>
        <w:t>6.</w:t>
      </w:r>
    </w:p>
  </w:footnote>
  <w:footnote w:id="398">
    <w:p w14:paraId="31C48985" w14:textId="77777777" w:rsidR="00D40D7C" w:rsidRPr="0031513C" w:rsidRDefault="00D40D7C" w:rsidP="005452DE">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drapeau de Saint-Georges a 250 étoiles</w:t>
      </w:r>
      <w:r>
        <w:rPr>
          <w:lang w:val="fr-CA"/>
        </w:rPr>
        <w:t> </w:t>
      </w:r>
      <w:r w:rsidRPr="0031513C">
        <w:rPr>
          <w:lang w:val="fr-CA"/>
        </w:rPr>
        <w:t xml:space="preserve">», </w:t>
      </w:r>
      <w:r w:rsidRPr="0031513C">
        <w:rPr>
          <w:i/>
          <w:iCs/>
          <w:lang w:val="fr-CA"/>
        </w:rPr>
        <w:t>L’Avenir National</w:t>
      </w:r>
      <w:r w:rsidRPr="0031513C">
        <w:rPr>
          <w:lang w:val="fr-CA"/>
        </w:rPr>
        <w:t>, 17 juin 1918, p.</w:t>
      </w:r>
      <w:r>
        <w:rPr>
          <w:lang w:val="fr-CA"/>
        </w:rPr>
        <w:t> </w:t>
      </w:r>
      <w:r w:rsidRPr="0031513C">
        <w:rPr>
          <w:lang w:val="fr-CA"/>
        </w:rPr>
        <w:t>6</w:t>
      </w:r>
      <w:r>
        <w:rPr>
          <w:lang w:val="fr-CA"/>
        </w:rPr>
        <w:t> </w:t>
      </w:r>
      <w:r w:rsidRPr="0031513C">
        <w:rPr>
          <w:lang w:val="fr-CA"/>
        </w:rPr>
        <w:t>; «</w:t>
      </w:r>
      <w:r>
        <w:rPr>
          <w:lang w:val="fr-CA"/>
        </w:rPr>
        <w:t> </w:t>
      </w:r>
      <w:r w:rsidRPr="0031513C">
        <w:rPr>
          <w:lang w:val="fr-CA"/>
        </w:rPr>
        <w:t>Drapeau du souvenir à St-Augustin</w:t>
      </w:r>
      <w:r>
        <w:rPr>
          <w:lang w:val="fr-CA"/>
        </w:rPr>
        <w:t> </w:t>
      </w:r>
      <w:r w:rsidRPr="0031513C">
        <w:rPr>
          <w:lang w:val="fr-CA"/>
        </w:rPr>
        <w:t xml:space="preserve">», </w:t>
      </w:r>
      <w:r w:rsidRPr="0031513C">
        <w:rPr>
          <w:i/>
          <w:iCs/>
          <w:lang w:val="fr-CA"/>
        </w:rPr>
        <w:t>L’Avenir National</w:t>
      </w:r>
      <w:r w:rsidRPr="0031513C">
        <w:rPr>
          <w:lang w:val="fr-CA"/>
        </w:rPr>
        <w:t>, 17 juin 1918, p.</w:t>
      </w:r>
      <w:r>
        <w:rPr>
          <w:lang w:val="fr-CA"/>
        </w:rPr>
        <w:t> </w:t>
      </w:r>
      <w:r w:rsidRPr="0031513C">
        <w:rPr>
          <w:lang w:val="fr-CA"/>
        </w:rPr>
        <w:t>6</w:t>
      </w:r>
      <w:r>
        <w:rPr>
          <w:lang w:val="fr-CA"/>
        </w:rPr>
        <w:t> </w:t>
      </w:r>
      <w:r w:rsidRPr="0031513C">
        <w:rPr>
          <w:lang w:val="fr-CA"/>
        </w:rPr>
        <w:t>; «</w:t>
      </w:r>
      <w:r>
        <w:rPr>
          <w:lang w:val="fr-CA"/>
        </w:rPr>
        <w:t> </w:t>
      </w:r>
      <w:r w:rsidRPr="0031513C">
        <w:rPr>
          <w:lang w:val="fr-CA"/>
        </w:rPr>
        <w:t>Ste-Marie aura son drapeau de service demain</w:t>
      </w:r>
      <w:r>
        <w:rPr>
          <w:lang w:val="fr-CA"/>
        </w:rPr>
        <w:t> </w:t>
      </w:r>
      <w:r w:rsidRPr="0031513C">
        <w:rPr>
          <w:lang w:val="fr-CA"/>
        </w:rPr>
        <w:t xml:space="preserve">», </w:t>
      </w:r>
      <w:r w:rsidRPr="0031513C">
        <w:rPr>
          <w:i/>
          <w:iCs/>
          <w:lang w:val="fr-CA"/>
        </w:rPr>
        <w:t>L’Avenir National</w:t>
      </w:r>
      <w:r w:rsidRPr="0031513C">
        <w:rPr>
          <w:lang w:val="fr-CA"/>
        </w:rPr>
        <w:t>, 29 juin 1918, p.</w:t>
      </w:r>
      <w:r>
        <w:rPr>
          <w:lang w:val="fr-CA"/>
        </w:rPr>
        <w:t> </w:t>
      </w:r>
      <w:r w:rsidRPr="0031513C">
        <w:rPr>
          <w:lang w:val="fr-CA"/>
        </w:rPr>
        <w:t>8</w:t>
      </w:r>
      <w:r>
        <w:rPr>
          <w:lang w:val="fr-CA"/>
        </w:rPr>
        <w:t> </w:t>
      </w:r>
      <w:r w:rsidRPr="0031513C">
        <w:rPr>
          <w:lang w:val="fr-CA"/>
        </w:rPr>
        <w:t xml:space="preserve">; Bélanger, </w:t>
      </w:r>
      <w:r w:rsidRPr="0031513C">
        <w:rPr>
          <w:i/>
          <w:iCs/>
          <w:lang w:val="fr-CA"/>
        </w:rPr>
        <w:t>op. cit</w:t>
      </w:r>
      <w:r w:rsidRPr="0031513C">
        <w:rPr>
          <w:lang w:val="fr-CA"/>
        </w:rPr>
        <w:t>., p.</w:t>
      </w:r>
      <w:r>
        <w:rPr>
          <w:lang w:val="fr-CA"/>
        </w:rPr>
        <w:t> </w:t>
      </w:r>
      <w:r w:rsidRPr="0031513C">
        <w:rPr>
          <w:lang w:val="fr-CA"/>
        </w:rPr>
        <w:t>135-138.</w:t>
      </w:r>
      <w:r>
        <w:rPr>
          <w:lang w:val="fr-CA"/>
        </w:rPr>
        <w:t xml:space="preserve"> Note, selon Bélanger les paroisses de </w:t>
      </w:r>
      <w:bookmarkStart w:id="15" w:name="_Hlk28967401"/>
      <w:r w:rsidRPr="00D1484F">
        <w:rPr>
          <w:lang w:val="fr-CA"/>
        </w:rPr>
        <w:t>Saint-Augustin, Sainte-Marie et Saint-Georges</w:t>
      </w:r>
      <w:r>
        <w:rPr>
          <w:lang w:val="fr-CA"/>
        </w:rPr>
        <w:t xml:space="preserve"> </w:t>
      </w:r>
      <w:bookmarkEnd w:id="15"/>
      <w:r>
        <w:rPr>
          <w:lang w:val="fr-CA"/>
        </w:rPr>
        <w:t>auraient mathématiquement contribuées 556 soldats, mais nous savons que ces paroisses ont ensemble un total de 770 étoiles qui figurent sur leur drapeau de service et ce dernier chiffre nous parait plus crédible.</w:t>
      </w:r>
    </w:p>
  </w:footnote>
  <w:footnote w:id="399">
    <w:p w14:paraId="5BDC704F" w14:textId="77777777" w:rsidR="00D40D7C" w:rsidRPr="0031513C" w:rsidRDefault="00D40D7C" w:rsidP="00F42804">
      <w:pPr>
        <w:pStyle w:val="FootnoteText"/>
        <w:rPr>
          <w:lang w:val="fr-CA"/>
        </w:rPr>
      </w:pPr>
      <w:r w:rsidRPr="0031513C">
        <w:rPr>
          <w:rStyle w:val="FootnoteReference"/>
        </w:rPr>
        <w:footnoteRef/>
      </w:r>
      <w:r w:rsidRPr="0031513C">
        <w:rPr>
          <w:lang w:val="fr-CA"/>
        </w:rPr>
        <w:t xml:space="preserve">Bélanger, </w:t>
      </w:r>
      <w:r w:rsidRPr="0031513C">
        <w:rPr>
          <w:i/>
          <w:lang w:val="fr-CA"/>
        </w:rPr>
        <w:t xml:space="preserve">op. cit., </w:t>
      </w:r>
      <w:r w:rsidRPr="0031513C">
        <w:rPr>
          <w:lang w:val="fr-CA"/>
        </w:rPr>
        <w:t>p.</w:t>
      </w:r>
      <w:r>
        <w:rPr>
          <w:lang w:val="fr-CA"/>
        </w:rPr>
        <w:t> </w:t>
      </w:r>
      <w:r w:rsidRPr="0031513C">
        <w:rPr>
          <w:lang w:val="fr-CA"/>
        </w:rPr>
        <w:t xml:space="preserve">135 et </w:t>
      </w:r>
      <w:r w:rsidRPr="0031513C">
        <w:rPr>
          <w:i/>
          <w:iCs/>
          <w:lang w:val="fr-CA"/>
        </w:rPr>
        <w:t>Deuxième partie</w:t>
      </w:r>
      <w:r w:rsidRPr="0031513C">
        <w:rPr>
          <w:lang w:val="fr-CA"/>
        </w:rPr>
        <w:t xml:space="preserve"> </w:t>
      </w:r>
      <w:r w:rsidRPr="0031513C">
        <w:rPr>
          <w:i/>
          <w:iCs/>
          <w:lang w:val="fr-CA"/>
        </w:rPr>
        <w:t xml:space="preserve">noms des soldats et matins </w:t>
      </w:r>
      <w:r>
        <w:rPr>
          <w:i/>
          <w:iCs/>
          <w:lang w:val="fr-CA"/>
        </w:rPr>
        <w:t>« </w:t>
      </w:r>
      <w:r w:rsidRPr="0031513C">
        <w:rPr>
          <w:i/>
          <w:iCs/>
          <w:lang w:val="fr-CA"/>
        </w:rPr>
        <w:t>Franco-Américains qui ont pris part à la Grande Guerre</w:t>
      </w:r>
      <w:r>
        <w:rPr>
          <w:i/>
          <w:iCs/>
          <w:lang w:val="fr-CA"/>
        </w:rPr>
        <w:t> </w:t>
      </w:r>
      <w:r w:rsidRPr="0031513C">
        <w:rPr>
          <w:i/>
          <w:iCs/>
          <w:lang w:val="fr-CA"/>
        </w:rPr>
        <w:t>1914-1918</w:t>
      </w:r>
      <w:r>
        <w:rPr>
          <w:i/>
          <w:iCs/>
          <w:lang w:val="fr-CA"/>
        </w:rPr>
        <w:t> »</w:t>
      </w:r>
      <w:r w:rsidRPr="0031513C">
        <w:rPr>
          <w:lang w:val="fr-CA"/>
        </w:rPr>
        <w:t>, p.</w:t>
      </w:r>
      <w:r>
        <w:rPr>
          <w:lang w:val="fr-CA"/>
        </w:rPr>
        <w:t> </w:t>
      </w:r>
      <w:r w:rsidRPr="0031513C">
        <w:rPr>
          <w:lang w:val="fr-CA"/>
        </w:rPr>
        <w:t>214 et 295-299.</w:t>
      </w:r>
    </w:p>
  </w:footnote>
  <w:footnote w:id="400">
    <w:p w14:paraId="32CD5AFF" w14:textId="77777777" w:rsidR="00D40D7C" w:rsidRPr="0031513C" w:rsidRDefault="00D40D7C" w:rsidP="00DB19A2">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recrutement des infirmières par tout l’États</w:t>
      </w:r>
      <w:r>
        <w:rPr>
          <w:lang w:val="fr-CA"/>
        </w:rPr>
        <w:t> </w:t>
      </w:r>
      <w:r w:rsidRPr="0031513C">
        <w:rPr>
          <w:lang w:val="fr-CA"/>
        </w:rPr>
        <w:t xml:space="preserve">», </w:t>
      </w:r>
      <w:r w:rsidRPr="0031513C">
        <w:rPr>
          <w:i/>
          <w:iCs/>
          <w:lang w:val="fr-CA"/>
        </w:rPr>
        <w:t>L’Avenir National</w:t>
      </w:r>
      <w:r w:rsidRPr="0031513C">
        <w:rPr>
          <w:lang w:val="fr-CA"/>
        </w:rPr>
        <w:t>, 6 juin 1918, p.</w:t>
      </w:r>
      <w:r>
        <w:rPr>
          <w:lang w:val="fr-CA"/>
        </w:rPr>
        <w:t> </w:t>
      </w:r>
      <w:r w:rsidRPr="0031513C">
        <w:rPr>
          <w:lang w:val="fr-CA"/>
        </w:rPr>
        <w:t>8.</w:t>
      </w:r>
    </w:p>
  </w:footnote>
  <w:footnote w:id="401">
    <w:p w14:paraId="0B28A961" w14:textId="77777777" w:rsidR="00D40D7C" w:rsidRPr="0031513C" w:rsidRDefault="00D40D7C" w:rsidP="00DB19A2">
      <w:pPr>
        <w:pStyle w:val="FootnoteText"/>
        <w:rPr>
          <w:lang w:val="fr-CA"/>
        </w:rPr>
      </w:pPr>
      <w:r w:rsidRPr="0031513C">
        <w:rPr>
          <w:rStyle w:val="FootnoteReference"/>
        </w:rPr>
        <w:footnoteRef/>
      </w:r>
      <w:r w:rsidRPr="0031513C">
        <w:rPr>
          <w:lang w:val="fr-CA"/>
        </w:rPr>
        <w:t xml:space="preserve"> Gagnon, </w:t>
      </w:r>
      <w:r w:rsidRPr="0031513C">
        <w:rPr>
          <w:i/>
          <w:iCs/>
          <w:lang w:val="fr-CA"/>
        </w:rPr>
        <w:t>op. cit.,</w:t>
      </w:r>
      <w:r w:rsidRPr="0031513C">
        <w:rPr>
          <w:lang w:val="fr-CA"/>
        </w:rPr>
        <w:t xml:space="preserve"> p.</w:t>
      </w:r>
      <w:r>
        <w:rPr>
          <w:lang w:val="fr-CA"/>
        </w:rPr>
        <w:t> </w:t>
      </w:r>
      <w:r w:rsidRPr="0031513C">
        <w:rPr>
          <w:lang w:val="fr-CA"/>
        </w:rPr>
        <w:t>349.</w:t>
      </w:r>
    </w:p>
  </w:footnote>
  <w:footnote w:id="402">
    <w:p w14:paraId="31F69F51" w14:textId="77777777" w:rsidR="00D40D7C" w:rsidRPr="0031513C" w:rsidRDefault="00D40D7C" w:rsidP="00DB19A2">
      <w:pPr>
        <w:pStyle w:val="FootnoteText"/>
        <w:rPr>
          <w:lang w:val="fr-CA"/>
        </w:rPr>
      </w:pPr>
      <w:r>
        <w:rPr>
          <w:rStyle w:val="FootnoteReference"/>
        </w:rPr>
        <w:footnoteRef/>
      </w:r>
      <w:r w:rsidRPr="005C3162">
        <w:rPr>
          <w:lang w:val="fr-CA"/>
        </w:rPr>
        <w:t xml:space="preserve"> </w:t>
      </w:r>
      <w:r>
        <w:rPr>
          <w:i/>
          <w:iCs/>
          <w:lang w:val="fr-CA"/>
        </w:rPr>
        <w:t xml:space="preserve">Ibid., </w:t>
      </w:r>
      <w:r>
        <w:rPr>
          <w:lang w:val="fr-CA"/>
        </w:rPr>
        <w:t>p. 349.</w:t>
      </w:r>
    </w:p>
  </w:footnote>
  <w:footnote w:id="403">
    <w:p w14:paraId="5D4ABF4A" w14:textId="77777777" w:rsidR="00D40D7C" w:rsidRPr="00DB19A2" w:rsidRDefault="00D40D7C" w:rsidP="00DB19A2">
      <w:pPr>
        <w:pStyle w:val="FootnoteText"/>
        <w:rPr>
          <w:lang w:val="fr-CA"/>
        </w:rPr>
      </w:pPr>
      <w:r>
        <w:rPr>
          <w:rStyle w:val="FootnoteReference"/>
        </w:rPr>
        <w:footnoteRef/>
      </w:r>
      <w:r w:rsidRPr="005C3162">
        <w:rPr>
          <w:lang w:val="fr-CA"/>
        </w:rPr>
        <w:t xml:space="preserve"> </w:t>
      </w:r>
      <w:r>
        <w:rPr>
          <w:i/>
          <w:iCs/>
          <w:lang w:val="fr-CA"/>
        </w:rPr>
        <w:t xml:space="preserve">Ibid., </w:t>
      </w:r>
      <w:r>
        <w:rPr>
          <w:lang w:val="fr-CA"/>
        </w:rPr>
        <w:t>p. 347.</w:t>
      </w:r>
    </w:p>
  </w:footnote>
  <w:footnote w:id="404">
    <w:p w14:paraId="1799640F" w14:textId="77777777" w:rsidR="00D40D7C" w:rsidRPr="0031513C" w:rsidRDefault="00D40D7C" w:rsidP="000264D6">
      <w:pPr>
        <w:pStyle w:val="FootnoteText"/>
        <w:rPr>
          <w:lang w:val="fr-CA"/>
        </w:rPr>
      </w:pPr>
      <w:r w:rsidRPr="0031513C">
        <w:rPr>
          <w:rStyle w:val="FootnoteReference"/>
        </w:rPr>
        <w:footnoteRef/>
      </w:r>
      <w:r>
        <w:rPr>
          <w:lang w:val="fr-CA"/>
        </w:rPr>
        <w:t xml:space="preserve"> </w:t>
      </w:r>
      <w:r w:rsidRPr="0031513C">
        <w:rPr>
          <w:lang w:val="fr-CA"/>
        </w:rPr>
        <w:t xml:space="preserve">Bélanger, </w:t>
      </w:r>
      <w:r w:rsidRPr="0031513C">
        <w:rPr>
          <w:i/>
          <w:lang w:val="fr-CA"/>
        </w:rPr>
        <w:t>op. cit.,</w:t>
      </w:r>
      <w:r w:rsidRPr="0031513C">
        <w:rPr>
          <w:lang w:val="fr-CA"/>
        </w:rPr>
        <w:t xml:space="preserve"> p.</w:t>
      </w:r>
      <w:r>
        <w:rPr>
          <w:lang w:val="fr-CA"/>
        </w:rPr>
        <w:t> </w:t>
      </w:r>
      <w:r w:rsidRPr="0031513C">
        <w:rPr>
          <w:lang w:val="fr-CA"/>
        </w:rPr>
        <w:t xml:space="preserve">172-174 et </w:t>
      </w:r>
      <w:r w:rsidRPr="0031513C">
        <w:rPr>
          <w:i/>
          <w:iCs/>
          <w:lang w:val="fr-CA"/>
        </w:rPr>
        <w:t>Deuxième partie</w:t>
      </w:r>
      <w:r w:rsidRPr="0031513C">
        <w:rPr>
          <w:lang w:val="fr-CA"/>
        </w:rPr>
        <w:t xml:space="preserve"> </w:t>
      </w:r>
      <w:r w:rsidRPr="0031513C">
        <w:rPr>
          <w:i/>
          <w:iCs/>
          <w:lang w:val="fr-CA"/>
        </w:rPr>
        <w:t xml:space="preserve">noms des soldats et matins </w:t>
      </w:r>
      <w:r>
        <w:rPr>
          <w:i/>
          <w:iCs/>
          <w:lang w:val="fr-CA"/>
        </w:rPr>
        <w:t>« </w:t>
      </w:r>
      <w:r w:rsidRPr="0031513C">
        <w:rPr>
          <w:i/>
          <w:iCs/>
          <w:lang w:val="fr-CA"/>
        </w:rPr>
        <w:t>Franco-Américains qui ont pris part à la Grande Guerre 1914-1918</w:t>
      </w:r>
      <w:r>
        <w:rPr>
          <w:i/>
          <w:iCs/>
          <w:lang w:val="fr-CA"/>
        </w:rPr>
        <w:t> »</w:t>
      </w:r>
      <w:r w:rsidRPr="0031513C">
        <w:rPr>
          <w:lang w:val="fr-CA"/>
        </w:rPr>
        <w:t>. p. 315-317.</w:t>
      </w:r>
    </w:p>
  </w:footnote>
  <w:footnote w:id="405">
    <w:p w14:paraId="72A055AF"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L’emprunt de la liberté a été un grand succès</w:t>
      </w:r>
      <w:r>
        <w:rPr>
          <w:lang w:val="fr-CA"/>
        </w:rPr>
        <w:t> </w:t>
      </w:r>
      <w:r w:rsidRPr="0031513C">
        <w:rPr>
          <w:lang w:val="fr-CA"/>
        </w:rPr>
        <w:t xml:space="preserve">», </w:t>
      </w:r>
      <w:r w:rsidRPr="0031513C">
        <w:rPr>
          <w:i/>
          <w:iCs/>
          <w:lang w:val="fr-CA"/>
        </w:rPr>
        <w:t>L’Avenir National</w:t>
      </w:r>
      <w:r w:rsidRPr="0031513C">
        <w:rPr>
          <w:lang w:val="fr-CA"/>
        </w:rPr>
        <w:t>, 15 juin 1917, p.</w:t>
      </w:r>
      <w:r>
        <w:rPr>
          <w:lang w:val="fr-CA"/>
        </w:rPr>
        <w:t> </w:t>
      </w:r>
      <w:r w:rsidRPr="0031513C">
        <w:rPr>
          <w:lang w:val="fr-CA"/>
        </w:rPr>
        <w:t>1</w:t>
      </w:r>
    </w:p>
  </w:footnote>
  <w:footnote w:id="406">
    <w:p w14:paraId="0C040A4C" w14:textId="77777777" w:rsidR="00D40D7C" w:rsidRPr="0031513C" w:rsidRDefault="00D40D7C">
      <w:pPr>
        <w:pStyle w:val="FootnoteText"/>
      </w:pPr>
      <w:r w:rsidRPr="0031513C">
        <w:rPr>
          <w:rStyle w:val="FootnoteReference"/>
        </w:rPr>
        <w:footnoteRef/>
      </w:r>
      <w:r w:rsidRPr="0031513C">
        <w:t xml:space="preserve"> Lemelin, </w:t>
      </w:r>
      <w:r w:rsidRPr="0031513C">
        <w:rPr>
          <w:i/>
          <w:iCs/>
        </w:rPr>
        <w:t>op. cit.,</w:t>
      </w:r>
      <w:r w:rsidRPr="0031513C">
        <w:t xml:space="preserve"> p.</w:t>
      </w:r>
      <w:r>
        <w:t> </w:t>
      </w:r>
      <w:r w:rsidRPr="0031513C">
        <w:t>94.</w:t>
      </w:r>
    </w:p>
  </w:footnote>
  <w:footnote w:id="407">
    <w:p w14:paraId="120BB27F" w14:textId="77777777" w:rsidR="00D40D7C" w:rsidRPr="00A24610" w:rsidRDefault="00D40D7C">
      <w:pPr>
        <w:pStyle w:val="FootnoteText"/>
      </w:pPr>
      <w:r w:rsidRPr="0031513C">
        <w:rPr>
          <w:rStyle w:val="FootnoteReference"/>
        </w:rPr>
        <w:footnoteRef/>
      </w:r>
      <w:r w:rsidRPr="00A24610">
        <w:t xml:space="preserve"> </w:t>
      </w:r>
      <w:r w:rsidRPr="00A24610">
        <w:rPr>
          <w:i/>
          <w:iCs/>
        </w:rPr>
        <w:t>Ibid</w:t>
      </w:r>
      <w:r w:rsidRPr="00A24610">
        <w:t>., p. 94-95.</w:t>
      </w:r>
    </w:p>
  </w:footnote>
  <w:footnote w:id="408">
    <w:p w14:paraId="65CB5E0B"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Des milliards d’obligations de la liberté pour des millions d’hommes</w:t>
      </w:r>
      <w:r>
        <w:rPr>
          <w:lang w:val="fr-CA"/>
        </w:rPr>
        <w:t> </w:t>
      </w:r>
      <w:r w:rsidRPr="0031513C">
        <w:rPr>
          <w:lang w:val="fr-CA"/>
        </w:rPr>
        <w:t xml:space="preserve">», </w:t>
      </w:r>
      <w:r w:rsidRPr="0031513C">
        <w:rPr>
          <w:i/>
          <w:iCs/>
          <w:lang w:val="fr-CA"/>
        </w:rPr>
        <w:t>L’Avenir National</w:t>
      </w:r>
      <w:r w:rsidRPr="0031513C">
        <w:rPr>
          <w:lang w:val="fr-CA"/>
        </w:rPr>
        <w:t>, 24 septembre 1917,</w:t>
      </w:r>
      <w:r>
        <w:rPr>
          <w:lang w:val="fr-CA"/>
        </w:rPr>
        <w:t xml:space="preserve"> </w:t>
      </w:r>
      <w:r w:rsidRPr="0031513C">
        <w:rPr>
          <w:lang w:val="fr-CA"/>
        </w:rPr>
        <w:t>p. 4</w:t>
      </w:r>
      <w:r>
        <w:rPr>
          <w:lang w:val="fr-CA"/>
        </w:rPr>
        <w:t>.</w:t>
      </w:r>
    </w:p>
  </w:footnote>
  <w:footnote w:id="409">
    <w:p w14:paraId="45E3B6C5"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nouvelle émission de bons</w:t>
      </w:r>
      <w:r>
        <w:rPr>
          <w:lang w:val="fr-CA"/>
        </w:rPr>
        <w:t> </w:t>
      </w:r>
      <w:r w:rsidRPr="0031513C">
        <w:rPr>
          <w:lang w:val="fr-CA"/>
        </w:rPr>
        <w:t xml:space="preserve">», </w:t>
      </w:r>
      <w:r w:rsidRPr="0031513C">
        <w:rPr>
          <w:i/>
          <w:iCs/>
          <w:lang w:val="fr-CA"/>
        </w:rPr>
        <w:t>L’Avenir National</w:t>
      </w:r>
      <w:r w:rsidRPr="0031513C">
        <w:rPr>
          <w:lang w:val="fr-CA"/>
        </w:rPr>
        <w:t>, 13 octobre 1917, p.</w:t>
      </w:r>
      <w:r>
        <w:rPr>
          <w:lang w:val="fr-CA"/>
        </w:rPr>
        <w:t> </w:t>
      </w:r>
      <w:r w:rsidRPr="0031513C">
        <w:rPr>
          <w:lang w:val="fr-CA"/>
        </w:rPr>
        <w:t>6</w:t>
      </w:r>
      <w:r>
        <w:rPr>
          <w:lang w:val="fr-CA"/>
        </w:rPr>
        <w:t> </w:t>
      </w:r>
      <w:r w:rsidRPr="0031513C">
        <w:rPr>
          <w:lang w:val="fr-CA"/>
        </w:rPr>
        <w:t>; «</w:t>
      </w:r>
      <w:r>
        <w:rPr>
          <w:lang w:val="fr-CA"/>
        </w:rPr>
        <w:t> </w:t>
      </w:r>
      <w:r w:rsidRPr="0031513C">
        <w:rPr>
          <w:lang w:val="fr-CA"/>
        </w:rPr>
        <w:t xml:space="preserve">Lisez l’histoire et vous achèterez des bons et un comité pour se préparer au </w:t>
      </w:r>
      <w:r>
        <w:rPr>
          <w:lang w:val="fr-CA"/>
        </w:rPr>
        <w:t>“</w:t>
      </w:r>
      <w:r w:rsidRPr="0031513C">
        <w:rPr>
          <w:lang w:val="fr-CA"/>
        </w:rPr>
        <w:t>Liberty Day</w:t>
      </w:r>
      <w:r>
        <w:rPr>
          <w:lang w:val="fr-CA"/>
        </w:rPr>
        <w:t>” </w:t>
      </w:r>
      <w:r w:rsidRPr="0031513C">
        <w:rPr>
          <w:lang w:val="fr-CA"/>
        </w:rPr>
        <w:t>». 17 octobre 1917, p.</w:t>
      </w:r>
      <w:r>
        <w:rPr>
          <w:lang w:val="fr-CA"/>
        </w:rPr>
        <w:t> </w:t>
      </w:r>
      <w:r w:rsidRPr="0031513C">
        <w:rPr>
          <w:lang w:val="fr-CA"/>
        </w:rPr>
        <w:t>6</w:t>
      </w:r>
      <w:r>
        <w:rPr>
          <w:lang w:val="fr-CA"/>
        </w:rPr>
        <w:t> </w:t>
      </w:r>
      <w:r w:rsidRPr="0031513C">
        <w:rPr>
          <w:lang w:val="fr-CA"/>
        </w:rPr>
        <w:t>; «</w:t>
      </w:r>
      <w:r>
        <w:rPr>
          <w:lang w:val="fr-CA"/>
        </w:rPr>
        <w:t> </w:t>
      </w:r>
      <w:r w:rsidRPr="0031513C">
        <w:rPr>
          <w:lang w:val="fr-CA"/>
        </w:rPr>
        <w:t>La vie vaut plus que l’argent. 20 octobre 1917, p.</w:t>
      </w:r>
      <w:r>
        <w:rPr>
          <w:lang w:val="fr-CA"/>
        </w:rPr>
        <w:t> </w:t>
      </w:r>
      <w:r w:rsidRPr="0031513C">
        <w:rPr>
          <w:lang w:val="fr-CA"/>
        </w:rPr>
        <w:t>4</w:t>
      </w:r>
      <w:r>
        <w:rPr>
          <w:lang w:val="fr-CA"/>
        </w:rPr>
        <w:t> </w:t>
      </w:r>
      <w:r w:rsidRPr="0031513C">
        <w:rPr>
          <w:lang w:val="fr-CA"/>
        </w:rPr>
        <w:t xml:space="preserve">; </w:t>
      </w:r>
      <w:r>
        <w:rPr>
          <w:lang w:val="fr-CA"/>
        </w:rPr>
        <w:t>“</w:t>
      </w:r>
      <w:r w:rsidRPr="0031513C">
        <w:rPr>
          <w:lang w:val="fr-CA"/>
        </w:rPr>
        <w:t>Le patriotisme en action. 24 octobre 1917, p.</w:t>
      </w:r>
      <w:r>
        <w:rPr>
          <w:lang w:val="fr-CA"/>
        </w:rPr>
        <w:t> </w:t>
      </w:r>
      <w:r w:rsidRPr="0031513C">
        <w:rPr>
          <w:lang w:val="fr-CA"/>
        </w:rPr>
        <w:t>6.</w:t>
      </w:r>
    </w:p>
  </w:footnote>
  <w:footnote w:id="410">
    <w:p w14:paraId="4BE77730"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 second emprunt de la Liberté</w:t>
      </w:r>
      <w:r>
        <w:rPr>
          <w:lang w:val="fr-CA"/>
        </w:rPr>
        <w:t> </w:t>
      </w:r>
      <w:r w:rsidRPr="0031513C">
        <w:rPr>
          <w:lang w:val="fr-CA"/>
        </w:rPr>
        <w:t xml:space="preserve">», </w:t>
      </w:r>
      <w:r w:rsidRPr="0031513C">
        <w:rPr>
          <w:i/>
          <w:iCs/>
          <w:lang w:val="fr-CA"/>
        </w:rPr>
        <w:t>L’Avenir National</w:t>
      </w:r>
      <w:r w:rsidRPr="0031513C">
        <w:rPr>
          <w:lang w:val="fr-CA"/>
        </w:rPr>
        <w:t>, 1</w:t>
      </w:r>
      <w:r w:rsidRPr="0031513C">
        <w:rPr>
          <w:vertAlign w:val="superscript"/>
          <w:lang w:val="fr-CA"/>
        </w:rPr>
        <w:t>er</w:t>
      </w:r>
      <w:r w:rsidRPr="0031513C">
        <w:rPr>
          <w:lang w:val="fr-CA"/>
        </w:rPr>
        <w:t xml:space="preserve"> octobre 1917, p.</w:t>
      </w:r>
      <w:r>
        <w:rPr>
          <w:lang w:val="fr-CA"/>
        </w:rPr>
        <w:t> </w:t>
      </w:r>
      <w:r w:rsidRPr="0031513C">
        <w:rPr>
          <w:lang w:val="fr-CA"/>
        </w:rPr>
        <w:t>6.</w:t>
      </w:r>
    </w:p>
  </w:footnote>
  <w:footnote w:id="411">
    <w:p w14:paraId="09D43B31" w14:textId="77777777" w:rsidR="00D40D7C" w:rsidRPr="0031513C" w:rsidRDefault="00D40D7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Généreuse réponse pour le salut de la liberté</w:t>
      </w:r>
      <w:r>
        <w:rPr>
          <w:lang w:val="fr-CA"/>
        </w:rPr>
        <w:t> </w:t>
      </w:r>
      <w:r w:rsidRPr="0031513C">
        <w:rPr>
          <w:lang w:val="fr-CA"/>
        </w:rPr>
        <w:t xml:space="preserve">», </w:t>
      </w:r>
      <w:r w:rsidRPr="0031513C">
        <w:rPr>
          <w:i/>
          <w:iCs/>
          <w:lang w:val="fr-CA"/>
        </w:rPr>
        <w:t>L’Avenir National</w:t>
      </w:r>
      <w:r w:rsidRPr="0031513C">
        <w:rPr>
          <w:lang w:val="fr-CA"/>
        </w:rPr>
        <w:t>, 6 octobre 1917, p.</w:t>
      </w:r>
      <w:r>
        <w:rPr>
          <w:lang w:val="fr-CA"/>
        </w:rPr>
        <w:t> </w:t>
      </w:r>
      <w:r w:rsidRPr="0031513C">
        <w:rPr>
          <w:lang w:val="fr-CA"/>
        </w:rPr>
        <w:t>6.</w:t>
      </w:r>
    </w:p>
  </w:footnote>
  <w:footnote w:id="412">
    <w:p w14:paraId="2DEF769B" w14:textId="77777777" w:rsidR="00D40D7C" w:rsidRPr="0031513C" w:rsidRDefault="00D40D7C">
      <w:pPr>
        <w:pStyle w:val="FootnoteText"/>
        <w:rPr>
          <w:lang w:val="fr-CA"/>
        </w:rPr>
      </w:pPr>
      <w:r w:rsidRPr="0031513C">
        <w:rPr>
          <w:rStyle w:val="FootnoteReference"/>
        </w:rPr>
        <w:footnoteRef/>
      </w:r>
      <w:r w:rsidRPr="0031513C">
        <w:rPr>
          <w:lang w:val="fr-CA"/>
        </w:rPr>
        <w:t xml:space="preserve"> Lemelin, </w:t>
      </w:r>
      <w:r w:rsidRPr="0031513C">
        <w:rPr>
          <w:i/>
          <w:iCs/>
          <w:lang w:val="fr-CA"/>
        </w:rPr>
        <w:t>op. cit.,</w:t>
      </w:r>
      <w:r w:rsidRPr="0031513C">
        <w:rPr>
          <w:lang w:val="fr-CA"/>
        </w:rPr>
        <w:t xml:space="preserve"> p.</w:t>
      </w:r>
      <w:r>
        <w:rPr>
          <w:lang w:val="fr-CA"/>
        </w:rPr>
        <w:t> </w:t>
      </w:r>
      <w:r w:rsidRPr="0031513C">
        <w:rPr>
          <w:lang w:val="fr-CA"/>
        </w:rPr>
        <w:t>95-96.</w:t>
      </w:r>
    </w:p>
  </w:footnote>
  <w:footnote w:id="413">
    <w:p w14:paraId="56A5EDCD" w14:textId="77777777" w:rsidR="00D40D7C" w:rsidRPr="0031513C" w:rsidRDefault="00D40D7C">
      <w:pPr>
        <w:pStyle w:val="FootnoteText"/>
        <w:rPr>
          <w:lang w:val="fr-CA"/>
        </w:rPr>
      </w:pPr>
      <w:r w:rsidRPr="0031513C">
        <w:rPr>
          <w:rStyle w:val="FootnoteReference"/>
        </w:rPr>
        <w:footnoteRef/>
      </w:r>
      <w:r w:rsidRPr="0031513C">
        <w:rPr>
          <w:lang w:val="fr-CA"/>
        </w:rPr>
        <w:t xml:space="preserve"> Lemelin, </w:t>
      </w:r>
      <w:r w:rsidRPr="0031513C">
        <w:rPr>
          <w:i/>
          <w:iCs/>
          <w:lang w:val="fr-CA"/>
        </w:rPr>
        <w:t>op. cit.,</w:t>
      </w:r>
      <w:r w:rsidRPr="0031513C">
        <w:rPr>
          <w:lang w:val="fr-CA"/>
        </w:rPr>
        <w:t xml:space="preserve"> p.</w:t>
      </w:r>
      <w:r>
        <w:rPr>
          <w:lang w:val="fr-CA"/>
        </w:rPr>
        <w:t> </w:t>
      </w:r>
      <w:r w:rsidRPr="0031513C">
        <w:rPr>
          <w:lang w:val="fr-CA"/>
        </w:rPr>
        <w:t>95.</w:t>
      </w:r>
    </w:p>
  </w:footnote>
  <w:footnote w:id="414">
    <w:p w14:paraId="36A0B4FA" w14:textId="77777777" w:rsidR="00D40D7C" w:rsidRPr="0031513C" w:rsidRDefault="00D40D7C" w:rsidP="00CE546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La quote-part de Manchester est $2,308,000.00</w:t>
      </w:r>
      <w:r>
        <w:rPr>
          <w:lang w:val="fr-CA"/>
        </w:rPr>
        <w:t> </w:t>
      </w:r>
      <w:r w:rsidRPr="0031513C">
        <w:rPr>
          <w:lang w:val="fr-CA"/>
        </w:rPr>
        <w:t xml:space="preserve">», </w:t>
      </w:r>
      <w:r w:rsidRPr="0031513C">
        <w:rPr>
          <w:i/>
          <w:iCs/>
          <w:lang w:val="fr-CA"/>
        </w:rPr>
        <w:t>L’Avenir National</w:t>
      </w:r>
      <w:r w:rsidRPr="0031513C">
        <w:rPr>
          <w:lang w:val="fr-CA"/>
        </w:rPr>
        <w:t>, 5 avril 1918, p.</w:t>
      </w:r>
      <w:r>
        <w:rPr>
          <w:lang w:val="fr-CA"/>
        </w:rPr>
        <w:t> </w:t>
      </w:r>
      <w:r w:rsidRPr="0031513C">
        <w:rPr>
          <w:lang w:val="fr-CA"/>
        </w:rPr>
        <w:t>3.</w:t>
      </w:r>
    </w:p>
  </w:footnote>
  <w:footnote w:id="415">
    <w:p w14:paraId="4E4BBD0D" w14:textId="77777777" w:rsidR="00D40D7C" w:rsidRPr="0031513C" w:rsidRDefault="00D40D7C" w:rsidP="00CE546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 drapeau d’honneur à notre ville</w:t>
      </w:r>
      <w:r>
        <w:rPr>
          <w:lang w:val="fr-CA"/>
        </w:rPr>
        <w:t> </w:t>
      </w:r>
      <w:r w:rsidRPr="0031513C">
        <w:rPr>
          <w:lang w:val="fr-CA"/>
        </w:rPr>
        <w:t xml:space="preserve">», </w:t>
      </w:r>
      <w:r w:rsidRPr="0031513C">
        <w:rPr>
          <w:i/>
          <w:iCs/>
          <w:lang w:val="fr-CA"/>
        </w:rPr>
        <w:t>L’Avenir National</w:t>
      </w:r>
      <w:r w:rsidRPr="0031513C">
        <w:rPr>
          <w:lang w:val="fr-CA"/>
        </w:rPr>
        <w:t>, 1</w:t>
      </w:r>
      <w:r w:rsidRPr="0031513C">
        <w:rPr>
          <w:vertAlign w:val="superscript"/>
          <w:lang w:val="fr-CA"/>
        </w:rPr>
        <w:t>er</w:t>
      </w:r>
      <w:r w:rsidRPr="0031513C">
        <w:rPr>
          <w:lang w:val="fr-CA"/>
        </w:rPr>
        <w:t xml:space="preserve"> mai 1918, p.</w:t>
      </w:r>
      <w:r>
        <w:rPr>
          <w:lang w:val="fr-CA"/>
        </w:rPr>
        <w:t> </w:t>
      </w:r>
      <w:r w:rsidRPr="0031513C">
        <w:rPr>
          <w:lang w:val="fr-CA"/>
        </w:rPr>
        <w:t>3</w:t>
      </w:r>
      <w:r>
        <w:rPr>
          <w:lang w:val="fr-CA"/>
        </w:rPr>
        <w:t> </w:t>
      </w:r>
      <w:r w:rsidRPr="0031513C">
        <w:rPr>
          <w:lang w:val="fr-CA"/>
        </w:rPr>
        <w:t>; «</w:t>
      </w:r>
      <w:r>
        <w:rPr>
          <w:lang w:val="fr-CA"/>
        </w:rPr>
        <w:t> </w:t>
      </w:r>
      <w:r w:rsidRPr="0031513C">
        <w:rPr>
          <w:lang w:val="fr-CA"/>
        </w:rPr>
        <w:t>Les souscriptions de Manchester sont $3,330,400</w:t>
      </w:r>
      <w:r>
        <w:rPr>
          <w:lang w:val="fr-CA"/>
        </w:rPr>
        <w:t> </w:t>
      </w:r>
      <w:r w:rsidRPr="0031513C">
        <w:rPr>
          <w:lang w:val="fr-CA"/>
        </w:rPr>
        <w:t xml:space="preserve">», </w:t>
      </w:r>
      <w:r w:rsidRPr="0031513C">
        <w:rPr>
          <w:i/>
          <w:iCs/>
          <w:lang w:val="fr-CA"/>
        </w:rPr>
        <w:t>L’Avenir National</w:t>
      </w:r>
      <w:r w:rsidRPr="0031513C">
        <w:rPr>
          <w:lang w:val="fr-CA"/>
        </w:rPr>
        <w:t>, 3 mai 1918, p.</w:t>
      </w:r>
      <w:r>
        <w:rPr>
          <w:lang w:val="fr-CA"/>
        </w:rPr>
        <w:t> </w:t>
      </w:r>
      <w:r w:rsidRPr="0031513C">
        <w:rPr>
          <w:lang w:val="fr-CA"/>
        </w:rPr>
        <w:t>8.</w:t>
      </w:r>
    </w:p>
  </w:footnote>
  <w:footnote w:id="416">
    <w:p w14:paraId="4AA07A95" w14:textId="77777777" w:rsidR="00D40D7C" w:rsidRPr="0031513C" w:rsidRDefault="00D40D7C" w:rsidP="00CE546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Notre ville ajoute encore à son triomphe</w:t>
      </w:r>
      <w:r>
        <w:rPr>
          <w:lang w:val="fr-CA"/>
        </w:rPr>
        <w:t> </w:t>
      </w:r>
      <w:r w:rsidRPr="0031513C">
        <w:rPr>
          <w:lang w:val="fr-CA"/>
        </w:rPr>
        <w:t xml:space="preserve">», </w:t>
      </w:r>
      <w:r w:rsidRPr="0031513C">
        <w:rPr>
          <w:i/>
          <w:iCs/>
          <w:lang w:val="fr-CA"/>
        </w:rPr>
        <w:t>L’Avenir National</w:t>
      </w:r>
      <w:r w:rsidRPr="0031513C">
        <w:rPr>
          <w:lang w:val="fr-CA"/>
        </w:rPr>
        <w:t>, 30 avril 1918, p.</w:t>
      </w:r>
      <w:r>
        <w:rPr>
          <w:lang w:val="fr-CA"/>
        </w:rPr>
        <w:t> </w:t>
      </w:r>
      <w:r w:rsidRPr="0031513C">
        <w:rPr>
          <w:lang w:val="fr-CA"/>
        </w:rPr>
        <w:t>8</w:t>
      </w:r>
      <w:r>
        <w:rPr>
          <w:lang w:val="fr-CA"/>
        </w:rPr>
        <w:t> </w:t>
      </w:r>
      <w:r w:rsidRPr="0031513C">
        <w:rPr>
          <w:lang w:val="fr-CA"/>
        </w:rPr>
        <w:t>; «</w:t>
      </w:r>
      <w:r>
        <w:rPr>
          <w:lang w:val="fr-CA"/>
        </w:rPr>
        <w:t> </w:t>
      </w:r>
      <w:r w:rsidRPr="0031513C">
        <w:rPr>
          <w:lang w:val="fr-CA"/>
        </w:rPr>
        <w:t>Les souscriptions de Manchester sont $3,330,400</w:t>
      </w:r>
      <w:r>
        <w:rPr>
          <w:lang w:val="fr-CA"/>
        </w:rPr>
        <w:t> </w:t>
      </w:r>
      <w:r w:rsidRPr="0031513C">
        <w:rPr>
          <w:lang w:val="fr-CA"/>
        </w:rPr>
        <w:t xml:space="preserve">», </w:t>
      </w:r>
      <w:r w:rsidRPr="0031513C">
        <w:rPr>
          <w:i/>
          <w:iCs/>
          <w:lang w:val="fr-CA"/>
        </w:rPr>
        <w:t>L’Avenir National</w:t>
      </w:r>
      <w:r w:rsidRPr="0031513C">
        <w:rPr>
          <w:lang w:val="fr-CA"/>
        </w:rPr>
        <w:t>, 3 mai 1918, p.</w:t>
      </w:r>
      <w:r>
        <w:rPr>
          <w:lang w:val="fr-CA"/>
        </w:rPr>
        <w:t> </w:t>
      </w:r>
      <w:r w:rsidRPr="0031513C">
        <w:rPr>
          <w:lang w:val="fr-CA"/>
        </w:rPr>
        <w:t>8.</w:t>
      </w:r>
    </w:p>
  </w:footnote>
  <w:footnote w:id="417">
    <w:p w14:paraId="098B7E53" w14:textId="77777777" w:rsidR="00D40D7C" w:rsidRPr="0031513C" w:rsidRDefault="00D40D7C" w:rsidP="00CE5461">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Un drapeau d’honneur à notre ville</w:t>
      </w:r>
      <w:r>
        <w:rPr>
          <w:lang w:val="fr-CA"/>
        </w:rPr>
        <w:t> </w:t>
      </w:r>
      <w:r w:rsidRPr="0031513C">
        <w:rPr>
          <w:lang w:val="fr-CA"/>
        </w:rPr>
        <w:t xml:space="preserve">», </w:t>
      </w:r>
      <w:r w:rsidRPr="0031513C">
        <w:rPr>
          <w:i/>
          <w:iCs/>
          <w:lang w:val="fr-CA"/>
        </w:rPr>
        <w:t>L’Avenir National</w:t>
      </w:r>
      <w:r w:rsidRPr="0031513C">
        <w:rPr>
          <w:lang w:val="fr-CA"/>
        </w:rPr>
        <w:t>, 1</w:t>
      </w:r>
      <w:r w:rsidRPr="0031513C">
        <w:rPr>
          <w:vertAlign w:val="superscript"/>
          <w:lang w:val="fr-CA"/>
        </w:rPr>
        <w:t>er</w:t>
      </w:r>
      <w:r w:rsidRPr="0031513C">
        <w:rPr>
          <w:lang w:val="fr-CA"/>
        </w:rPr>
        <w:t xml:space="preserve"> mai 1918, p.</w:t>
      </w:r>
      <w:r>
        <w:rPr>
          <w:lang w:val="fr-CA"/>
        </w:rPr>
        <w:t> </w:t>
      </w:r>
      <w:r w:rsidRPr="0031513C">
        <w:rPr>
          <w:lang w:val="fr-CA"/>
        </w:rPr>
        <w:t>3</w:t>
      </w:r>
      <w:r>
        <w:rPr>
          <w:lang w:val="fr-CA"/>
        </w:rPr>
        <w:t> </w:t>
      </w:r>
      <w:r w:rsidRPr="0031513C">
        <w:rPr>
          <w:lang w:val="fr-CA"/>
        </w:rPr>
        <w:t>; «</w:t>
      </w:r>
      <w:r>
        <w:rPr>
          <w:lang w:val="fr-CA"/>
        </w:rPr>
        <w:t> </w:t>
      </w:r>
      <w:r w:rsidRPr="0031513C">
        <w:rPr>
          <w:lang w:val="fr-CA"/>
        </w:rPr>
        <w:t>Les souscriptions de Manchester sont $3,330,400</w:t>
      </w:r>
      <w:r>
        <w:rPr>
          <w:lang w:val="fr-CA"/>
        </w:rPr>
        <w:t> </w:t>
      </w:r>
      <w:r w:rsidRPr="0031513C">
        <w:rPr>
          <w:lang w:val="fr-CA"/>
        </w:rPr>
        <w:t xml:space="preserve">», </w:t>
      </w:r>
      <w:r w:rsidRPr="0031513C">
        <w:rPr>
          <w:i/>
          <w:iCs/>
          <w:lang w:val="fr-CA"/>
        </w:rPr>
        <w:t>L’Avenir National</w:t>
      </w:r>
      <w:r w:rsidRPr="0031513C">
        <w:rPr>
          <w:lang w:val="fr-CA"/>
        </w:rPr>
        <w:t>, 3 mai 1918, p.</w:t>
      </w:r>
      <w:r>
        <w:rPr>
          <w:lang w:val="fr-CA"/>
        </w:rPr>
        <w:t> </w:t>
      </w:r>
      <w:r w:rsidRPr="0031513C">
        <w:rPr>
          <w:lang w:val="fr-CA"/>
        </w:rPr>
        <w:t>8</w:t>
      </w:r>
      <w:r>
        <w:rPr>
          <w:lang w:val="fr-CA"/>
        </w:rPr>
        <w:t> </w:t>
      </w:r>
      <w:r w:rsidRPr="0031513C">
        <w:rPr>
          <w:lang w:val="fr-CA"/>
        </w:rPr>
        <w:t>; Lemelin</w:t>
      </w:r>
      <w:r>
        <w:rPr>
          <w:lang w:val="fr-CA"/>
        </w:rPr>
        <w:t>,</w:t>
      </w:r>
      <w:r w:rsidRPr="0031513C">
        <w:rPr>
          <w:lang w:val="fr-CA"/>
        </w:rPr>
        <w:t xml:space="preserve"> </w:t>
      </w:r>
      <w:r w:rsidRPr="0031513C">
        <w:rPr>
          <w:i/>
          <w:iCs/>
          <w:lang w:val="fr-CA"/>
        </w:rPr>
        <w:t>op. cit</w:t>
      </w:r>
      <w:r w:rsidRPr="0031513C">
        <w:rPr>
          <w:lang w:val="fr-CA"/>
        </w:rPr>
        <w:t>., p.</w:t>
      </w:r>
      <w:r>
        <w:rPr>
          <w:lang w:val="fr-CA"/>
        </w:rPr>
        <w:t> </w:t>
      </w:r>
      <w:r w:rsidRPr="0031513C">
        <w:rPr>
          <w:lang w:val="fr-CA"/>
        </w:rPr>
        <w:t>96.</w:t>
      </w:r>
    </w:p>
  </w:footnote>
  <w:footnote w:id="418">
    <w:p w14:paraId="4779E19C" w14:textId="77777777" w:rsidR="00D40D7C" w:rsidRPr="0031513C" w:rsidRDefault="00D40D7C" w:rsidP="00CC0F9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Quatrième emprunt</w:t>
      </w:r>
      <w:r>
        <w:rPr>
          <w:lang w:val="fr-CA"/>
        </w:rPr>
        <w:t> </w:t>
      </w:r>
      <w:r w:rsidRPr="0031513C">
        <w:rPr>
          <w:lang w:val="fr-CA"/>
        </w:rPr>
        <w:t xml:space="preserve">», </w:t>
      </w:r>
      <w:r w:rsidRPr="0031513C">
        <w:rPr>
          <w:i/>
          <w:iCs/>
          <w:lang w:val="fr-CA"/>
        </w:rPr>
        <w:t>L’Avenir National</w:t>
      </w:r>
      <w:r w:rsidRPr="0031513C">
        <w:rPr>
          <w:lang w:val="fr-CA"/>
        </w:rPr>
        <w:t>, 21 octobre 1918, p.</w:t>
      </w:r>
      <w:r>
        <w:rPr>
          <w:lang w:val="fr-CA"/>
        </w:rPr>
        <w:t> </w:t>
      </w:r>
      <w:r w:rsidRPr="0031513C">
        <w:rPr>
          <w:lang w:val="fr-CA"/>
        </w:rPr>
        <w:t>3.</w:t>
      </w:r>
    </w:p>
  </w:footnote>
  <w:footnote w:id="419">
    <w:p w14:paraId="29D10500" w14:textId="77777777" w:rsidR="00D40D7C" w:rsidRPr="0031513C" w:rsidRDefault="00D40D7C" w:rsidP="00CC0F9C">
      <w:pPr>
        <w:pStyle w:val="FootnoteText"/>
        <w:rPr>
          <w:lang w:val="fr-CA"/>
        </w:rPr>
      </w:pPr>
      <w:r w:rsidRPr="0031513C">
        <w:rPr>
          <w:rStyle w:val="FootnoteReference"/>
        </w:rPr>
        <w:footnoteRef/>
      </w:r>
      <w:r w:rsidRPr="0031513C">
        <w:rPr>
          <w:lang w:val="fr-CA"/>
        </w:rPr>
        <w:t xml:space="preserve"> «</w:t>
      </w:r>
      <w:r>
        <w:rPr>
          <w:lang w:val="fr-CA"/>
        </w:rPr>
        <w:t> </w:t>
      </w:r>
      <w:r w:rsidRPr="0031513C">
        <w:rPr>
          <w:lang w:val="fr-CA"/>
        </w:rPr>
        <w:t>L’emprunt un vrai triomphe à Manchester</w:t>
      </w:r>
      <w:r>
        <w:rPr>
          <w:lang w:val="fr-CA"/>
        </w:rPr>
        <w:t> </w:t>
      </w:r>
      <w:r w:rsidRPr="0031513C">
        <w:rPr>
          <w:lang w:val="fr-CA"/>
        </w:rPr>
        <w:t xml:space="preserve">», </w:t>
      </w:r>
      <w:r w:rsidRPr="0031513C">
        <w:rPr>
          <w:i/>
          <w:iCs/>
          <w:lang w:val="fr-CA"/>
        </w:rPr>
        <w:t>L’Avenir National</w:t>
      </w:r>
      <w:r w:rsidRPr="0031513C">
        <w:rPr>
          <w:lang w:val="fr-CA"/>
        </w:rPr>
        <w:t>, 19 octobre 1918, p.</w:t>
      </w:r>
      <w:r>
        <w:rPr>
          <w:lang w:val="fr-CA"/>
        </w:rPr>
        <w:t> </w:t>
      </w:r>
      <w:r w:rsidRPr="0031513C">
        <w:rPr>
          <w:lang w:val="fr-CA"/>
        </w:rPr>
        <w:t>8.</w:t>
      </w:r>
    </w:p>
  </w:footnote>
  <w:footnote w:id="420">
    <w:p w14:paraId="52B996FB" w14:textId="77777777" w:rsidR="00D40D7C" w:rsidRPr="0031513C" w:rsidRDefault="00D40D7C">
      <w:pPr>
        <w:pStyle w:val="FootnoteText"/>
        <w:rPr>
          <w:lang w:val="fr-CA"/>
        </w:rPr>
      </w:pPr>
      <w:r w:rsidRPr="0031513C">
        <w:rPr>
          <w:rStyle w:val="FootnoteReference"/>
        </w:rPr>
        <w:footnoteRef/>
      </w:r>
      <w:r w:rsidRPr="0031513C">
        <w:rPr>
          <w:lang w:val="fr-CA"/>
        </w:rPr>
        <w:t xml:space="preserve"> Lemelin, </w:t>
      </w:r>
      <w:r w:rsidRPr="0031513C">
        <w:rPr>
          <w:i/>
          <w:iCs/>
          <w:lang w:val="fr-CA"/>
        </w:rPr>
        <w:t>op. cit.,</w:t>
      </w:r>
      <w:r w:rsidRPr="0031513C">
        <w:rPr>
          <w:lang w:val="fr-CA"/>
        </w:rPr>
        <w:t xml:space="preserve"> p.</w:t>
      </w:r>
      <w:r>
        <w:rPr>
          <w:lang w:val="fr-CA"/>
        </w:rPr>
        <w:t> </w:t>
      </w:r>
      <w:r w:rsidRPr="0031513C">
        <w:rPr>
          <w:lang w:val="fr-CA"/>
        </w:rPr>
        <w:t>94. Voir note de bas de page.</w:t>
      </w:r>
    </w:p>
  </w:footnote>
  <w:footnote w:id="421">
    <w:p w14:paraId="34E20E0D" w14:textId="77777777" w:rsidR="00D40D7C" w:rsidRPr="0031513C" w:rsidRDefault="00D40D7C">
      <w:pPr>
        <w:pStyle w:val="FootnoteText"/>
      </w:pPr>
      <w:r w:rsidRPr="0031513C">
        <w:rPr>
          <w:rStyle w:val="FootnoteReference"/>
        </w:rPr>
        <w:footnoteRef/>
      </w:r>
      <w:r w:rsidRPr="0031513C">
        <w:t xml:space="preserve"> </w:t>
      </w:r>
      <w:r w:rsidRPr="0031513C">
        <w:rPr>
          <w:i/>
          <w:iCs/>
        </w:rPr>
        <w:t>Ibid</w:t>
      </w:r>
      <w:r w:rsidRPr="0031513C">
        <w:t>., p.</w:t>
      </w:r>
      <w:r>
        <w:t> </w:t>
      </w:r>
      <w:r w:rsidRPr="0031513C">
        <w:t>100.</w:t>
      </w:r>
    </w:p>
  </w:footnote>
  <w:footnote w:id="422">
    <w:p w14:paraId="5F41CDA8" w14:textId="7C5D6B1A" w:rsidR="00D40D7C" w:rsidRPr="00AE0735" w:rsidRDefault="00D40D7C">
      <w:pPr>
        <w:pStyle w:val="FootnoteText"/>
      </w:pPr>
      <w:r w:rsidRPr="00AA1B18">
        <w:rPr>
          <w:rStyle w:val="FootnoteReference"/>
        </w:rPr>
        <w:footnoteRef/>
      </w:r>
      <w:r w:rsidRPr="00AA1B18">
        <w:t xml:space="preserve"> </w:t>
      </w:r>
      <w:r w:rsidRPr="00AA1B18">
        <w:rPr>
          <w:i/>
          <w:iCs/>
        </w:rPr>
        <w:t>Ibid</w:t>
      </w:r>
      <w:r w:rsidRPr="00AA1B18">
        <w:t>., p. 100 et 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663F" w14:textId="77777777" w:rsidR="00A20827" w:rsidRDefault="00A20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3218" w14:textId="77777777" w:rsidR="00A20827" w:rsidRDefault="00A20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C9A8" w14:textId="77777777" w:rsidR="00A20827" w:rsidRDefault="00A20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0D7C"/>
    <w:multiLevelType w:val="hybridMultilevel"/>
    <w:tmpl w:val="F3243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17816"/>
    <w:multiLevelType w:val="hybridMultilevel"/>
    <w:tmpl w:val="6ED69C54"/>
    <w:lvl w:ilvl="0" w:tplc="C9903C30">
      <w:start w:val="1"/>
      <w:numFmt w:val="bullet"/>
      <w:lvlText w:val="-"/>
      <w:lvlJc w:val="left"/>
      <w:pPr>
        <w:ind w:left="1080" w:hanging="360"/>
      </w:pPr>
      <w:rPr>
        <w:rFonts w:ascii="Times New Roman" w:hAnsi="Times New Roman" w:cs="Times New Roman"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ADC578A"/>
    <w:multiLevelType w:val="hybridMultilevel"/>
    <w:tmpl w:val="3C502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37FDB"/>
    <w:multiLevelType w:val="hybridMultilevel"/>
    <w:tmpl w:val="317A6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07938"/>
    <w:multiLevelType w:val="hybridMultilevel"/>
    <w:tmpl w:val="4F223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76981"/>
    <w:multiLevelType w:val="hybridMultilevel"/>
    <w:tmpl w:val="72D85672"/>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A1E6F68"/>
    <w:multiLevelType w:val="multilevel"/>
    <w:tmpl w:val="708AD3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7" w15:restartNumberingAfterBreak="0">
    <w:nsid w:val="2A40056C"/>
    <w:multiLevelType w:val="hybridMultilevel"/>
    <w:tmpl w:val="4D980DE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2D3C24D7"/>
    <w:multiLevelType w:val="multilevel"/>
    <w:tmpl w:val="302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33A53"/>
    <w:multiLevelType w:val="hybridMultilevel"/>
    <w:tmpl w:val="A8567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F17848"/>
    <w:multiLevelType w:val="hybridMultilevel"/>
    <w:tmpl w:val="54CC741E"/>
    <w:lvl w:ilvl="0" w:tplc="C9903C30">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0474E3B"/>
    <w:multiLevelType w:val="hybridMultilevel"/>
    <w:tmpl w:val="05E6871A"/>
    <w:lvl w:ilvl="0" w:tplc="C9903C30">
      <w:start w:val="1"/>
      <w:numFmt w:val="bullet"/>
      <w:lvlText w:val="-"/>
      <w:lvlJc w:val="left"/>
      <w:pPr>
        <w:ind w:left="2160" w:hanging="360"/>
      </w:pPr>
      <w:rPr>
        <w:rFonts w:ascii="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30B541CF"/>
    <w:multiLevelType w:val="hybridMultilevel"/>
    <w:tmpl w:val="E97A8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839E4"/>
    <w:multiLevelType w:val="hybridMultilevel"/>
    <w:tmpl w:val="6278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44735"/>
    <w:multiLevelType w:val="multilevel"/>
    <w:tmpl w:val="0480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C3F72"/>
    <w:multiLevelType w:val="multilevel"/>
    <w:tmpl w:val="61A0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A69E0"/>
    <w:multiLevelType w:val="hybridMultilevel"/>
    <w:tmpl w:val="246493F8"/>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7" w15:restartNumberingAfterBreak="0">
    <w:nsid w:val="3F1F4A1C"/>
    <w:multiLevelType w:val="hybridMultilevel"/>
    <w:tmpl w:val="D69A773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41EC2D10"/>
    <w:multiLevelType w:val="multilevel"/>
    <w:tmpl w:val="EE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35176"/>
    <w:multiLevelType w:val="hybridMultilevel"/>
    <w:tmpl w:val="B4E0A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14EC"/>
    <w:multiLevelType w:val="hybridMultilevel"/>
    <w:tmpl w:val="B40E1366"/>
    <w:lvl w:ilvl="0" w:tplc="C9903C30">
      <w:start w:val="1"/>
      <w:numFmt w:val="bullet"/>
      <w:lvlText w:val="-"/>
      <w:lvlJc w:val="left"/>
      <w:pPr>
        <w:ind w:left="1440" w:hanging="360"/>
      </w:pPr>
      <w:rPr>
        <w:rFonts w:ascii="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446651CA"/>
    <w:multiLevelType w:val="multilevel"/>
    <w:tmpl w:val="0050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05E3C"/>
    <w:multiLevelType w:val="hybridMultilevel"/>
    <w:tmpl w:val="D924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D34C6"/>
    <w:multiLevelType w:val="hybridMultilevel"/>
    <w:tmpl w:val="B4B407B0"/>
    <w:lvl w:ilvl="0" w:tplc="C9903C30">
      <w:start w:val="1"/>
      <w:numFmt w:val="bullet"/>
      <w:lvlText w:val="-"/>
      <w:lvlJc w:val="left"/>
      <w:pPr>
        <w:ind w:left="2160" w:hanging="360"/>
      </w:pPr>
      <w:rPr>
        <w:rFonts w:ascii="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49AB5B2C"/>
    <w:multiLevelType w:val="hybridMultilevel"/>
    <w:tmpl w:val="C330A72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5C04512C"/>
    <w:multiLevelType w:val="hybridMultilevel"/>
    <w:tmpl w:val="A1EE9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3A49D6"/>
    <w:multiLevelType w:val="hybridMultilevel"/>
    <w:tmpl w:val="89528C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61BD52A5"/>
    <w:multiLevelType w:val="hybridMultilevel"/>
    <w:tmpl w:val="AA9C979C"/>
    <w:lvl w:ilvl="0" w:tplc="C9903C30">
      <w:start w:val="1"/>
      <w:numFmt w:val="bullet"/>
      <w:lvlText w:val="-"/>
      <w:lvlJc w:val="left"/>
      <w:pPr>
        <w:ind w:left="1440" w:hanging="360"/>
      </w:pPr>
      <w:rPr>
        <w:rFonts w:ascii="Times New Roman" w:hAnsi="Times New Roman" w:cs="Times New Roman"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6DC62B2"/>
    <w:multiLevelType w:val="hybridMultilevel"/>
    <w:tmpl w:val="F3EE80D6"/>
    <w:lvl w:ilvl="0" w:tplc="C9903C30">
      <w:start w:val="1"/>
      <w:numFmt w:val="bullet"/>
      <w:lvlText w:val="-"/>
      <w:lvlJc w:val="left"/>
      <w:pPr>
        <w:ind w:left="720" w:hanging="360"/>
      </w:pPr>
      <w:rPr>
        <w:rFonts w:ascii="Times New Roman" w:hAnsi="Times New Roman" w:cs="Times New Roman"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360"/>
      </w:pPr>
      <w:rPr>
        <w:rFonts w:ascii="Courier New" w:hAnsi="Courier New" w:cs="Courier New" w:hint="default"/>
      </w:rPr>
    </w:lvl>
    <w:lvl w:ilvl="3" w:tplc="1009000B">
      <w:start w:val="1"/>
      <w:numFmt w:val="bullet"/>
      <w:lvlText w:val=""/>
      <w:lvlJc w:val="left"/>
      <w:pPr>
        <w:ind w:left="2880" w:hanging="360"/>
      </w:pPr>
      <w:rPr>
        <w:rFonts w:ascii="Wingdings" w:hAnsi="Wingdings"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FA7E17"/>
    <w:multiLevelType w:val="hybridMultilevel"/>
    <w:tmpl w:val="196A3F5A"/>
    <w:lvl w:ilvl="0" w:tplc="C9903C30">
      <w:start w:val="1"/>
      <w:numFmt w:val="bullet"/>
      <w:lvlText w:val="-"/>
      <w:lvlJc w:val="left"/>
      <w:pPr>
        <w:ind w:left="1440" w:hanging="360"/>
      </w:pPr>
      <w:rPr>
        <w:rFonts w:ascii="Times New Roman" w:hAnsi="Times New Roman" w:cs="Times New Roman" w:hint="default"/>
      </w:rPr>
    </w:lvl>
    <w:lvl w:ilvl="1" w:tplc="C9903C30">
      <w:start w:val="1"/>
      <w:numFmt w:val="bullet"/>
      <w:lvlText w:val="-"/>
      <w:lvlJc w:val="left"/>
      <w:pPr>
        <w:ind w:left="2160" w:hanging="360"/>
      </w:pPr>
      <w:rPr>
        <w:rFonts w:ascii="Times New Roman" w:hAnsi="Times New Roman" w:cs="Times New Roman"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90405F0"/>
    <w:multiLevelType w:val="hybridMultilevel"/>
    <w:tmpl w:val="BCEE817A"/>
    <w:lvl w:ilvl="0" w:tplc="4D8EA356">
      <w:numFmt w:val="bullet"/>
      <w:lvlText w:val="-"/>
      <w:lvlJc w:val="left"/>
      <w:pPr>
        <w:ind w:left="360" w:hanging="360"/>
      </w:pPr>
      <w:rPr>
        <w:rFonts w:ascii="Times New Roman" w:eastAsia="Calibri" w:hAnsi="Times New Roman"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F793C1B"/>
    <w:multiLevelType w:val="hybridMultilevel"/>
    <w:tmpl w:val="2DA0DE4E"/>
    <w:lvl w:ilvl="0" w:tplc="C9903C30">
      <w:start w:val="1"/>
      <w:numFmt w:val="bullet"/>
      <w:lvlText w:val="-"/>
      <w:lvlJc w:val="left"/>
      <w:pPr>
        <w:ind w:left="1068" w:hanging="360"/>
      </w:pPr>
      <w:rPr>
        <w:rFonts w:ascii="Times New Roman" w:hAnsi="Times New Roman" w:cs="Times New Roman"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2" w15:restartNumberingAfterBreak="0">
    <w:nsid w:val="71D677E4"/>
    <w:multiLevelType w:val="hybridMultilevel"/>
    <w:tmpl w:val="4FBEABDE"/>
    <w:lvl w:ilvl="0" w:tplc="10090003">
      <w:start w:val="1"/>
      <w:numFmt w:val="bullet"/>
      <w:lvlText w:val="o"/>
      <w:lvlJc w:val="left"/>
      <w:pPr>
        <w:ind w:left="1211" w:hanging="360"/>
      </w:pPr>
      <w:rPr>
        <w:rFonts w:ascii="Courier New" w:hAnsi="Courier New" w:cs="Courier New" w:hint="default"/>
      </w:rPr>
    </w:lvl>
    <w:lvl w:ilvl="1" w:tplc="10090003">
      <w:start w:val="1"/>
      <w:numFmt w:val="bullet"/>
      <w:lvlText w:val="o"/>
      <w:lvlJc w:val="left"/>
      <w:pPr>
        <w:ind w:left="1931" w:hanging="360"/>
      </w:pPr>
      <w:rPr>
        <w:rFonts w:ascii="Courier New" w:hAnsi="Courier New" w:cs="Courier New" w:hint="default"/>
      </w:rPr>
    </w:lvl>
    <w:lvl w:ilvl="2" w:tplc="10090005">
      <w:start w:val="1"/>
      <w:numFmt w:val="bullet"/>
      <w:lvlText w:val=""/>
      <w:lvlJc w:val="left"/>
      <w:pPr>
        <w:ind w:left="2651" w:hanging="360"/>
      </w:pPr>
      <w:rPr>
        <w:rFonts w:ascii="Wingdings" w:hAnsi="Wingdings" w:hint="default"/>
      </w:rPr>
    </w:lvl>
    <w:lvl w:ilvl="3" w:tplc="10090001">
      <w:start w:val="1"/>
      <w:numFmt w:val="bullet"/>
      <w:lvlText w:val=""/>
      <w:lvlJc w:val="left"/>
      <w:pPr>
        <w:ind w:left="3371" w:hanging="360"/>
      </w:pPr>
      <w:rPr>
        <w:rFonts w:ascii="Symbol" w:hAnsi="Symbol" w:hint="default"/>
      </w:rPr>
    </w:lvl>
    <w:lvl w:ilvl="4" w:tplc="10090003">
      <w:start w:val="1"/>
      <w:numFmt w:val="bullet"/>
      <w:lvlText w:val="o"/>
      <w:lvlJc w:val="left"/>
      <w:pPr>
        <w:ind w:left="4091" w:hanging="360"/>
      </w:pPr>
      <w:rPr>
        <w:rFonts w:ascii="Courier New" w:hAnsi="Courier New" w:cs="Courier New" w:hint="default"/>
      </w:rPr>
    </w:lvl>
    <w:lvl w:ilvl="5" w:tplc="10090005">
      <w:start w:val="1"/>
      <w:numFmt w:val="bullet"/>
      <w:lvlText w:val=""/>
      <w:lvlJc w:val="left"/>
      <w:pPr>
        <w:ind w:left="4811" w:hanging="360"/>
      </w:pPr>
      <w:rPr>
        <w:rFonts w:ascii="Wingdings" w:hAnsi="Wingdings" w:hint="default"/>
      </w:rPr>
    </w:lvl>
    <w:lvl w:ilvl="6" w:tplc="10090001">
      <w:start w:val="1"/>
      <w:numFmt w:val="bullet"/>
      <w:lvlText w:val=""/>
      <w:lvlJc w:val="left"/>
      <w:pPr>
        <w:ind w:left="5531" w:hanging="360"/>
      </w:pPr>
      <w:rPr>
        <w:rFonts w:ascii="Symbol" w:hAnsi="Symbol" w:hint="default"/>
      </w:rPr>
    </w:lvl>
    <w:lvl w:ilvl="7" w:tplc="10090003">
      <w:start w:val="1"/>
      <w:numFmt w:val="bullet"/>
      <w:lvlText w:val="o"/>
      <w:lvlJc w:val="left"/>
      <w:pPr>
        <w:ind w:left="6251" w:hanging="360"/>
      </w:pPr>
      <w:rPr>
        <w:rFonts w:ascii="Courier New" w:hAnsi="Courier New" w:cs="Courier New" w:hint="default"/>
      </w:rPr>
    </w:lvl>
    <w:lvl w:ilvl="8" w:tplc="10090005">
      <w:start w:val="1"/>
      <w:numFmt w:val="bullet"/>
      <w:lvlText w:val=""/>
      <w:lvlJc w:val="left"/>
      <w:pPr>
        <w:ind w:left="6971" w:hanging="360"/>
      </w:pPr>
      <w:rPr>
        <w:rFonts w:ascii="Wingdings" w:hAnsi="Wingdings" w:hint="default"/>
      </w:rPr>
    </w:lvl>
  </w:abstractNum>
  <w:abstractNum w:abstractNumId="33" w15:restartNumberingAfterBreak="0">
    <w:nsid w:val="72E04239"/>
    <w:multiLevelType w:val="hybridMultilevel"/>
    <w:tmpl w:val="99D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65520"/>
    <w:multiLevelType w:val="hybridMultilevel"/>
    <w:tmpl w:val="9EDCE4CE"/>
    <w:lvl w:ilvl="0" w:tplc="10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39A247F"/>
    <w:multiLevelType w:val="hybridMultilevel"/>
    <w:tmpl w:val="C8F0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02831"/>
    <w:multiLevelType w:val="hybridMultilevel"/>
    <w:tmpl w:val="3FD42B82"/>
    <w:lvl w:ilvl="0" w:tplc="C9903C30">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D3E073F"/>
    <w:multiLevelType w:val="hybridMultilevel"/>
    <w:tmpl w:val="5BB2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655B3"/>
    <w:multiLevelType w:val="hybridMultilevel"/>
    <w:tmpl w:val="53C4FDF0"/>
    <w:lvl w:ilvl="0" w:tplc="2B6AF4F8">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29"/>
  </w:num>
  <w:num w:numId="3">
    <w:abstractNumId w:val="23"/>
  </w:num>
  <w:num w:numId="4">
    <w:abstractNumId w:val="17"/>
  </w:num>
  <w:num w:numId="5">
    <w:abstractNumId w:val="1"/>
  </w:num>
  <w:num w:numId="6">
    <w:abstractNumId w:val="7"/>
  </w:num>
  <w:num w:numId="7">
    <w:abstractNumId w:val="26"/>
  </w:num>
  <w:num w:numId="8">
    <w:abstractNumId w:val="5"/>
  </w:num>
  <w:num w:numId="9">
    <w:abstractNumId w:val="24"/>
  </w:num>
  <w:num w:numId="10">
    <w:abstractNumId w:val="27"/>
  </w:num>
  <w:num w:numId="11">
    <w:abstractNumId w:val="20"/>
  </w:num>
  <w:num w:numId="12">
    <w:abstractNumId w:val="8"/>
  </w:num>
  <w:num w:numId="13">
    <w:abstractNumId w:val="14"/>
  </w:num>
  <w:num w:numId="14">
    <w:abstractNumId w:val="6"/>
  </w:num>
  <w:num w:numId="15">
    <w:abstractNumId w:val="28"/>
  </w:num>
  <w:num w:numId="16">
    <w:abstractNumId w:val="36"/>
  </w:num>
  <w:num w:numId="17">
    <w:abstractNumId w:val="10"/>
  </w:num>
  <w:num w:numId="18">
    <w:abstractNumId w:val="31"/>
  </w:num>
  <w:num w:numId="19">
    <w:abstractNumId w:val="13"/>
  </w:num>
  <w:num w:numId="20">
    <w:abstractNumId w:val="12"/>
  </w:num>
  <w:num w:numId="21">
    <w:abstractNumId w:val="19"/>
  </w:num>
  <w:num w:numId="22">
    <w:abstractNumId w:val="35"/>
  </w:num>
  <w:num w:numId="23">
    <w:abstractNumId w:val="2"/>
  </w:num>
  <w:num w:numId="24">
    <w:abstractNumId w:val="4"/>
  </w:num>
  <w:num w:numId="25">
    <w:abstractNumId w:val="3"/>
  </w:num>
  <w:num w:numId="26">
    <w:abstractNumId w:val="0"/>
  </w:num>
  <w:num w:numId="27">
    <w:abstractNumId w:val="33"/>
  </w:num>
  <w:num w:numId="28">
    <w:abstractNumId w:val="22"/>
  </w:num>
  <w:num w:numId="29">
    <w:abstractNumId w:val="37"/>
  </w:num>
  <w:num w:numId="30">
    <w:abstractNumId w:val="15"/>
  </w:num>
  <w:num w:numId="31">
    <w:abstractNumId w:val="21"/>
  </w:num>
  <w:num w:numId="32">
    <w:abstractNumId w:val="18"/>
  </w:num>
  <w:num w:numId="33">
    <w:abstractNumId w:val="12"/>
  </w:num>
  <w:num w:numId="34">
    <w:abstractNumId w:val="16"/>
  </w:num>
  <w:num w:numId="35">
    <w:abstractNumId w:val="32"/>
  </w:num>
  <w:num w:numId="36">
    <w:abstractNumId w:val="34"/>
  </w:num>
  <w:num w:numId="37">
    <w:abstractNumId w:val="9"/>
  </w:num>
  <w:num w:numId="38">
    <w:abstractNumId w:val="25"/>
  </w:num>
  <w:num w:numId="39">
    <w:abstractNumId w:val="3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F"/>
    <w:rsid w:val="00000310"/>
    <w:rsid w:val="000006BE"/>
    <w:rsid w:val="0000094C"/>
    <w:rsid w:val="000015F0"/>
    <w:rsid w:val="00001977"/>
    <w:rsid w:val="00001B63"/>
    <w:rsid w:val="00001D52"/>
    <w:rsid w:val="00001F2F"/>
    <w:rsid w:val="000027C8"/>
    <w:rsid w:val="000028F0"/>
    <w:rsid w:val="00003758"/>
    <w:rsid w:val="0000547E"/>
    <w:rsid w:val="0000569A"/>
    <w:rsid w:val="00005976"/>
    <w:rsid w:val="00005C1C"/>
    <w:rsid w:val="00005C47"/>
    <w:rsid w:val="00005CCB"/>
    <w:rsid w:val="000062AF"/>
    <w:rsid w:val="0000733F"/>
    <w:rsid w:val="00010463"/>
    <w:rsid w:val="00010DE5"/>
    <w:rsid w:val="0001169B"/>
    <w:rsid w:val="00011DE1"/>
    <w:rsid w:val="000130EC"/>
    <w:rsid w:val="0001378C"/>
    <w:rsid w:val="00013946"/>
    <w:rsid w:val="000140C1"/>
    <w:rsid w:val="000145E4"/>
    <w:rsid w:val="00014812"/>
    <w:rsid w:val="00014B4E"/>
    <w:rsid w:val="0001506C"/>
    <w:rsid w:val="000152C2"/>
    <w:rsid w:val="000157C5"/>
    <w:rsid w:val="00015D94"/>
    <w:rsid w:val="000163B3"/>
    <w:rsid w:val="0001674D"/>
    <w:rsid w:val="00016784"/>
    <w:rsid w:val="0001787F"/>
    <w:rsid w:val="00017EB9"/>
    <w:rsid w:val="00021423"/>
    <w:rsid w:val="00021B0A"/>
    <w:rsid w:val="00021FCF"/>
    <w:rsid w:val="00023443"/>
    <w:rsid w:val="00023460"/>
    <w:rsid w:val="00023771"/>
    <w:rsid w:val="000239BA"/>
    <w:rsid w:val="00023B22"/>
    <w:rsid w:val="00024722"/>
    <w:rsid w:val="00024786"/>
    <w:rsid w:val="00024A5A"/>
    <w:rsid w:val="00024D23"/>
    <w:rsid w:val="00025703"/>
    <w:rsid w:val="00025A29"/>
    <w:rsid w:val="000264D6"/>
    <w:rsid w:val="000276F1"/>
    <w:rsid w:val="00030E56"/>
    <w:rsid w:val="00031005"/>
    <w:rsid w:val="0003119F"/>
    <w:rsid w:val="00031CAC"/>
    <w:rsid w:val="000321C7"/>
    <w:rsid w:val="00032285"/>
    <w:rsid w:val="0003256E"/>
    <w:rsid w:val="00032AB2"/>
    <w:rsid w:val="00033657"/>
    <w:rsid w:val="00033957"/>
    <w:rsid w:val="00033E0F"/>
    <w:rsid w:val="0003402E"/>
    <w:rsid w:val="00034A9C"/>
    <w:rsid w:val="00035ED6"/>
    <w:rsid w:val="00036499"/>
    <w:rsid w:val="000367DF"/>
    <w:rsid w:val="000377DB"/>
    <w:rsid w:val="00037C85"/>
    <w:rsid w:val="00040673"/>
    <w:rsid w:val="00040A0A"/>
    <w:rsid w:val="000414B1"/>
    <w:rsid w:val="00041AA9"/>
    <w:rsid w:val="000428B6"/>
    <w:rsid w:val="00042FCC"/>
    <w:rsid w:val="00043679"/>
    <w:rsid w:val="00043A00"/>
    <w:rsid w:val="00044222"/>
    <w:rsid w:val="000449E1"/>
    <w:rsid w:val="00044A99"/>
    <w:rsid w:val="00044B46"/>
    <w:rsid w:val="00045AE2"/>
    <w:rsid w:val="00047232"/>
    <w:rsid w:val="000513A4"/>
    <w:rsid w:val="00051B9F"/>
    <w:rsid w:val="00051CBD"/>
    <w:rsid w:val="000534C1"/>
    <w:rsid w:val="000536C4"/>
    <w:rsid w:val="00053839"/>
    <w:rsid w:val="00053849"/>
    <w:rsid w:val="0005412F"/>
    <w:rsid w:val="000545B4"/>
    <w:rsid w:val="00054AD2"/>
    <w:rsid w:val="00055109"/>
    <w:rsid w:val="00056AEC"/>
    <w:rsid w:val="00056D78"/>
    <w:rsid w:val="000574A5"/>
    <w:rsid w:val="000575A8"/>
    <w:rsid w:val="00057D51"/>
    <w:rsid w:val="000607F3"/>
    <w:rsid w:val="00060994"/>
    <w:rsid w:val="00060ABD"/>
    <w:rsid w:val="00061F7F"/>
    <w:rsid w:val="00061FF5"/>
    <w:rsid w:val="0006270D"/>
    <w:rsid w:val="00062801"/>
    <w:rsid w:val="00063407"/>
    <w:rsid w:val="00063AD1"/>
    <w:rsid w:val="000642F0"/>
    <w:rsid w:val="0006440D"/>
    <w:rsid w:val="00064F3D"/>
    <w:rsid w:val="00065BD2"/>
    <w:rsid w:val="0006619F"/>
    <w:rsid w:val="000672E4"/>
    <w:rsid w:val="00070295"/>
    <w:rsid w:val="00070675"/>
    <w:rsid w:val="00070731"/>
    <w:rsid w:val="00070C1E"/>
    <w:rsid w:val="00071530"/>
    <w:rsid w:val="00071CDA"/>
    <w:rsid w:val="000722E3"/>
    <w:rsid w:val="00072998"/>
    <w:rsid w:val="00072F85"/>
    <w:rsid w:val="00073727"/>
    <w:rsid w:val="000741C0"/>
    <w:rsid w:val="00074658"/>
    <w:rsid w:val="000757A5"/>
    <w:rsid w:val="00075D81"/>
    <w:rsid w:val="000761EC"/>
    <w:rsid w:val="00076578"/>
    <w:rsid w:val="00077031"/>
    <w:rsid w:val="0007767C"/>
    <w:rsid w:val="00077A1F"/>
    <w:rsid w:val="00077C99"/>
    <w:rsid w:val="00080105"/>
    <w:rsid w:val="000804B2"/>
    <w:rsid w:val="00080543"/>
    <w:rsid w:val="00080B37"/>
    <w:rsid w:val="00081093"/>
    <w:rsid w:val="0008149C"/>
    <w:rsid w:val="00081CAA"/>
    <w:rsid w:val="00082012"/>
    <w:rsid w:val="000821F4"/>
    <w:rsid w:val="00082B3F"/>
    <w:rsid w:val="000830A7"/>
    <w:rsid w:val="0008377F"/>
    <w:rsid w:val="000837E3"/>
    <w:rsid w:val="00083907"/>
    <w:rsid w:val="000848C0"/>
    <w:rsid w:val="00084A9B"/>
    <w:rsid w:val="00084FD0"/>
    <w:rsid w:val="0008520C"/>
    <w:rsid w:val="0008540A"/>
    <w:rsid w:val="00085A55"/>
    <w:rsid w:val="00086001"/>
    <w:rsid w:val="0008612E"/>
    <w:rsid w:val="00086A10"/>
    <w:rsid w:val="00086DB0"/>
    <w:rsid w:val="00086EA5"/>
    <w:rsid w:val="000871F3"/>
    <w:rsid w:val="00090B9E"/>
    <w:rsid w:val="00090C38"/>
    <w:rsid w:val="00090F59"/>
    <w:rsid w:val="00091BE8"/>
    <w:rsid w:val="00091EEB"/>
    <w:rsid w:val="000923B4"/>
    <w:rsid w:val="00092BDA"/>
    <w:rsid w:val="00093021"/>
    <w:rsid w:val="000938C5"/>
    <w:rsid w:val="00093F7E"/>
    <w:rsid w:val="0009469D"/>
    <w:rsid w:val="00095677"/>
    <w:rsid w:val="000967C2"/>
    <w:rsid w:val="00097400"/>
    <w:rsid w:val="000A0D63"/>
    <w:rsid w:val="000A0F39"/>
    <w:rsid w:val="000A1673"/>
    <w:rsid w:val="000A26B8"/>
    <w:rsid w:val="000A2BF8"/>
    <w:rsid w:val="000A2E08"/>
    <w:rsid w:val="000A30FF"/>
    <w:rsid w:val="000A41A8"/>
    <w:rsid w:val="000A41AC"/>
    <w:rsid w:val="000A581C"/>
    <w:rsid w:val="000A5C53"/>
    <w:rsid w:val="000A6D68"/>
    <w:rsid w:val="000A6EE4"/>
    <w:rsid w:val="000A7164"/>
    <w:rsid w:val="000A721D"/>
    <w:rsid w:val="000A77DB"/>
    <w:rsid w:val="000B037D"/>
    <w:rsid w:val="000B098C"/>
    <w:rsid w:val="000B175F"/>
    <w:rsid w:val="000B28FA"/>
    <w:rsid w:val="000B2BCA"/>
    <w:rsid w:val="000B3467"/>
    <w:rsid w:val="000B34E3"/>
    <w:rsid w:val="000B4114"/>
    <w:rsid w:val="000B47C3"/>
    <w:rsid w:val="000B4B7F"/>
    <w:rsid w:val="000B4BB7"/>
    <w:rsid w:val="000B5C23"/>
    <w:rsid w:val="000B5F96"/>
    <w:rsid w:val="000B658B"/>
    <w:rsid w:val="000B6DC3"/>
    <w:rsid w:val="000B7131"/>
    <w:rsid w:val="000B750A"/>
    <w:rsid w:val="000B7F82"/>
    <w:rsid w:val="000C00A6"/>
    <w:rsid w:val="000C142D"/>
    <w:rsid w:val="000C14E0"/>
    <w:rsid w:val="000C1FAF"/>
    <w:rsid w:val="000C22CC"/>
    <w:rsid w:val="000C2659"/>
    <w:rsid w:val="000C2E9E"/>
    <w:rsid w:val="000C338C"/>
    <w:rsid w:val="000C3C90"/>
    <w:rsid w:val="000C3CB6"/>
    <w:rsid w:val="000C4058"/>
    <w:rsid w:val="000C4F60"/>
    <w:rsid w:val="000C6C3F"/>
    <w:rsid w:val="000C6F80"/>
    <w:rsid w:val="000C7CCA"/>
    <w:rsid w:val="000D03F8"/>
    <w:rsid w:val="000D07B2"/>
    <w:rsid w:val="000D2EAF"/>
    <w:rsid w:val="000D2F66"/>
    <w:rsid w:val="000D35BC"/>
    <w:rsid w:val="000D379F"/>
    <w:rsid w:val="000D3B66"/>
    <w:rsid w:val="000D3C31"/>
    <w:rsid w:val="000D3DC2"/>
    <w:rsid w:val="000D5FB6"/>
    <w:rsid w:val="000D61D9"/>
    <w:rsid w:val="000D62A0"/>
    <w:rsid w:val="000D7CD9"/>
    <w:rsid w:val="000E034E"/>
    <w:rsid w:val="000E047D"/>
    <w:rsid w:val="000E0A2B"/>
    <w:rsid w:val="000E0B0C"/>
    <w:rsid w:val="000E17BE"/>
    <w:rsid w:val="000E1F2A"/>
    <w:rsid w:val="000E245E"/>
    <w:rsid w:val="000E27CD"/>
    <w:rsid w:val="000E2AC6"/>
    <w:rsid w:val="000E2D03"/>
    <w:rsid w:val="000E2D47"/>
    <w:rsid w:val="000E2EF8"/>
    <w:rsid w:val="000E3966"/>
    <w:rsid w:val="000E3ADA"/>
    <w:rsid w:val="000E41F8"/>
    <w:rsid w:val="000E4446"/>
    <w:rsid w:val="000E5780"/>
    <w:rsid w:val="000E652B"/>
    <w:rsid w:val="000E715B"/>
    <w:rsid w:val="000E7BB7"/>
    <w:rsid w:val="000E7DE5"/>
    <w:rsid w:val="000F0706"/>
    <w:rsid w:val="000F1755"/>
    <w:rsid w:val="000F17CA"/>
    <w:rsid w:val="000F1850"/>
    <w:rsid w:val="000F19FA"/>
    <w:rsid w:val="000F2018"/>
    <w:rsid w:val="000F210B"/>
    <w:rsid w:val="000F227B"/>
    <w:rsid w:val="000F238E"/>
    <w:rsid w:val="000F28C0"/>
    <w:rsid w:val="000F31E7"/>
    <w:rsid w:val="000F3E22"/>
    <w:rsid w:val="000F458C"/>
    <w:rsid w:val="000F50AB"/>
    <w:rsid w:val="000F5E38"/>
    <w:rsid w:val="000F6272"/>
    <w:rsid w:val="000F6D58"/>
    <w:rsid w:val="000F6F5A"/>
    <w:rsid w:val="000F71E2"/>
    <w:rsid w:val="000F74C8"/>
    <w:rsid w:val="000F7632"/>
    <w:rsid w:val="000F76CE"/>
    <w:rsid w:val="00100365"/>
    <w:rsid w:val="00100540"/>
    <w:rsid w:val="001011A8"/>
    <w:rsid w:val="00101832"/>
    <w:rsid w:val="00101E0B"/>
    <w:rsid w:val="00101F73"/>
    <w:rsid w:val="00102AD3"/>
    <w:rsid w:val="00102DF6"/>
    <w:rsid w:val="00102E34"/>
    <w:rsid w:val="00103504"/>
    <w:rsid w:val="00103A66"/>
    <w:rsid w:val="00103C05"/>
    <w:rsid w:val="001040EF"/>
    <w:rsid w:val="0010458A"/>
    <w:rsid w:val="0010475F"/>
    <w:rsid w:val="00104AC5"/>
    <w:rsid w:val="0010505D"/>
    <w:rsid w:val="001050D4"/>
    <w:rsid w:val="00105248"/>
    <w:rsid w:val="001053B3"/>
    <w:rsid w:val="0010611E"/>
    <w:rsid w:val="00106277"/>
    <w:rsid w:val="00106D96"/>
    <w:rsid w:val="001075DA"/>
    <w:rsid w:val="00107EEB"/>
    <w:rsid w:val="001107E2"/>
    <w:rsid w:val="001109B9"/>
    <w:rsid w:val="00110A32"/>
    <w:rsid w:val="00110ABD"/>
    <w:rsid w:val="001122B1"/>
    <w:rsid w:val="00112D12"/>
    <w:rsid w:val="0011316C"/>
    <w:rsid w:val="00113365"/>
    <w:rsid w:val="0011435A"/>
    <w:rsid w:val="001147A9"/>
    <w:rsid w:val="00114AAA"/>
    <w:rsid w:val="001155E0"/>
    <w:rsid w:val="001157E9"/>
    <w:rsid w:val="00116B13"/>
    <w:rsid w:val="00117B4A"/>
    <w:rsid w:val="00120469"/>
    <w:rsid w:val="001206E9"/>
    <w:rsid w:val="00121A81"/>
    <w:rsid w:val="0012274D"/>
    <w:rsid w:val="00122C7A"/>
    <w:rsid w:val="00123563"/>
    <w:rsid w:val="001236F6"/>
    <w:rsid w:val="00123902"/>
    <w:rsid w:val="00123C02"/>
    <w:rsid w:val="00124CB0"/>
    <w:rsid w:val="00125DBD"/>
    <w:rsid w:val="00127092"/>
    <w:rsid w:val="00127241"/>
    <w:rsid w:val="00127D75"/>
    <w:rsid w:val="001308A9"/>
    <w:rsid w:val="001310FA"/>
    <w:rsid w:val="00131FDA"/>
    <w:rsid w:val="001320DE"/>
    <w:rsid w:val="001331E9"/>
    <w:rsid w:val="001337B0"/>
    <w:rsid w:val="001348AF"/>
    <w:rsid w:val="00134CD6"/>
    <w:rsid w:val="0013526E"/>
    <w:rsid w:val="001353D5"/>
    <w:rsid w:val="00135525"/>
    <w:rsid w:val="001359DE"/>
    <w:rsid w:val="00137C2B"/>
    <w:rsid w:val="00140365"/>
    <w:rsid w:val="00140A14"/>
    <w:rsid w:val="00141998"/>
    <w:rsid w:val="001419AA"/>
    <w:rsid w:val="00141FFC"/>
    <w:rsid w:val="0014226F"/>
    <w:rsid w:val="001425D4"/>
    <w:rsid w:val="00142A0D"/>
    <w:rsid w:val="00142CE7"/>
    <w:rsid w:val="001430A9"/>
    <w:rsid w:val="001436E5"/>
    <w:rsid w:val="00143AA1"/>
    <w:rsid w:val="00143C51"/>
    <w:rsid w:val="00143DF0"/>
    <w:rsid w:val="001442D2"/>
    <w:rsid w:val="00144C29"/>
    <w:rsid w:val="00145411"/>
    <w:rsid w:val="0014581C"/>
    <w:rsid w:val="00145BF3"/>
    <w:rsid w:val="00145F83"/>
    <w:rsid w:val="001464F3"/>
    <w:rsid w:val="0014728E"/>
    <w:rsid w:val="00147FB6"/>
    <w:rsid w:val="0015115E"/>
    <w:rsid w:val="00151BD4"/>
    <w:rsid w:val="00151CE2"/>
    <w:rsid w:val="0015351D"/>
    <w:rsid w:val="00153E8B"/>
    <w:rsid w:val="001556DE"/>
    <w:rsid w:val="0015588D"/>
    <w:rsid w:val="00155B9D"/>
    <w:rsid w:val="00155D16"/>
    <w:rsid w:val="00155E67"/>
    <w:rsid w:val="001561E2"/>
    <w:rsid w:val="001563ED"/>
    <w:rsid w:val="00156887"/>
    <w:rsid w:val="00156DD2"/>
    <w:rsid w:val="00157A78"/>
    <w:rsid w:val="00160AA4"/>
    <w:rsid w:val="00160D49"/>
    <w:rsid w:val="001612C9"/>
    <w:rsid w:val="001615A7"/>
    <w:rsid w:val="00161E49"/>
    <w:rsid w:val="0016233B"/>
    <w:rsid w:val="00162F0F"/>
    <w:rsid w:val="001632C7"/>
    <w:rsid w:val="00163339"/>
    <w:rsid w:val="00163A13"/>
    <w:rsid w:val="00164008"/>
    <w:rsid w:val="00164BD6"/>
    <w:rsid w:val="00164C8D"/>
    <w:rsid w:val="00165206"/>
    <w:rsid w:val="0016552A"/>
    <w:rsid w:val="00166070"/>
    <w:rsid w:val="00166240"/>
    <w:rsid w:val="00166369"/>
    <w:rsid w:val="00166D7E"/>
    <w:rsid w:val="00167099"/>
    <w:rsid w:val="00167D87"/>
    <w:rsid w:val="00171574"/>
    <w:rsid w:val="001721B1"/>
    <w:rsid w:val="001721FC"/>
    <w:rsid w:val="001728B6"/>
    <w:rsid w:val="001732FE"/>
    <w:rsid w:val="00173BEF"/>
    <w:rsid w:val="00173F6A"/>
    <w:rsid w:val="0017410A"/>
    <w:rsid w:val="001742B7"/>
    <w:rsid w:val="00174D2D"/>
    <w:rsid w:val="001754EF"/>
    <w:rsid w:val="001767FA"/>
    <w:rsid w:val="0017684A"/>
    <w:rsid w:val="00177036"/>
    <w:rsid w:val="00177AF3"/>
    <w:rsid w:val="0018108E"/>
    <w:rsid w:val="00181365"/>
    <w:rsid w:val="001813CB"/>
    <w:rsid w:val="001815DF"/>
    <w:rsid w:val="00182082"/>
    <w:rsid w:val="00182E8D"/>
    <w:rsid w:val="001832F2"/>
    <w:rsid w:val="0018334B"/>
    <w:rsid w:val="001833B9"/>
    <w:rsid w:val="00183B01"/>
    <w:rsid w:val="001845A5"/>
    <w:rsid w:val="00184D9F"/>
    <w:rsid w:val="001858C6"/>
    <w:rsid w:val="00186246"/>
    <w:rsid w:val="001862AE"/>
    <w:rsid w:val="00186C28"/>
    <w:rsid w:val="001870EC"/>
    <w:rsid w:val="00187A66"/>
    <w:rsid w:val="001900D9"/>
    <w:rsid w:val="00190508"/>
    <w:rsid w:val="0019084E"/>
    <w:rsid w:val="00190A51"/>
    <w:rsid w:val="00190B37"/>
    <w:rsid w:val="00191E44"/>
    <w:rsid w:val="00191EF6"/>
    <w:rsid w:val="001921DF"/>
    <w:rsid w:val="00192987"/>
    <w:rsid w:val="00193183"/>
    <w:rsid w:val="00193775"/>
    <w:rsid w:val="0019380A"/>
    <w:rsid w:val="0019382C"/>
    <w:rsid w:val="00193EB7"/>
    <w:rsid w:val="0019440D"/>
    <w:rsid w:val="001960A7"/>
    <w:rsid w:val="00196388"/>
    <w:rsid w:val="001969F6"/>
    <w:rsid w:val="00196D03"/>
    <w:rsid w:val="00197167"/>
    <w:rsid w:val="001975B3"/>
    <w:rsid w:val="001A07DD"/>
    <w:rsid w:val="001A1A33"/>
    <w:rsid w:val="001A1D74"/>
    <w:rsid w:val="001A2447"/>
    <w:rsid w:val="001A3ADF"/>
    <w:rsid w:val="001A3CB8"/>
    <w:rsid w:val="001A47FE"/>
    <w:rsid w:val="001A517B"/>
    <w:rsid w:val="001A5CD0"/>
    <w:rsid w:val="001A657B"/>
    <w:rsid w:val="001A65B4"/>
    <w:rsid w:val="001A7307"/>
    <w:rsid w:val="001A787B"/>
    <w:rsid w:val="001A7A57"/>
    <w:rsid w:val="001A7AC5"/>
    <w:rsid w:val="001B0C88"/>
    <w:rsid w:val="001B110B"/>
    <w:rsid w:val="001B1E32"/>
    <w:rsid w:val="001B22CA"/>
    <w:rsid w:val="001B2A35"/>
    <w:rsid w:val="001B3850"/>
    <w:rsid w:val="001B3BFD"/>
    <w:rsid w:val="001B3DA3"/>
    <w:rsid w:val="001B3FB3"/>
    <w:rsid w:val="001B4402"/>
    <w:rsid w:val="001B46C3"/>
    <w:rsid w:val="001B5140"/>
    <w:rsid w:val="001B5619"/>
    <w:rsid w:val="001B5627"/>
    <w:rsid w:val="001B6480"/>
    <w:rsid w:val="001B649B"/>
    <w:rsid w:val="001B6EF4"/>
    <w:rsid w:val="001B7348"/>
    <w:rsid w:val="001C089B"/>
    <w:rsid w:val="001C0C3A"/>
    <w:rsid w:val="001C0D31"/>
    <w:rsid w:val="001C0E84"/>
    <w:rsid w:val="001C18F7"/>
    <w:rsid w:val="001C2173"/>
    <w:rsid w:val="001C28E8"/>
    <w:rsid w:val="001C300A"/>
    <w:rsid w:val="001C39BE"/>
    <w:rsid w:val="001C3A4C"/>
    <w:rsid w:val="001C402E"/>
    <w:rsid w:val="001C431F"/>
    <w:rsid w:val="001C4AAA"/>
    <w:rsid w:val="001C5186"/>
    <w:rsid w:val="001C5DB4"/>
    <w:rsid w:val="001C5EE3"/>
    <w:rsid w:val="001C6370"/>
    <w:rsid w:val="001C64A1"/>
    <w:rsid w:val="001C7F04"/>
    <w:rsid w:val="001D0DFA"/>
    <w:rsid w:val="001D0E75"/>
    <w:rsid w:val="001D1203"/>
    <w:rsid w:val="001D2666"/>
    <w:rsid w:val="001D28C4"/>
    <w:rsid w:val="001D2967"/>
    <w:rsid w:val="001D2CC9"/>
    <w:rsid w:val="001D32C1"/>
    <w:rsid w:val="001D3BD3"/>
    <w:rsid w:val="001D45DC"/>
    <w:rsid w:val="001D484A"/>
    <w:rsid w:val="001D4D80"/>
    <w:rsid w:val="001D5134"/>
    <w:rsid w:val="001D53EE"/>
    <w:rsid w:val="001D6328"/>
    <w:rsid w:val="001D6CFC"/>
    <w:rsid w:val="001D6E7D"/>
    <w:rsid w:val="001D6E7F"/>
    <w:rsid w:val="001D6F79"/>
    <w:rsid w:val="001D7D32"/>
    <w:rsid w:val="001E001E"/>
    <w:rsid w:val="001E0C91"/>
    <w:rsid w:val="001E104A"/>
    <w:rsid w:val="001E1627"/>
    <w:rsid w:val="001E1B25"/>
    <w:rsid w:val="001E1C52"/>
    <w:rsid w:val="001E2187"/>
    <w:rsid w:val="001E32FB"/>
    <w:rsid w:val="001E37AE"/>
    <w:rsid w:val="001E4039"/>
    <w:rsid w:val="001E4410"/>
    <w:rsid w:val="001E4AB5"/>
    <w:rsid w:val="001E4F2F"/>
    <w:rsid w:val="001E4FED"/>
    <w:rsid w:val="001E5521"/>
    <w:rsid w:val="001E55DA"/>
    <w:rsid w:val="001E56B6"/>
    <w:rsid w:val="001E5764"/>
    <w:rsid w:val="001E67CD"/>
    <w:rsid w:val="001E6AB5"/>
    <w:rsid w:val="001E6FC2"/>
    <w:rsid w:val="001E7B68"/>
    <w:rsid w:val="001E7BA7"/>
    <w:rsid w:val="001E7EDE"/>
    <w:rsid w:val="001F0262"/>
    <w:rsid w:val="001F0700"/>
    <w:rsid w:val="001F08F9"/>
    <w:rsid w:val="001F0FF3"/>
    <w:rsid w:val="001F1828"/>
    <w:rsid w:val="001F1E70"/>
    <w:rsid w:val="001F37AB"/>
    <w:rsid w:val="001F393E"/>
    <w:rsid w:val="001F3F90"/>
    <w:rsid w:val="001F4409"/>
    <w:rsid w:val="001F4B57"/>
    <w:rsid w:val="001F4F2F"/>
    <w:rsid w:val="001F5C53"/>
    <w:rsid w:val="001F6A9B"/>
    <w:rsid w:val="001F7593"/>
    <w:rsid w:val="00201402"/>
    <w:rsid w:val="00201526"/>
    <w:rsid w:val="0020270C"/>
    <w:rsid w:val="0020271D"/>
    <w:rsid w:val="0020398D"/>
    <w:rsid w:val="00203A27"/>
    <w:rsid w:val="00203CA8"/>
    <w:rsid w:val="00204015"/>
    <w:rsid w:val="00204626"/>
    <w:rsid w:val="002049C5"/>
    <w:rsid w:val="00204F4D"/>
    <w:rsid w:val="0020548E"/>
    <w:rsid w:val="00205504"/>
    <w:rsid w:val="00205FD8"/>
    <w:rsid w:val="0020614D"/>
    <w:rsid w:val="0020669E"/>
    <w:rsid w:val="00206884"/>
    <w:rsid w:val="00206CF4"/>
    <w:rsid w:val="002071DA"/>
    <w:rsid w:val="002074A9"/>
    <w:rsid w:val="00207673"/>
    <w:rsid w:val="002103B7"/>
    <w:rsid w:val="00210688"/>
    <w:rsid w:val="00210786"/>
    <w:rsid w:val="00211351"/>
    <w:rsid w:val="002119FC"/>
    <w:rsid w:val="00211AE7"/>
    <w:rsid w:val="00212C23"/>
    <w:rsid w:val="00212D7F"/>
    <w:rsid w:val="002130F9"/>
    <w:rsid w:val="00213245"/>
    <w:rsid w:val="00213E16"/>
    <w:rsid w:val="00213E43"/>
    <w:rsid w:val="0021430B"/>
    <w:rsid w:val="002144E5"/>
    <w:rsid w:val="0021492C"/>
    <w:rsid w:val="00214FAF"/>
    <w:rsid w:val="00215180"/>
    <w:rsid w:val="002164A1"/>
    <w:rsid w:val="00216B20"/>
    <w:rsid w:val="00217440"/>
    <w:rsid w:val="00217EFC"/>
    <w:rsid w:val="00220269"/>
    <w:rsid w:val="00222202"/>
    <w:rsid w:val="00222F14"/>
    <w:rsid w:val="0022422E"/>
    <w:rsid w:val="00225171"/>
    <w:rsid w:val="002257F3"/>
    <w:rsid w:val="002267A8"/>
    <w:rsid w:val="002267E7"/>
    <w:rsid w:val="00226EAB"/>
    <w:rsid w:val="0022745E"/>
    <w:rsid w:val="00227D33"/>
    <w:rsid w:val="00230373"/>
    <w:rsid w:val="00230B96"/>
    <w:rsid w:val="00230C6A"/>
    <w:rsid w:val="00230F85"/>
    <w:rsid w:val="00231180"/>
    <w:rsid w:val="002313BD"/>
    <w:rsid w:val="00231619"/>
    <w:rsid w:val="002316A5"/>
    <w:rsid w:val="00232CDF"/>
    <w:rsid w:val="00233BB7"/>
    <w:rsid w:val="002343C4"/>
    <w:rsid w:val="002346FE"/>
    <w:rsid w:val="00234792"/>
    <w:rsid w:val="00235724"/>
    <w:rsid w:val="0023607F"/>
    <w:rsid w:val="00236A1F"/>
    <w:rsid w:val="00237504"/>
    <w:rsid w:val="00240091"/>
    <w:rsid w:val="00240577"/>
    <w:rsid w:val="00240CB5"/>
    <w:rsid w:val="002416EE"/>
    <w:rsid w:val="00241EA0"/>
    <w:rsid w:val="002428E2"/>
    <w:rsid w:val="00243001"/>
    <w:rsid w:val="00243B33"/>
    <w:rsid w:val="00243C47"/>
    <w:rsid w:val="00244465"/>
    <w:rsid w:val="00244689"/>
    <w:rsid w:val="00244770"/>
    <w:rsid w:val="0024518F"/>
    <w:rsid w:val="00245466"/>
    <w:rsid w:val="00245510"/>
    <w:rsid w:val="00245C93"/>
    <w:rsid w:val="00245E87"/>
    <w:rsid w:val="00246617"/>
    <w:rsid w:val="00246964"/>
    <w:rsid w:val="00246DA6"/>
    <w:rsid w:val="00247294"/>
    <w:rsid w:val="0024740B"/>
    <w:rsid w:val="002475E1"/>
    <w:rsid w:val="0024777A"/>
    <w:rsid w:val="00247CA3"/>
    <w:rsid w:val="00247EE6"/>
    <w:rsid w:val="00247F78"/>
    <w:rsid w:val="002501D0"/>
    <w:rsid w:val="0025153B"/>
    <w:rsid w:val="002517AD"/>
    <w:rsid w:val="00251CA9"/>
    <w:rsid w:val="00252260"/>
    <w:rsid w:val="002522F5"/>
    <w:rsid w:val="00252ADC"/>
    <w:rsid w:val="00252D57"/>
    <w:rsid w:val="00252FEA"/>
    <w:rsid w:val="002538A0"/>
    <w:rsid w:val="0025392F"/>
    <w:rsid w:val="00253B62"/>
    <w:rsid w:val="002545BE"/>
    <w:rsid w:val="002548B3"/>
    <w:rsid w:val="002551D9"/>
    <w:rsid w:val="002553F4"/>
    <w:rsid w:val="0025565C"/>
    <w:rsid w:val="0025614C"/>
    <w:rsid w:val="00256FA8"/>
    <w:rsid w:val="00257EE6"/>
    <w:rsid w:val="0026046F"/>
    <w:rsid w:val="00260E7D"/>
    <w:rsid w:val="002615D6"/>
    <w:rsid w:val="00261B72"/>
    <w:rsid w:val="0026282C"/>
    <w:rsid w:val="00262845"/>
    <w:rsid w:val="00262A57"/>
    <w:rsid w:val="00263702"/>
    <w:rsid w:val="0026383D"/>
    <w:rsid w:val="00263C54"/>
    <w:rsid w:val="002648F3"/>
    <w:rsid w:val="00264B11"/>
    <w:rsid w:val="00264F3A"/>
    <w:rsid w:val="002654FF"/>
    <w:rsid w:val="00266977"/>
    <w:rsid w:val="00266D1B"/>
    <w:rsid w:val="002675B8"/>
    <w:rsid w:val="002679D2"/>
    <w:rsid w:val="00267E31"/>
    <w:rsid w:val="0027111E"/>
    <w:rsid w:val="00271AD9"/>
    <w:rsid w:val="00272FEE"/>
    <w:rsid w:val="0027300E"/>
    <w:rsid w:val="00273458"/>
    <w:rsid w:val="00274088"/>
    <w:rsid w:val="002744AC"/>
    <w:rsid w:val="00275C15"/>
    <w:rsid w:val="00276025"/>
    <w:rsid w:val="00276790"/>
    <w:rsid w:val="00276D34"/>
    <w:rsid w:val="00276D88"/>
    <w:rsid w:val="00276EE0"/>
    <w:rsid w:val="00276F35"/>
    <w:rsid w:val="002800C3"/>
    <w:rsid w:val="0028071B"/>
    <w:rsid w:val="00280A69"/>
    <w:rsid w:val="00280E23"/>
    <w:rsid w:val="002824EE"/>
    <w:rsid w:val="002828C3"/>
    <w:rsid w:val="00282CB7"/>
    <w:rsid w:val="002830CA"/>
    <w:rsid w:val="002835F3"/>
    <w:rsid w:val="002838CB"/>
    <w:rsid w:val="00284238"/>
    <w:rsid w:val="00284850"/>
    <w:rsid w:val="00284B12"/>
    <w:rsid w:val="00284FFC"/>
    <w:rsid w:val="0028584F"/>
    <w:rsid w:val="002858BD"/>
    <w:rsid w:val="00285B98"/>
    <w:rsid w:val="002862C7"/>
    <w:rsid w:val="0028648A"/>
    <w:rsid w:val="00286DAD"/>
    <w:rsid w:val="00287695"/>
    <w:rsid w:val="002876EE"/>
    <w:rsid w:val="00287BF0"/>
    <w:rsid w:val="00290F4E"/>
    <w:rsid w:val="00291395"/>
    <w:rsid w:val="002917B0"/>
    <w:rsid w:val="00292611"/>
    <w:rsid w:val="00292FB0"/>
    <w:rsid w:val="002931B4"/>
    <w:rsid w:val="0029391B"/>
    <w:rsid w:val="00293D8A"/>
    <w:rsid w:val="002944FA"/>
    <w:rsid w:val="002952DF"/>
    <w:rsid w:val="002955D7"/>
    <w:rsid w:val="002961A6"/>
    <w:rsid w:val="00296297"/>
    <w:rsid w:val="00296FA0"/>
    <w:rsid w:val="0029738C"/>
    <w:rsid w:val="002973CA"/>
    <w:rsid w:val="002A0290"/>
    <w:rsid w:val="002A0DF5"/>
    <w:rsid w:val="002A0EA9"/>
    <w:rsid w:val="002A10DF"/>
    <w:rsid w:val="002A1B8B"/>
    <w:rsid w:val="002A223E"/>
    <w:rsid w:val="002A247D"/>
    <w:rsid w:val="002A2541"/>
    <w:rsid w:val="002A25C7"/>
    <w:rsid w:val="002A278A"/>
    <w:rsid w:val="002A29A2"/>
    <w:rsid w:val="002A3CAD"/>
    <w:rsid w:val="002A4FAD"/>
    <w:rsid w:val="002A5066"/>
    <w:rsid w:val="002A5D39"/>
    <w:rsid w:val="002A5FC2"/>
    <w:rsid w:val="002A6682"/>
    <w:rsid w:val="002A6987"/>
    <w:rsid w:val="002A7C08"/>
    <w:rsid w:val="002A7DCF"/>
    <w:rsid w:val="002B1534"/>
    <w:rsid w:val="002B1586"/>
    <w:rsid w:val="002B1879"/>
    <w:rsid w:val="002B1C4E"/>
    <w:rsid w:val="002B235F"/>
    <w:rsid w:val="002B2490"/>
    <w:rsid w:val="002B26DF"/>
    <w:rsid w:val="002B2711"/>
    <w:rsid w:val="002B2C1B"/>
    <w:rsid w:val="002B37DE"/>
    <w:rsid w:val="002B4866"/>
    <w:rsid w:val="002B4B51"/>
    <w:rsid w:val="002B5319"/>
    <w:rsid w:val="002B585A"/>
    <w:rsid w:val="002B6122"/>
    <w:rsid w:val="002B698F"/>
    <w:rsid w:val="002B6F75"/>
    <w:rsid w:val="002B7696"/>
    <w:rsid w:val="002B7BAE"/>
    <w:rsid w:val="002B7C71"/>
    <w:rsid w:val="002C0085"/>
    <w:rsid w:val="002C0A8C"/>
    <w:rsid w:val="002C23A5"/>
    <w:rsid w:val="002C265C"/>
    <w:rsid w:val="002C2E2E"/>
    <w:rsid w:val="002C367B"/>
    <w:rsid w:val="002C3B24"/>
    <w:rsid w:val="002C3DC0"/>
    <w:rsid w:val="002C4265"/>
    <w:rsid w:val="002C4704"/>
    <w:rsid w:val="002C4B8D"/>
    <w:rsid w:val="002C5082"/>
    <w:rsid w:val="002C53CA"/>
    <w:rsid w:val="002C55E2"/>
    <w:rsid w:val="002C65A7"/>
    <w:rsid w:val="002C6F22"/>
    <w:rsid w:val="002C6F49"/>
    <w:rsid w:val="002C7B1F"/>
    <w:rsid w:val="002C7DC3"/>
    <w:rsid w:val="002D11B0"/>
    <w:rsid w:val="002D1590"/>
    <w:rsid w:val="002D2AFA"/>
    <w:rsid w:val="002D2FE4"/>
    <w:rsid w:val="002D3886"/>
    <w:rsid w:val="002D38F0"/>
    <w:rsid w:val="002D43AD"/>
    <w:rsid w:val="002D458A"/>
    <w:rsid w:val="002D458C"/>
    <w:rsid w:val="002D6EC8"/>
    <w:rsid w:val="002D74DF"/>
    <w:rsid w:val="002E023A"/>
    <w:rsid w:val="002E2446"/>
    <w:rsid w:val="002E359C"/>
    <w:rsid w:val="002E3BE4"/>
    <w:rsid w:val="002E4870"/>
    <w:rsid w:val="002E54CB"/>
    <w:rsid w:val="002E5A09"/>
    <w:rsid w:val="002E64A6"/>
    <w:rsid w:val="002E7C93"/>
    <w:rsid w:val="002F00AC"/>
    <w:rsid w:val="002F06C2"/>
    <w:rsid w:val="002F15D4"/>
    <w:rsid w:val="002F1853"/>
    <w:rsid w:val="002F235E"/>
    <w:rsid w:val="002F2EF7"/>
    <w:rsid w:val="002F331D"/>
    <w:rsid w:val="002F446F"/>
    <w:rsid w:val="002F4D43"/>
    <w:rsid w:val="002F5032"/>
    <w:rsid w:val="002F54AA"/>
    <w:rsid w:val="002F5B9F"/>
    <w:rsid w:val="002F6D27"/>
    <w:rsid w:val="002F6E80"/>
    <w:rsid w:val="002F6FED"/>
    <w:rsid w:val="002F7352"/>
    <w:rsid w:val="002F796B"/>
    <w:rsid w:val="002F7BB8"/>
    <w:rsid w:val="00300299"/>
    <w:rsid w:val="00300745"/>
    <w:rsid w:val="003017D5"/>
    <w:rsid w:val="00302279"/>
    <w:rsid w:val="0030247F"/>
    <w:rsid w:val="003025DD"/>
    <w:rsid w:val="00302BDE"/>
    <w:rsid w:val="00302D96"/>
    <w:rsid w:val="00303703"/>
    <w:rsid w:val="0030398A"/>
    <w:rsid w:val="003039D2"/>
    <w:rsid w:val="00304130"/>
    <w:rsid w:val="00304514"/>
    <w:rsid w:val="00304CD4"/>
    <w:rsid w:val="00304DB6"/>
    <w:rsid w:val="0030583B"/>
    <w:rsid w:val="00305DAE"/>
    <w:rsid w:val="00305E38"/>
    <w:rsid w:val="00306CAA"/>
    <w:rsid w:val="00307707"/>
    <w:rsid w:val="00307FE9"/>
    <w:rsid w:val="00310724"/>
    <w:rsid w:val="00310EF2"/>
    <w:rsid w:val="0031238C"/>
    <w:rsid w:val="0031242D"/>
    <w:rsid w:val="003126BB"/>
    <w:rsid w:val="00312ABB"/>
    <w:rsid w:val="003134F2"/>
    <w:rsid w:val="00313C56"/>
    <w:rsid w:val="00313D4C"/>
    <w:rsid w:val="00314C32"/>
    <w:rsid w:val="00314FA1"/>
    <w:rsid w:val="0031513C"/>
    <w:rsid w:val="0031564F"/>
    <w:rsid w:val="003157F8"/>
    <w:rsid w:val="00315C38"/>
    <w:rsid w:val="00315C92"/>
    <w:rsid w:val="00315ECC"/>
    <w:rsid w:val="003162C7"/>
    <w:rsid w:val="003163D8"/>
    <w:rsid w:val="003205F0"/>
    <w:rsid w:val="00321052"/>
    <w:rsid w:val="003210F2"/>
    <w:rsid w:val="00321365"/>
    <w:rsid w:val="00321C25"/>
    <w:rsid w:val="00322965"/>
    <w:rsid w:val="00322F93"/>
    <w:rsid w:val="0032450D"/>
    <w:rsid w:val="00324DD4"/>
    <w:rsid w:val="00325E0D"/>
    <w:rsid w:val="00325F92"/>
    <w:rsid w:val="003266F9"/>
    <w:rsid w:val="00330B4C"/>
    <w:rsid w:val="00330D03"/>
    <w:rsid w:val="00331048"/>
    <w:rsid w:val="00331D86"/>
    <w:rsid w:val="00332004"/>
    <w:rsid w:val="0033350B"/>
    <w:rsid w:val="00333CC5"/>
    <w:rsid w:val="00334070"/>
    <w:rsid w:val="00334765"/>
    <w:rsid w:val="00334828"/>
    <w:rsid w:val="003352C8"/>
    <w:rsid w:val="0033621F"/>
    <w:rsid w:val="003363B9"/>
    <w:rsid w:val="0033642A"/>
    <w:rsid w:val="00336D31"/>
    <w:rsid w:val="0033795C"/>
    <w:rsid w:val="0034144F"/>
    <w:rsid w:val="00341B78"/>
    <w:rsid w:val="00342215"/>
    <w:rsid w:val="003433E9"/>
    <w:rsid w:val="003434D8"/>
    <w:rsid w:val="0034359B"/>
    <w:rsid w:val="0034384A"/>
    <w:rsid w:val="003445F7"/>
    <w:rsid w:val="00344BE2"/>
    <w:rsid w:val="00345206"/>
    <w:rsid w:val="003452D0"/>
    <w:rsid w:val="00345DBC"/>
    <w:rsid w:val="003463CC"/>
    <w:rsid w:val="00346AD2"/>
    <w:rsid w:val="00346CCB"/>
    <w:rsid w:val="003477CC"/>
    <w:rsid w:val="0034784E"/>
    <w:rsid w:val="003478AB"/>
    <w:rsid w:val="00347C8B"/>
    <w:rsid w:val="0035005B"/>
    <w:rsid w:val="00350161"/>
    <w:rsid w:val="00350A65"/>
    <w:rsid w:val="00350B75"/>
    <w:rsid w:val="00350F0D"/>
    <w:rsid w:val="0035120C"/>
    <w:rsid w:val="00351812"/>
    <w:rsid w:val="00351952"/>
    <w:rsid w:val="00351B76"/>
    <w:rsid w:val="003522D6"/>
    <w:rsid w:val="00352303"/>
    <w:rsid w:val="00352AB9"/>
    <w:rsid w:val="00353ABE"/>
    <w:rsid w:val="00353C60"/>
    <w:rsid w:val="003543FB"/>
    <w:rsid w:val="00354A2E"/>
    <w:rsid w:val="00354D0E"/>
    <w:rsid w:val="003556A8"/>
    <w:rsid w:val="00355A07"/>
    <w:rsid w:val="00355FBF"/>
    <w:rsid w:val="00356372"/>
    <w:rsid w:val="00356531"/>
    <w:rsid w:val="0035794E"/>
    <w:rsid w:val="00357E6F"/>
    <w:rsid w:val="0036181C"/>
    <w:rsid w:val="0036296A"/>
    <w:rsid w:val="00362AA0"/>
    <w:rsid w:val="00362ACA"/>
    <w:rsid w:val="0036345E"/>
    <w:rsid w:val="0036348B"/>
    <w:rsid w:val="00363970"/>
    <w:rsid w:val="00363CAC"/>
    <w:rsid w:val="00365599"/>
    <w:rsid w:val="003662BA"/>
    <w:rsid w:val="00366CCC"/>
    <w:rsid w:val="00367214"/>
    <w:rsid w:val="0036777F"/>
    <w:rsid w:val="00367AE3"/>
    <w:rsid w:val="00367CD6"/>
    <w:rsid w:val="00367E89"/>
    <w:rsid w:val="00367F83"/>
    <w:rsid w:val="0037040A"/>
    <w:rsid w:val="003705CC"/>
    <w:rsid w:val="00370A45"/>
    <w:rsid w:val="00370CBD"/>
    <w:rsid w:val="00371356"/>
    <w:rsid w:val="0037146D"/>
    <w:rsid w:val="003715F1"/>
    <w:rsid w:val="00371CDA"/>
    <w:rsid w:val="003723BA"/>
    <w:rsid w:val="003725D9"/>
    <w:rsid w:val="003727BC"/>
    <w:rsid w:val="00372A74"/>
    <w:rsid w:val="00372D27"/>
    <w:rsid w:val="003738F4"/>
    <w:rsid w:val="00373950"/>
    <w:rsid w:val="003740C7"/>
    <w:rsid w:val="0037461A"/>
    <w:rsid w:val="003750C6"/>
    <w:rsid w:val="00375A7F"/>
    <w:rsid w:val="00375D8D"/>
    <w:rsid w:val="00377228"/>
    <w:rsid w:val="00377A3B"/>
    <w:rsid w:val="00380114"/>
    <w:rsid w:val="00381E01"/>
    <w:rsid w:val="003822A5"/>
    <w:rsid w:val="0038359F"/>
    <w:rsid w:val="003835DC"/>
    <w:rsid w:val="0038517B"/>
    <w:rsid w:val="00385617"/>
    <w:rsid w:val="00385676"/>
    <w:rsid w:val="003856D3"/>
    <w:rsid w:val="00385F63"/>
    <w:rsid w:val="0038623D"/>
    <w:rsid w:val="003863BA"/>
    <w:rsid w:val="003865EF"/>
    <w:rsid w:val="00386D7D"/>
    <w:rsid w:val="00386E79"/>
    <w:rsid w:val="00387881"/>
    <w:rsid w:val="003878E9"/>
    <w:rsid w:val="00387B62"/>
    <w:rsid w:val="00390361"/>
    <w:rsid w:val="00391885"/>
    <w:rsid w:val="00391B88"/>
    <w:rsid w:val="003921D0"/>
    <w:rsid w:val="00392DEC"/>
    <w:rsid w:val="00392FB5"/>
    <w:rsid w:val="003932CB"/>
    <w:rsid w:val="003938CE"/>
    <w:rsid w:val="00393982"/>
    <w:rsid w:val="003939F8"/>
    <w:rsid w:val="00393AD4"/>
    <w:rsid w:val="00394680"/>
    <w:rsid w:val="003949DC"/>
    <w:rsid w:val="00395C17"/>
    <w:rsid w:val="00396991"/>
    <w:rsid w:val="00396AAE"/>
    <w:rsid w:val="00396AD9"/>
    <w:rsid w:val="00396CE6"/>
    <w:rsid w:val="00397493"/>
    <w:rsid w:val="00397EC8"/>
    <w:rsid w:val="003A060F"/>
    <w:rsid w:val="003A0B7C"/>
    <w:rsid w:val="003A1223"/>
    <w:rsid w:val="003A1A90"/>
    <w:rsid w:val="003A1E36"/>
    <w:rsid w:val="003A2657"/>
    <w:rsid w:val="003A29CA"/>
    <w:rsid w:val="003A2EA2"/>
    <w:rsid w:val="003A354E"/>
    <w:rsid w:val="003A39B1"/>
    <w:rsid w:val="003A39E6"/>
    <w:rsid w:val="003A4F92"/>
    <w:rsid w:val="003A58BC"/>
    <w:rsid w:val="003A58FD"/>
    <w:rsid w:val="003A6BC6"/>
    <w:rsid w:val="003A723F"/>
    <w:rsid w:val="003A725B"/>
    <w:rsid w:val="003A760D"/>
    <w:rsid w:val="003B0B3A"/>
    <w:rsid w:val="003B16FF"/>
    <w:rsid w:val="003B1876"/>
    <w:rsid w:val="003B1F5C"/>
    <w:rsid w:val="003B21C3"/>
    <w:rsid w:val="003B2641"/>
    <w:rsid w:val="003B3B5B"/>
    <w:rsid w:val="003B3CB9"/>
    <w:rsid w:val="003B3D14"/>
    <w:rsid w:val="003B4410"/>
    <w:rsid w:val="003B4D10"/>
    <w:rsid w:val="003B5211"/>
    <w:rsid w:val="003B585A"/>
    <w:rsid w:val="003B6213"/>
    <w:rsid w:val="003B66D9"/>
    <w:rsid w:val="003B69AA"/>
    <w:rsid w:val="003B6BB4"/>
    <w:rsid w:val="003B730E"/>
    <w:rsid w:val="003B79BC"/>
    <w:rsid w:val="003B7BAF"/>
    <w:rsid w:val="003B7CA5"/>
    <w:rsid w:val="003B7DCC"/>
    <w:rsid w:val="003C00DA"/>
    <w:rsid w:val="003C0255"/>
    <w:rsid w:val="003C0578"/>
    <w:rsid w:val="003C0EE3"/>
    <w:rsid w:val="003C148D"/>
    <w:rsid w:val="003C1887"/>
    <w:rsid w:val="003C27DB"/>
    <w:rsid w:val="003C33FC"/>
    <w:rsid w:val="003C3B20"/>
    <w:rsid w:val="003C3DE6"/>
    <w:rsid w:val="003C40B5"/>
    <w:rsid w:val="003C4590"/>
    <w:rsid w:val="003C52D0"/>
    <w:rsid w:val="003C57D5"/>
    <w:rsid w:val="003C6293"/>
    <w:rsid w:val="003C6F70"/>
    <w:rsid w:val="003C7920"/>
    <w:rsid w:val="003D0A0E"/>
    <w:rsid w:val="003D2697"/>
    <w:rsid w:val="003D2C52"/>
    <w:rsid w:val="003D3417"/>
    <w:rsid w:val="003D3B8F"/>
    <w:rsid w:val="003D3D85"/>
    <w:rsid w:val="003D45E8"/>
    <w:rsid w:val="003D4DA7"/>
    <w:rsid w:val="003D50A8"/>
    <w:rsid w:val="003D6E9C"/>
    <w:rsid w:val="003D6F02"/>
    <w:rsid w:val="003D6F0B"/>
    <w:rsid w:val="003D7225"/>
    <w:rsid w:val="003E05B6"/>
    <w:rsid w:val="003E0CA9"/>
    <w:rsid w:val="003E0D15"/>
    <w:rsid w:val="003E15B0"/>
    <w:rsid w:val="003E1E06"/>
    <w:rsid w:val="003E2AAA"/>
    <w:rsid w:val="003E2D21"/>
    <w:rsid w:val="003E2D79"/>
    <w:rsid w:val="003E3243"/>
    <w:rsid w:val="003E34CA"/>
    <w:rsid w:val="003E38C2"/>
    <w:rsid w:val="003E3BA5"/>
    <w:rsid w:val="003E3D05"/>
    <w:rsid w:val="003E4BC7"/>
    <w:rsid w:val="003E5203"/>
    <w:rsid w:val="003E5603"/>
    <w:rsid w:val="003E5A39"/>
    <w:rsid w:val="003E75B0"/>
    <w:rsid w:val="003E7700"/>
    <w:rsid w:val="003F0BEC"/>
    <w:rsid w:val="003F2215"/>
    <w:rsid w:val="003F29C2"/>
    <w:rsid w:val="003F42A3"/>
    <w:rsid w:val="003F4579"/>
    <w:rsid w:val="003F50BA"/>
    <w:rsid w:val="003F571F"/>
    <w:rsid w:val="003F58E6"/>
    <w:rsid w:val="003F625E"/>
    <w:rsid w:val="003F6491"/>
    <w:rsid w:val="003F7107"/>
    <w:rsid w:val="003F7861"/>
    <w:rsid w:val="003F7B98"/>
    <w:rsid w:val="0040048A"/>
    <w:rsid w:val="00401624"/>
    <w:rsid w:val="00401975"/>
    <w:rsid w:val="00401A17"/>
    <w:rsid w:val="00401BD1"/>
    <w:rsid w:val="004028CB"/>
    <w:rsid w:val="004037D1"/>
    <w:rsid w:val="004049EE"/>
    <w:rsid w:val="00404E7F"/>
    <w:rsid w:val="004051FC"/>
    <w:rsid w:val="00405422"/>
    <w:rsid w:val="004054AF"/>
    <w:rsid w:val="00405907"/>
    <w:rsid w:val="004059D8"/>
    <w:rsid w:val="00406BF6"/>
    <w:rsid w:val="004074D7"/>
    <w:rsid w:val="004108F2"/>
    <w:rsid w:val="0041278A"/>
    <w:rsid w:val="00412BB1"/>
    <w:rsid w:val="00412DB8"/>
    <w:rsid w:val="00413A1E"/>
    <w:rsid w:val="00413D7A"/>
    <w:rsid w:val="00415116"/>
    <w:rsid w:val="004156D3"/>
    <w:rsid w:val="00415D01"/>
    <w:rsid w:val="004169F3"/>
    <w:rsid w:val="00416B27"/>
    <w:rsid w:val="00416D63"/>
    <w:rsid w:val="00416E13"/>
    <w:rsid w:val="00417D5C"/>
    <w:rsid w:val="00417DE9"/>
    <w:rsid w:val="00417F97"/>
    <w:rsid w:val="00420067"/>
    <w:rsid w:val="004201FA"/>
    <w:rsid w:val="00420773"/>
    <w:rsid w:val="004208CD"/>
    <w:rsid w:val="00421063"/>
    <w:rsid w:val="00421216"/>
    <w:rsid w:val="00421E50"/>
    <w:rsid w:val="00422EBC"/>
    <w:rsid w:val="0042318A"/>
    <w:rsid w:val="0042429B"/>
    <w:rsid w:val="004247EA"/>
    <w:rsid w:val="00425526"/>
    <w:rsid w:val="004255E8"/>
    <w:rsid w:val="0042585E"/>
    <w:rsid w:val="00425A7A"/>
    <w:rsid w:val="00425BFE"/>
    <w:rsid w:val="00425DE0"/>
    <w:rsid w:val="004269C9"/>
    <w:rsid w:val="00426A95"/>
    <w:rsid w:val="004274B1"/>
    <w:rsid w:val="00427CBD"/>
    <w:rsid w:val="0043024D"/>
    <w:rsid w:val="004304C9"/>
    <w:rsid w:val="004304FC"/>
    <w:rsid w:val="004320E5"/>
    <w:rsid w:val="00432D43"/>
    <w:rsid w:val="00433A0A"/>
    <w:rsid w:val="00433A27"/>
    <w:rsid w:val="00433C6F"/>
    <w:rsid w:val="00433CC0"/>
    <w:rsid w:val="004340BC"/>
    <w:rsid w:val="004341A6"/>
    <w:rsid w:val="004341E1"/>
    <w:rsid w:val="0043427F"/>
    <w:rsid w:val="00434478"/>
    <w:rsid w:val="0043657F"/>
    <w:rsid w:val="00436F99"/>
    <w:rsid w:val="00437F88"/>
    <w:rsid w:val="004416E4"/>
    <w:rsid w:val="00441BBB"/>
    <w:rsid w:val="0044279A"/>
    <w:rsid w:val="004429DB"/>
    <w:rsid w:val="00442E74"/>
    <w:rsid w:val="00443219"/>
    <w:rsid w:val="004443CA"/>
    <w:rsid w:val="00444449"/>
    <w:rsid w:val="00444B69"/>
    <w:rsid w:val="00445701"/>
    <w:rsid w:val="00446087"/>
    <w:rsid w:val="004460FB"/>
    <w:rsid w:val="0044638A"/>
    <w:rsid w:val="004464EE"/>
    <w:rsid w:val="00446510"/>
    <w:rsid w:val="00446603"/>
    <w:rsid w:val="00446CD9"/>
    <w:rsid w:val="00446D0B"/>
    <w:rsid w:val="00446E14"/>
    <w:rsid w:val="00446F96"/>
    <w:rsid w:val="0044741A"/>
    <w:rsid w:val="00447A63"/>
    <w:rsid w:val="00447AA1"/>
    <w:rsid w:val="00450296"/>
    <w:rsid w:val="004503F8"/>
    <w:rsid w:val="004507F0"/>
    <w:rsid w:val="004507FD"/>
    <w:rsid w:val="00450962"/>
    <w:rsid w:val="004509C6"/>
    <w:rsid w:val="0045117B"/>
    <w:rsid w:val="004526E2"/>
    <w:rsid w:val="00452D5E"/>
    <w:rsid w:val="00453D6D"/>
    <w:rsid w:val="00454213"/>
    <w:rsid w:val="004546A1"/>
    <w:rsid w:val="0045483E"/>
    <w:rsid w:val="00454CF1"/>
    <w:rsid w:val="00454DC3"/>
    <w:rsid w:val="00454E8E"/>
    <w:rsid w:val="004553F2"/>
    <w:rsid w:val="0045540C"/>
    <w:rsid w:val="00455A39"/>
    <w:rsid w:val="00457385"/>
    <w:rsid w:val="00460452"/>
    <w:rsid w:val="0046121F"/>
    <w:rsid w:val="00462795"/>
    <w:rsid w:val="00462EB8"/>
    <w:rsid w:val="00463146"/>
    <w:rsid w:val="0046353C"/>
    <w:rsid w:val="00463888"/>
    <w:rsid w:val="00463EC9"/>
    <w:rsid w:val="00463FF5"/>
    <w:rsid w:val="00464BB6"/>
    <w:rsid w:val="00464E8E"/>
    <w:rsid w:val="004650F1"/>
    <w:rsid w:val="00465C92"/>
    <w:rsid w:val="0046682A"/>
    <w:rsid w:val="00466906"/>
    <w:rsid w:val="00467283"/>
    <w:rsid w:val="0046744D"/>
    <w:rsid w:val="0047065C"/>
    <w:rsid w:val="004708E5"/>
    <w:rsid w:val="00470BA8"/>
    <w:rsid w:val="00470E07"/>
    <w:rsid w:val="00470EBF"/>
    <w:rsid w:val="0047124F"/>
    <w:rsid w:val="004726A8"/>
    <w:rsid w:val="00473CD5"/>
    <w:rsid w:val="00474127"/>
    <w:rsid w:val="004763DA"/>
    <w:rsid w:val="00476846"/>
    <w:rsid w:val="00477402"/>
    <w:rsid w:val="0047754F"/>
    <w:rsid w:val="00477B48"/>
    <w:rsid w:val="00480EC8"/>
    <w:rsid w:val="00481131"/>
    <w:rsid w:val="00481AF8"/>
    <w:rsid w:val="00481E98"/>
    <w:rsid w:val="00482005"/>
    <w:rsid w:val="00482081"/>
    <w:rsid w:val="00482C7A"/>
    <w:rsid w:val="00482D83"/>
    <w:rsid w:val="00484261"/>
    <w:rsid w:val="004845B1"/>
    <w:rsid w:val="00484C96"/>
    <w:rsid w:val="0048583B"/>
    <w:rsid w:val="00485A03"/>
    <w:rsid w:val="00485D03"/>
    <w:rsid w:val="00486665"/>
    <w:rsid w:val="004866CC"/>
    <w:rsid w:val="00486EB3"/>
    <w:rsid w:val="0048709F"/>
    <w:rsid w:val="0048742C"/>
    <w:rsid w:val="0048768D"/>
    <w:rsid w:val="004877F0"/>
    <w:rsid w:val="00487A6F"/>
    <w:rsid w:val="00487BC2"/>
    <w:rsid w:val="00490CCF"/>
    <w:rsid w:val="00491234"/>
    <w:rsid w:val="0049133B"/>
    <w:rsid w:val="004916B1"/>
    <w:rsid w:val="00491DBC"/>
    <w:rsid w:val="00491E18"/>
    <w:rsid w:val="00493369"/>
    <w:rsid w:val="004933FF"/>
    <w:rsid w:val="00493B34"/>
    <w:rsid w:val="004941FA"/>
    <w:rsid w:val="0049427E"/>
    <w:rsid w:val="00494901"/>
    <w:rsid w:val="004949D5"/>
    <w:rsid w:val="00495850"/>
    <w:rsid w:val="00495AD8"/>
    <w:rsid w:val="00496313"/>
    <w:rsid w:val="004967D7"/>
    <w:rsid w:val="00496ABF"/>
    <w:rsid w:val="00496D96"/>
    <w:rsid w:val="0049757A"/>
    <w:rsid w:val="004975C0"/>
    <w:rsid w:val="00497651"/>
    <w:rsid w:val="00497670"/>
    <w:rsid w:val="0049791E"/>
    <w:rsid w:val="00497DBC"/>
    <w:rsid w:val="004A02EF"/>
    <w:rsid w:val="004A0370"/>
    <w:rsid w:val="004A0A7C"/>
    <w:rsid w:val="004A0B4B"/>
    <w:rsid w:val="004A1125"/>
    <w:rsid w:val="004A140A"/>
    <w:rsid w:val="004A1472"/>
    <w:rsid w:val="004A1E07"/>
    <w:rsid w:val="004A1E7D"/>
    <w:rsid w:val="004A2BC1"/>
    <w:rsid w:val="004A3FFE"/>
    <w:rsid w:val="004A4007"/>
    <w:rsid w:val="004A533E"/>
    <w:rsid w:val="004A5898"/>
    <w:rsid w:val="004A6E9E"/>
    <w:rsid w:val="004A6F9C"/>
    <w:rsid w:val="004A7588"/>
    <w:rsid w:val="004A7E7B"/>
    <w:rsid w:val="004A7F5B"/>
    <w:rsid w:val="004B04AE"/>
    <w:rsid w:val="004B0CDF"/>
    <w:rsid w:val="004B17A5"/>
    <w:rsid w:val="004B18FD"/>
    <w:rsid w:val="004B1A0F"/>
    <w:rsid w:val="004B1BF6"/>
    <w:rsid w:val="004B28EE"/>
    <w:rsid w:val="004B2940"/>
    <w:rsid w:val="004B2A74"/>
    <w:rsid w:val="004B2E84"/>
    <w:rsid w:val="004B36F3"/>
    <w:rsid w:val="004B3890"/>
    <w:rsid w:val="004B497F"/>
    <w:rsid w:val="004B59F0"/>
    <w:rsid w:val="004B5ADE"/>
    <w:rsid w:val="004B6032"/>
    <w:rsid w:val="004B6068"/>
    <w:rsid w:val="004B627C"/>
    <w:rsid w:val="004B6EBD"/>
    <w:rsid w:val="004B7124"/>
    <w:rsid w:val="004C0538"/>
    <w:rsid w:val="004C1249"/>
    <w:rsid w:val="004C1D1A"/>
    <w:rsid w:val="004C1D80"/>
    <w:rsid w:val="004C206F"/>
    <w:rsid w:val="004C20A5"/>
    <w:rsid w:val="004C2C3D"/>
    <w:rsid w:val="004C2C8F"/>
    <w:rsid w:val="004C564E"/>
    <w:rsid w:val="004C5FFB"/>
    <w:rsid w:val="004C622E"/>
    <w:rsid w:val="004C67D6"/>
    <w:rsid w:val="004C75D5"/>
    <w:rsid w:val="004C7607"/>
    <w:rsid w:val="004D0275"/>
    <w:rsid w:val="004D0385"/>
    <w:rsid w:val="004D0740"/>
    <w:rsid w:val="004D0814"/>
    <w:rsid w:val="004D0B98"/>
    <w:rsid w:val="004D108B"/>
    <w:rsid w:val="004D1ABD"/>
    <w:rsid w:val="004D1E08"/>
    <w:rsid w:val="004D20AD"/>
    <w:rsid w:val="004D21F7"/>
    <w:rsid w:val="004D3242"/>
    <w:rsid w:val="004D3835"/>
    <w:rsid w:val="004D3C0C"/>
    <w:rsid w:val="004D4112"/>
    <w:rsid w:val="004D4A00"/>
    <w:rsid w:val="004D4CDC"/>
    <w:rsid w:val="004D5673"/>
    <w:rsid w:val="004D56A0"/>
    <w:rsid w:val="004D575A"/>
    <w:rsid w:val="004D5895"/>
    <w:rsid w:val="004D687E"/>
    <w:rsid w:val="004D6D4A"/>
    <w:rsid w:val="004E0F18"/>
    <w:rsid w:val="004E19BB"/>
    <w:rsid w:val="004E19F4"/>
    <w:rsid w:val="004E1EDE"/>
    <w:rsid w:val="004E26E8"/>
    <w:rsid w:val="004E29B9"/>
    <w:rsid w:val="004E373D"/>
    <w:rsid w:val="004E3B30"/>
    <w:rsid w:val="004E3CD1"/>
    <w:rsid w:val="004E3D25"/>
    <w:rsid w:val="004E40FC"/>
    <w:rsid w:val="004E42BF"/>
    <w:rsid w:val="004E5111"/>
    <w:rsid w:val="004E6070"/>
    <w:rsid w:val="004E645B"/>
    <w:rsid w:val="004E6802"/>
    <w:rsid w:val="004E6A3F"/>
    <w:rsid w:val="004E6BE8"/>
    <w:rsid w:val="004E74D5"/>
    <w:rsid w:val="004E771A"/>
    <w:rsid w:val="004E7F7B"/>
    <w:rsid w:val="004F02A6"/>
    <w:rsid w:val="004F061D"/>
    <w:rsid w:val="004F0A83"/>
    <w:rsid w:val="004F12F6"/>
    <w:rsid w:val="004F22D6"/>
    <w:rsid w:val="004F306D"/>
    <w:rsid w:val="004F47C9"/>
    <w:rsid w:val="004F6447"/>
    <w:rsid w:val="004F79A8"/>
    <w:rsid w:val="004F7D8C"/>
    <w:rsid w:val="00500AD8"/>
    <w:rsid w:val="00500FDF"/>
    <w:rsid w:val="00501039"/>
    <w:rsid w:val="00501552"/>
    <w:rsid w:val="00501C61"/>
    <w:rsid w:val="005020F8"/>
    <w:rsid w:val="0050265B"/>
    <w:rsid w:val="00505219"/>
    <w:rsid w:val="00505A05"/>
    <w:rsid w:val="005060AC"/>
    <w:rsid w:val="00506167"/>
    <w:rsid w:val="00506169"/>
    <w:rsid w:val="0050617E"/>
    <w:rsid w:val="005068FF"/>
    <w:rsid w:val="00507EDC"/>
    <w:rsid w:val="00507F2E"/>
    <w:rsid w:val="00510AAA"/>
    <w:rsid w:val="00512158"/>
    <w:rsid w:val="005125EF"/>
    <w:rsid w:val="0051373C"/>
    <w:rsid w:val="00513B3B"/>
    <w:rsid w:val="00514529"/>
    <w:rsid w:val="00514688"/>
    <w:rsid w:val="0051587C"/>
    <w:rsid w:val="00515C4E"/>
    <w:rsid w:val="00515DC1"/>
    <w:rsid w:val="00516099"/>
    <w:rsid w:val="0051656C"/>
    <w:rsid w:val="00516779"/>
    <w:rsid w:val="0051682F"/>
    <w:rsid w:val="00516A3F"/>
    <w:rsid w:val="00516A61"/>
    <w:rsid w:val="00516D21"/>
    <w:rsid w:val="0051707A"/>
    <w:rsid w:val="0051782C"/>
    <w:rsid w:val="005179A1"/>
    <w:rsid w:val="005208E4"/>
    <w:rsid w:val="005216CF"/>
    <w:rsid w:val="00521CBE"/>
    <w:rsid w:val="00522546"/>
    <w:rsid w:val="00522BE3"/>
    <w:rsid w:val="005230DE"/>
    <w:rsid w:val="00523E8E"/>
    <w:rsid w:val="0052449D"/>
    <w:rsid w:val="005244A2"/>
    <w:rsid w:val="00525608"/>
    <w:rsid w:val="0052570B"/>
    <w:rsid w:val="005265C6"/>
    <w:rsid w:val="005275A7"/>
    <w:rsid w:val="00527602"/>
    <w:rsid w:val="00527711"/>
    <w:rsid w:val="00527878"/>
    <w:rsid w:val="00530298"/>
    <w:rsid w:val="005305FF"/>
    <w:rsid w:val="00531F6C"/>
    <w:rsid w:val="00532853"/>
    <w:rsid w:val="00532CAF"/>
    <w:rsid w:val="00532E58"/>
    <w:rsid w:val="00532F93"/>
    <w:rsid w:val="005333C0"/>
    <w:rsid w:val="00533725"/>
    <w:rsid w:val="0053395E"/>
    <w:rsid w:val="00533EE1"/>
    <w:rsid w:val="00534C16"/>
    <w:rsid w:val="00534EE6"/>
    <w:rsid w:val="00535E80"/>
    <w:rsid w:val="0054011C"/>
    <w:rsid w:val="00540CFF"/>
    <w:rsid w:val="00541F98"/>
    <w:rsid w:val="00542256"/>
    <w:rsid w:val="00542DED"/>
    <w:rsid w:val="00542ED5"/>
    <w:rsid w:val="005430B7"/>
    <w:rsid w:val="00543121"/>
    <w:rsid w:val="005439EC"/>
    <w:rsid w:val="005439EF"/>
    <w:rsid w:val="00543D38"/>
    <w:rsid w:val="005444CF"/>
    <w:rsid w:val="00544C10"/>
    <w:rsid w:val="00544F69"/>
    <w:rsid w:val="005452DE"/>
    <w:rsid w:val="00545307"/>
    <w:rsid w:val="005459E8"/>
    <w:rsid w:val="00545DF6"/>
    <w:rsid w:val="005461C5"/>
    <w:rsid w:val="00546446"/>
    <w:rsid w:val="00546D33"/>
    <w:rsid w:val="00546F4A"/>
    <w:rsid w:val="0054707A"/>
    <w:rsid w:val="005471B6"/>
    <w:rsid w:val="005471F4"/>
    <w:rsid w:val="005502BA"/>
    <w:rsid w:val="00550A82"/>
    <w:rsid w:val="00550E1D"/>
    <w:rsid w:val="00550F20"/>
    <w:rsid w:val="0055126F"/>
    <w:rsid w:val="00552B5B"/>
    <w:rsid w:val="00552E48"/>
    <w:rsid w:val="0055340B"/>
    <w:rsid w:val="005534AC"/>
    <w:rsid w:val="00553C1D"/>
    <w:rsid w:val="00553C59"/>
    <w:rsid w:val="00553CA6"/>
    <w:rsid w:val="005545AF"/>
    <w:rsid w:val="00554C93"/>
    <w:rsid w:val="0055518E"/>
    <w:rsid w:val="00555626"/>
    <w:rsid w:val="00555D24"/>
    <w:rsid w:val="0055618E"/>
    <w:rsid w:val="0055674C"/>
    <w:rsid w:val="00556C62"/>
    <w:rsid w:val="00556DD6"/>
    <w:rsid w:val="00557367"/>
    <w:rsid w:val="00557507"/>
    <w:rsid w:val="00557663"/>
    <w:rsid w:val="005579CC"/>
    <w:rsid w:val="00560B80"/>
    <w:rsid w:val="00561B7A"/>
    <w:rsid w:val="00561E7C"/>
    <w:rsid w:val="00561EBF"/>
    <w:rsid w:val="005629BF"/>
    <w:rsid w:val="00562BA3"/>
    <w:rsid w:val="005633F5"/>
    <w:rsid w:val="00563C6C"/>
    <w:rsid w:val="00564119"/>
    <w:rsid w:val="00564279"/>
    <w:rsid w:val="005647D0"/>
    <w:rsid w:val="00564861"/>
    <w:rsid w:val="005650FD"/>
    <w:rsid w:val="005652C7"/>
    <w:rsid w:val="005660AB"/>
    <w:rsid w:val="00566D4A"/>
    <w:rsid w:val="00566EB7"/>
    <w:rsid w:val="0056711B"/>
    <w:rsid w:val="00567510"/>
    <w:rsid w:val="00567683"/>
    <w:rsid w:val="00567817"/>
    <w:rsid w:val="005702E0"/>
    <w:rsid w:val="005720F3"/>
    <w:rsid w:val="0057218B"/>
    <w:rsid w:val="00572193"/>
    <w:rsid w:val="00572DC7"/>
    <w:rsid w:val="00574F15"/>
    <w:rsid w:val="005753D3"/>
    <w:rsid w:val="00575789"/>
    <w:rsid w:val="005761A4"/>
    <w:rsid w:val="00576E87"/>
    <w:rsid w:val="00576F29"/>
    <w:rsid w:val="00577109"/>
    <w:rsid w:val="00581BEC"/>
    <w:rsid w:val="00582224"/>
    <w:rsid w:val="00582B1D"/>
    <w:rsid w:val="0058325C"/>
    <w:rsid w:val="00583D66"/>
    <w:rsid w:val="00583F43"/>
    <w:rsid w:val="00584028"/>
    <w:rsid w:val="005842AD"/>
    <w:rsid w:val="00584DE0"/>
    <w:rsid w:val="00584E3D"/>
    <w:rsid w:val="00584EF6"/>
    <w:rsid w:val="0058519C"/>
    <w:rsid w:val="00585506"/>
    <w:rsid w:val="00585857"/>
    <w:rsid w:val="00585CE6"/>
    <w:rsid w:val="005865AE"/>
    <w:rsid w:val="00586CD0"/>
    <w:rsid w:val="00586FD9"/>
    <w:rsid w:val="00587514"/>
    <w:rsid w:val="00590299"/>
    <w:rsid w:val="00590983"/>
    <w:rsid w:val="00590A29"/>
    <w:rsid w:val="005911C6"/>
    <w:rsid w:val="005916D0"/>
    <w:rsid w:val="00592179"/>
    <w:rsid w:val="00593961"/>
    <w:rsid w:val="00594095"/>
    <w:rsid w:val="00594458"/>
    <w:rsid w:val="00594B6B"/>
    <w:rsid w:val="0059506C"/>
    <w:rsid w:val="005966CC"/>
    <w:rsid w:val="00596924"/>
    <w:rsid w:val="00596964"/>
    <w:rsid w:val="005A02A5"/>
    <w:rsid w:val="005A042C"/>
    <w:rsid w:val="005A0F0F"/>
    <w:rsid w:val="005A102E"/>
    <w:rsid w:val="005A12C6"/>
    <w:rsid w:val="005A145C"/>
    <w:rsid w:val="005A1884"/>
    <w:rsid w:val="005A1C1C"/>
    <w:rsid w:val="005A2534"/>
    <w:rsid w:val="005A2ACC"/>
    <w:rsid w:val="005A2B84"/>
    <w:rsid w:val="005A43AD"/>
    <w:rsid w:val="005A4857"/>
    <w:rsid w:val="005A4AF6"/>
    <w:rsid w:val="005A4AF8"/>
    <w:rsid w:val="005A4CEA"/>
    <w:rsid w:val="005A4E61"/>
    <w:rsid w:val="005A630D"/>
    <w:rsid w:val="005A63F7"/>
    <w:rsid w:val="005A699C"/>
    <w:rsid w:val="005A740D"/>
    <w:rsid w:val="005A769F"/>
    <w:rsid w:val="005B04D7"/>
    <w:rsid w:val="005B059F"/>
    <w:rsid w:val="005B09D9"/>
    <w:rsid w:val="005B2068"/>
    <w:rsid w:val="005B27F9"/>
    <w:rsid w:val="005B2E44"/>
    <w:rsid w:val="005B41CD"/>
    <w:rsid w:val="005B47B7"/>
    <w:rsid w:val="005B491E"/>
    <w:rsid w:val="005B5A79"/>
    <w:rsid w:val="005B5EB3"/>
    <w:rsid w:val="005B66B8"/>
    <w:rsid w:val="005B6767"/>
    <w:rsid w:val="005B70FD"/>
    <w:rsid w:val="005B72AE"/>
    <w:rsid w:val="005B77A1"/>
    <w:rsid w:val="005B77C5"/>
    <w:rsid w:val="005B7936"/>
    <w:rsid w:val="005C019C"/>
    <w:rsid w:val="005C0822"/>
    <w:rsid w:val="005C0E88"/>
    <w:rsid w:val="005C0E98"/>
    <w:rsid w:val="005C1173"/>
    <w:rsid w:val="005C1B30"/>
    <w:rsid w:val="005C1BDA"/>
    <w:rsid w:val="005C212E"/>
    <w:rsid w:val="005C222D"/>
    <w:rsid w:val="005C268D"/>
    <w:rsid w:val="005C3162"/>
    <w:rsid w:val="005C3DD0"/>
    <w:rsid w:val="005C4376"/>
    <w:rsid w:val="005C460B"/>
    <w:rsid w:val="005C48D0"/>
    <w:rsid w:val="005C562C"/>
    <w:rsid w:val="005C5B41"/>
    <w:rsid w:val="005C5CA7"/>
    <w:rsid w:val="005C66C8"/>
    <w:rsid w:val="005C67E4"/>
    <w:rsid w:val="005C6ACD"/>
    <w:rsid w:val="005C7193"/>
    <w:rsid w:val="005C7366"/>
    <w:rsid w:val="005C74B9"/>
    <w:rsid w:val="005C7BB2"/>
    <w:rsid w:val="005D0100"/>
    <w:rsid w:val="005D04EB"/>
    <w:rsid w:val="005D0F9B"/>
    <w:rsid w:val="005D1017"/>
    <w:rsid w:val="005D1B56"/>
    <w:rsid w:val="005D2768"/>
    <w:rsid w:val="005D2791"/>
    <w:rsid w:val="005D2A2D"/>
    <w:rsid w:val="005D2EEC"/>
    <w:rsid w:val="005D35C9"/>
    <w:rsid w:val="005D38EC"/>
    <w:rsid w:val="005D3A5E"/>
    <w:rsid w:val="005D3AAB"/>
    <w:rsid w:val="005D554D"/>
    <w:rsid w:val="005D5E95"/>
    <w:rsid w:val="005D5FD0"/>
    <w:rsid w:val="005D605B"/>
    <w:rsid w:val="005D609E"/>
    <w:rsid w:val="005D6397"/>
    <w:rsid w:val="005D6836"/>
    <w:rsid w:val="005D690A"/>
    <w:rsid w:val="005D6BB5"/>
    <w:rsid w:val="005D71D8"/>
    <w:rsid w:val="005D78BC"/>
    <w:rsid w:val="005E03D6"/>
    <w:rsid w:val="005E0B08"/>
    <w:rsid w:val="005E1F65"/>
    <w:rsid w:val="005E1FB7"/>
    <w:rsid w:val="005E286F"/>
    <w:rsid w:val="005E2FC8"/>
    <w:rsid w:val="005E3A45"/>
    <w:rsid w:val="005E3CC3"/>
    <w:rsid w:val="005E3DA5"/>
    <w:rsid w:val="005E3FB3"/>
    <w:rsid w:val="005E4778"/>
    <w:rsid w:val="005E4A4A"/>
    <w:rsid w:val="005E5689"/>
    <w:rsid w:val="005E5C3F"/>
    <w:rsid w:val="005E5D2F"/>
    <w:rsid w:val="005E5F89"/>
    <w:rsid w:val="005E655D"/>
    <w:rsid w:val="005E67E0"/>
    <w:rsid w:val="005E6860"/>
    <w:rsid w:val="005E6BDF"/>
    <w:rsid w:val="005E6CAA"/>
    <w:rsid w:val="005E6F2F"/>
    <w:rsid w:val="005E7588"/>
    <w:rsid w:val="005F00F7"/>
    <w:rsid w:val="005F0167"/>
    <w:rsid w:val="005F03BD"/>
    <w:rsid w:val="005F056C"/>
    <w:rsid w:val="005F0F25"/>
    <w:rsid w:val="005F1FE4"/>
    <w:rsid w:val="005F20AE"/>
    <w:rsid w:val="005F25AC"/>
    <w:rsid w:val="005F34BB"/>
    <w:rsid w:val="005F3C2F"/>
    <w:rsid w:val="005F3E61"/>
    <w:rsid w:val="005F46EE"/>
    <w:rsid w:val="005F4C16"/>
    <w:rsid w:val="005F5113"/>
    <w:rsid w:val="005F52D5"/>
    <w:rsid w:val="005F550A"/>
    <w:rsid w:val="005F5671"/>
    <w:rsid w:val="005F5A86"/>
    <w:rsid w:val="005F5FA8"/>
    <w:rsid w:val="005F626D"/>
    <w:rsid w:val="005F667A"/>
    <w:rsid w:val="005F7279"/>
    <w:rsid w:val="005F7C52"/>
    <w:rsid w:val="0060018F"/>
    <w:rsid w:val="00600547"/>
    <w:rsid w:val="0060087E"/>
    <w:rsid w:val="00600A8E"/>
    <w:rsid w:val="00601721"/>
    <w:rsid w:val="0060206E"/>
    <w:rsid w:val="006021E7"/>
    <w:rsid w:val="00602AF3"/>
    <w:rsid w:val="00602AFE"/>
    <w:rsid w:val="0060316A"/>
    <w:rsid w:val="00603397"/>
    <w:rsid w:val="006040BF"/>
    <w:rsid w:val="00604719"/>
    <w:rsid w:val="00605082"/>
    <w:rsid w:val="0060517E"/>
    <w:rsid w:val="0060531F"/>
    <w:rsid w:val="0060568A"/>
    <w:rsid w:val="00606086"/>
    <w:rsid w:val="00606599"/>
    <w:rsid w:val="00610EEC"/>
    <w:rsid w:val="00611054"/>
    <w:rsid w:val="006114A5"/>
    <w:rsid w:val="00611965"/>
    <w:rsid w:val="006131D2"/>
    <w:rsid w:val="00614529"/>
    <w:rsid w:val="00614AB2"/>
    <w:rsid w:val="00614D6D"/>
    <w:rsid w:val="006165C4"/>
    <w:rsid w:val="00617276"/>
    <w:rsid w:val="00620514"/>
    <w:rsid w:val="006205AF"/>
    <w:rsid w:val="00620644"/>
    <w:rsid w:val="00620E69"/>
    <w:rsid w:val="00623EE0"/>
    <w:rsid w:val="006245CF"/>
    <w:rsid w:val="00624784"/>
    <w:rsid w:val="00624ADC"/>
    <w:rsid w:val="00624EB2"/>
    <w:rsid w:val="00624FB1"/>
    <w:rsid w:val="006257BC"/>
    <w:rsid w:val="00625A97"/>
    <w:rsid w:val="00626BB8"/>
    <w:rsid w:val="00627FA1"/>
    <w:rsid w:val="00630133"/>
    <w:rsid w:val="006302C3"/>
    <w:rsid w:val="00631974"/>
    <w:rsid w:val="006326A8"/>
    <w:rsid w:val="00632845"/>
    <w:rsid w:val="00632ED1"/>
    <w:rsid w:val="00633ACF"/>
    <w:rsid w:val="00633EDB"/>
    <w:rsid w:val="006347B9"/>
    <w:rsid w:val="006347FF"/>
    <w:rsid w:val="00634F16"/>
    <w:rsid w:val="00635666"/>
    <w:rsid w:val="0063574A"/>
    <w:rsid w:val="006357D3"/>
    <w:rsid w:val="0063606B"/>
    <w:rsid w:val="0063649B"/>
    <w:rsid w:val="00636F3C"/>
    <w:rsid w:val="006370BC"/>
    <w:rsid w:val="00637C34"/>
    <w:rsid w:val="00637E70"/>
    <w:rsid w:val="00640BD4"/>
    <w:rsid w:val="00640C05"/>
    <w:rsid w:val="00640E78"/>
    <w:rsid w:val="006413B3"/>
    <w:rsid w:val="0064176A"/>
    <w:rsid w:val="00641873"/>
    <w:rsid w:val="00641954"/>
    <w:rsid w:val="0064275F"/>
    <w:rsid w:val="00642AA8"/>
    <w:rsid w:val="00642C54"/>
    <w:rsid w:val="00642E36"/>
    <w:rsid w:val="00642F10"/>
    <w:rsid w:val="0064484B"/>
    <w:rsid w:val="006449EF"/>
    <w:rsid w:val="00644AB8"/>
    <w:rsid w:val="00644C22"/>
    <w:rsid w:val="006454C2"/>
    <w:rsid w:val="00645796"/>
    <w:rsid w:val="006459D0"/>
    <w:rsid w:val="00645D6B"/>
    <w:rsid w:val="00646A95"/>
    <w:rsid w:val="00646BA1"/>
    <w:rsid w:val="00647367"/>
    <w:rsid w:val="006474A5"/>
    <w:rsid w:val="00650897"/>
    <w:rsid w:val="00650BDB"/>
    <w:rsid w:val="006521B5"/>
    <w:rsid w:val="00652425"/>
    <w:rsid w:val="0065260F"/>
    <w:rsid w:val="006527B3"/>
    <w:rsid w:val="0065290C"/>
    <w:rsid w:val="00652B5D"/>
    <w:rsid w:val="0065367E"/>
    <w:rsid w:val="006536C7"/>
    <w:rsid w:val="00654E2C"/>
    <w:rsid w:val="0065521A"/>
    <w:rsid w:val="00655F6B"/>
    <w:rsid w:val="0065603C"/>
    <w:rsid w:val="00656AD7"/>
    <w:rsid w:val="006579E1"/>
    <w:rsid w:val="00657DBE"/>
    <w:rsid w:val="006600FD"/>
    <w:rsid w:val="00660BEE"/>
    <w:rsid w:val="00660DC1"/>
    <w:rsid w:val="00661083"/>
    <w:rsid w:val="00661185"/>
    <w:rsid w:val="00662110"/>
    <w:rsid w:val="006628D2"/>
    <w:rsid w:val="00662B18"/>
    <w:rsid w:val="006634A6"/>
    <w:rsid w:val="00663631"/>
    <w:rsid w:val="006637FB"/>
    <w:rsid w:val="00663A11"/>
    <w:rsid w:val="00664232"/>
    <w:rsid w:val="0066476F"/>
    <w:rsid w:val="00664783"/>
    <w:rsid w:val="00665BD4"/>
    <w:rsid w:val="00666654"/>
    <w:rsid w:val="00666AAD"/>
    <w:rsid w:val="006676AB"/>
    <w:rsid w:val="006676BF"/>
    <w:rsid w:val="0066779D"/>
    <w:rsid w:val="00670519"/>
    <w:rsid w:val="00670F7C"/>
    <w:rsid w:val="006716B7"/>
    <w:rsid w:val="006718A3"/>
    <w:rsid w:val="00673372"/>
    <w:rsid w:val="00673910"/>
    <w:rsid w:val="00673D5E"/>
    <w:rsid w:val="00674238"/>
    <w:rsid w:val="006745D9"/>
    <w:rsid w:val="00674734"/>
    <w:rsid w:val="00674743"/>
    <w:rsid w:val="00674990"/>
    <w:rsid w:val="00675286"/>
    <w:rsid w:val="00676992"/>
    <w:rsid w:val="00677772"/>
    <w:rsid w:val="00677C0C"/>
    <w:rsid w:val="00680F13"/>
    <w:rsid w:val="0068130A"/>
    <w:rsid w:val="00682127"/>
    <w:rsid w:val="00682206"/>
    <w:rsid w:val="00682944"/>
    <w:rsid w:val="006834EF"/>
    <w:rsid w:val="0068379E"/>
    <w:rsid w:val="00684003"/>
    <w:rsid w:val="00684392"/>
    <w:rsid w:val="00684900"/>
    <w:rsid w:val="00685665"/>
    <w:rsid w:val="00686AE1"/>
    <w:rsid w:val="00687172"/>
    <w:rsid w:val="006875EC"/>
    <w:rsid w:val="0069070F"/>
    <w:rsid w:val="006909F2"/>
    <w:rsid w:val="00690ABB"/>
    <w:rsid w:val="00690B6D"/>
    <w:rsid w:val="00690B8B"/>
    <w:rsid w:val="006911F7"/>
    <w:rsid w:val="0069145D"/>
    <w:rsid w:val="006925FF"/>
    <w:rsid w:val="0069283B"/>
    <w:rsid w:val="0069305A"/>
    <w:rsid w:val="00693520"/>
    <w:rsid w:val="00693718"/>
    <w:rsid w:val="00693ED8"/>
    <w:rsid w:val="00694201"/>
    <w:rsid w:val="00694252"/>
    <w:rsid w:val="00694497"/>
    <w:rsid w:val="0069534B"/>
    <w:rsid w:val="006967FA"/>
    <w:rsid w:val="00696B22"/>
    <w:rsid w:val="00697556"/>
    <w:rsid w:val="006977F2"/>
    <w:rsid w:val="00697D7B"/>
    <w:rsid w:val="006A0065"/>
    <w:rsid w:val="006A19F6"/>
    <w:rsid w:val="006A1CF5"/>
    <w:rsid w:val="006A2AAA"/>
    <w:rsid w:val="006A2DA0"/>
    <w:rsid w:val="006A35F4"/>
    <w:rsid w:val="006A3629"/>
    <w:rsid w:val="006A424A"/>
    <w:rsid w:val="006A4630"/>
    <w:rsid w:val="006A5091"/>
    <w:rsid w:val="006A57F1"/>
    <w:rsid w:val="006A629F"/>
    <w:rsid w:val="006A6411"/>
    <w:rsid w:val="006A6F58"/>
    <w:rsid w:val="006A7367"/>
    <w:rsid w:val="006A77F9"/>
    <w:rsid w:val="006A7C4C"/>
    <w:rsid w:val="006A7E60"/>
    <w:rsid w:val="006B080A"/>
    <w:rsid w:val="006B0B51"/>
    <w:rsid w:val="006B1150"/>
    <w:rsid w:val="006B1606"/>
    <w:rsid w:val="006B1FFA"/>
    <w:rsid w:val="006B2958"/>
    <w:rsid w:val="006B2A30"/>
    <w:rsid w:val="006B33DE"/>
    <w:rsid w:val="006B4A09"/>
    <w:rsid w:val="006B4B23"/>
    <w:rsid w:val="006B4E4B"/>
    <w:rsid w:val="006B4E9B"/>
    <w:rsid w:val="006B4F5D"/>
    <w:rsid w:val="006B5D9D"/>
    <w:rsid w:val="006B68FF"/>
    <w:rsid w:val="006B799C"/>
    <w:rsid w:val="006B7F48"/>
    <w:rsid w:val="006B7FD2"/>
    <w:rsid w:val="006C0037"/>
    <w:rsid w:val="006C08DF"/>
    <w:rsid w:val="006C0AB6"/>
    <w:rsid w:val="006C1664"/>
    <w:rsid w:val="006C195E"/>
    <w:rsid w:val="006C1A1F"/>
    <w:rsid w:val="006C1C0D"/>
    <w:rsid w:val="006C1ECF"/>
    <w:rsid w:val="006C1F28"/>
    <w:rsid w:val="006C2CB7"/>
    <w:rsid w:val="006C31A7"/>
    <w:rsid w:val="006C35CC"/>
    <w:rsid w:val="006C41A1"/>
    <w:rsid w:val="006C4266"/>
    <w:rsid w:val="006C49A1"/>
    <w:rsid w:val="006C5C56"/>
    <w:rsid w:val="006C5ECE"/>
    <w:rsid w:val="006C659D"/>
    <w:rsid w:val="006C6695"/>
    <w:rsid w:val="006C6FCA"/>
    <w:rsid w:val="006C7439"/>
    <w:rsid w:val="006C7F72"/>
    <w:rsid w:val="006D21A1"/>
    <w:rsid w:val="006D2C51"/>
    <w:rsid w:val="006D31BB"/>
    <w:rsid w:val="006D3B35"/>
    <w:rsid w:val="006D3C2D"/>
    <w:rsid w:val="006D4E72"/>
    <w:rsid w:val="006D56DA"/>
    <w:rsid w:val="006D5A5F"/>
    <w:rsid w:val="006D6226"/>
    <w:rsid w:val="006D6554"/>
    <w:rsid w:val="006D6BDC"/>
    <w:rsid w:val="006D6D45"/>
    <w:rsid w:val="006D7388"/>
    <w:rsid w:val="006D7CCF"/>
    <w:rsid w:val="006E0B02"/>
    <w:rsid w:val="006E1535"/>
    <w:rsid w:val="006E1BF9"/>
    <w:rsid w:val="006E213D"/>
    <w:rsid w:val="006E266D"/>
    <w:rsid w:val="006E2A08"/>
    <w:rsid w:val="006E2D93"/>
    <w:rsid w:val="006E3DE1"/>
    <w:rsid w:val="006E490C"/>
    <w:rsid w:val="006E54A1"/>
    <w:rsid w:val="006E5DFB"/>
    <w:rsid w:val="006E60C9"/>
    <w:rsid w:val="006E6B91"/>
    <w:rsid w:val="006E7339"/>
    <w:rsid w:val="006E7ACB"/>
    <w:rsid w:val="006E7E6A"/>
    <w:rsid w:val="006E7FF3"/>
    <w:rsid w:val="006F0746"/>
    <w:rsid w:val="006F09AA"/>
    <w:rsid w:val="006F1140"/>
    <w:rsid w:val="006F1152"/>
    <w:rsid w:val="006F1610"/>
    <w:rsid w:val="006F23C0"/>
    <w:rsid w:val="006F336A"/>
    <w:rsid w:val="006F3628"/>
    <w:rsid w:val="006F3E2E"/>
    <w:rsid w:val="006F47C3"/>
    <w:rsid w:val="006F492A"/>
    <w:rsid w:val="006F4D19"/>
    <w:rsid w:val="006F5B3D"/>
    <w:rsid w:val="006F5EA3"/>
    <w:rsid w:val="006F5F0C"/>
    <w:rsid w:val="006F6B4F"/>
    <w:rsid w:val="006F6C01"/>
    <w:rsid w:val="006F723F"/>
    <w:rsid w:val="006F7271"/>
    <w:rsid w:val="006F7510"/>
    <w:rsid w:val="00700BC6"/>
    <w:rsid w:val="00701511"/>
    <w:rsid w:val="00701558"/>
    <w:rsid w:val="0070217A"/>
    <w:rsid w:val="00702D9C"/>
    <w:rsid w:val="00702E9F"/>
    <w:rsid w:val="007030DA"/>
    <w:rsid w:val="00703585"/>
    <w:rsid w:val="0070386C"/>
    <w:rsid w:val="007042FD"/>
    <w:rsid w:val="0070454E"/>
    <w:rsid w:val="00704616"/>
    <w:rsid w:val="00704DB0"/>
    <w:rsid w:val="00705033"/>
    <w:rsid w:val="00705165"/>
    <w:rsid w:val="00706207"/>
    <w:rsid w:val="00707707"/>
    <w:rsid w:val="0070771D"/>
    <w:rsid w:val="0071067A"/>
    <w:rsid w:val="007113A1"/>
    <w:rsid w:val="00711470"/>
    <w:rsid w:val="007117A5"/>
    <w:rsid w:val="00711D96"/>
    <w:rsid w:val="00712796"/>
    <w:rsid w:val="0071283F"/>
    <w:rsid w:val="00712A99"/>
    <w:rsid w:val="007132F5"/>
    <w:rsid w:val="007136AE"/>
    <w:rsid w:val="00713940"/>
    <w:rsid w:val="00713CD3"/>
    <w:rsid w:val="00714891"/>
    <w:rsid w:val="00714911"/>
    <w:rsid w:val="00714D09"/>
    <w:rsid w:val="00715031"/>
    <w:rsid w:val="007152BD"/>
    <w:rsid w:val="0071545B"/>
    <w:rsid w:val="00716202"/>
    <w:rsid w:val="0071635C"/>
    <w:rsid w:val="00716AF8"/>
    <w:rsid w:val="00716D77"/>
    <w:rsid w:val="007172B1"/>
    <w:rsid w:val="00720071"/>
    <w:rsid w:val="007208EB"/>
    <w:rsid w:val="007221E7"/>
    <w:rsid w:val="007222D9"/>
    <w:rsid w:val="0072300E"/>
    <w:rsid w:val="007233AC"/>
    <w:rsid w:val="0072367F"/>
    <w:rsid w:val="00723F6D"/>
    <w:rsid w:val="00724650"/>
    <w:rsid w:val="00724B14"/>
    <w:rsid w:val="007250EB"/>
    <w:rsid w:val="00725499"/>
    <w:rsid w:val="00725EB3"/>
    <w:rsid w:val="00726283"/>
    <w:rsid w:val="0072774E"/>
    <w:rsid w:val="007277F6"/>
    <w:rsid w:val="00727EED"/>
    <w:rsid w:val="00731500"/>
    <w:rsid w:val="00731DB0"/>
    <w:rsid w:val="00731FCE"/>
    <w:rsid w:val="00732136"/>
    <w:rsid w:val="00733086"/>
    <w:rsid w:val="0073319C"/>
    <w:rsid w:val="0073395C"/>
    <w:rsid w:val="00733DCE"/>
    <w:rsid w:val="00734627"/>
    <w:rsid w:val="00734BEC"/>
    <w:rsid w:val="00735277"/>
    <w:rsid w:val="007352AD"/>
    <w:rsid w:val="007354CF"/>
    <w:rsid w:val="0073589D"/>
    <w:rsid w:val="00735E60"/>
    <w:rsid w:val="0073660E"/>
    <w:rsid w:val="00737112"/>
    <w:rsid w:val="00737256"/>
    <w:rsid w:val="00737555"/>
    <w:rsid w:val="00740607"/>
    <w:rsid w:val="00740709"/>
    <w:rsid w:val="00740ACE"/>
    <w:rsid w:val="00740B18"/>
    <w:rsid w:val="007410E4"/>
    <w:rsid w:val="007416AD"/>
    <w:rsid w:val="00741AE8"/>
    <w:rsid w:val="00742053"/>
    <w:rsid w:val="00742345"/>
    <w:rsid w:val="00742395"/>
    <w:rsid w:val="007429D8"/>
    <w:rsid w:val="00743EAC"/>
    <w:rsid w:val="00744A22"/>
    <w:rsid w:val="00744ED3"/>
    <w:rsid w:val="0074654C"/>
    <w:rsid w:val="007501BA"/>
    <w:rsid w:val="00750CC0"/>
    <w:rsid w:val="007516A0"/>
    <w:rsid w:val="00753861"/>
    <w:rsid w:val="007538F9"/>
    <w:rsid w:val="007544C9"/>
    <w:rsid w:val="007549E5"/>
    <w:rsid w:val="00755AB3"/>
    <w:rsid w:val="00755DAE"/>
    <w:rsid w:val="007566B6"/>
    <w:rsid w:val="00756777"/>
    <w:rsid w:val="00757572"/>
    <w:rsid w:val="007606FB"/>
    <w:rsid w:val="00760917"/>
    <w:rsid w:val="00760F31"/>
    <w:rsid w:val="00761149"/>
    <w:rsid w:val="007620B9"/>
    <w:rsid w:val="007621E9"/>
    <w:rsid w:val="00762714"/>
    <w:rsid w:val="007629D5"/>
    <w:rsid w:val="00762ADE"/>
    <w:rsid w:val="007634CA"/>
    <w:rsid w:val="00763C3B"/>
    <w:rsid w:val="00764150"/>
    <w:rsid w:val="00764416"/>
    <w:rsid w:val="00764537"/>
    <w:rsid w:val="0076474F"/>
    <w:rsid w:val="00764872"/>
    <w:rsid w:val="00764D89"/>
    <w:rsid w:val="0076603D"/>
    <w:rsid w:val="00766A2A"/>
    <w:rsid w:val="00766E1E"/>
    <w:rsid w:val="007677DA"/>
    <w:rsid w:val="00767CF2"/>
    <w:rsid w:val="00770F30"/>
    <w:rsid w:val="007712E0"/>
    <w:rsid w:val="00771385"/>
    <w:rsid w:val="00771BA5"/>
    <w:rsid w:val="00772406"/>
    <w:rsid w:val="00772515"/>
    <w:rsid w:val="007733DC"/>
    <w:rsid w:val="00773944"/>
    <w:rsid w:val="00773F2A"/>
    <w:rsid w:val="0077544C"/>
    <w:rsid w:val="007769B0"/>
    <w:rsid w:val="00776BBA"/>
    <w:rsid w:val="00776EE1"/>
    <w:rsid w:val="00777913"/>
    <w:rsid w:val="00777C81"/>
    <w:rsid w:val="00780289"/>
    <w:rsid w:val="00781763"/>
    <w:rsid w:val="00781F8D"/>
    <w:rsid w:val="00782082"/>
    <w:rsid w:val="00782F70"/>
    <w:rsid w:val="007836F0"/>
    <w:rsid w:val="00783B40"/>
    <w:rsid w:val="00783C04"/>
    <w:rsid w:val="007842B9"/>
    <w:rsid w:val="00784D92"/>
    <w:rsid w:val="0078507E"/>
    <w:rsid w:val="00785CA7"/>
    <w:rsid w:val="007866C6"/>
    <w:rsid w:val="007877E6"/>
    <w:rsid w:val="00787D04"/>
    <w:rsid w:val="0079055B"/>
    <w:rsid w:val="00790BB0"/>
    <w:rsid w:val="007914B8"/>
    <w:rsid w:val="00791604"/>
    <w:rsid w:val="00792E21"/>
    <w:rsid w:val="00793245"/>
    <w:rsid w:val="00793A28"/>
    <w:rsid w:val="00793A88"/>
    <w:rsid w:val="00793EFF"/>
    <w:rsid w:val="0079445C"/>
    <w:rsid w:val="00794497"/>
    <w:rsid w:val="00794598"/>
    <w:rsid w:val="007949CB"/>
    <w:rsid w:val="00794EDD"/>
    <w:rsid w:val="00795CFA"/>
    <w:rsid w:val="007965DD"/>
    <w:rsid w:val="007968D6"/>
    <w:rsid w:val="00796C7F"/>
    <w:rsid w:val="0079713C"/>
    <w:rsid w:val="007977B1"/>
    <w:rsid w:val="007A044D"/>
    <w:rsid w:val="007A0521"/>
    <w:rsid w:val="007A076D"/>
    <w:rsid w:val="007A1156"/>
    <w:rsid w:val="007A148F"/>
    <w:rsid w:val="007A18B5"/>
    <w:rsid w:val="007A1D4E"/>
    <w:rsid w:val="007A22A1"/>
    <w:rsid w:val="007A3272"/>
    <w:rsid w:val="007A3863"/>
    <w:rsid w:val="007A441B"/>
    <w:rsid w:val="007A574D"/>
    <w:rsid w:val="007A5787"/>
    <w:rsid w:val="007A5DF5"/>
    <w:rsid w:val="007A61B6"/>
    <w:rsid w:val="007A6343"/>
    <w:rsid w:val="007A6383"/>
    <w:rsid w:val="007A648C"/>
    <w:rsid w:val="007A64D8"/>
    <w:rsid w:val="007A6FD3"/>
    <w:rsid w:val="007A71DE"/>
    <w:rsid w:val="007A78E4"/>
    <w:rsid w:val="007A7996"/>
    <w:rsid w:val="007A7B45"/>
    <w:rsid w:val="007A7EAB"/>
    <w:rsid w:val="007B0C9A"/>
    <w:rsid w:val="007B0E22"/>
    <w:rsid w:val="007B10FA"/>
    <w:rsid w:val="007B1F46"/>
    <w:rsid w:val="007B2466"/>
    <w:rsid w:val="007B2B78"/>
    <w:rsid w:val="007B3D8E"/>
    <w:rsid w:val="007B51C0"/>
    <w:rsid w:val="007B5754"/>
    <w:rsid w:val="007B5D35"/>
    <w:rsid w:val="007B692E"/>
    <w:rsid w:val="007B7CF7"/>
    <w:rsid w:val="007B7FCB"/>
    <w:rsid w:val="007C0540"/>
    <w:rsid w:val="007C06BE"/>
    <w:rsid w:val="007C09DD"/>
    <w:rsid w:val="007C0A7E"/>
    <w:rsid w:val="007C0CE6"/>
    <w:rsid w:val="007C0EEC"/>
    <w:rsid w:val="007C1298"/>
    <w:rsid w:val="007C1604"/>
    <w:rsid w:val="007C1613"/>
    <w:rsid w:val="007C16DB"/>
    <w:rsid w:val="007C19C9"/>
    <w:rsid w:val="007C1A5E"/>
    <w:rsid w:val="007C1CAC"/>
    <w:rsid w:val="007C1EA6"/>
    <w:rsid w:val="007C21B3"/>
    <w:rsid w:val="007C28C5"/>
    <w:rsid w:val="007C57FB"/>
    <w:rsid w:val="007C60F6"/>
    <w:rsid w:val="007C6233"/>
    <w:rsid w:val="007C68C2"/>
    <w:rsid w:val="007C6EC8"/>
    <w:rsid w:val="007C6FD8"/>
    <w:rsid w:val="007C7373"/>
    <w:rsid w:val="007D125E"/>
    <w:rsid w:val="007D1284"/>
    <w:rsid w:val="007D1E5F"/>
    <w:rsid w:val="007D1EBF"/>
    <w:rsid w:val="007D23D0"/>
    <w:rsid w:val="007D2421"/>
    <w:rsid w:val="007D306A"/>
    <w:rsid w:val="007D3423"/>
    <w:rsid w:val="007D468A"/>
    <w:rsid w:val="007D4D91"/>
    <w:rsid w:val="007D4DA4"/>
    <w:rsid w:val="007D5152"/>
    <w:rsid w:val="007D586C"/>
    <w:rsid w:val="007D5F7D"/>
    <w:rsid w:val="007D7219"/>
    <w:rsid w:val="007D7CB0"/>
    <w:rsid w:val="007E008F"/>
    <w:rsid w:val="007E049A"/>
    <w:rsid w:val="007E1678"/>
    <w:rsid w:val="007E1A30"/>
    <w:rsid w:val="007E3B5F"/>
    <w:rsid w:val="007E410D"/>
    <w:rsid w:val="007E4295"/>
    <w:rsid w:val="007E482F"/>
    <w:rsid w:val="007E4A15"/>
    <w:rsid w:val="007E4AA9"/>
    <w:rsid w:val="007E4DA0"/>
    <w:rsid w:val="007E60B8"/>
    <w:rsid w:val="007E6A1F"/>
    <w:rsid w:val="007E6F55"/>
    <w:rsid w:val="007E7290"/>
    <w:rsid w:val="007E7A40"/>
    <w:rsid w:val="007E7B10"/>
    <w:rsid w:val="007F1951"/>
    <w:rsid w:val="007F2175"/>
    <w:rsid w:val="007F2210"/>
    <w:rsid w:val="007F2372"/>
    <w:rsid w:val="007F24E7"/>
    <w:rsid w:val="007F2A32"/>
    <w:rsid w:val="007F2EEB"/>
    <w:rsid w:val="007F3392"/>
    <w:rsid w:val="007F3BFD"/>
    <w:rsid w:val="007F4314"/>
    <w:rsid w:val="007F44E7"/>
    <w:rsid w:val="007F48F8"/>
    <w:rsid w:val="007F4AFC"/>
    <w:rsid w:val="007F4C92"/>
    <w:rsid w:val="007F5463"/>
    <w:rsid w:val="007F5A99"/>
    <w:rsid w:val="007F6252"/>
    <w:rsid w:val="007F6415"/>
    <w:rsid w:val="007F649C"/>
    <w:rsid w:val="007F6F38"/>
    <w:rsid w:val="007F6F3E"/>
    <w:rsid w:val="007F794A"/>
    <w:rsid w:val="007F7A36"/>
    <w:rsid w:val="007F7F5E"/>
    <w:rsid w:val="007F7FA9"/>
    <w:rsid w:val="00800485"/>
    <w:rsid w:val="008007EC"/>
    <w:rsid w:val="00800BB8"/>
    <w:rsid w:val="008013CF"/>
    <w:rsid w:val="008015CE"/>
    <w:rsid w:val="00801AF9"/>
    <w:rsid w:val="00803E17"/>
    <w:rsid w:val="00803F96"/>
    <w:rsid w:val="008043E8"/>
    <w:rsid w:val="0080440E"/>
    <w:rsid w:val="00805281"/>
    <w:rsid w:val="008053F1"/>
    <w:rsid w:val="00805DC3"/>
    <w:rsid w:val="00806238"/>
    <w:rsid w:val="008063B3"/>
    <w:rsid w:val="008066F8"/>
    <w:rsid w:val="00806B6D"/>
    <w:rsid w:val="00807B22"/>
    <w:rsid w:val="00807DFD"/>
    <w:rsid w:val="00807FBC"/>
    <w:rsid w:val="00810545"/>
    <w:rsid w:val="00810CF8"/>
    <w:rsid w:val="00810E69"/>
    <w:rsid w:val="00810F8A"/>
    <w:rsid w:val="00811450"/>
    <w:rsid w:val="00811454"/>
    <w:rsid w:val="008114F7"/>
    <w:rsid w:val="0081237A"/>
    <w:rsid w:val="00812F7C"/>
    <w:rsid w:val="00813DB8"/>
    <w:rsid w:val="00813FD0"/>
    <w:rsid w:val="00814188"/>
    <w:rsid w:val="0081471B"/>
    <w:rsid w:val="00814E34"/>
    <w:rsid w:val="00814EC6"/>
    <w:rsid w:val="00814F0D"/>
    <w:rsid w:val="00815576"/>
    <w:rsid w:val="0081593A"/>
    <w:rsid w:val="00815942"/>
    <w:rsid w:val="008159CB"/>
    <w:rsid w:val="00816084"/>
    <w:rsid w:val="00816838"/>
    <w:rsid w:val="00816C8B"/>
    <w:rsid w:val="00816CF5"/>
    <w:rsid w:val="00817C1C"/>
    <w:rsid w:val="008200AA"/>
    <w:rsid w:val="008204C3"/>
    <w:rsid w:val="00820BB6"/>
    <w:rsid w:val="00820E75"/>
    <w:rsid w:val="008210E8"/>
    <w:rsid w:val="00821756"/>
    <w:rsid w:val="008219AA"/>
    <w:rsid w:val="0082245C"/>
    <w:rsid w:val="00822C60"/>
    <w:rsid w:val="008230CE"/>
    <w:rsid w:val="0082359C"/>
    <w:rsid w:val="008236D5"/>
    <w:rsid w:val="0082447D"/>
    <w:rsid w:val="00825430"/>
    <w:rsid w:val="008263D1"/>
    <w:rsid w:val="00826CBE"/>
    <w:rsid w:val="0082705E"/>
    <w:rsid w:val="0083017D"/>
    <w:rsid w:val="00831AD4"/>
    <w:rsid w:val="00831ED4"/>
    <w:rsid w:val="00832C3B"/>
    <w:rsid w:val="00833DBB"/>
    <w:rsid w:val="008345DB"/>
    <w:rsid w:val="00834C2C"/>
    <w:rsid w:val="008354D8"/>
    <w:rsid w:val="00835530"/>
    <w:rsid w:val="008356F0"/>
    <w:rsid w:val="008358C3"/>
    <w:rsid w:val="00835A0A"/>
    <w:rsid w:val="00836939"/>
    <w:rsid w:val="008369CE"/>
    <w:rsid w:val="00836A9E"/>
    <w:rsid w:val="00836F13"/>
    <w:rsid w:val="00837459"/>
    <w:rsid w:val="0083770A"/>
    <w:rsid w:val="008379B4"/>
    <w:rsid w:val="00837B72"/>
    <w:rsid w:val="00840E75"/>
    <w:rsid w:val="0084125A"/>
    <w:rsid w:val="008417FC"/>
    <w:rsid w:val="00842306"/>
    <w:rsid w:val="00842792"/>
    <w:rsid w:val="00842E77"/>
    <w:rsid w:val="00842ED6"/>
    <w:rsid w:val="00842EEA"/>
    <w:rsid w:val="00843229"/>
    <w:rsid w:val="008438B7"/>
    <w:rsid w:val="00843A90"/>
    <w:rsid w:val="00843E1F"/>
    <w:rsid w:val="00843E84"/>
    <w:rsid w:val="00844814"/>
    <w:rsid w:val="00844C41"/>
    <w:rsid w:val="00844E35"/>
    <w:rsid w:val="00845095"/>
    <w:rsid w:val="008452E4"/>
    <w:rsid w:val="00845354"/>
    <w:rsid w:val="00845850"/>
    <w:rsid w:val="008459C5"/>
    <w:rsid w:val="00845B0D"/>
    <w:rsid w:val="008468FB"/>
    <w:rsid w:val="00847148"/>
    <w:rsid w:val="008472A9"/>
    <w:rsid w:val="008473C0"/>
    <w:rsid w:val="00847CCB"/>
    <w:rsid w:val="008503C5"/>
    <w:rsid w:val="00850627"/>
    <w:rsid w:val="008509CD"/>
    <w:rsid w:val="00850DE1"/>
    <w:rsid w:val="0085139F"/>
    <w:rsid w:val="008516A9"/>
    <w:rsid w:val="008527E4"/>
    <w:rsid w:val="008530D0"/>
    <w:rsid w:val="0085382A"/>
    <w:rsid w:val="00853B2B"/>
    <w:rsid w:val="00853EB4"/>
    <w:rsid w:val="008540BA"/>
    <w:rsid w:val="00854366"/>
    <w:rsid w:val="008547A1"/>
    <w:rsid w:val="008553AC"/>
    <w:rsid w:val="008554FA"/>
    <w:rsid w:val="00855723"/>
    <w:rsid w:val="008560D6"/>
    <w:rsid w:val="008561B0"/>
    <w:rsid w:val="008568B9"/>
    <w:rsid w:val="00856C21"/>
    <w:rsid w:val="00856E01"/>
    <w:rsid w:val="00856FCD"/>
    <w:rsid w:val="008577CC"/>
    <w:rsid w:val="0086030B"/>
    <w:rsid w:val="00861BD1"/>
    <w:rsid w:val="00861CBB"/>
    <w:rsid w:val="00862616"/>
    <w:rsid w:val="00862A16"/>
    <w:rsid w:val="008636B2"/>
    <w:rsid w:val="0086387B"/>
    <w:rsid w:val="0086389A"/>
    <w:rsid w:val="00864354"/>
    <w:rsid w:val="00864765"/>
    <w:rsid w:val="008655D6"/>
    <w:rsid w:val="008655E0"/>
    <w:rsid w:val="00866274"/>
    <w:rsid w:val="00866345"/>
    <w:rsid w:val="008669CB"/>
    <w:rsid w:val="00867D1D"/>
    <w:rsid w:val="00870365"/>
    <w:rsid w:val="00870F42"/>
    <w:rsid w:val="00871378"/>
    <w:rsid w:val="0087287C"/>
    <w:rsid w:val="00872BEC"/>
    <w:rsid w:val="00873303"/>
    <w:rsid w:val="008746F4"/>
    <w:rsid w:val="00874CEC"/>
    <w:rsid w:val="00875438"/>
    <w:rsid w:val="00875A4D"/>
    <w:rsid w:val="00875D19"/>
    <w:rsid w:val="0087654E"/>
    <w:rsid w:val="00877005"/>
    <w:rsid w:val="00877356"/>
    <w:rsid w:val="00877D63"/>
    <w:rsid w:val="00880AD9"/>
    <w:rsid w:val="00880E2F"/>
    <w:rsid w:val="008822EB"/>
    <w:rsid w:val="0088266D"/>
    <w:rsid w:val="008830AC"/>
    <w:rsid w:val="00883857"/>
    <w:rsid w:val="0088394F"/>
    <w:rsid w:val="00883BE9"/>
    <w:rsid w:val="00884876"/>
    <w:rsid w:val="0088550F"/>
    <w:rsid w:val="00885A55"/>
    <w:rsid w:val="00885DAC"/>
    <w:rsid w:val="008861A8"/>
    <w:rsid w:val="008867AA"/>
    <w:rsid w:val="00886DB3"/>
    <w:rsid w:val="00892A80"/>
    <w:rsid w:val="008930FD"/>
    <w:rsid w:val="00894180"/>
    <w:rsid w:val="00894355"/>
    <w:rsid w:val="00896039"/>
    <w:rsid w:val="00896E93"/>
    <w:rsid w:val="00897339"/>
    <w:rsid w:val="00897812"/>
    <w:rsid w:val="008A0040"/>
    <w:rsid w:val="008A0358"/>
    <w:rsid w:val="008A0710"/>
    <w:rsid w:val="008A14D8"/>
    <w:rsid w:val="008A17D1"/>
    <w:rsid w:val="008A27AA"/>
    <w:rsid w:val="008A36C4"/>
    <w:rsid w:val="008A3DE6"/>
    <w:rsid w:val="008A4817"/>
    <w:rsid w:val="008A55A1"/>
    <w:rsid w:val="008A5C24"/>
    <w:rsid w:val="008A5C65"/>
    <w:rsid w:val="008A60C0"/>
    <w:rsid w:val="008A6762"/>
    <w:rsid w:val="008A6776"/>
    <w:rsid w:val="008A6E5E"/>
    <w:rsid w:val="008A720A"/>
    <w:rsid w:val="008A7ADA"/>
    <w:rsid w:val="008A7B9A"/>
    <w:rsid w:val="008A7C79"/>
    <w:rsid w:val="008A7D36"/>
    <w:rsid w:val="008B0281"/>
    <w:rsid w:val="008B0573"/>
    <w:rsid w:val="008B08CF"/>
    <w:rsid w:val="008B1104"/>
    <w:rsid w:val="008B18FD"/>
    <w:rsid w:val="008B1FDF"/>
    <w:rsid w:val="008B2652"/>
    <w:rsid w:val="008B299D"/>
    <w:rsid w:val="008B343A"/>
    <w:rsid w:val="008B353F"/>
    <w:rsid w:val="008B36D3"/>
    <w:rsid w:val="008B42CB"/>
    <w:rsid w:val="008B432D"/>
    <w:rsid w:val="008B467B"/>
    <w:rsid w:val="008B4BD5"/>
    <w:rsid w:val="008B4CC6"/>
    <w:rsid w:val="008B4E43"/>
    <w:rsid w:val="008B5430"/>
    <w:rsid w:val="008B58F5"/>
    <w:rsid w:val="008B6199"/>
    <w:rsid w:val="008B6268"/>
    <w:rsid w:val="008B7575"/>
    <w:rsid w:val="008B7AED"/>
    <w:rsid w:val="008C01A4"/>
    <w:rsid w:val="008C0907"/>
    <w:rsid w:val="008C103E"/>
    <w:rsid w:val="008C138F"/>
    <w:rsid w:val="008C2410"/>
    <w:rsid w:val="008C283A"/>
    <w:rsid w:val="008C3408"/>
    <w:rsid w:val="008C42FB"/>
    <w:rsid w:val="008C4CB3"/>
    <w:rsid w:val="008C4D07"/>
    <w:rsid w:val="008C54BE"/>
    <w:rsid w:val="008C5FFB"/>
    <w:rsid w:val="008C65E4"/>
    <w:rsid w:val="008C684A"/>
    <w:rsid w:val="008C6EDC"/>
    <w:rsid w:val="008C7748"/>
    <w:rsid w:val="008C7CE9"/>
    <w:rsid w:val="008C7EA4"/>
    <w:rsid w:val="008D08A6"/>
    <w:rsid w:val="008D2F97"/>
    <w:rsid w:val="008D33DD"/>
    <w:rsid w:val="008D3C00"/>
    <w:rsid w:val="008D4063"/>
    <w:rsid w:val="008D409A"/>
    <w:rsid w:val="008D4E2B"/>
    <w:rsid w:val="008D5002"/>
    <w:rsid w:val="008D56E7"/>
    <w:rsid w:val="008D5A87"/>
    <w:rsid w:val="008D5E96"/>
    <w:rsid w:val="008D5EEA"/>
    <w:rsid w:val="008D6168"/>
    <w:rsid w:val="008D6409"/>
    <w:rsid w:val="008D749E"/>
    <w:rsid w:val="008D7979"/>
    <w:rsid w:val="008E09B8"/>
    <w:rsid w:val="008E1CD3"/>
    <w:rsid w:val="008E1F50"/>
    <w:rsid w:val="008E22D1"/>
    <w:rsid w:val="008E2767"/>
    <w:rsid w:val="008E2C1A"/>
    <w:rsid w:val="008E3494"/>
    <w:rsid w:val="008E367D"/>
    <w:rsid w:val="008E3C6C"/>
    <w:rsid w:val="008E413C"/>
    <w:rsid w:val="008E4DB6"/>
    <w:rsid w:val="008E5189"/>
    <w:rsid w:val="008E5574"/>
    <w:rsid w:val="008E5A06"/>
    <w:rsid w:val="008E6974"/>
    <w:rsid w:val="008E6CFC"/>
    <w:rsid w:val="008E753A"/>
    <w:rsid w:val="008E79C5"/>
    <w:rsid w:val="008E7E4A"/>
    <w:rsid w:val="008F013C"/>
    <w:rsid w:val="008F0DCD"/>
    <w:rsid w:val="008F16B0"/>
    <w:rsid w:val="008F290A"/>
    <w:rsid w:val="008F2AD3"/>
    <w:rsid w:val="008F3807"/>
    <w:rsid w:val="008F3A7D"/>
    <w:rsid w:val="008F4105"/>
    <w:rsid w:val="008F43EA"/>
    <w:rsid w:val="008F4913"/>
    <w:rsid w:val="008F4BA7"/>
    <w:rsid w:val="008F5CE5"/>
    <w:rsid w:val="008F61FD"/>
    <w:rsid w:val="008F758A"/>
    <w:rsid w:val="008F7B1D"/>
    <w:rsid w:val="009001EE"/>
    <w:rsid w:val="009006A8"/>
    <w:rsid w:val="009007DF"/>
    <w:rsid w:val="00900EB3"/>
    <w:rsid w:val="00901735"/>
    <w:rsid w:val="00901ADA"/>
    <w:rsid w:val="00901AF7"/>
    <w:rsid w:val="00901C72"/>
    <w:rsid w:val="00901CF6"/>
    <w:rsid w:val="009023B1"/>
    <w:rsid w:val="009024CB"/>
    <w:rsid w:val="00902946"/>
    <w:rsid w:val="00902FDE"/>
    <w:rsid w:val="009032DA"/>
    <w:rsid w:val="009036F1"/>
    <w:rsid w:val="00903A51"/>
    <w:rsid w:val="0090420F"/>
    <w:rsid w:val="009043E7"/>
    <w:rsid w:val="00905139"/>
    <w:rsid w:val="00905347"/>
    <w:rsid w:val="00905AF7"/>
    <w:rsid w:val="0090637F"/>
    <w:rsid w:val="009071A3"/>
    <w:rsid w:val="00907970"/>
    <w:rsid w:val="00907D1C"/>
    <w:rsid w:val="009101A9"/>
    <w:rsid w:val="009110D0"/>
    <w:rsid w:val="00911372"/>
    <w:rsid w:val="00911473"/>
    <w:rsid w:val="009115B0"/>
    <w:rsid w:val="00911CFD"/>
    <w:rsid w:val="00911D64"/>
    <w:rsid w:val="00911E72"/>
    <w:rsid w:val="00913E88"/>
    <w:rsid w:val="00914346"/>
    <w:rsid w:val="0091459F"/>
    <w:rsid w:val="00915264"/>
    <w:rsid w:val="00915A9D"/>
    <w:rsid w:val="00916A87"/>
    <w:rsid w:val="009203E3"/>
    <w:rsid w:val="00920B9D"/>
    <w:rsid w:val="00921044"/>
    <w:rsid w:val="00921398"/>
    <w:rsid w:val="0092196F"/>
    <w:rsid w:val="00922BBD"/>
    <w:rsid w:val="00922F47"/>
    <w:rsid w:val="00925431"/>
    <w:rsid w:val="00925C81"/>
    <w:rsid w:val="00925EE6"/>
    <w:rsid w:val="00926473"/>
    <w:rsid w:val="009266E4"/>
    <w:rsid w:val="00926D23"/>
    <w:rsid w:val="00926E2F"/>
    <w:rsid w:val="00926E6D"/>
    <w:rsid w:val="0093128C"/>
    <w:rsid w:val="009323ED"/>
    <w:rsid w:val="00932DA7"/>
    <w:rsid w:val="00933185"/>
    <w:rsid w:val="00933D74"/>
    <w:rsid w:val="0093406D"/>
    <w:rsid w:val="0093415E"/>
    <w:rsid w:val="009349A4"/>
    <w:rsid w:val="00934DA5"/>
    <w:rsid w:val="009350C1"/>
    <w:rsid w:val="0093541E"/>
    <w:rsid w:val="009355C6"/>
    <w:rsid w:val="00935C98"/>
    <w:rsid w:val="0093736D"/>
    <w:rsid w:val="00940778"/>
    <w:rsid w:val="00940D8A"/>
    <w:rsid w:val="00941426"/>
    <w:rsid w:val="00941A9E"/>
    <w:rsid w:val="00941B44"/>
    <w:rsid w:val="009439CF"/>
    <w:rsid w:val="00943BFD"/>
    <w:rsid w:val="00943FBA"/>
    <w:rsid w:val="00944393"/>
    <w:rsid w:val="00944783"/>
    <w:rsid w:val="009459DA"/>
    <w:rsid w:val="00945C94"/>
    <w:rsid w:val="009460F4"/>
    <w:rsid w:val="009464BB"/>
    <w:rsid w:val="009468BB"/>
    <w:rsid w:val="00946971"/>
    <w:rsid w:val="00946FFB"/>
    <w:rsid w:val="0094771C"/>
    <w:rsid w:val="00947B23"/>
    <w:rsid w:val="0095014A"/>
    <w:rsid w:val="009502A7"/>
    <w:rsid w:val="009508D7"/>
    <w:rsid w:val="00950FF5"/>
    <w:rsid w:val="0095232A"/>
    <w:rsid w:val="0095283C"/>
    <w:rsid w:val="009536D0"/>
    <w:rsid w:val="00953971"/>
    <w:rsid w:val="00954286"/>
    <w:rsid w:val="0095455A"/>
    <w:rsid w:val="009548E6"/>
    <w:rsid w:val="00954E18"/>
    <w:rsid w:val="00954E94"/>
    <w:rsid w:val="009550EB"/>
    <w:rsid w:val="009552D4"/>
    <w:rsid w:val="0095549F"/>
    <w:rsid w:val="009556CE"/>
    <w:rsid w:val="0095688A"/>
    <w:rsid w:val="009569E6"/>
    <w:rsid w:val="00956BFF"/>
    <w:rsid w:val="009578D9"/>
    <w:rsid w:val="00957A93"/>
    <w:rsid w:val="00957D51"/>
    <w:rsid w:val="00960084"/>
    <w:rsid w:val="0096020A"/>
    <w:rsid w:val="00960A97"/>
    <w:rsid w:val="00960BE4"/>
    <w:rsid w:val="009611F3"/>
    <w:rsid w:val="009618B0"/>
    <w:rsid w:val="009622CE"/>
    <w:rsid w:val="00962BD2"/>
    <w:rsid w:val="00962C64"/>
    <w:rsid w:val="009633B7"/>
    <w:rsid w:val="0096361C"/>
    <w:rsid w:val="00963F4A"/>
    <w:rsid w:val="00964005"/>
    <w:rsid w:val="009653D9"/>
    <w:rsid w:val="0096590C"/>
    <w:rsid w:val="009659D2"/>
    <w:rsid w:val="00965ACB"/>
    <w:rsid w:val="00966EA3"/>
    <w:rsid w:val="00967401"/>
    <w:rsid w:val="009679D7"/>
    <w:rsid w:val="0097020C"/>
    <w:rsid w:val="00972A74"/>
    <w:rsid w:val="00972BF7"/>
    <w:rsid w:val="00972C04"/>
    <w:rsid w:val="009735A1"/>
    <w:rsid w:val="009736E7"/>
    <w:rsid w:val="00973E1D"/>
    <w:rsid w:val="00973EE4"/>
    <w:rsid w:val="00974226"/>
    <w:rsid w:val="00974FF9"/>
    <w:rsid w:val="00975659"/>
    <w:rsid w:val="00975683"/>
    <w:rsid w:val="00975A6B"/>
    <w:rsid w:val="0097626E"/>
    <w:rsid w:val="0097651F"/>
    <w:rsid w:val="00976780"/>
    <w:rsid w:val="0097697F"/>
    <w:rsid w:val="00976B2E"/>
    <w:rsid w:val="00977321"/>
    <w:rsid w:val="0097735A"/>
    <w:rsid w:val="00977A22"/>
    <w:rsid w:val="00977C9F"/>
    <w:rsid w:val="00977E6D"/>
    <w:rsid w:val="00980128"/>
    <w:rsid w:val="00980C56"/>
    <w:rsid w:val="009817B4"/>
    <w:rsid w:val="00981849"/>
    <w:rsid w:val="00982531"/>
    <w:rsid w:val="009826C1"/>
    <w:rsid w:val="00982AA9"/>
    <w:rsid w:val="00982D89"/>
    <w:rsid w:val="00983D18"/>
    <w:rsid w:val="0098401B"/>
    <w:rsid w:val="009841AD"/>
    <w:rsid w:val="009845F9"/>
    <w:rsid w:val="00984C4D"/>
    <w:rsid w:val="00985B5F"/>
    <w:rsid w:val="00986CF4"/>
    <w:rsid w:val="00987392"/>
    <w:rsid w:val="00987431"/>
    <w:rsid w:val="00991DA3"/>
    <w:rsid w:val="00991E35"/>
    <w:rsid w:val="0099275F"/>
    <w:rsid w:val="00992829"/>
    <w:rsid w:val="009928D4"/>
    <w:rsid w:val="00992A77"/>
    <w:rsid w:val="00992B82"/>
    <w:rsid w:val="00992BDE"/>
    <w:rsid w:val="009933FC"/>
    <w:rsid w:val="00993481"/>
    <w:rsid w:val="00993851"/>
    <w:rsid w:val="00994723"/>
    <w:rsid w:val="009947EE"/>
    <w:rsid w:val="00995DEA"/>
    <w:rsid w:val="009975F4"/>
    <w:rsid w:val="00997A6B"/>
    <w:rsid w:val="00997A9B"/>
    <w:rsid w:val="009A05CA"/>
    <w:rsid w:val="009A06C2"/>
    <w:rsid w:val="009A1C4B"/>
    <w:rsid w:val="009A1E41"/>
    <w:rsid w:val="009A2868"/>
    <w:rsid w:val="009A2A3D"/>
    <w:rsid w:val="009A2B46"/>
    <w:rsid w:val="009A2B82"/>
    <w:rsid w:val="009A2BDF"/>
    <w:rsid w:val="009A3B2C"/>
    <w:rsid w:val="009A4FCA"/>
    <w:rsid w:val="009A5333"/>
    <w:rsid w:val="009A584A"/>
    <w:rsid w:val="009A7314"/>
    <w:rsid w:val="009A748B"/>
    <w:rsid w:val="009B0077"/>
    <w:rsid w:val="009B0546"/>
    <w:rsid w:val="009B0D90"/>
    <w:rsid w:val="009B0FD0"/>
    <w:rsid w:val="009B1360"/>
    <w:rsid w:val="009B1709"/>
    <w:rsid w:val="009B28AC"/>
    <w:rsid w:val="009B2C6D"/>
    <w:rsid w:val="009B2F0F"/>
    <w:rsid w:val="009B3D3E"/>
    <w:rsid w:val="009B4230"/>
    <w:rsid w:val="009B4281"/>
    <w:rsid w:val="009B428D"/>
    <w:rsid w:val="009B43BA"/>
    <w:rsid w:val="009B4DDC"/>
    <w:rsid w:val="009B5104"/>
    <w:rsid w:val="009B536B"/>
    <w:rsid w:val="009B5D43"/>
    <w:rsid w:val="009B5FF6"/>
    <w:rsid w:val="009B6397"/>
    <w:rsid w:val="009B6C9F"/>
    <w:rsid w:val="009C10DA"/>
    <w:rsid w:val="009C17BE"/>
    <w:rsid w:val="009C2977"/>
    <w:rsid w:val="009C2D6A"/>
    <w:rsid w:val="009C2E5C"/>
    <w:rsid w:val="009C33BA"/>
    <w:rsid w:val="009C34F8"/>
    <w:rsid w:val="009C37A9"/>
    <w:rsid w:val="009C3F33"/>
    <w:rsid w:val="009C40EB"/>
    <w:rsid w:val="009C47AA"/>
    <w:rsid w:val="009C487F"/>
    <w:rsid w:val="009C4C89"/>
    <w:rsid w:val="009C52AB"/>
    <w:rsid w:val="009C574C"/>
    <w:rsid w:val="009C59B2"/>
    <w:rsid w:val="009C6023"/>
    <w:rsid w:val="009C6C28"/>
    <w:rsid w:val="009C7690"/>
    <w:rsid w:val="009C7740"/>
    <w:rsid w:val="009C784D"/>
    <w:rsid w:val="009C7E86"/>
    <w:rsid w:val="009D09D1"/>
    <w:rsid w:val="009D0A7E"/>
    <w:rsid w:val="009D17F8"/>
    <w:rsid w:val="009D1C29"/>
    <w:rsid w:val="009D2CAE"/>
    <w:rsid w:val="009D329C"/>
    <w:rsid w:val="009D3D8A"/>
    <w:rsid w:val="009D49A2"/>
    <w:rsid w:val="009D4AE6"/>
    <w:rsid w:val="009D4F56"/>
    <w:rsid w:val="009D5B52"/>
    <w:rsid w:val="009D7791"/>
    <w:rsid w:val="009D7A0D"/>
    <w:rsid w:val="009E00A5"/>
    <w:rsid w:val="009E01BB"/>
    <w:rsid w:val="009E0D77"/>
    <w:rsid w:val="009E0DA6"/>
    <w:rsid w:val="009E1108"/>
    <w:rsid w:val="009E13A2"/>
    <w:rsid w:val="009E1A44"/>
    <w:rsid w:val="009E2DB3"/>
    <w:rsid w:val="009E3542"/>
    <w:rsid w:val="009E3B10"/>
    <w:rsid w:val="009E3B7F"/>
    <w:rsid w:val="009E3B89"/>
    <w:rsid w:val="009E4463"/>
    <w:rsid w:val="009E46F2"/>
    <w:rsid w:val="009E5017"/>
    <w:rsid w:val="009E5061"/>
    <w:rsid w:val="009E517B"/>
    <w:rsid w:val="009E5465"/>
    <w:rsid w:val="009E57CD"/>
    <w:rsid w:val="009E5FF2"/>
    <w:rsid w:val="009E62FE"/>
    <w:rsid w:val="009E7D08"/>
    <w:rsid w:val="009E7D28"/>
    <w:rsid w:val="009F092F"/>
    <w:rsid w:val="009F0C61"/>
    <w:rsid w:val="009F2032"/>
    <w:rsid w:val="009F269E"/>
    <w:rsid w:val="009F2919"/>
    <w:rsid w:val="009F3391"/>
    <w:rsid w:val="009F3CE9"/>
    <w:rsid w:val="009F420B"/>
    <w:rsid w:val="009F4632"/>
    <w:rsid w:val="009F4B37"/>
    <w:rsid w:val="009F52E4"/>
    <w:rsid w:val="009F5C85"/>
    <w:rsid w:val="009F5E61"/>
    <w:rsid w:val="009F5F8E"/>
    <w:rsid w:val="009F6F93"/>
    <w:rsid w:val="009F7318"/>
    <w:rsid w:val="009F7B75"/>
    <w:rsid w:val="00A00AE4"/>
    <w:rsid w:val="00A017A9"/>
    <w:rsid w:val="00A0192A"/>
    <w:rsid w:val="00A0192E"/>
    <w:rsid w:val="00A01D52"/>
    <w:rsid w:val="00A01E0F"/>
    <w:rsid w:val="00A023A6"/>
    <w:rsid w:val="00A036E5"/>
    <w:rsid w:val="00A03712"/>
    <w:rsid w:val="00A03A98"/>
    <w:rsid w:val="00A04169"/>
    <w:rsid w:val="00A04E68"/>
    <w:rsid w:val="00A059D3"/>
    <w:rsid w:val="00A06191"/>
    <w:rsid w:val="00A069C8"/>
    <w:rsid w:val="00A06AF3"/>
    <w:rsid w:val="00A07134"/>
    <w:rsid w:val="00A0795F"/>
    <w:rsid w:val="00A07AB2"/>
    <w:rsid w:val="00A10A3F"/>
    <w:rsid w:val="00A10C9C"/>
    <w:rsid w:val="00A11A14"/>
    <w:rsid w:val="00A12827"/>
    <w:rsid w:val="00A12E05"/>
    <w:rsid w:val="00A13010"/>
    <w:rsid w:val="00A13B80"/>
    <w:rsid w:val="00A146A8"/>
    <w:rsid w:val="00A147CC"/>
    <w:rsid w:val="00A14BB5"/>
    <w:rsid w:val="00A1530D"/>
    <w:rsid w:val="00A1699F"/>
    <w:rsid w:val="00A16F9A"/>
    <w:rsid w:val="00A1707A"/>
    <w:rsid w:val="00A17927"/>
    <w:rsid w:val="00A17A4B"/>
    <w:rsid w:val="00A17C04"/>
    <w:rsid w:val="00A20827"/>
    <w:rsid w:val="00A20A12"/>
    <w:rsid w:val="00A21855"/>
    <w:rsid w:val="00A219E8"/>
    <w:rsid w:val="00A21BC8"/>
    <w:rsid w:val="00A21DD3"/>
    <w:rsid w:val="00A22169"/>
    <w:rsid w:val="00A22177"/>
    <w:rsid w:val="00A2276D"/>
    <w:rsid w:val="00A22BA6"/>
    <w:rsid w:val="00A2300F"/>
    <w:rsid w:val="00A23241"/>
    <w:rsid w:val="00A24610"/>
    <w:rsid w:val="00A24968"/>
    <w:rsid w:val="00A249DB"/>
    <w:rsid w:val="00A24D83"/>
    <w:rsid w:val="00A250F2"/>
    <w:rsid w:val="00A257EA"/>
    <w:rsid w:val="00A25969"/>
    <w:rsid w:val="00A27175"/>
    <w:rsid w:val="00A275D1"/>
    <w:rsid w:val="00A300CB"/>
    <w:rsid w:val="00A304C9"/>
    <w:rsid w:val="00A3122E"/>
    <w:rsid w:val="00A318B1"/>
    <w:rsid w:val="00A31BA3"/>
    <w:rsid w:val="00A31DDE"/>
    <w:rsid w:val="00A31F76"/>
    <w:rsid w:val="00A3227F"/>
    <w:rsid w:val="00A323B4"/>
    <w:rsid w:val="00A3247A"/>
    <w:rsid w:val="00A32A21"/>
    <w:rsid w:val="00A32DF1"/>
    <w:rsid w:val="00A3309D"/>
    <w:rsid w:val="00A33878"/>
    <w:rsid w:val="00A338C3"/>
    <w:rsid w:val="00A3391D"/>
    <w:rsid w:val="00A34136"/>
    <w:rsid w:val="00A344F6"/>
    <w:rsid w:val="00A34628"/>
    <w:rsid w:val="00A34774"/>
    <w:rsid w:val="00A34812"/>
    <w:rsid w:val="00A349C7"/>
    <w:rsid w:val="00A37259"/>
    <w:rsid w:val="00A3744A"/>
    <w:rsid w:val="00A37E66"/>
    <w:rsid w:val="00A406F2"/>
    <w:rsid w:val="00A41B62"/>
    <w:rsid w:val="00A4229B"/>
    <w:rsid w:val="00A42518"/>
    <w:rsid w:val="00A42CE0"/>
    <w:rsid w:val="00A42D5E"/>
    <w:rsid w:val="00A44278"/>
    <w:rsid w:val="00A44379"/>
    <w:rsid w:val="00A449F2"/>
    <w:rsid w:val="00A44AE1"/>
    <w:rsid w:val="00A4520E"/>
    <w:rsid w:val="00A477EF"/>
    <w:rsid w:val="00A47C98"/>
    <w:rsid w:val="00A5084A"/>
    <w:rsid w:val="00A5117E"/>
    <w:rsid w:val="00A516D7"/>
    <w:rsid w:val="00A54A77"/>
    <w:rsid w:val="00A54C47"/>
    <w:rsid w:val="00A55356"/>
    <w:rsid w:val="00A5632E"/>
    <w:rsid w:val="00A571A6"/>
    <w:rsid w:val="00A574C5"/>
    <w:rsid w:val="00A575A1"/>
    <w:rsid w:val="00A57DD9"/>
    <w:rsid w:val="00A60BC5"/>
    <w:rsid w:val="00A618CC"/>
    <w:rsid w:val="00A61DB5"/>
    <w:rsid w:val="00A62413"/>
    <w:rsid w:val="00A62E4B"/>
    <w:rsid w:val="00A640C6"/>
    <w:rsid w:val="00A64675"/>
    <w:rsid w:val="00A64FCA"/>
    <w:rsid w:val="00A65E5E"/>
    <w:rsid w:val="00A6612D"/>
    <w:rsid w:val="00A67430"/>
    <w:rsid w:val="00A701D9"/>
    <w:rsid w:val="00A70AEC"/>
    <w:rsid w:val="00A70CFD"/>
    <w:rsid w:val="00A70EDA"/>
    <w:rsid w:val="00A716A4"/>
    <w:rsid w:val="00A71737"/>
    <w:rsid w:val="00A7266A"/>
    <w:rsid w:val="00A727E6"/>
    <w:rsid w:val="00A72BE7"/>
    <w:rsid w:val="00A732CD"/>
    <w:rsid w:val="00A73395"/>
    <w:rsid w:val="00A73CCC"/>
    <w:rsid w:val="00A745DB"/>
    <w:rsid w:val="00A750EB"/>
    <w:rsid w:val="00A75986"/>
    <w:rsid w:val="00A75F8B"/>
    <w:rsid w:val="00A760E1"/>
    <w:rsid w:val="00A7616D"/>
    <w:rsid w:val="00A7666D"/>
    <w:rsid w:val="00A766A5"/>
    <w:rsid w:val="00A7755E"/>
    <w:rsid w:val="00A77B63"/>
    <w:rsid w:val="00A77E37"/>
    <w:rsid w:val="00A80937"/>
    <w:rsid w:val="00A80E42"/>
    <w:rsid w:val="00A816DE"/>
    <w:rsid w:val="00A81B61"/>
    <w:rsid w:val="00A821E9"/>
    <w:rsid w:val="00A82FBC"/>
    <w:rsid w:val="00A831CD"/>
    <w:rsid w:val="00A8387E"/>
    <w:rsid w:val="00A8405E"/>
    <w:rsid w:val="00A8491A"/>
    <w:rsid w:val="00A84DB0"/>
    <w:rsid w:val="00A850D9"/>
    <w:rsid w:val="00A853F7"/>
    <w:rsid w:val="00A8574A"/>
    <w:rsid w:val="00A86255"/>
    <w:rsid w:val="00A86425"/>
    <w:rsid w:val="00A86E47"/>
    <w:rsid w:val="00A87343"/>
    <w:rsid w:val="00A901D2"/>
    <w:rsid w:val="00A908BD"/>
    <w:rsid w:val="00A90B91"/>
    <w:rsid w:val="00A91B53"/>
    <w:rsid w:val="00A928D8"/>
    <w:rsid w:val="00A9296E"/>
    <w:rsid w:val="00A943B6"/>
    <w:rsid w:val="00A94F06"/>
    <w:rsid w:val="00A95786"/>
    <w:rsid w:val="00A96805"/>
    <w:rsid w:val="00A971EB"/>
    <w:rsid w:val="00AA063B"/>
    <w:rsid w:val="00AA0818"/>
    <w:rsid w:val="00AA0950"/>
    <w:rsid w:val="00AA0959"/>
    <w:rsid w:val="00AA174A"/>
    <w:rsid w:val="00AA1B18"/>
    <w:rsid w:val="00AA1C53"/>
    <w:rsid w:val="00AA22B3"/>
    <w:rsid w:val="00AA2992"/>
    <w:rsid w:val="00AA416A"/>
    <w:rsid w:val="00AA4E63"/>
    <w:rsid w:val="00AA5134"/>
    <w:rsid w:val="00AA51E2"/>
    <w:rsid w:val="00AA59D5"/>
    <w:rsid w:val="00AA6CDD"/>
    <w:rsid w:val="00AA7216"/>
    <w:rsid w:val="00AA7FF2"/>
    <w:rsid w:val="00AB0D8F"/>
    <w:rsid w:val="00AB1727"/>
    <w:rsid w:val="00AB185A"/>
    <w:rsid w:val="00AB1F92"/>
    <w:rsid w:val="00AB2023"/>
    <w:rsid w:val="00AB21EC"/>
    <w:rsid w:val="00AB2828"/>
    <w:rsid w:val="00AB3452"/>
    <w:rsid w:val="00AB3886"/>
    <w:rsid w:val="00AB5B01"/>
    <w:rsid w:val="00AB5EFC"/>
    <w:rsid w:val="00AB733E"/>
    <w:rsid w:val="00AB7352"/>
    <w:rsid w:val="00AB73A3"/>
    <w:rsid w:val="00AC169E"/>
    <w:rsid w:val="00AC1935"/>
    <w:rsid w:val="00AC1FEB"/>
    <w:rsid w:val="00AC23E9"/>
    <w:rsid w:val="00AC3E7A"/>
    <w:rsid w:val="00AC414A"/>
    <w:rsid w:val="00AC5B3B"/>
    <w:rsid w:val="00AC5D60"/>
    <w:rsid w:val="00AC68C8"/>
    <w:rsid w:val="00AC6BB4"/>
    <w:rsid w:val="00AC6C79"/>
    <w:rsid w:val="00AC6CCA"/>
    <w:rsid w:val="00AC6CD2"/>
    <w:rsid w:val="00AC6DAA"/>
    <w:rsid w:val="00AC6F64"/>
    <w:rsid w:val="00AC7210"/>
    <w:rsid w:val="00AC7261"/>
    <w:rsid w:val="00AC7FFB"/>
    <w:rsid w:val="00AD032C"/>
    <w:rsid w:val="00AD0F34"/>
    <w:rsid w:val="00AD16C2"/>
    <w:rsid w:val="00AD1E72"/>
    <w:rsid w:val="00AD1F72"/>
    <w:rsid w:val="00AD23B7"/>
    <w:rsid w:val="00AD398C"/>
    <w:rsid w:val="00AD3C1A"/>
    <w:rsid w:val="00AD3D42"/>
    <w:rsid w:val="00AD44AB"/>
    <w:rsid w:val="00AD4703"/>
    <w:rsid w:val="00AD4B11"/>
    <w:rsid w:val="00AD4BBE"/>
    <w:rsid w:val="00AD4C7B"/>
    <w:rsid w:val="00AD4CA7"/>
    <w:rsid w:val="00AD5273"/>
    <w:rsid w:val="00AD59F5"/>
    <w:rsid w:val="00AD6275"/>
    <w:rsid w:val="00AD666D"/>
    <w:rsid w:val="00AD69F0"/>
    <w:rsid w:val="00AD6D87"/>
    <w:rsid w:val="00AD7812"/>
    <w:rsid w:val="00AD7988"/>
    <w:rsid w:val="00AE0040"/>
    <w:rsid w:val="00AE01D9"/>
    <w:rsid w:val="00AE02D3"/>
    <w:rsid w:val="00AE0404"/>
    <w:rsid w:val="00AE049C"/>
    <w:rsid w:val="00AE0735"/>
    <w:rsid w:val="00AE0D8F"/>
    <w:rsid w:val="00AE1AA9"/>
    <w:rsid w:val="00AE1CB6"/>
    <w:rsid w:val="00AE1D48"/>
    <w:rsid w:val="00AE216C"/>
    <w:rsid w:val="00AE2BE0"/>
    <w:rsid w:val="00AE3BD3"/>
    <w:rsid w:val="00AE503E"/>
    <w:rsid w:val="00AE50A9"/>
    <w:rsid w:val="00AE5500"/>
    <w:rsid w:val="00AE5B90"/>
    <w:rsid w:val="00AE5F65"/>
    <w:rsid w:val="00AE633C"/>
    <w:rsid w:val="00AE708D"/>
    <w:rsid w:val="00AE78E5"/>
    <w:rsid w:val="00AE7984"/>
    <w:rsid w:val="00AE7BB5"/>
    <w:rsid w:val="00AF092B"/>
    <w:rsid w:val="00AF0CBB"/>
    <w:rsid w:val="00AF0FDB"/>
    <w:rsid w:val="00AF1026"/>
    <w:rsid w:val="00AF14DE"/>
    <w:rsid w:val="00AF1C40"/>
    <w:rsid w:val="00AF1E7C"/>
    <w:rsid w:val="00AF1ECB"/>
    <w:rsid w:val="00AF2082"/>
    <w:rsid w:val="00AF2097"/>
    <w:rsid w:val="00AF248D"/>
    <w:rsid w:val="00AF2D93"/>
    <w:rsid w:val="00AF303D"/>
    <w:rsid w:val="00AF3333"/>
    <w:rsid w:val="00AF3397"/>
    <w:rsid w:val="00AF5114"/>
    <w:rsid w:val="00AF5153"/>
    <w:rsid w:val="00AF52AF"/>
    <w:rsid w:val="00AF5525"/>
    <w:rsid w:val="00AF5ACE"/>
    <w:rsid w:val="00AF6292"/>
    <w:rsid w:val="00AF7160"/>
    <w:rsid w:val="00AF726F"/>
    <w:rsid w:val="00AF7839"/>
    <w:rsid w:val="00AF7B78"/>
    <w:rsid w:val="00B0006F"/>
    <w:rsid w:val="00B00BDD"/>
    <w:rsid w:val="00B014A4"/>
    <w:rsid w:val="00B014D5"/>
    <w:rsid w:val="00B01978"/>
    <w:rsid w:val="00B021F0"/>
    <w:rsid w:val="00B02CC0"/>
    <w:rsid w:val="00B03860"/>
    <w:rsid w:val="00B041C5"/>
    <w:rsid w:val="00B04486"/>
    <w:rsid w:val="00B04B10"/>
    <w:rsid w:val="00B04B54"/>
    <w:rsid w:val="00B056A9"/>
    <w:rsid w:val="00B0591A"/>
    <w:rsid w:val="00B06823"/>
    <w:rsid w:val="00B06928"/>
    <w:rsid w:val="00B06BED"/>
    <w:rsid w:val="00B06E92"/>
    <w:rsid w:val="00B0701E"/>
    <w:rsid w:val="00B07757"/>
    <w:rsid w:val="00B07A6F"/>
    <w:rsid w:val="00B10152"/>
    <w:rsid w:val="00B10E4C"/>
    <w:rsid w:val="00B114B0"/>
    <w:rsid w:val="00B13E36"/>
    <w:rsid w:val="00B13FD6"/>
    <w:rsid w:val="00B1400E"/>
    <w:rsid w:val="00B14445"/>
    <w:rsid w:val="00B14488"/>
    <w:rsid w:val="00B15B9C"/>
    <w:rsid w:val="00B15CFD"/>
    <w:rsid w:val="00B16025"/>
    <w:rsid w:val="00B17680"/>
    <w:rsid w:val="00B17C86"/>
    <w:rsid w:val="00B203B5"/>
    <w:rsid w:val="00B207FD"/>
    <w:rsid w:val="00B20F96"/>
    <w:rsid w:val="00B21538"/>
    <w:rsid w:val="00B22758"/>
    <w:rsid w:val="00B228B9"/>
    <w:rsid w:val="00B22AEB"/>
    <w:rsid w:val="00B23121"/>
    <w:rsid w:val="00B23F53"/>
    <w:rsid w:val="00B24226"/>
    <w:rsid w:val="00B24A86"/>
    <w:rsid w:val="00B25174"/>
    <w:rsid w:val="00B2678F"/>
    <w:rsid w:val="00B26819"/>
    <w:rsid w:val="00B27006"/>
    <w:rsid w:val="00B272FD"/>
    <w:rsid w:val="00B27806"/>
    <w:rsid w:val="00B27F25"/>
    <w:rsid w:val="00B30617"/>
    <w:rsid w:val="00B3083C"/>
    <w:rsid w:val="00B30D09"/>
    <w:rsid w:val="00B316EF"/>
    <w:rsid w:val="00B31AEF"/>
    <w:rsid w:val="00B321BD"/>
    <w:rsid w:val="00B32E7E"/>
    <w:rsid w:val="00B331F3"/>
    <w:rsid w:val="00B33AB9"/>
    <w:rsid w:val="00B33C35"/>
    <w:rsid w:val="00B340C3"/>
    <w:rsid w:val="00B3526C"/>
    <w:rsid w:val="00B353A3"/>
    <w:rsid w:val="00B35A71"/>
    <w:rsid w:val="00B35C2B"/>
    <w:rsid w:val="00B36183"/>
    <w:rsid w:val="00B36893"/>
    <w:rsid w:val="00B369C4"/>
    <w:rsid w:val="00B378A9"/>
    <w:rsid w:val="00B37960"/>
    <w:rsid w:val="00B37E9A"/>
    <w:rsid w:val="00B4068F"/>
    <w:rsid w:val="00B40E54"/>
    <w:rsid w:val="00B41424"/>
    <w:rsid w:val="00B41748"/>
    <w:rsid w:val="00B41E42"/>
    <w:rsid w:val="00B420C6"/>
    <w:rsid w:val="00B42105"/>
    <w:rsid w:val="00B42C22"/>
    <w:rsid w:val="00B42F85"/>
    <w:rsid w:val="00B43290"/>
    <w:rsid w:val="00B43862"/>
    <w:rsid w:val="00B43D35"/>
    <w:rsid w:val="00B43F10"/>
    <w:rsid w:val="00B44801"/>
    <w:rsid w:val="00B44963"/>
    <w:rsid w:val="00B45442"/>
    <w:rsid w:val="00B456D5"/>
    <w:rsid w:val="00B458A2"/>
    <w:rsid w:val="00B45D30"/>
    <w:rsid w:val="00B46558"/>
    <w:rsid w:val="00B468B9"/>
    <w:rsid w:val="00B46C6C"/>
    <w:rsid w:val="00B5032E"/>
    <w:rsid w:val="00B50471"/>
    <w:rsid w:val="00B50CBE"/>
    <w:rsid w:val="00B51434"/>
    <w:rsid w:val="00B515C3"/>
    <w:rsid w:val="00B51C6B"/>
    <w:rsid w:val="00B52589"/>
    <w:rsid w:val="00B52C59"/>
    <w:rsid w:val="00B53A06"/>
    <w:rsid w:val="00B54022"/>
    <w:rsid w:val="00B54205"/>
    <w:rsid w:val="00B54C85"/>
    <w:rsid w:val="00B54D7A"/>
    <w:rsid w:val="00B55166"/>
    <w:rsid w:val="00B55964"/>
    <w:rsid w:val="00B55F1F"/>
    <w:rsid w:val="00B56AAD"/>
    <w:rsid w:val="00B57C8D"/>
    <w:rsid w:val="00B57D96"/>
    <w:rsid w:val="00B60A09"/>
    <w:rsid w:val="00B61156"/>
    <w:rsid w:val="00B6204B"/>
    <w:rsid w:val="00B62146"/>
    <w:rsid w:val="00B622C6"/>
    <w:rsid w:val="00B63155"/>
    <w:rsid w:val="00B6316D"/>
    <w:rsid w:val="00B635DA"/>
    <w:rsid w:val="00B6368A"/>
    <w:rsid w:val="00B639F6"/>
    <w:rsid w:val="00B64167"/>
    <w:rsid w:val="00B6453A"/>
    <w:rsid w:val="00B64B5C"/>
    <w:rsid w:val="00B6533F"/>
    <w:rsid w:val="00B65483"/>
    <w:rsid w:val="00B65703"/>
    <w:rsid w:val="00B657F1"/>
    <w:rsid w:val="00B6628E"/>
    <w:rsid w:val="00B662D6"/>
    <w:rsid w:val="00B66759"/>
    <w:rsid w:val="00B67D16"/>
    <w:rsid w:val="00B719D2"/>
    <w:rsid w:val="00B71C44"/>
    <w:rsid w:val="00B72030"/>
    <w:rsid w:val="00B722C9"/>
    <w:rsid w:val="00B728D5"/>
    <w:rsid w:val="00B73861"/>
    <w:rsid w:val="00B73B58"/>
    <w:rsid w:val="00B73D35"/>
    <w:rsid w:val="00B740B2"/>
    <w:rsid w:val="00B74F0F"/>
    <w:rsid w:val="00B75158"/>
    <w:rsid w:val="00B760E5"/>
    <w:rsid w:val="00B769EF"/>
    <w:rsid w:val="00B76EB2"/>
    <w:rsid w:val="00B7776E"/>
    <w:rsid w:val="00B778EB"/>
    <w:rsid w:val="00B77B03"/>
    <w:rsid w:val="00B77C4D"/>
    <w:rsid w:val="00B806F4"/>
    <w:rsid w:val="00B80C9E"/>
    <w:rsid w:val="00B80D25"/>
    <w:rsid w:val="00B80E45"/>
    <w:rsid w:val="00B80F3F"/>
    <w:rsid w:val="00B80FDC"/>
    <w:rsid w:val="00B81A60"/>
    <w:rsid w:val="00B81EDE"/>
    <w:rsid w:val="00B822B1"/>
    <w:rsid w:val="00B82539"/>
    <w:rsid w:val="00B82624"/>
    <w:rsid w:val="00B836E3"/>
    <w:rsid w:val="00B83DA0"/>
    <w:rsid w:val="00B84E24"/>
    <w:rsid w:val="00B84F50"/>
    <w:rsid w:val="00B85D62"/>
    <w:rsid w:val="00B86036"/>
    <w:rsid w:val="00B86211"/>
    <w:rsid w:val="00B8623D"/>
    <w:rsid w:val="00B879BE"/>
    <w:rsid w:val="00B87C91"/>
    <w:rsid w:val="00B87EF6"/>
    <w:rsid w:val="00B900C5"/>
    <w:rsid w:val="00B90621"/>
    <w:rsid w:val="00B9158D"/>
    <w:rsid w:val="00B916BC"/>
    <w:rsid w:val="00B918FB"/>
    <w:rsid w:val="00B91972"/>
    <w:rsid w:val="00B920A0"/>
    <w:rsid w:val="00B92506"/>
    <w:rsid w:val="00B92E44"/>
    <w:rsid w:val="00B92ED2"/>
    <w:rsid w:val="00B93041"/>
    <w:rsid w:val="00B9356C"/>
    <w:rsid w:val="00B93757"/>
    <w:rsid w:val="00B93DC0"/>
    <w:rsid w:val="00B93F9A"/>
    <w:rsid w:val="00B945F0"/>
    <w:rsid w:val="00B94B18"/>
    <w:rsid w:val="00B94E11"/>
    <w:rsid w:val="00B94E6C"/>
    <w:rsid w:val="00B94F03"/>
    <w:rsid w:val="00B951D6"/>
    <w:rsid w:val="00B95268"/>
    <w:rsid w:val="00B955E6"/>
    <w:rsid w:val="00B95BBD"/>
    <w:rsid w:val="00B96F58"/>
    <w:rsid w:val="00B96F91"/>
    <w:rsid w:val="00B971F4"/>
    <w:rsid w:val="00BA07AD"/>
    <w:rsid w:val="00BA0B91"/>
    <w:rsid w:val="00BA113F"/>
    <w:rsid w:val="00BA2065"/>
    <w:rsid w:val="00BA2720"/>
    <w:rsid w:val="00BA30DA"/>
    <w:rsid w:val="00BA3B9D"/>
    <w:rsid w:val="00BA3F57"/>
    <w:rsid w:val="00BA3F9A"/>
    <w:rsid w:val="00BA50FA"/>
    <w:rsid w:val="00BA5254"/>
    <w:rsid w:val="00BA60D3"/>
    <w:rsid w:val="00BA645D"/>
    <w:rsid w:val="00BA6E59"/>
    <w:rsid w:val="00BA7B39"/>
    <w:rsid w:val="00BA7C72"/>
    <w:rsid w:val="00BB0B4D"/>
    <w:rsid w:val="00BB0BE2"/>
    <w:rsid w:val="00BB0DF8"/>
    <w:rsid w:val="00BB1600"/>
    <w:rsid w:val="00BB2872"/>
    <w:rsid w:val="00BB3359"/>
    <w:rsid w:val="00BB39D5"/>
    <w:rsid w:val="00BB39F3"/>
    <w:rsid w:val="00BB426F"/>
    <w:rsid w:val="00BB42B6"/>
    <w:rsid w:val="00BB432F"/>
    <w:rsid w:val="00BB4AD2"/>
    <w:rsid w:val="00BB5010"/>
    <w:rsid w:val="00BB5170"/>
    <w:rsid w:val="00BB555D"/>
    <w:rsid w:val="00BB55BF"/>
    <w:rsid w:val="00BB5FCB"/>
    <w:rsid w:val="00BB66EF"/>
    <w:rsid w:val="00BB6C8C"/>
    <w:rsid w:val="00BB6CB4"/>
    <w:rsid w:val="00BB6CB8"/>
    <w:rsid w:val="00BB6E5F"/>
    <w:rsid w:val="00BB7FEB"/>
    <w:rsid w:val="00BC161A"/>
    <w:rsid w:val="00BC2D4C"/>
    <w:rsid w:val="00BC3022"/>
    <w:rsid w:val="00BC376E"/>
    <w:rsid w:val="00BC3E18"/>
    <w:rsid w:val="00BC440F"/>
    <w:rsid w:val="00BC46E2"/>
    <w:rsid w:val="00BC4F27"/>
    <w:rsid w:val="00BC53F4"/>
    <w:rsid w:val="00BC5893"/>
    <w:rsid w:val="00BC632E"/>
    <w:rsid w:val="00BC6C79"/>
    <w:rsid w:val="00BC6EA6"/>
    <w:rsid w:val="00BC7AFB"/>
    <w:rsid w:val="00BC7C07"/>
    <w:rsid w:val="00BD017E"/>
    <w:rsid w:val="00BD0D23"/>
    <w:rsid w:val="00BD0EA4"/>
    <w:rsid w:val="00BD12C3"/>
    <w:rsid w:val="00BD12CB"/>
    <w:rsid w:val="00BD1714"/>
    <w:rsid w:val="00BD20CF"/>
    <w:rsid w:val="00BD2544"/>
    <w:rsid w:val="00BD2987"/>
    <w:rsid w:val="00BD298A"/>
    <w:rsid w:val="00BD3599"/>
    <w:rsid w:val="00BD38EA"/>
    <w:rsid w:val="00BD45A3"/>
    <w:rsid w:val="00BD4DAC"/>
    <w:rsid w:val="00BD508F"/>
    <w:rsid w:val="00BD56BC"/>
    <w:rsid w:val="00BD5ADD"/>
    <w:rsid w:val="00BD5D5F"/>
    <w:rsid w:val="00BD5F96"/>
    <w:rsid w:val="00BD65E1"/>
    <w:rsid w:val="00BD6D3D"/>
    <w:rsid w:val="00BE0683"/>
    <w:rsid w:val="00BE1080"/>
    <w:rsid w:val="00BE111C"/>
    <w:rsid w:val="00BE1DB9"/>
    <w:rsid w:val="00BE2276"/>
    <w:rsid w:val="00BE2F6F"/>
    <w:rsid w:val="00BE366B"/>
    <w:rsid w:val="00BE3C6C"/>
    <w:rsid w:val="00BE3DDA"/>
    <w:rsid w:val="00BE42FA"/>
    <w:rsid w:val="00BE4951"/>
    <w:rsid w:val="00BE4B77"/>
    <w:rsid w:val="00BE4F35"/>
    <w:rsid w:val="00BE5552"/>
    <w:rsid w:val="00BE68B1"/>
    <w:rsid w:val="00BE70AD"/>
    <w:rsid w:val="00BE7627"/>
    <w:rsid w:val="00BF038A"/>
    <w:rsid w:val="00BF09A9"/>
    <w:rsid w:val="00BF0CA6"/>
    <w:rsid w:val="00BF0FE3"/>
    <w:rsid w:val="00BF1480"/>
    <w:rsid w:val="00BF14F7"/>
    <w:rsid w:val="00BF164B"/>
    <w:rsid w:val="00BF3525"/>
    <w:rsid w:val="00BF3909"/>
    <w:rsid w:val="00BF39E5"/>
    <w:rsid w:val="00BF4662"/>
    <w:rsid w:val="00BF5297"/>
    <w:rsid w:val="00BF5336"/>
    <w:rsid w:val="00BF5BFC"/>
    <w:rsid w:val="00BF632A"/>
    <w:rsid w:val="00BF6983"/>
    <w:rsid w:val="00BF6C43"/>
    <w:rsid w:val="00BF6CF8"/>
    <w:rsid w:val="00BF7627"/>
    <w:rsid w:val="00C0012F"/>
    <w:rsid w:val="00C002F0"/>
    <w:rsid w:val="00C01070"/>
    <w:rsid w:val="00C01077"/>
    <w:rsid w:val="00C01B30"/>
    <w:rsid w:val="00C022D4"/>
    <w:rsid w:val="00C02513"/>
    <w:rsid w:val="00C03701"/>
    <w:rsid w:val="00C0417B"/>
    <w:rsid w:val="00C0417F"/>
    <w:rsid w:val="00C044D7"/>
    <w:rsid w:val="00C04CAB"/>
    <w:rsid w:val="00C05AFF"/>
    <w:rsid w:val="00C05FFA"/>
    <w:rsid w:val="00C07364"/>
    <w:rsid w:val="00C079EE"/>
    <w:rsid w:val="00C1077C"/>
    <w:rsid w:val="00C107DB"/>
    <w:rsid w:val="00C10F3E"/>
    <w:rsid w:val="00C110A4"/>
    <w:rsid w:val="00C11606"/>
    <w:rsid w:val="00C11785"/>
    <w:rsid w:val="00C117FD"/>
    <w:rsid w:val="00C1229D"/>
    <w:rsid w:val="00C12380"/>
    <w:rsid w:val="00C1291D"/>
    <w:rsid w:val="00C1366E"/>
    <w:rsid w:val="00C138A2"/>
    <w:rsid w:val="00C14401"/>
    <w:rsid w:val="00C1458F"/>
    <w:rsid w:val="00C1468D"/>
    <w:rsid w:val="00C148DA"/>
    <w:rsid w:val="00C14C5E"/>
    <w:rsid w:val="00C14E1A"/>
    <w:rsid w:val="00C15054"/>
    <w:rsid w:val="00C150FF"/>
    <w:rsid w:val="00C15738"/>
    <w:rsid w:val="00C16471"/>
    <w:rsid w:val="00C1700F"/>
    <w:rsid w:val="00C17315"/>
    <w:rsid w:val="00C173F7"/>
    <w:rsid w:val="00C17DAA"/>
    <w:rsid w:val="00C2063C"/>
    <w:rsid w:val="00C20721"/>
    <w:rsid w:val="00C2094F"/>
    <w:rsid w:val="00C20D97"/>
    <w:rsid w:val="00C20E53"/>
    <w:rsid w:val="00C211E1"/>
    <w:rsid w:val="00C2190A"/>
    <w:rsid w:val="00C2202B"/>
    <w:rsid w:val="00C22ECB"/>
    <w:rsid w:val="00C23333"/>
    <w:rsid w:val="00C235DA"/>
    <w:rsid w:val="00C23D36"/>
    <w:rsid w:val="00C23E67"/>
    <w:rsid w:val="00C23E97"/>
    <w:rsid w:val="00C24483"/>
    <w:rsid w:val="00C244F4"/>
    <w:rsid w:val="00C24571"/>
    <w:rsid w:val="00C2504F"/>
    <w:rsid w:val="00C25325"/>
    <w:rsid w:val="00C25403"/>
    <w:rsid w:val="00C259F1"/>
    <w:rsid w:val="00C27263"/>
    <w:rsid w:val="00C27D43"/>
    <w:rsid w:val="00C27DBC"/>
    <w:rsid w:val="00C303E0"/>
    <w:rsid w:val="00C308D6"/>
    <w:rsid w:val="00C31672"/>
    <w:rsid w:val="00C321D6"/>
    <w:rsid w:val="00C325E2"/>
    <w:rsid w:val="00C32C42"/>
    <w:rsid w:val="00C341FD"/>
    <w:rsid w:val="00C346E7"/>
    <w:rsid w:val="00C351D1"/>
    <w:rsid w:val="00C3548C"/>
    <w:rsid w:val="00C355B1"/>
    <w:rsid w:val="00C35903"/>
    <w:rsid w:val="00C3615C"/>
    <w:rsid w:val="00C40386"/>
    <w:rsid w:val="00C40C95"/>
    <w:rsid w:val="00C40EBA"/>
    <w:rsid w:val="00C4168A"/>
    <w:rsid w:val="00C4195B"/>
    <w:rsid w:val="00C41BFB"/>
    <w:rsid w:val="00C41F27"/>
    <w:rsid w:val="00C42131"/>
    <w:rsid w:val="00C4345E"/>
    <w:rsid w:val="00C438D3"/>
    <w:rsid w:val="00C43C0E"/>
    <w:rsid w:val="00C4487C"/>
    <w:rsid w:val="00C45108"/>
    <w:rsid w:val="00C457BE"/>
    <w:rsid w:val="00C45EEA"/>
    <w:rsid w:val="00C45F73"/>
    <w:rsid w:val="00C46665"/>
    <w:rsid w:val="00C472F9"/>
    <w:rsid w:val="00C5023A"/>
    <w:rsid w:val="00C5070F"/>
    <w:rsid w:val="00C50A89"/>
    <w:rsid w:val="00C51525"/>
    <w:rsid w:val="00C515A5"/>
    <w:rsid w:val="00C528C5"/>
    <w:rsid w:val="00C531B5"/>
    <w:rsid w:val="00C533A0"/>
    <w:rsid w:val="00C548CB"/>
    <w:rsid w:val="00C54A58"/>
    <w:rsid w:val="00C54D9A"/>
    <w:rsid w:val="00C54E69"/>
    <w:rsid w:val="00C5517B"/>
    <w:rsid w:val="00C55682"/>
    <w:rsid w:val="00C55D5E"/>
    <w:rsid w:val="00C56168"/>
    <w:rsid w:val="00C566E6"/>
    <w:rsid w:val="00C57302"/>
    <w:rsid w:val="00C600C0"/>
    <w:rsid w:val="00C60AC8"/>
    <w:rsid w:val="00C60FB3"/>
    <w:rsid w:val="00C61CD5"/>
    <w:rsid w:val="00C62092"/>
    <w:rsid w:val="00C6285F"/>
    <w:rsid w:val="00C62E2B"/>
    <w:rsid w:val="00C62FAE"/>
    <w:rsid w:val="00C65681"/>
    <w:rsid w:val="00C6568A"/>
    <w:rsid w:val="00C66495"/>
    <w:rsid w:val="00C66677"/>
    <w:rsid w:val="00C670F8"/>
    <w:rsid w:val="00C6746D"/>
    <w:rsid w:val="00C67B4B"/>
    <w:rsid w:val="00C7034D"/>
    <w:rsid w:val="00C71D22"/>
    <w:rsid w:val="00C726C8"/>
    <w:rsid w:val="00C7382A"/>
    <w:rsid w:val="00C7418D"/>
    <w:rsid w:val="00C746D5"/>
    <w:rsid w:val="00C74734"/>
    <w:rsid w:val="00C74987"/>
    <w:rsid w:val="00C74A5C"/>
    <w:rsid w:val="00C75879"/>
    <w:rsid w:val="00C759C3"/>
    <w:rsid w:val="00C75C60"/>
    <w:rsid w:val="00C76336"/>
    <w:rsid w:val="00C768E2"/>
    <w:rsid w:val="00C769BD"/>
    <w:rsid w:val="00C76F8F"/>
    <w:rsid w:val="00C77446"/>
    <w:rsid w:val="00C77A00"/>
    <w:rsid w:val="00C77E20"/>
    <w:rsid w:val="00C8051B"/>
    <w:rsid w:val="00C806AD"/>
    <w:rsid w:val="00C808B4"/>
    <w:rsid w:val="00C813E9"/>
    <w:rsid w:val="00C818C2"/>
    <w:rsid w:val="00C81E68"/>
    <w:rsid w:val="00C81F5E"/>
    <w:rsid w:val="00C82162"/>
    <w:rsid w:val="00C82636"/>
    <w:rsid w:val="00C8271E"/>
    <w:rsid w:val="00C828F5"/>
    <w:rsid w:val="00C82908"/>
    <w:rsid w:val="00C8326E"/>
    <w:rsid w:val="00C84EBE"/>
    <w:rsid w:val="00C852D6"/>
    <w:rsid w:val="00C8536C"/>
    <w:rsid w:val="00C85B02"/>
    <w:rsid w:val="00C87A6A"/>
    <w:rsid w:val="00C9046A"/>
    <w:rsid w:val="00C90681"/>
    <w:rsid w:val="00C91B03"/>
    <w:rsid w:val="00C91FBF"/>
    <w:rsid w:val="00C93297"/>
    <w:rsid w:val="00C93551"/>
    <w:rsid w:val="00C937FE"/>
    <w:rsid w:val="00C93926"/>
    <w:rsid w:val="00C93C72"/>
    <w:rsid w:val="00C93CB8"/>
    <w:rsid w:val="00C93CD2"/>
    <w:rsid w:val="00C94623"/>
    <w:rsid w:val="00C94B32"/>
    <w:rsid w:val="00C94C59"/>
    <w:rsid w:val="00C9565F"/>
    <w:rsid w:val="00C956E7"/>
    <w:rsid w:val="00C95700"/>
    <w:rsid w:val="00C95763"/>
    <w:rsid w:val="00C958BE"/>
    <w:rsid w:val="00C969FA"/>
    <w:rsid w:val="00C96F24"/>
    <w:rsid w:val="00C979DF"/>
    <w:rsid w:val="00C97A95"/>
    <w:rsid w:val="00C97B0E"/>
    <w:rsid w:val="00CA0675"/>
    <w:rsid w:val="00CA0752"/>
    <w:rsid w:val="00CA0943"/>
    <w:rsid w:val="00CA1054"/>
    <w:rsid w:val="00CA1639"/>
    <w:rsid w:val="00CA18AA"/>
    <w:rsid w:val="00CA2F1A"/>
    <w:rsid w:val="00CA3657"/>
    <w:rsid w:val="00CA4A2B"/>
    <w:rsid w:val="00CA4F9D"/>
    <w:rsid w:val="00CA547D"/>
    <w:rsid w:val="00CA68ED"/>
    <w:rsid w:val="00CA6E60"/>
    <w:rsid w:val="00CA7DCC"/>
    <w:rsid w:val="00CB0F72"/>
    <w:rsid w:val="00CB1111"/>
    <w:rsid w:val="00CB20F2"/>
    <w:rsid w:val="00CB3066"/>
    <w:rsid w:val="00CB4476"/>
    <w:rsid w:val="00CB5649"/>
    <w:rsid w:val="00CB66F4"/>
    <w:rsid w:val="00CB68A4"/>
    <w:rsid w:val="00CB6FB5"/>
    <w:rsid w:val="00CB7653"/>
    <w:rsid w:val="00CC0902"/>
    <w:rsid w:val="00CC0F9C"/>
    <w:rsid w:val="00CC1287"/>
    <w:rsid w:val="00CC1F1E"/>
    <w:rsid w:val="00CC2028"/>
    <w:rsid w:val="00CC21B2"/>
    <w:rsid w:val="00CC2CEF"/>
    <w:rsid w:val="00CC3C97"/>
    <w:rsid w:val="00CC43D3"/>
    <w:rsid w:val="00CC4D63"/>
    <w:rsid w:val="00CC5053"/>
    <w:rsid w:val="00CC6F62"/>
    <w:rsid w:val="00CD0087"/>
    <w:rsid w:val="00CD03EF"/>
    <w:rsid w:val="00CD08D1"/>
    <w:rsid w:val="00CD1427"/>
    <w:rsid w:val="00CD1776"/>
    <w:rsid w:val="00CD193A"/>
    <w:rsid w:val="00CD1B3B"/>
    <w:rsid w:val="00CD2AFB"/>
    <w:rsid w:val="00CD38C1"/>
    <w:rsid w:val="00CD443A"/>
    <w:rsid w:val="00CD4F2F"/>
    <w:rsid w:val="00CD4F71"/>
    <w:rsid w:val="00CD5342"/>
    <w:rsid w:val="00CD6287"/>
    <w:rsid w:val="00CD6377"/>
    <w:rsid w:val="00CD7254"/>
    <w:rsid w:val="00CE0783"/>
    <w:rsid w:val="00CE1F1A"/>
    <w:rsid w:val="00CE2959"/>
    <w:rsid w:val="00CE3A78"/>
    <w:rsid w:val="00CE3AD0"/>
    <w:rsid w:val="00CE448B"/>
    <w:rsid w:val="00CE4AC0"/>
    <w:rsid w:val="00CE4B97"/>
    <w:rsid w:val="00CE4E06"/>
    <w:rsid w:val="00CE518D"/>
    <w:rsid w:val="00CE5461"/>
    <w:rsid w:val="00CE687C"/>
    <w:rsid w:val="00CE7115"/>
    <w:rsid w:val="00CF01AF"/>
    <w:rsid w:val="00CF0225"/>
    <w:rsid w:val="00CF0630"/>
    <w:rsid w:val="00CF20A4"/>
    <w:rsid w:val="00CF2140"/>
    <w:rsid w:val="00CF2BF4"/>
    <w:rsid w:val="00CF2CBC"/>
    <w:rsid w:val="00CF3949"/>
    <w:rsid w:val="00CF476F"/>
    <w:rsid w:val="00CF536C"/>
    <w:rsid w:val="00CF5A40"/>
    <w:rsid w:val="00CF6124"/>
    <w:rsid w:val="00CF6A04"/>
    <w:rsid w:val="00CF6D60"/>
    <w:rsid w:val="00CF7854"/>
    <w:rsid w:val="00CF7BEA"/>
    <w:rsid w:val="00CF7EB2"/>
    <w:rsid w:val="00D006CF"/>
    <w:rsid w:val="00D00769"/>
    <w:rsid w:val="00D00AD7"/>
    <w:rsid w:val="00D00AF1"/>
    <w:rsid w:val="00D00F87"/>
    <w:rsid w:val="00D012A2"/>
    <w:rsid w:val="00D01892"/>
    <w:rsid w:val="00D02DB9"/>
    <w:rsid w:val="00D02ED2"/>
    <w:rsid w:val="00D03B51"/>
    <w:rsid w:val="00D03CA8"/>
    <w:rsid w:val="00D03E5B"/>
    <w:rsid w:val="00D04665"/>
    <w:rsid w:val="00D046DA"/>
    <w:rsid w:val="00D06368"/>
    <w:rsid w:val="00D06871"/>
    <w:rsid w:val="00D06C3E"/>
    <w:rsid w:val="00D06DE8"/>
    <w:rsid w:val="00D0705A"/>
    <w:rsid w:val="00D0706C"/>
    <w:rsid w:val="00D0729A"/>
    <w:rsid w:val="00D0747A"/>
    <w:rsid w:val="00D0761F"/>
    <w:rsid w:val="00D0766A"/>
    <w:rsid w:val="00D1089F"/>
    <w:rsid w:val="00D10EFA"/>
    <w:rsid w:val="00D1187E"/>
    <w:rsid w:val="00D12B82"/>
    <w:rsid w:val="00D12D8C"/>
    <w:rsid w:val="00D1305E"/>
    <w:rsid w:val="00D131F7"/>
    <w:rsid w:val="00D13279"/>
    <w:rsid w:val="00D13732"/>
    <w:rsid w:val="00D13749"/>
    <w:rsid w:val="00D13B19"/>
    <w:rsid w:val="00D146C6"/>
    <w:rsid w:val="00D1484F"/>
    <w:rsid w:val="00D15260"/>
    <w:rsid w:val="00D154D5"/>
    <w:rsid w:val="00D155AD"/>
    <w:rsid w:val="00D16213"/>
    <w:rsid w:val="00D16413"/>
    <w:rsid w:val="00D16B56"/>
    <w:rsid w:val="00D178D5"/>
    <w:rsid w:val="00D20908"/>
    <w:rsid w:val="00D20AF6"/>
    <w:rsid w:val="00D212A5"/>
    <w:rsid w:val="00D2142A"/>
    <w:rsid w:val="00D21AF7"/>
    <w:rsid w:val="00D21EC5"/>
    <w:rsid w:val="00D22301"/>
    <w:rsid w:val="00D250A6"/>
    <w:rsid w:val="00D25103"/>
    <w:rsid w:val="00D272E6"/>
    <w:rsid w:val="00D27394"/>
    <w:rsid w:val="00D277B4"/>
    <w:rsid w:val="00D277C6"/>
    <w:rsid w:val="00D3085D"/>
    <w:rsid w:val="00D30CEE"/>
    <w:rsid w:val="00D31536"/>
    <w:rsid w:val="00D3288E"/>
    <w:rsid w:val="00D32EE5"/>
    <w:rsid w:val="00D32FE9"/>
    <w:rsid w:val="00D338C0"/>
    <w:rsid w:val="00D33FA2"/>
    <w:rsid w:val="00D3449B"/>
    <w:rsid w:val="00D34D2E"/>
    <w:rsid w:val="00D36614"/>
    <w:rsid w:val="00D36DCB"/>
    <w:rsid w:val="00D372E9"/>
    <w:rsid w:val="00D376E4"/>
    <w:rsid w:val="00D40AFB"/>
    <w:rsid w:val="00D40D7C"/>
    <w:rsid w:val="00D40FCB"/>
    <w:rsid w:val="00D40FD3"/>
    <w:rsid w:val="00D41A34"/>
    <w:rsid w:val="00D41AE4"/>
    <w:rsid w:val="00D42A95"/>
    <w:rsid w:val="00D42C27"/>
    <w:rsid w:val="00D4374E"/>
    <w:rsid w:val="00D438A0"/>
    <w:rsid w:val="00D43C7D"/>
    <w:rsid w:val="00D4403C"/>
    <w:rsid w:val="00D44A98"/>
    <w:rsid w:val="00D4558F"/>
    <w:rsid w:val="00D46832"/>
    <w:rsid w:val="00D471CA"/>
    <w:rsid w:val="00D5052D"/>
    <w:rsid w:val="00D506D4"/>
    <w:rsid w:val="00D50E03"/>
    <w:rsid w:val="00D51195"/>
    <w:rsid w:val="00D5175D"/>
    <w:rsid w:val="00D5180A"/>
    <w:rsid w:val="00D522ED"/>
    <w:rsid w:val="00D5244B"/>
    <w:rsid w:val="00D52779"/>
    <w:rsid w:val="00D5338E"/>
    <w:rsid w:val="00D53807"/>
    <w:rsid w:val="00D54B51"/>
    <w:rsid w:val="00D557A6"/>
    <w:rsid w:val="00D55ABA"/>
    <w:rsid w:val="00D5666A"/>
    <w:rsid w:val="00D57648"/>
    <w:rsid w:val="00D57786"/>
    <w:rsid w:val="00D579C8"/>
    <w:rsid w:val="00D60CC2"/>
    <w:rsid w:val="00D60E37"/>
    <w:rsid w:val="00D61232"/>
    <w:rsid w:val="00D613D9"/>
    <w:rsid w:val="00D6245F"/>
    <w:rsid w:val="00D62D9B"/>
    <w:rsid w:val="00D634A0"/>
    <w:rsid w:val="00D637B7"/>
    <w:rsid w:val="00D63944"/>
    <w:rsid w:val="00D639A9"/>
    <w:rsid w:val="00D63DC8"/>
    <w:rsid w:val="00D63F48"/>
    <w:rsid w:val="00D64681"/>
    <w:rsid w:val="00D64B7E"/>
    <w:rsid w:val="00D64DE3"/>
    <w:rsid w:val="00D64E8F"/>
    <w:rsid w:val="00D6500E"/>
    <w:rsid w:val="00D65920"/>
    <w:rsid w:val="00D66823"/>
    <w:rsid w:val="00D66E31"/>
    <w:rsid w:val="00D66F25"/>
    <w:rsid w:val="00D6736D"/>
    <w:rsid w:val="00D67644"/>
    <w:rsid w:val="00D677F2"/>
    <w:rsid w:val="00D677F4"/>
    <w:rsid w:val="00D705D9"/>
    <w:rsid w:val="00D7089F"/>
    <w:rsid w:val="00D70A46"/>
    <w:rsid w:val="00D71405"/>
    <w:rsid w:val="00D739CA"/>
    <w:rsid w:val="00D7462E"/>
    <w:rsid w:val="00D74DF1"/>
    <w:rsid w:val="00D74E46"/>
    <w:rsid w:val="00D75735"/>
    <w:rsid w:val="00D75A8E"/>
    <w:rsid w:val="00D75DBC"/>
    <w:rsid w:val="00D77006"/>
    <w:rsid w:val="00D77037"/>
    <w:rsid w:val="00D7762D"/>
    <w:rsid w:val="00D81649"/>
    <w:rsid w:val="00D81878"/>
    <w:rsid w:val="00D8242F"/>
    <w:rsid w:val="00D82D60"/>
    <w:rsid w:val="00D831EB"/>
    <w:rsid w:val="00D83EB3"/>
    <w:rsid w:val="00D85095"/>
    <w:rsid w:val="00D854CF"/>
    <w:rsid w:val="00D856A1"/>
    <w:rsid w:val="00D85896"/>
    <w:rsid w:val="00D85F55"/>
    <w:rsid w:val="00D869AC"/>
    <w:rsid w:val="00D86D2E"/>
    <w:rsid w:val="00D87409"/>
    <w:rsid w:val="00D87831"/>
    <w:rsid w:val="00D90186"/>
    <w:rsid w:val="00D906CC"/>
    <w:rsid w:val="00D90731"/>
    <w:rsid w:val="00D90872"/>
    <w:rsid w:val="00D9096C"/>
    <w:rsid w:val="00D90A98"/>
    <w:rsid w:val="00D92C7C"/>
    <w:rsid w:val="00D92DEA"/>
    <w:rsid w:val="00D9384F"/>
    <w:rsid w:val="00D93EB5"/>
    <w:rsid w:val="00D943B6"/>
    <w:rsid w:val="00D94649"/>
    <w:rsid w:val="00D94799"/>
    <w:rsid w:val="00D94827"/>
    <w:rsid w:val="00D95D41"/>
    <w:rsid w:val="00D96261"/>
    <w:rsid w:val="00D96AF4"/>
    <w:rsid w:val="00D97517"/>
    <w:rsid w:val="00D97F96"/>
    <w:rsid w:val="00DA0FF1"/>
    <w:rsid w:val="00DA1489"/>
    <w:rsid w:val="00DA15B1"/>
    <w:rsid w:val="00DA1A9E"/>
    <w:rsid w:val="00DA1E47"/>
    <w:rsid w:val="00DA1F45"/>
    <w:rsid w:val="00DA255F"/>
    <w:rsid w:val="00DA2E2A"/>
    <w:rsid w:val="00DA30D5"/>
    <w:rsid w:val="00DA3402"/>
    <w:rsid w:val="00DA3497"/>
    <w:rsid w:val="00DA3B42"/>
    <w:rsid w:val="00DA4128"/>
    <w:rsid w:val="00DA42C8"/>
    <w:rsid w:val="00DA4DAF"/>
    <w:rsid w:val="00DA4FB6"/>
    <w:rsid w:val="00DA5A64"/>
    <w:rsid w:val="00DA60B9"/>
    <w:rsid w:val="00DA657B"/>
    <w:rsid w:val="00DA6AAB"/>
    <w:rsid w:val="00DA6E35"/>
    <w:rsid w:val="00DA70D8"/>
    <w:rsid w:val="00DA7794"/>
    <w:rsid w:val="00DA7852"/>
    <w:rsid w:val="00DB0BA0"/>
    <w:rsid w:val="00DB0F4B"/>
    <w:rsid w:val="00DB19A2"/>
    <w:rsid w:val="00DB1BCF"/>
    <w:rsid w:val="00DB27D8"/>
    <w:rsid w:val="00DB3270"/>
    <w:rsid w:val="00DB3590"/>
    <w:rsid w:val="00DB378C"/>
    <w:rsid w:val="00DB3A37"/>
    <w:rsid w:val="00DB43DF"/>
    <w:rsid w:val="00DB4A85"/>
    <w:rsid w:val="00DB5052"/>
    <w:rsid w:val="00DB590F"/>
    <w:rsid w:val="00DB5AA0"/>
    <w:rsid w:val="00DB5D0B"/>
    <w:rsid w:val="00DB6333"/>
    <w:rsid w:val="00DB72E1"/>
    <w:rsid w:val="00DC0A2A"/>
    <w:rsid w:val="00DC0B18"/>
    <w:rsid w:val="00DC1104"/>
    <w:rsid w:val="00DC1F10"/>
    <w:rsid w:val="00DC25AF"/>
    <w:rsid w:val="00DC2D60"/>
    <w:rsid w:val="00DC3112"/>
    <w:rsid w:val="00DC3ECE"/>
    <w:rsid w:val="00DC4A0F"/>
    <w:rsid w:val="00DC4A34"/>
    <w:rsid w:val="00DC4E68"/>
    <w:rsid w:val="00DC4F0D"/>
    <w:rsid w:val="00DC4F3C"/>
    <w:rsid w:val="00DC5018"/>
    <w:rsid w:val="00DC631C"/>
    <w:rsid w:val="00DC6B70"/>
    <w:rsid w:val="00DC6BE2"/>
    <w:rsid w:val="00DC715B"/>
    <w:rsid w:val="00DD000D"/>
    <w:rsid w:val="00DD0207"/>
    <w:rsid w:val="00DD0CA0"/>
    <w:rsid w:val="00DD0D52"/>
    <w:rsid w:val="00DD1148"/>
    <w:rsid w:val="00DD14E9"/>
    <w:rsid w:val="00DD29C7"/>
    <w:rsid w:val="00DD37C3"/>
    <w:rsid w:val="00DD44CF"/>
    <w:rsid w:val="00DD63ED"/>
    <w:rsid w:val="00DD6509"/>
    <w:rsid w:val="00DD6A5A"/>
    <w:rsid w:val="00DD7399"/>
    <w:rsid w:val="00DD78BC"/>
    <w:rsid w:val="00DE05C7"/>
    <w:rsid w:val="00DE1247"/>
    <w:rsid w:val="00DE1823"/>
    <w:rsid w:val="00DE2B6C"/>
    <w:rsid w:val="00DE2E19"/>
    <w:rsid w:val="00DE3306"/>
    <w:rsid w:val="00DE3904"/>
    <w:rsid w:val="00DE3B95"/>
    <w:rsid w:val="00DE45B6"/>
    <w:rsid w:val="00DE5154"/>
    <w:rsid w:val="00DE541E"/>
    <w:rsid w:val="00DE567F"/>
    <w:rsid w:val="00DE5820"/>
    <w:rsid w:val="00DE7E7E"/>
    <w:rsid w:val="00DF00CA"/>
    <w:rsid w:val="00DF0392"/>
    <w:rsid w:val="00DF3906"/>
    <w:rsid w:val="00DF3919"/>
    <w:rsid w:val="00DF400A"/>
    <w:rsid w:val="00DF45F2"/>
    <w:rsid w:val="00DF473B"/>
    <w:rsid w:val="00DF5430"/>
    <w:rsid w:val="00DF586A"/>
    <w:rsid w:val="00DF5E8B"/>
    <w:rsid w:val="00DF5F3D"/>
    <w:rsid w:val="00DF62BC"/>
    <w:rsid w:val="00DF7147"/>
    <w:rsid w:val="00E00657"/>
    <w:rsid w:val="00E00B25"/>
    <w:rsid w:val="00E01A72"/>
    <w:rsid w:val="00E02354"/>
    <w:rsid w:val="00E0272A"/>
    <w:rsid w:val="00E027AA"/>
    <w:rsid w:val="00E02832"/>
    <w:rsid w:val="00E02870"/>
    <w:rsid w:val="00E03190"/>
    <w:rsid w:val="00E03415"/>
    <w:rsid w:val="00E0441B"/>
    <w:rsid w:val="00E04DC8"/>
    <w:rsid w:val="00E056E7"/>
    <w:rsid w:val="00E05DED"/>
    <w:rsid w:val="00E06065"/>
    <w:rsid w:val="00E06727"/>
    <w:rsid w:val="00E071AF"/>
    <w:rsid w:val="00E07D3A"/>
    <w:rsid w:val="00E10285"/>
    <w:rsid w:val="00E104D3"/>
    <w:rsid w:val="00E1128F"/>
    <w:rsid w:val="00E11518"/>
    <w:rsid w:val="00E11D8C"/>
    <w:rsid w:val="00E125EE"/>
    <w:rsid w:val="00E12AE0"/>
    <w:rsid w:val="00E12DEE"/>
    <w:rsid w:val="00E134B9"/>
    <w:rsid w:val="00E13899"/>
    <w:rsid w:val="00E13AF1"/>
    <w:rsid w:val="00E1445F"/>
    <w:rsid w:val="00E16BFF"/>
    <w:rsid w:val="00E17690"/>
    <w:rsid w:val="00E20956"/>
    <w:rsid w:val="00E213D6"/>
    <w:rsid w:val="00E21DFD"/>
    <w:rsid w:val="00E221BA"/>
    <w:rsid w:val="00E22695"/>
    <w:rsid w:val="00E22965"/>
    <w:rsid w:val="00E230E8"/>
    <w:rsid w:val="00E239FD"/>
    <w:rsid w:val="00E23F62"/>
    <w:rsid w:val="00E244F5"/>
    <w:rsid w:val="00E248AB"/>
    <w:rsid w:val="00E2568C"/>
    <w:rsid w:val="00E256E4"/>
    <w:rsid w:val="00E264BD"/>
    <w:rsid w:val="00E26905"/>
    <w:rsid w:val="00E26AA7"/>
    <w:rsid w:val="00E27508"/>
    <w:rsid w:val="00E27D7A"/>
    <w:rsid w:val="00E3040E"/>
    <w:rsid w:val="00E30622"/>
    <w:rsid w:val="00E30648"/>
    <w:rsid w:val="00E31A2C"/>
    <w:rsid w:val="00E32115"/>
    <w:rsid w:val="00E3216A"/>
    <w:rsid w:val="00E329D6"/>
    <w:rsid w:val="00E33758"/>
    <w:rsid w:val="00E34D0F"/>
    <w:rsid w:val="00E36078"/>
    <w:rsid w:val="00E3623E"/>
    <w:rsid w:val="00E3677D"/>
    <w:rsid w:val="00E37190"/>
    <w:rsid w:val="00E3743F"/>
    <w:rsid w:val="00E3751F"/>
    <w:rsid w:val="00E37689"/>
    <w:rsid w:val="00E376F6"/>
    <w:rsid w:val="00E37B6B"/>
    <w:rsid w:val="00E405A9"/>
    <w:rsid w:val="00E40EB9"/>
    <w:rsid w:val="00E41921"/>
    <w:rsid w:val="00E41BDC"/>
    <w:rsid w:val="00E41EFB"/>
    <w:rsid w:val="00E4244A"/>
    <w:rsid w:val="00E425EF"/>
    <w:rsid w:val="00E42911"/>
    <w:rsid w:val="00E42CF6"/>
    <w:rsid w:val="00E430E4"/>
    <w:rsid w:val="00E4363B"/>
    <w:rsid w:val="00E44700"/>
    <w:rsid w:val="00E44A09"/>
    <w:rsid w:val="00E45BD2"/>
    <w:rsid w:val="00E461BD"/>
    <w:rsid w:val="00E46444"/>
    <w:rsid w:val="00E46484"/>
    <w:rsid w:val="00E465C3"/>
    <w:rsid w:val="00E46CD2"/>
    <w:rsid w:val="00E46D85"/>
    <w:rsid w:val="00E47237"/>
    <w:rsid w:val="00E47496"/>
    <w:rsid w:val="00E47D8A"/>
    <w:rsid w:val="00E504D2"/>
    <w:rsid w:val="00E50862"/>
    <w:rsid w:val="00E50E77"/>
    <w:rsid w:val="00E50F21"/>
    <w:rsid w:val="00E5187B"/>
    <w:rsid w:val="00E51D2E"/>
    <w:rsid w:val="00E52998"/>
    <w:rsid w:val="00E52F66"/>
    <w:rsid w:val="00E5320C"/>
    <w:rsid w:val="00E5334A"/>
    <w:rsid w:val="00E5341E"/>
    <w:rsid w:val="00E5372B"/>
    <w:rsid w:val="00E5412C"/>
    <w:rsid w:val="00E54BB0"/>
    <w:rsid w:val="00E54D4F"/>
    <w:rsid w:val="00E54E8D"/>
    <w:rsid w:val="00E563E4"/>
    <w:rsid w:val="00E5676D"/>
    <w:rsid w:val="00E56A94"/>
    <w:rsid w:val="00E571FD"/>
    <w:rsid w:val="00E57C0C"/>
    <w:rsid w:val="00E57F35"/>
    <w:rsid w:val="00E60752"/>
    <w:rsid w:val="00E6102C"/>
    <w:rsid w:val="00E6165F"/>
    <w:rsid w:val="00E619B9"/>
    <w:rsid w:val="00E61C50"/>
    <w:rsid w:val="00E61FC1"/>
    <w:rsid w:val="00E62A19"/>
    <w:rsid w:val="00E62C12"/>
    <w:rsid w:val="00E62C57"/>
    <w:rsid w:val="00E639E1"/>
    <w:rsid w:val="00E63D06"/>
    <w:rsid w:val="00E63E29"/>
    <w:rsid w:val="00E63FEA"/>
    <w:rsid w:val="00E6415D"/>
    <w:rsid w:val="00E64B0B"/>
    <w:rsid w:val="00E64BBE"/>
    <w:rsid w:val="00E64C6B"/>
    <w:rsid w:val="00E64D30"/>
    <w:rsid w:val="00E65A61"/>
    <w:rsid w:val="00E65A67"/>
    <w:rsid w:val="00E65BE0"/>
    <w:rsid w:val="00E6621F"/>
    <w:rsid w:val="00E667FE"/>
    <w:rsid w:val="00E66973"/>
    <w:rsid w:val="00E66C5B"/>
    <w:rsid w:val="00E70919"/>
    <w:rsid w:val="00E70946"/>
    <w:rsid w:val="00E70F1D"/>
    <w:rsid w:val="00E7121E"/>
    <w:rsid w:val="00E71415"/>
    <w:rsid w:val="00E721FC"/>
    <w:rsid w:val="00E729C3"/>
    <w:rsid w:val="00E72F40"/>
    <w:rsid w:val="00E7480F"/>
    <w:rsid w:val="00E7501D"/>
    <w:rsid w:val="00E75EBB"/>
    <w:rsid w:val="00E75FF9"/>
    <w:rsid w:val="00E760E4"/>
    <w:rsid w:val="00E763E2"/>
    <w:rsid w:val="00E77AA7"/>
    <w:rsid w:val="00E77F0F"/>
    <w:rsid w:val="00E8006A"/>
    <w:rsid w:val="00E80408"/>
    <w:rsid w:val="00E8041D"/>
    <w:rsid w:val="00E81049"/>
    <w:rsid w:val="00E81073"/>
    <w:rsid w:val="00E812B8"/>
    <w:rsid w:val="00E817E2"/>
    <w:rsid w:val="00E8290F"/>
    <w:rsid w:val="00E82E09"/>
    <w:rsid w:val="00E83378"/>
    <w:rsid w:val="00E8478D"/>
    <w:rsid w:val="00E8503A"/>
    <w:rsid w:val="00E85165"/>
    <w:rsid w:val="00E866F3"/>
    <w:rsid w:val="00E87A69"/>
    <w:rsid w:val="00E901CE"/>
    <w:rsid w:val="00E90384"/>
    <w:rsid w:val="00E903F3"/>
    <w:rsid w:val="00E90622"/>
    <w:rsid w:val="00E90781"/>
    <w:rsid w:val="00E90F9C"/>
    <w:rsid w:val="00E91322"/>
    <w:rsid w:val="00E92598"/>
    <w:rsid w:val="00E92F1F"/>
    <w:rsid w:val="00E9360A"/>
    <w:rsid w:val="00E940BC"/>
    <w:rsid w:val="00E94DEA"/>
    <w:rsid w:val="00E95CE4"/>
    <w:rsid w:val="00E95D7E"/>
    <w:rsid w:val="00E96906"/>
    <w:rsid w:val="00E96E7B"/>
    <w:rsid w:val="00E96E89"/>
    <w:rsid w:val="00E972BE"/>
    <w:rsid w:val="00E9736E"/>
    <w:rsid w:val="00E974C4"/>
    <w:rsid w:val="00E97A1A"/>
    <w:rsid w:val="00E97A7A"/>
    <w:rsid w:val="00EA12C8"/>
    <w:rsid w:val="00EA12FA"/>
    <w:rsid w:val="00EA15E7"/>
    <w:rsid w:val="00EA2029"/>
    <w:rsid w:val="00EA2301"/>
    <w:rsid w:val="00EA25B4"/>
    <w:rsid w:val="00EA28DD"/>
    <w:rsid w:val="00EA2987"/>
    <w:rsid w:val="00EA2EC5"/>
    <w:rsid w:val="00EA2F61"/>
    <w:rsid w:val="00EA33C0"/>
    <w:rsid w:val="00EA3781"/>
    <w:rsid w:val="00EA428E"/>
    <w:rsid w:val="00EA4842"/>
    <w:rsid w:val="00EA58C9"/>
    <w:rsid w:val="00EA5CC9"/>
    <w:rsid w:val="00EA5D38"/>
    <w:rsid w:val="00EA62F6"/>
    <w:rsid w:val="00EA7B8F"/>
    <w:rsid w:val="00EA7DB0"/>
    <w:rsid w:val="00EA7EC6"/>
    <w:rsid w:val="00EB01DA"/>
    <w:rsid w:val="00EB0B54"/>
    <w:rsid w:val="00EB15B1"/>
    <w:rsid w:val="00EB27B4"/>
    <w:rsid w:val="00EB2DEA"/>
    <w:rsid w:val="00EB395C"/>
    <w:rsid w:val="00EB3E0E"/>
    <w:rsid w:val="00EB3F5C"/>
    <w:rsid w:val="00EB40BC"/>
    <w:rsid w:val="00EB46A4"/>
    <w:rsid w:val="00EB49CC"/>
    <w:rsid w:val="00EB4B55"/>
    <w:rsid w:val="00EB50FF"/>
    <w:rsid w:val="00EB54D7"/>
    <w:rsid w:val="00EB5F75"/>
    <w:rsid w:val="00EB632C"/>
    <w:rsid w:val="00EB7683"/>
    <w:rsid w:val="00EB76F8"/>
    <w:rsid w:val="00EB7BC0"/>
    <w:rsid w:val="00EB7E04"/>
    <w:rsid w:val="00EC00AF"/>
    <w:rsid w:val="00EC010A"/>
    <w:rsid w:val="00EC06D9"/>
    <w:rsid w:val="00EC15D4"/>
    <w:rsid w:val="00EC167C"/>
    <w:rsid w:val="00EC1C50"/>
    <w:rsid w:val="00EC463A"/>
    <w:rsid w:val="00EC4DCF"/>
    <w:rsid w:val="00EC5417"/>
    <w:rsid w:val="00EC71FF"/>
    <w:rsid w:val="00ED081D"/>
    <w:rsid w:val="00ED08BA"/>
    <w:rsid w:val="00ED0D08"/>
    <w:rsid w:val="00ED1387"/>
    <w:rsid w:val="00ED13E5"/>
    <w:rsid w:val="00ED141D"/>
    <w:rsid w:val="00ED1688"/>
    <w:rsid w:val="00ED197C"/>
    <w:rsid w:val="00ED1AA8"/>
    <w:rsid w:val="00ED2CB1"/>
    <w:rsid w:val="00ED3B2E"/>
    <w:rsid w:val="00ED3E60"/>
    <w:rsid w:val="00ED4474"/>
    <w:rsid w:val="00ED5DD5"/>
    <w:rsid w:val="00ED5F12"/>
    <w:rsid w:val="00ED634A"/>
    <w:rsid w:val="00ED68A0"/>
    <w:rsid w:val="00ED6B57"/>
    <w:rsid w:val="00ED72EF"/>
    <w:rsid w:val="00EE0201"/>
    <w:rsid w:val="00EE02F4"/>
    <w:rsid w:val="00EE09B8"/>
    <w:rsid w:val="00EE1E28"/>
    <w:rsid w:val="00EE2AF4"/>
    <w:rsid w:val="00EE2E08"/>
    <w:rsid w:val="00EE2E99"/>
    <w:rsid w:val="00EE2FC9"/>
    <w:rsid w:val="00EE4DEE"/>
    <w:rsid w:val="00EE5A1A"/>
    <w:rsid w:val="00EE6387"/>
    <w:rsid w:val="00EE6CFD"/>
    <w:rsid w:val="00EE7DB2"/>
    <w:rsid w:val="00EF02C7"/>
    <w:rsid w:val="00EF0454"/>
    <w:rsid w:val="00EF09CC"/>
    <w:rsid w:val="00EF0F11"/>
    <w:rsid w:val="00EF1230"/>
    <w:rsid w:val="00EF1B7A"/>
    <w:rsid w:val="00EF2127"/>
    <w:rsid w:val="00EF37A3"/>
    <w:rsid w:val="00EF39A2"/>
    <w:rsid w:val="00EF4880"/>
    <w:rsid w:val="00EF54D0"/>
    <w:rsid w:val="00EF5634"/>
    <w:rsid w:val="00EF6EEC"/>
    <w:rsid w:val="00EF71E4"/>
    <w:rsid w:val="00F0031A"/>
    <w:rsid w:val="00F00788"/>
    <w:rsid w:val="00F0106D"/>
    <w:rsid w:val="00F0108E"/>
    <w:rsid w:val="00F010EC"/>
    <w:rsid w:val="00F02023"/>
    <w:rsid w:val="00F02E6D"/>
    <w:rsid w:val="00F033DA"/>
    <w:rsid w:val="00F03B93"/>
    <w:rsid w:val="00F041F3"/>
    <w:rsid w:val="00F04B36"/>
    <w:rsid w:val="00F04F55"/>
    <w:rsid w:val="00F052D0"/>
    <w:rsid w:val="00F05344"/>
    <w:rsid w:val="00F056E3"/>
    <w:rsid w:val="00F05B47"/>
    <w:rsid w:val="00F05F92"/>
    <w:rsid w:val="00F0627B"/>
    <w:rsid w:val="00F0664A"/>
    <w:rsid w:val="00F06C24"/>
    <w:rsid w:val="00F074D1"/>
    <w:rsid w:val="00F075B8"/>
    <w:rsid w:val="00F07E2E"/>
    <w:rsid w:val="00F07E76"/>
    <w:rsid w:val="00F10487"/>
    <w:rsid w:val="00F10D94"/>
    <w:rsid w:val="00F11033"/>
    <w:rsid w:val="00F11778"/>
    <w:rsid w:val="00F11E73"/>
    <w:rsid w:val="00F12846"/>
    <w:rsid w:val="00F138C3"/>
    <w:rsid w:val="00F13A9B"/>
    <w:rsid w:val="00F14951"/>
    <w:rsid w:val="00F1495C"/>
    <w:rsid w:val="00F14B4F"/>
    <w:rsid w:val="00F155F7"/>
    <w:rsid w:val="00F16058"/>
    <w:rsid w:val="00F162D2"/>
    <w:rsid w:val="00F16832"/>
    <w:rsid w:val="00F16F1C"/>
    <w:rsid w:val="00F20BC8"/>
    <w:rsid w:val="00F21F3C"/>
    <w:rsid w:val="00F2201F"/>
    <w:rsid w:val="00F22267"/>
    <w:rsid w:val="00F22387"/>
    <w:rsid w:val="00F22859"/>
    <w:rsid w:val="00F23896"/>
    <w:rsid w:val="00F23C85"/>
    <w:rsid w:val="00F24AEC"/>
    <w:rsid w:val="00F24B36"/>
    <w:rsid w:val="00F24D6F"/>
    <w:rsid w:val="00F25095"/>
    <w:rsid w:val="00F26334"/>
    <w:rsid w:val="00F263EF"/>
    <w:rsid w:val="00F26A61"/>
    <w:rsid w:val="00F26FD8"/>
    <w:rsid w:val="00F27C4E"/>
    <w:rsid w:val="00F3041C"/>
    <w:rsid w:val="00F30FE2"/>
    <w:rsid w:val="00F31A02"/>
    <w:rsid w:val="00F31D60"/>
    <w:rsid w:val="00F31F8A"/>
    <w:rsid w:val="00F3257B"/>
    <w:rsid w:val="00F337B0"/>
    <w:rsid w:val="00F33E93"/>
    <w:rsid w:val="00F340B8"/>
    <w:rsid w:val="00F34164"/>
    <w:rsid w:val="00F3455F"/>
    <w:rsid w:val="00F34937"/>
    <w:rsid w:val="00F35573"/>
    <w:rsid w:val="00F35CCC"/>
    <w:rsid w:val="00F362B7"/>
    <w:rsid w:val="00F3680F"/>
    <w:rsid w:val="00F3684A"/>
    <w:rsid w:val="00F36EFF"/>
    <w:rsid w:val="00F37295"/>
    <w:rsid w:val="00F3757F"/>
    <w:rsid w:val="00F3778F"/>
    <w:rsid w:val="00F378FD"/>
    <w:rsid w:val="00F37DD7"/>
    <w:rsid w:val="00F40687"/>
    <w:rsid w:val="00F40B60"/>
    <w:rsid w:val="00F42804"/>
    <w:rsid w:val="00F435CF"/>
    <w:rsid w:val="00F43AD4"/>
    <w:rsid w:val="00F440D6"/>
    <w:rsid w:val="00F446F1"/>
    <w:rsid w:val="00F44761"/>
    <w:rsid w:val="00F44ED3"/>
    <w:rsid w:val="00F45313"/>
    <w:rsid w:val="00F45FCC"/>
    <w:rsid w:val="00F46435"/>
    <w:rsid w:val="00F46736"/>
    <w:rsid w:val="00F47B8C"/>
    <w:rsid w:val="00F500F0"/>
    <w:rsid w:val="00F50A28"/>
    <w:rsid w:val="00F50AEB"/>
    <w:rsid w:val="00F516E2"/>
    <w:rsid w:val="00F52C25"/>
    <w:rsid w:val="00F54AFE"/>
    <w:rsid w:val="00F54BF9"/>
    <w:rsid w:val="00F5521C"/>
    <w:rsid w:val="00F5530C"/>
    <w:rsid w:val="00F55485"/>
    <w:rsid w:val="00F5580D"/>
    <w:rsid w:val="00F565D2"/>
    <w:rsid w:val="00F56B67"/>
    <w:rsid w:val="00F56F8E"/>
    <w:rsid w:val="00F5718E"/>
    <w:rsid w:val="00F57BD8"/>
    <w:rsid w:val="00F601E8"/>
    <w:rsid w:val="00F602DC"/>
    <w:rsid w:val="00F60CB5"/>
    <w:rsid w:val="00F60E75"/>
    <w:rsid w:val="00F615BA"/>
    <w:rsid w:val="00F61A92"/>
    <w:rsid w:val="00F61E81"/>
    <w:rsid w:val="00F62A8D"/>
    <w:rsid w:val="00F62AB9"/>
    <w:rsid w:val="00F62B12"/>
    <w:rsid w:val="00F631F3"/>
    <w:rsid w:val="00F63CAC"/>
    <w:rsid w:val="00F641DC"/>
    <w:rsid w:val="00F64DE2"/>
    <w:rsid w:val="00F6511D"/>
    <w:rsid w:val="00F65E57"/>
    <w:rsid w:val="00F6629B"/>
    <w:rsid w:val="00F66CDB"/>
    <w:rsid w:val="00F66DAA"/>
    <w:rsid w:val="00F7000C"/>
    <w:rsid w:val="00F70067"/>
    <w:rsid w:val="00F708B6"/>
    <w:rsid w:val="00F70953"/>
    <w:rsid w:val="00F70E1D"/>
    <w:rsid w:val="00F7205B"/>
    <w:rsid w:val="00F7275A"/>
    <w:rsid w:val="00F729C2"/>
    <w:rsid w:val="00F72DB5"/>
    <w:rsid w:val="00F73674"/>
    <w:rsid w:val="00F73AA7"/>
    <w:rsid w:val="00F73BC9"/>
    <w:rsid w:val="00F73C36"/>
    <w:rsid w:val="00F73DD8"/>
    <w:rsid w:val="00F74142"/>
    <w:rsid w:val="00F764E0"/>
    <w:rsid w:val="00F77206"/>
    <w:rsid w:val="00F77DA1"/>
    <w:rsid w:val="00F8041E"/>
    <w:rsid w:val="00F8139E"/>
    <w:rsid w:val="00F81BE4"/>
    <w:rsid w:val="00F81F8B"/>
    <w:rsid w:val="00F822DD"/>
    <w:rsid w:val="00F8243E"/>
    <w:rsid w:val="00F828E9"/>
    <w:rsid w:val="00F82FD1"/>
    <w:rsid w:val="00F864F4"/>
    <w:rsid w:val="00F86810"/>
    <w:rsid w:val="00F876B8"/>
    <w:rsid w:val="00F90240"/>
    <w:rsid w:val="00F9024E"/>
    <w:rsid w:val="00F90730"/>
    <w:rsid w:val="00F91171"/>
    <w:rsid w:val="00F925A9"/>
    <w:rsid w:val="00F92E7D"/>
    <w:rsid w:val="00F92EAF"/>
    <w:rsid w:val="00F9301F"/>
    <w:rsid w:val="00F9421A"/>
    <w:rsid w:val="00F94A1D"/>
    <w:rsid w:val="00FA09A8"/>
    <w:rsid w:val="00FA102C"/>
    <w:rsid w:val="00FA1188"/>
    <w:rsid w:val="00FA16B0"/>
    <w:rsid w:val="00FA1E3A"/>
    <w:rsid w:val="00FA22EF"/>
    <w:rsid w:val="00FA2DDB"/>
    <w:rsid w:val="00FA3B89"/>
    <w:rsid w:val="00FA5EB4"/>
    <w:rsid w:val="00FA70DB"/>
    <w:rsid w:val="00FB11B7"/>
    <w:rsid w:val="00FB146F"/>
    <w:rsid w:val="00FB1751"/>
    <w:rsid w:val="00FB22D8"/>
    <w:rsid w:val="00FB30C5"/>
    <w:rsid w:val="00FB3141"/>
    <w:rsid w:val="00FB3A5F"/>
    <w:rsid w:val="00FB4022"/>
    <w:rsid w:val="00FB4345"/>
    <w:rsid w:val="00FB4A64"/>
    <w:rsid w:val="00FB56A3"/>
    <w:rsid w:val="00FB66AA"/>
    <w:rsid w:val="00FB6800"/>
    <w:rsid w:val="00FB68AF"/>
    <w:rsid w:val="00FB699C"/>
    <w:rsid w:val="00FB6DC9"/>
    <w:rsid w:val="00FB6E24"/>
    <w:rsid w:val="00FB71ED"/>
    <w:rsid w:val="00FB78B8"/>
    <w:rsid w:val="00FB7D5B"/>
    <w:rsid w:val="00FC081D"/>
    <w:rsid w:val="00FC0B1E"/>
    <w:rsid w:val="00FC1FF7"/>
    <w:rsid w:val="00FC2826"/>
    <w:rsid w:val="00FC284E"/>
    <w:rsid w:val="00FC28BD"/>
    <w:rsid w:val="00FC380C"/>
    <w:rsid w:val="00FC3D96"/>
    <w:rsid w:val="00FC479C"/>
    <w:rsid w:val="00FC483E"/>
    <w:rsid w:val="00FC48F0"/>
    <w:rsid w:val="00FC584D"/>
    <w:rsid w:val="00FC5B7E"/>
    <w:rsid w:val="00FC5B8F"/>
    <w:rsid w:val="00FC5CBF"/>
    <w:rsid w:val="00FC5E4B"/>
    <w:rsid w:val="00FC6465"/>
    <w:rsid w:val="00FC64E4"/>
    <w:rsid w:val="00FC688E"/>
    <w:rsid w:val="00FC68A5"/>
    <w:rsid w:val="00FC6C3F"/>
    <w:rsid w:val="00FC70B6"/>
    <w:rsid w:val="00FC7302"/>
    <w:rsid w:val="00FC75C7"/>
    <w:rsid w:val="00FC7A52"/>
    <w:rsid w:val="00FC7B59"/>
    <w:rsid w:val="00FD0367"/>
    <w:rsid w:val="00FD0668"/>
    <w:rsid w:val="00FD10DB"/>
    <w:rsid w:val="00FD176F"/>
    <w:rsid w:val="00FD380F"/>
    <w:rsid w:val="00FD412F"/>
    <w:rsid w:val="00FD4317"/>
    <w:rsid w:val="00FD48CA"/>
    <w:rsid w:val="00FD4A23"/>
    <w:rsid w:val="00FD4B2D"/>
    <w:rsid w:val="00FD4B95"/>
    <w:rsid w:val="00FD5C24"/>
    <w:rsid w:val="00FE05A1"/>
    <w:rsid w:val="00FE134E"/>
    <w:rsid w:val="00FE13E0"/>
    <w:rsid w:val="00FE14DB"/>
    <w:rsid w:val="00FE1BB3"/>
    <w:rsid w:val="00FE1FB5"/>
    <w:rsid w:val="00FE29E9"/>
    <w:rsid w:val="00FE37B9"/>
    <w:rsid w:val="00FE5841"/>
    <w:rsid w:val="00FE611A"/>
    <w:rsid w:val="00FE67B9"/>
    <w:rsid w:val="00FE6986"/>
    <w:rsid w:val="00FE758D"/>
    <w:rsid w:val="00FE7879"/>
    <w:rsid w:val="00FF0462"/>
    <w:rsid w:val="00FF086E"/>
    <w:rsid w:val="00FF108A"/>
    <w:rsid w:val="00FF1A4C"/>
    <w:rsid w:val="00FF1B0B"/>
    <w:rsid w:val="00FF1E8C"/>
    <w:rsid w:val="00FF21FB"/>
    <w:rsid w:val="00FF2693"/>
    <w:rsid w:val="00FF2719"/>
    <w:rsid w:val="00FF38F2"/>
    <w:rsid w:val="00FF48B0"/>
    <w:rsid w:val="00FF4ACC"/>
    <w:rsid w:val="00FF5585"/>
    <w:rsid w:val="00FF56C6"/>
    <w:rsid w:val="00FF59D0"/>
    <w:rsid w:val="00FF5DDC"/>
    <w:rsid w:val="00FF6498"/>
    <w:rsid w:val="00FF67BC"/>
    <w:rsid w:val="00FF6C1B"/>
    <w:rsid w:val="00FF6C42"/>
    <w:rsid w:val="00FF6CDC"/>
    <w:rsid w:val="00FF744E"/>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BBFFE"/>
  <w15:chartTrackingRefBased/>
  <w15:docId w15:val="{CE79AA9F-F080-4A96-877C-9E6B999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05E"/>
    <w:rPr>
      <w:sz w:val="24"/>
      <w:szCs w:val="24"/>
      <w:lang w:val="en-CA" w:eastAsia="en-CA"/>
    </w:rPr>
  </w:style>
  <w:style w:type="paragraph" w:styleId="Heading1">
    <w:name w:val="heading 1"/>
    <w:basedOn w:val="Normal"/>
    <w:next w:val="BodyText"/>
    <w:link w:val="Heading1Char"/>
    <w:qFormat/>
    <w:rsid w:val="00E8041D"/>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szCs w:val="20"/>
      <w:lang w:eastAsia="en-US"/>
    </w:rPr>
  </w:style>
  <w:style w:type="paragraph" w:styleId="Heading2">
    <w:name w:val="heading 2"/>
    <w:basedOn w:val="Normal"/>
    <w:next w:val="Normal"/>
    <w:link w:val="Heading2Char"/>
    <w:semiHidden/>
    <w:unhideWhenUsed/>
    <w:qFormat/>
    <w:rsid w:val="00A2300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2367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4A400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A428E"/>
    <w:rPr>
      <w:sz w:val="20"/>
      <w:szCs w:val="20"/>
    </w:rPr>
  </w:style>
  <w:style w:type="character" w:styleId="FootnoteReference">
    <w:name w:val="footnote reference"/>
    <w:uiPriority w:val="99"/>
    <w:semiHidden/>
    <w:rsid w:val="00EA428E"/>
    <w:rPr>
      <w:vertAlign w:val="superscript"/>
    </w:rPr>
  </w:style>
  <w:style w:type="paragraph" w:customStyle="1" w:styleId="Default">
    <w:name w:val="Default"/>
    <w:rsid w:val="00EA428E"/>
    <w:pPr>
      <w:autoSpaceDE w:val="0"/>
      <w:autoSpaceDN w:val="0"/>
      <w:adjustRightInd w:val="0"/>
    </w:pPr>
    <w:rPr>
      <w:color w:val="000000"/>
      <w:sz w:val="24"/>
      <w:szCs w:val="24"/>
    </w:rPr>
  </w:style>
  <w:style w:type="character" w:customStyle="1" w:styleId="Heading1Char">
    <w:name w:val="Heading 1 Char"/>
    <w:link w:val="Heading1"/>
    <w:locked/>
    <w:rsid w:val="00E8041D"/>
    <w:rPr>
      <w:rFonts w:ascii="Arial Black" w:hAnsi="Arial Black"/>
      <w:color w:val="FFFFFF"/>
      <w:spacing w:val="-10"/>
      <w:kern w:val="20"/>
      <w:sz w:val="24"/>
      <w:lang w:val="en-CA" w:eastAsia="en-US" w:bidi="ar-SA"/>
    </w:rPr>
  </w:style>
  <w:style w:type="paragraph" w:styleId="BodyText">
    <w:name w:val="Body Text"/>
    <w:basedOn w:val="Normal"/>
    <w:link w:val="BodyTextChar"/>
    <w:semiHidden/>
    <w:rsid w:val="00E8041D"/>
    <w:pPr>
      <w:spacing w:after="240" w:line="240" w:lineRule="atLeast"/>
      <w:ind w:left="1080"/>
      <w:jc w:val="both"/>
    </w:pPr>
    <w:rPr>
      <w:rFonts w:ascii="Arial" w:hAnsi="Arial"/>
      <w:spacing w:val="-5"/>
      <w:sz w:val="20"/>
      <w:szCs w:val="20"/>
      <w:lang w:eastAsia="en-US"/>
    </w:rPr>
  </w:style>
  <w:style w:type="character" w:customStyle="1" w:styleId="BodyTextChar">
    <w:name w:val="Body Text Char"/>
    <w:link w:val="BodyText"/>
    <w:semiHidden/>
    <w:locked/>
    <w:rsid w:val="00E8041D"/>
    <w:rPr>
      <w:rFonts w:ascii="Arial" w:hAnsi="Arial"/>
      <w:spacing w:val="-5"/>
      <w:lang w:val="en-CA" w:eastAsia="en-US" w:bidi="ar-SA"/>
    </w:rPr>
  </w:style>
  <w:style w:type="paragraph" w:customStyle="1" w:styleId="CompanyName">
    <w:name w:val="Company Name"/>
    <w:basedOn w:val="Normal"/>
    <w:rsid w:val="00E8041D"/>
    <w:pPr>
      <w:keepNext/>
      <w:keepLines/>
      <w:spacing w:line="220" w:lineRule="atLeast"/>
    </w:pPr>
    <w:rPr>
      <w:rFonts w:ascii="Arial Black" w:hAnsi="Arial Black"/>
      <w:spacing w:val="-25"/>
      <w:kern w:val="28"/>
      <w:sz w:val="32"/>
      <w:szCs w:val="20"/>
      <w:lang w:eastAsia="en-US"/>
    </w:rPr>
  </w:style>
  <w:style w:type="paragraph" w:customStyle="1" w:styleId="TitleCover">
    <w:name w:val="Title Cover"/>
    <w:basedOn w:val="Normal"/>
    <w:next w:val="Normal"/>
    <w:rsid w:val="00E8041D"/>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eastAsia="en-US"/>
    </w:rPr>
  </w:style>
  <w:style w:type="paragraph" w:styleId="Header">
    <w:name w:val="header"/>
    <w:basedOn w:val="Normal"/>
    <w:link w:val="HeaderChar"/>
    <w:semiHidden/>
    <w:rsid w:val="00E8041D"/>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HeaderChar">
    <w:name w:val="Header Char"/>
    <w:link w:val="Header"/>
    <w:semiHidden/>
    <w:locked/>
    <w:rsid w:val="00E8041D"/>
    <w:rPr>
      <w:rFonts w:ascii="Arial" w:hAnsi="Arial"/>
      <w:caps/>
      <w:spacing w:val="-5"/>
      <w:sz w:val="15"/>
      <w:lang w:val="en-CA" w:eastAsia="en-US" w:bidi="ar-SA"/>
    </w:rPr>
  </w:style>
  <w:style w:type="paragraph" w:customStyle="1" w:styleId="ReturnAddress">
    <w:name w:val="Return Address"/>
    <w:basedOn w:val="Normal"/>
    <w:rsid w:val="00E8041D"/>
    <w:pPr>
      <w:keepLines/>
      <w:framePr w:w="5160" w:h="840" w:wrap="notBeside" w:vAnchor="page" w:hAnchor="page" w:x="6121" w:y="915" w:anchorLock="1"/>
      <w:tabs>
        <w:tab w:val="left" w:pos="2160"/>
      </w:tabs>
      <w:spacing w:line="160" w:lineRule="atLeast"/>
    </w:pPr>
    <w:rPr>
      <w:rFonts w:ascii="Arial" w:hAnsi="Arial"/>
      <w:sz w:val="14"/>
      <w:szCs w:val="20"/>
      <w:lang w:eastAsia="en-US"/>
    </w:rPr>
  </w:style>
  <w:style w:type="paragraph" w:customStyle="1" w:styleId="SubtitleCover">
    <w:name w:val="Subtitle Cover"/>
    <w:basedOn w:val="TitleCover"/>
    <w:next w:val="BodyText"/>
    <w:rsid w:val="00E8041D"/>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DCSOddFooter">
    <w:name w:val="DCS Odd Footer"/>
    <w:basedOn w:val="Normal"/>
    <w:rsid w:val="00E8041D"/>
    <w:pPr>
      <w:pBdr>
        <w:top w:val="single" w:sz="4" w:space="1" w:color="999999"/>
      </w:pBdr>
      <w:tabs>
        <w:tab w:val="right" w:pos="8640"/>
      </w:tabs>
    </w:pPr>
    <w:rPr>
      <w:rFonts w:ascii="Arial" w:hAnsi="Arial"/>
      <w:color w:val="333333"/>
      <w:sz w:val="18"/>
      <w:szCs w:val="20"/>
      <w:lang w:eastAsia="en-US"/>
    </w:rPr>
  </w:style>
  <w:style w:type="paragraph" w:styleId="Footer">
    <w:name w:val="footer"/>
    <w:basedOn w:val="Normal"/>
    <w:link w:val="FooterChar"/>
    <w:uiPriority w:val="99"/>
    <w:rsid w:val="00E8041D"/>
    <w:pPr>
      <w:tabs>
        <w:tab w:val="center" w:pos="4680"/>
        <w:tab w:val="right" w:pos="9360"/>
      </w:tabs>
    </w:pPr>
  </w:style>
  <w:style w:type="character" w:customStyle="1" w:styleId="FooterChar">
    <w:name w:val="Footer Char"/>
    <w:link w:val="Footer"/>
    <w:uiPriority w:val="99"/>
    <w:locked/>
    <w:rsid w:val="00E8041D"/>
    <w:rPr>
      <w:sz w:val="24"/>
      <w:szCs w:val="24"/>
      <w:lang w:val="en-CA" w:eastAsia="en-CA" w:bidi="ar-SA"/>
    </w:rPr>
  </w:style>
  <w:style w:type="paragraph" w:styleId="Bibliography">
    <w:name w:val="Bibliography"/>
    <w:basedOn w:val="Normal"/>
    <w:next w:val="Normal"/>
    <w:uiPriority w:val="37"/>
    <w:unhideWhenUsed/>
    <w:rsid w:val="00E461BD"/>
    <w:pPr>
      <w:spacing w:after="200" w:line="276" w:lineRule="auto"/>
    </w:pPr>
    <w:rPr>
      <w:rFonts w:ascii="Calibri" w:eastAsia="Calibri" w:hAnsi="Calibri"/>
      <w:sz w:val="22"/>
      <w:szCs w:val="22"/>
      <w:lang w:eastAsia="en-US"/>
    </w:rPr>
  </w:style>
  <w:style w:type="character" w:customStyle="1" w:styleId="FootnoteTextChar">
    <w:name w:val="Footnote Text Char"/>
    <w:link w:val="FootnoteText"/>
    <w:uiPriority w:val="99"/>
    <w:semiHidden/>
    <w:rsid w:val="004C206F"/>
  </w:style>
  <w:style w:type="character" w:customStyle="1" w:styleId="Heading4Char">
    <w:name w:val="Heading 4 Char"/>
    <w:link w:val="Heading4"/>
    <w:uiPriority w:val="9"/>
    <w:rsid w:val="004A4007"/>
    <w:rPr>
      <w:rFonts w:ascii="Calibri" w:eastAsia="Times New Roman" w:hAnsi="Calibri" w:cs="Times New Roman"/>
      <w:b/>
      <w:bCs/>
      <w:sz w:val="28"/>
      <w:szCs w:val="28"/>
    </w:rPr>
  </w:style>
  <w:style w:type="character" w:styleId="Strong">
    <w:name w:val="Strong"/>
    <w:uiPriority w:val="22"/>
    <w:qFormat/>
    <w:rsid w:val="00956BFF"/>
    <w:rPr>
      <w:b/>
      <w:bCs/>
    </w:rPr>
  </w:style>
  <w:style w:type="character" w:customStyle="1" w:styleId="familyname">
    <w:name w:val="familyname"/>
    <w:rsid w:val="00956BFF"/>
  </w:style>
  <w:style w:type="character" w:styleId="Emphasis">
    <w:name w:val="Emphasis"/>
    <w:uiPriority w:val="20"/>
    <w:qFormat/>
    <w:rsid w:val="00956BFF"/>
    <w:rPr>
      <w:i/>
      <w:iCs/>
    </w:rPr>
  </w:style>
  <w:style w:type="character" w:customStyle="1" w:styleId="bullet4">
    <w:name w:val="bullet4"/>
    <w:rsid w:val="004247EA"/>
  </w:style>
  <w:style w:type="paragraph" w:styleId="NoSpacing">
    <w:name w:val="No Spacing"/>
    <w:uiPriority w:val="1"/>
    <w:qFormat/>
    <w:rsid w:val="000D379F"/>
    <w:rPr>
      <w:sz w:val="24"/>
      <w:szCs w:val="24"/>
      <w:lang w:val="en-CA" w:eastAsia="en-CA"/>
    </w:rPr>
  </w:style>
  <w:style w:type="character" w:styleId="Hyperlink">
    <w:name w:val="Hyperlink"/>
    <w:uiPriority w:val="99"/>
    <w:rsid w:val="00FF108A"/>
    <w:rPr>
      <w:color w:val="0000FF"/>
      <w:u w:val="single"/>
    </w:rPr>
  </w:style>
  <w:style w:type="character" w:customStyle="1" w:styleId="Heading2Char">
    <w:name w:val="Heading 2 Char"/>
    <w:link w:val="Heading2"/>
    <w:semiHidden/>
    <w:rsid w:val="00A2300F"/>
    <w:rPr>
      <w:rFonts w:ascii="Calibri Light" w:eastAsia="Times New Roman" w:hAnsi="Calibri Light" w:cs="Times New Roman"/>
      <w:b/>
      <w:bCs/>
      <w:i/>
      <w:iCs/>
      <w:sz w:val="28"/>
      <w:szCs w:val="28"/>
      <w:lang w:val="en-CA" w:eastAsia="en-CA"/>
    </w:rPr>
  </w:style>
  <w:style w:type="paragraph" w:styleId="NormalWeb">
    <w:name w:val="Normal (Web)"/>
    <w:basedOn w:val="Normal"/>
    <w:uiPriority w:val="99"/>
    <w:unhideWhenUsed/>
    <w:rsid w:val="00A2300F"/>
    <w:pPr>
      <w:spacing w:before="100" w:beforeAutospacing="1" w:after="100" w:afterAutospacing="1"/>
    </w:pPr>
    <w:rPr>
      <w:lang w:val="en-US" w:eastAsia="en-US"/>
    </w:rPr>
  </w:style>
  <w:style w:type="character" w:styleId="UnresolvedMention">
    <w:name w:val="Unresolved Mention"/>
    <w:uiPriority w:val="99"/>
    <w:semiHidden/>
    <w:unhideWhenUsed/>
    <w:rsid w:val="006C1ECF"/>
    <w:rPr>
      <w:color w:val="605E5C"/>
      <w:shd w:val="clear" w:color="auto" w:fill="E1DFDD"/>
    </w:rPr>
  </w:style>
  <w:style w:type="paragraph" w:styleId="ListParagraph">
    <w:name w:val="List Paragraph"/>
    <w:basedOn w:val="Normal"/>
    <w:uiPriority w:val="34"/>
    <w:qFormat/>
    <w:rsid w:val="00B0701E"/>
    <w:pPr>
      <w:spacing w:after="160" w:line="259" w:lineRule="auto"/>
      <w:ind w:left="720"/>
      <w:contextualSpacing/>
    </w:pPr>
    <w:rPr>
      <w:rFonts w:ascii="Calibri" w:eastAsia="Calibri" w:hAnsi="Calibri"/>
      <w:sz w:val="22"/>
      <w:szCs w:val="22"/>
      <w:lang w:val="fr-CA" w:eastAsia="en-US"/>
    </w:rPr>
  </w:style>
  <w:style w:type="character" w:styleId="FollowedHyperlink">
    <w:name w:val="FollowedHyperlink"/>
    <w:rsid w:val="00B55166"/>
    <w:rPr>
      <w:color w:val="954F72"/>
      <w:u w:val="single"/>
    </w:rPr>
  </w:style>
  <w:style w:type="character" w:customStyle="1" w:styleId="uppercase">
    <w:name w:val="uppercase"/>
    <w:rsid w:val="00EA58C9"/>
  </w:style>
  <w:style w:type="character" w:customStyle="1" w:styleId="Heading3Char">
    <w:name w:val="Heading 3 Char"/>
    <w:link w:val="Heading3"/>
    <w:semiHidden/>
    <w:rsid w:val="0072367F"/>
    <w:rPr>
      <w:rFonts w:ascii="Calibri Light" w:eastAsia="Times New Roman" w:hAnsi="Calibri Light" w:cs="Times New Roman"/>
      <w:b/>
      <w:bCs/>
      <w:sz w:val="26"/>
      <w:szCs w:val="26"/>
      <w:lang w:val="en-CA" w:eastAsia="en-CA"/>
    </w:rPr>
  </w:style>
  <w:style w:type="paragraph" w:styleId="Revision">
    <w:name w:val="Revision"/>
    <w:hidden/>
    <w:uiPriority w:val="99"/>
    <w:semiHidden/>
    <w:rsid w:val="00E30622"/>
    <w:rPr>
      <w:sz w:val="24"/>
      <w:szCs w:val="24"/>
      <w:lang w:val="en-CA" w:eastAsia="en-CA"/>
    </w:rPr>
  </w:style>
  <w:style w:type="paragraph" w:customStyle="1" w:styleId="text-center">
    <w:name w:val="text-center"/>
    <w:basedOn w:val="Normal"/>
    <w:rsid w:val="0035120C"/>
    <w:pPr>
      <w:spacing w:before="100" w:beforeAutospacing="1" w:after="100" w:afterAutospacing="1"/>
    </w:pPr>
    <w:rPr>
      <w:lang w:val="en-US" w:eastAsia="en-US"/>
    </w:rPr>
  </w:style>
  <w:style w:type="character" w:customStyle="1" w:styleId="zzlangfrcompleted">
    <w:name w:val="zzlangfrcompleted"/>
    <w:rsid w:val="0035120C"/>
  </w:style>
  <w:style w:type="character" w:customStyle="1" w:styleId="header-section-number">
    <w:name w:val="header-section-number"/>
    <w:rsid w:val="0035120C"/>
  </w:style>
  <w:style w:type="paragraph" w:styleId="TOCHeading">
    <w:name w:val="TOC Heading"/>
    <w:basedOn w:val="Heading1"/>
    <w:next w:val="Normal"/>
    <w:uiPriority w:val="39"/>
    <w:unhideWhenUsed/>
    <w:qFormat/>
    <w:rsid w:val="005E6CAA"/>
    <w:pPr>
      <w:pBdr>
        <w:top w:val="none" w:sz="0" w:space="0" w:color="auto"/>
        <w:left w:val="none" w:sz="0" w:space="0" w:color="auto"/>
        <w:bottom w:val="none" w:sz="0" w:space="0" w:color="auto"/>
      </w:pBdr>
      <w:shd w:val="clear" w:color="auto" w:fill="auto"/>
      <w:spacing w:before="240" w:after="0" w:line="259" w:lineRule="auto"/>
      <w:ind w:left="0"/>
      <w:outlineLvl w:val="9"/>
    </w:pPr>
    <w:rPr>
      <w:rFonts w:ascii="Calibri Light" w:hAnsi="Calibri Light"/>
      <w:color w:val="2F5496"/>
      <w:spacing w:val="0"/>
      <w:kern w:val="0"/>
      <w:sz w:val="32"/>
      <w:szCs w:val="32"/>
      <w:lang w:val="en-US"/>
    </w:rPr>
  </w:style>
  <w:style w:type="paragraph" w:styleId="TOC1">
    <w:name w:val="toc 1"/>
    <w:basedOn w:val="Normal"/>
    <w:next w:val="Normal"/>
    <w:autoRedefine/>
    <w:uiPriority w:val="39"/>
    <w:rsid w:val="005E6CAA"/>
    <w:rPr>
      <w:b/>
      <w:u w:val="single"/>
    </w:rPr>
  </w:style>
  <w:style w:type="paragraph" w:customStyle="1" w:styleId="Style1">
    <w:name w:val="Style1"/>
    <w:basedOn w:val="Normal"/>
    <w:link w:val="Style1Char"/>
    <w:qFormat/>
    <w:rsid w:val="005E6CAA"/>
    <w:pPr>
      <w:spacing w:after="200" w:line="276" w:lineRule="auto"/>
    </w:pPr>
    <w:rPr>
      <w:rFonts w:eastAsia="Calibri"/>
      <w:b/>
      <w:u w:val="single"/>
      <w:lang w:val="fr-CA" w:eastAsia="en-US"/>
    </w:rPr>
  </w:style>
  <w:style w:type="character" w:styleId="BookTitle">
    <w:name w:val="Book Title"/>
    <w:uiPriority w:val="33"/>
    <w:qFormat/>
    <w:rsid w:val="00127241"/>
    <w:rPr>
      <w:b/>
      <w:bCs/>
      <w:i/>
      <w:iCs/>
      <w:spacing w:val="5"/>
    </w:rPr>
  </w:style>
  <w:style w:type="character" w:customStyle="1" w:styleId="Style1Char">
    <w:name w:val="Style1 Char"/>
    <w:link w:val="Style1"/>
    <w:rsid w:val="005E6CAA"/>
    <w:rPr>
      <w:rFonts w:eastAsia="Calibri"/>
      <w:b/>
      <w:sz w:val="24"/>
      <w:szCs w:val="24"/>
      <w:u w:val="single"/>
      <w:lang w:val="fr-CA"/>
    </w:rPr>
  </w:style>
  <w:style w:type="table" w:styleId="TableGrid">
    <w:name w:val="Table Grid"/>
    <w:basedOn w:val="TableNormal"/>
    <w:rsid w:val="00B9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634A6"/>
    <w:rPr>
      <w:rFonts w:ascii="Segoe UI" w:hAnsi="Segoe UI" w:cs="Segoe UI"/>
      <w:sz w:val="18"/>
      <w:szCs w:val="18"/>
    </w:rPr>
  </w:style>
  <w:style w:type="character" w:customStyle="1" w:styleId="BalloonTextChar">
    <w:name w:val="Balloon Text Char"/>
    <w:link w:val="BalloonText"/>
    <w:rsid w:val="006634A6"/>
    <w:rPr>
      <w:rFonts w:ascii="Segoe UI" w:hAnsi="Segoe UI" w:cs="Segoe UI"/>
      <w:sz w:val="18"/>
      <w:szCs w:val="18"/>
    </w:rPr>
  </w:style>
  <w:style w:type="paragraph" w:styleId="Caption">
    <w:name w:val="caption"/>
    <w:basedOn w:val="Normal"/>
    <w:next w:val="Normal"/>
    <w:unhideWhenUsed/>
    <w:qFormat/>
    <w:rsid w:val="00753861"/>
    <w:rPr>
      <w:b/>
      <w:bCs/>
      <w:sz w:val="20"/>
      <w:szCs w:val="20"/>
    </w:rPr>
  </w:style>
  <w:style w:type="paragraph" w:styleId="TOC2">
    <w:name w:val="toc 2"/>
    <w:basedOn w:val="Normal"/>
    <w:next w:val="Normal"/>
    <w:autoRedefine/>
    <w:rsid w:val="00640E78"/>
    <w:pPr>
      <w:ind w:left="240"/>
    </w:pPr>
  </w:style>
  <w:style w:type="paragraph" w:styleId="EndnoteText">
    <w:name w:val="endnote text"/>
    <w:basedOn w:val="Normal"/>
    <w:link w:val="EndnoteTextChar"/>
    <w:rsid w:val="008B4CC6"/>
    <w:rPr>
      <w:sz w:val="20"/>
      <w:szCs w:val="20"/>
    </w:rPr>
  </w:style>
  <w:style w:type="character" w:customStyle="1" w:styleId="EndnoteTextChar">
    <w:name w:val="Endnote Text Char"/>
    <w:basedOn w:val="DefaultParagraphFont"/>
    <w:link w:val="EndnoteText"/>
    <w:rsid w:val="008B4CC6"/>
  </w:style>
  <w:style w:type="character" w:styleId="EndnoteReference">
    <w:name w:val="endnote reference"/>
    <w:rsid w:val="008B4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460">
      <w:bodyDiv w:val="1"/>
      <w:marLeft w:val="0"/>
      <w:marRight w:val="0"/>
      <w:marTop w:val="0"/>
      <w:marBottom w:val="0"/>
      <w:divBdr>
        <w:top w:val="none" w:sz="0" w:space="0" w:color="auto"/>
        <w:left w:val="none" w:sz="0" w:space="0" w:color="auto"/>
        <w:bottom w:val="none" w:sz="0" w:space="0" w:color="auto"/>
        <w:right w:val="none" w:sz="0" w:space="0" w:color="auto"/>
      </w:divBdr>
      <w:divsChild>
        <w:div w:id="1932857248">
          <w:marLeft w:val="0"/>
          <w:marRight w:val="0"/>
          <w:marTop w:val="0"/>
          <w:marBottom w:val="0"/>
          <w:divBdr>
            <w:top w:val="none" w:sz="0" w:space="0" w:color="auto"/>
            <w:left w:val="none" w:sz="0" w:space="0" w:color="auto"/>
            <w:bottom w:val="none" w:sz="0" w:space="0" w:color="auto"/>
            <w:right w:val="none" w:sz="0" w:space="0" w:color="auto"/>
          </w:divBdr>
          <w:divsChild>
            <w:div w:id="689915919">
              <w:marLeft w:val="0"/>
              <w:marRight w:val="0"/>
              <w:marTop w:val="0"/>
              <w:marBottom w:val="0"/>
              <w:divBdr>
                <w:top w:val="none" w:sz="0" w:space="0" w:color="auto"/>
                <w:left w:val="none" w:sz="0" w:space="0" w:color="auto"/>
                <w:bottom w:val="none" w:sz="0" w:space="0" w:color="auto"/>
                <w:right w:val="none" w:sz="0" w:space="0" w:color="auto"/>
              </w:divBdr>
              <w:divsChild>
                <w:div w:id="132913555">
                  <w:marLeft w:val="0"/>
                  <w:marRight w:val="0"/>
                  <w:marTop w:val="0"/>
                  <w:marBottom w:val="0"/>
                  <w:divBdr>
                    <w:top w:val="none" w:sz="0" w:space="0" w:color="auto"/>
                    <w:left w:val="none" w:sz="0" w:space="0" w:color="auto"/>
                    <w:bottom w:val="none" w:sz="0" w:space="0" w:color="auto"/>
                    <w:right w:val="none" w:sz="0" w:space="0" w:color="auto"/>
                  </w:divBdr>
                  <w:divsChild>
                    <w:div w:id="13230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714">
      <w:bodyDiv w:val="1"/>
      <w:marLeft w:val="0"/>
      <w:marRight w:val="0"/>
      <w:marTop w:val="0"/>
      <w:marBottom w:val="0"/>
      <w:divBdr>
        <w:top w:val="none" w:sz="0" w:space="0" w:color="auto"/>
        <w:left w:val="none" w:sz="0" w:space="0" w:color="auto"/>
        <w:bottom w:val="none" w:sz="0" w:space="0" w:color="auto"/>
        <w:right w:val="none" w:sz="0" w:space="0" w:color="auto"/>
      </w:divBdr>
      <w:divsChild>
        <w:div w:id="376127893">
          <w:marLeft w:val="0"/>
          <w:marRight w:val="0"/>
          <w:marTop w:val="0"/>
          <w:marBottom w:val="0"/>
          <w:divBdr>
            <w:top w:val="none" w:sz="0" w:space="0" w:color="auto"/>
            <w:left w:val="none" w:sz="0" w:space="0" w:color="auto"/>
            <w:bottom w:val="none" w:sz="0" w:space="0" w:color="auto"/>
            <w:right w:val="none" w:sz="0" w:space="0" w:color="auto"/>
          </w:divBdr>
          <w:divsChild>
            <w:div w:id="809782211">
              <w:marLeft w:val="0"/>
              <w:marRight w:val="0"/>
              <w:marTop w:val="0"/>
              <w:marBottom w:val="0"/>
              <w:divBdr>
                <w:top w:val="none" w:sz="0" w:space="0" w:color="auto"/>
                <w:left w:val="none" w:sz="0" w:space="0" w:color="auto"/>
                <w:bottom w:val="none" w:sz="0" w:space="0" w:color="auto"/>
                <w:right w:val="none" w:sz="0" w:space="0" w:color="auto"/>
              </w:divBdr>
              <w:divsChild>
                <w:div w:id="173157440">
                  <w:marLeft w:val="0"/>
                  <w:marRight w:val="0"/>
                  <w:marTop w:val="0"/>
                  <w:marBottom w:val="0"/>
                  <w:divBdr>
                    <w:top w:val="none" w:sz="0" w:space="0" w:color="auto"/>
                    <w:left w:val="none" w:sz="0" w:space="0" w:color="auto"/>
                    <w:bottom w:val="none" w:sz="0" w:space="0" w:color="auto"/>
                    <w:right w:val="none" w:sz="0" w:space="0" w:color="auto"/>
                  </w:divBdr>
                  <w:divsChild>
                    <w:div w:id="14405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5953">
      <w:bodyDiv w:val="1"/>
      <w:marLeft w:val="0"/>
      <w:marRight w:val="0"/>
      <w:marTop w:val="0"/>
      <w:marBottom w:val="0"/>
      <w:divBdr>
        <w:top w:val="none" w:sz="0" w:space="0" w:color="auto"/>
        <w:left w:val="none" w:sz="0" w:space="0" w:color="auto"/>
        <w:bottom w:val="none" w:sz="0" w:space="0" w:color="auto"/>
        <w:right w:val="none" w:sz="0" w:space="0" w:color="auto"/>
      </w:divBdr>
    </w:div>
    <w:div w:id="70667259">
      <w:bodyDiv w:val="1"/>
      <w:marLeft w:val="0"/>
      <w:marRight w:val="0"/>
      <w:marTop w:val="0"/>
      <w:marBottom w:val="0"/>
      <w:divBdr>
        <w:top w:val="none" w:sz="0" w:space="0" w:color="auto"/>
        <w:left w:val="none" w:sz="0" w:space="0" w:color="auto"/>
        <w:bottom w:val="none" w:sz="0" w:space="0" w:color="auto"/>
        <w:right w:val="none" w:sz="0" w:space="0" w:color="auto"/>
      </w:divBdr>
    </w:div>
    <w:div w:id="77869723">
      <w:bodyDiv w:val="1"/>
      <w:marLeft w:val="0"/>
      <w:marRight w:val="0"/>
      <w:marTop w:val="0"/>
      <w:marBottom w:val="0"/>
      <w:divBdr>
        <w:top w:val="none" w:sz="0" w:space="0" w:color="auto"/>
        <w:left w:val="none" w:sz="0" w:space="0" w:color="auto"/>
        <w:bottom w:val="none" w:sz="0" w:space="0" w:color="auto"/>
        <w:right w:val="none" w:sz="0" w:space="0" w:color="auto"/>
      </w:divBdr>
    </w:div>
    <w:div w:id="117113857">
      <w:bodyDiv w:val="1"/>
      <w:marLeft w:val="0"/>
      <w:marRight w:val="0"/>
      <w:marTop w:val="0"/>
      <w:marBottom w:val="0"/>
      <w:divBdr>
        <w:top w:val="none" w:sz="0" w:space="0" w:color="auto"/>
        <w:left w:val="none" w:sz="0" w:space="0" w:color="auto"/>
        <w:bottom w:val="none" w:sz="0" w:space="0" w:color="auto"/>
        <w:right w:val="none" w:sz="0" w:space="0" w:color="auto"/>
      </w:divBdr>
    </w:div>
    <w:div w:id="160319967">
      <w:bodyDiv w:val="1"/>
      <w:marLeft w:val="0"/>
      <w:marRight w:val="0"/>
      <w:marTop w:val="0"/>
      <w:marBottom w:val="0"/>
      <w:divBdr>
        <w:top w:val="none" w:sz="0" w:space="0" w:color="auto"/>
        <w:left w:val="none" w:sz="0" w:space="0" w:color="auto"/>
        <w:bottom w:val="none" w:sz="0" w:space="0" w:color="auto"/>
        <w:right w:val="none" w:sz="0" w:space="0" w:color="auto"/>
      </w:divBdr>
    </w:div>
    <w:div w:id="204102634">
      <w:bodyDiv w:val="1"/>
      <w:marLeft w:val="0"/>
      <w:marRight w:val="0"/>
      <w:marTop w:val="0"/>
      <w:marBottom w:val="0"/>
      <w:divBdr>
        <w:top w:val="none" w:sz="0" w:space="0" w:color="auto"/>
        <w:left w:val="none" w:sz="0" w:space="0" w:color="auto"/>
        <w:bottom w:val="none" w:sz="0" w:space="0" w:color="auto"/>
        <w:right w:val="none" w:sz="0" w:space="0" w:color="auto"/>
      </w:divBdr>
      <w:divsChild>
        <w:div w:id="490410516">
          <w:marLeft w:val="0"/>
          <w:marRight w:val="0"/>
          <w:marTop w:val="0"/>
          <w:marBottom w:val="0"/>
          <w:divBdr>
            <w:top w:val="none" w:sz="0" w:space="0" w:color="auto"/>
            <w:left w:val="none" w:sz="0" w:space="0" w:color="auto"/>
            <w:bottom w:val="none" w:sz="0" w:space="0" w:color="auto"/>
            <w:right w:val="none" w:sz="0" w:space="0" w:color="auto"/>
          </w:divBdr>
          <w:divsChild>
            <w:div w:id="478814248">
              <w:marLeft w:val="0"/>
              <w:marRight w:val="0"/>
              <w:marTop w:val="0"/>
              <w:marBottom w:val="0"/>
              <w:divBdr>
                <w:top w:val="none" w:sz="0" w:space="0" w:color="auto"/>
                <w:left w:val="none" w:sz="0" w:space="0" w:color="auto"/>
                <w:bottom w:val="none" w:sz="0" w:space="0" w:color="auto"/>
                <w:right w:val="none" w:sz="0" w:space="0" w:color="auto"/>
              </w:divBdr>
              <w:divsChild>
                <w:div w:id="223224064">
                  <w:marLeft w:val="0"/>
                  <w:marRight w:val="0"/>
                  <w:marTop w:val="0"/>
                  <w:marBottom w:val="0"/>
                  <w:divBdr>
                    <w:top w:val="none" w:sz="0" w:space="0" w:color="auto"/>
                    <w:left w:val="none" w:sz="0" w:space="0" w:color="auto"/>
                    <w:bottom w:val="none" w:sz="0" w:space="0" w:color="auto"/>
                    <w:right w:val="none" w:sz="0" w:space="0" w:color="auto"/>
                  </w:divBdr>
                  <w:divsChild>
                    <w:div w:id="16285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045217">
      <w:bodyDiv w:val="1"/>
      <w:marLeft w:val="0"/>
      <w:marRight w:val="0"/>
      <w:marTop w:val="0"/>
      <w:marBottom w:val="0"/>
      <w:divBdr>
        <w:top w:val="none" w:sz="0" w:space="0" w:color="auto"/>
        <w:left w:val="none" w:sz="0" w:space="0" w:color="auto"/>
        <w:bottom w:val="none" w:sz="0" w:space="0" w:color="auto"/>
        <w:right w:val="none" w:sz="0" w:space="0" w:color="auto"/>
      </w:divBdr>
    </w:div>
    <w:div w:id="268006052">
      <w:bodyDiv w:val="1"/>
      <w:marLeft w:val="0"/>
      <w:marRight w:val="0"/>
      <w:marTop w:val="0"/>
      <w:marBottom w:val="0"/>
      <w:divBdr>
        <w:top w:val="none" w:sz="0" w:space="0" w:color="auto"/>
        <w:left w:val="none" w:sz="0" w:space="0" w:color="auto"/>
        <w:bottom w:val="none" w:sz="0" w:space="0" w:color="auto"/>
        <w:right w:val="none" w:sz="0" w:space="0" w:color="auto"/>
      </w:divBdr>
    </w:div>
    <w:div w:id="284314674">
      <w:bodyDiv w:val="1"/>
      <w:marLeft w:val="0"/>
      <w:marRight w:val="0"/>
      <w:marTop w:val="0"/>
      <w:marBottom w:val="0"/>
      <w:divBdr>
        <w:top w:val="none" w:sz="0" w:space="0" w:color="auto"/>
        <w:left w:val="none" w:sz="0" w:space="0" w:color="auto"/>
        <w:bottom w:val="none" w:sz="0" w:space="0" w:color="auto"/>
        <w:right w:val="none" w:sz="0" w:space="0" w:color="auto"/>
      </w:divBdr>
      <w:divsChild>
        <w:div w:id="282345413">
          <w:marLeft w:val="0"/>
          <w:marRight w:val="0"/>
          <w:marTop w:val="0"/>
          <w:marBottom w:val="0"/>
          <w:divBdr>
            <w:top w:val="none" w:sz="0" w:space="0" w:color="auto"/>
            <w:left w:val="none" w:sz="0" w:space="0" w:color="auto"/>
            <w:bottom w:val="none" w:sz="0" w:space="0" w:color="auto"/>
            <w:right w:val="none" w:sz="0" w:space="0" w:color="auto"/>
          </w:divBdr>
          <w:divsChild>
            <w:div w:id="1610966661">
              <w:marLeft w:val="0"/>
              <w:marRight w:val="0"/>
              <w:marTop w:val="0"/>
              <w:marBottom w:val="0"/>
              <w:divBdr>
                <w:top w:val="none" w:sz="0" w:space="0" w:color="auto"/>
                <w:left w:val="none" w:sz="0" w:space="0" w:color="auto"/>
                <w:bottom w:val="none" w:sz="0" w:space="0" w:color="auto"/>
                <w:right w:val="none" w:sz="0" w:space="0" w:color="auto"/>
              </w:divBdr>
              <w:divsChild>
                <w:div w:id="1089037455">
                  <w:marLeft w:val="0"/>
                  <w:marRight w:val="0"/>
                  <w:marTop w:val="0"/>
                  <w:marBottom w:val="0"/>
                  <w:divBdr>
                    <w:top w:val="none" w:sz="0" w:space="0" w:color="auto"/>
                    <w:left w:val="none" w:sz="0" w:space="0" w:color="auto"/>
                    <w:bottom w:val="none" w:sz="0" w:space="0" w:color="auto"/>
                    <w:right w:val="none" w:sz="0" w:space="0" w:color="auto"/>
                  </w:divBdr>
                  <w:divsChild>
                    <w:div w:id="236794121">
                      <w:marLeft w:val="0"/>
                      <w:marRight w:val="0"/>
                      <w:marTop w:val="150"/>
                      <w:marBottom w:val="0"/>
                      <w:divBdr>
                        <w:top w:val="none" w:sz="0" w:space="0" w:color="auto"/>
                        <w:left w:val="none" w:sz="0" w:space="0" w:color="auto"/>
                        <w:bottom w:val="none" w:sz="0" w:space="0" w:color="auto"/>
                        <w:right w:val="none" w:sz="0" w:space="0" w:color="auto"/>
                      </w:divBdr>
                      <w:divsChild>
                        <w:div w:id="392654909">
                          <w:marLeft w:val="0"/>
                          <w:marRight w:val="0"/>
                          <w:marTop w:val="0"/>
                          <w:marBottom w:val="0"/>
                          <w:divBdr>
                            <w:top w:val="none" w:sz="0" w:space="0" w:color="auto"/>
                            <w:left w:val="none" w:sz="0" w:space="0" w:color="auto"/>
                            <w:bottom w:val="none" w:sz="0" w:space="0" w:color="auto"/>
                            <w:right w:val="none" w:sz="0" w:space="0" w:color="auto"/>
                          </w:divBdr>
                        </w:div>
                        <w:div w:id="1376542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329272">
      <w:bodyDiv w:val="1"/>
      <w:marLeft w:val="0"/>
      <w:marRight w:val="0"/>
      <w:marTop w:val="0"/>
      <w:marBottom w:val="0"/>
      <w:divBdr>
        <w:top w:val="none" w:sz="0" w:space="0" w:color="auto"/>
        <w:left w:val="none" w:sz="0" w:space="0" w:color="auto"/>
        <w:bottom w:val="none" w:sz="0" w:space="0" w:color="auto"/>
        <w:right w:val="none" w:sz="0" w:space="0" w:color="auto"/>
      </w:divBdr>
      <w:divsChild>
        <w:div w:id="1895504414">
          <w:marLeft w:val="0"/>
          <w:marRight w:val="0"/>
          <w:marTop w:val="0"/>
          <w:marBottom w:val="0"/>
          <w:divBdr>
            <w:top w:val="none" w:sz="0" w:space="0" w:color="auto"/>
            <w:left w:val="none" w:sz="0" w:space="0" w:color="auto"/>
            <w:bottom w:val="none" w:sz="0" w:space="0" w:color="auto"/>
            <w:right w:val="none" w:sz="0" w:space="0" w:color="auto"/>
          </w:divBdr>
          <w:divsChild>
            <w:div w:id="611473414">
              <w:marLeft w:val="0"/>
              <w:marRight w:val="0"/>
              <w:marTop w:val="0"/>
              <w:marBottom w:val="0"/>
              <w:divBdr>
                <w:top w:val="none" w:sz="0" w:space="0" w:color="auto"/>
                <w:left w:val="none" w:sz="0" w:space="0" w:color="auto"/>
                <w:bottom w:val="none" w:sz="0" w:space="0" w:color="auto"/>
                <w:right w:val="none" w:sz="0" w:space="0" w:color="auto"/>
              </w:divBdr>
              <w:divsChild>
                <w:div w:id="275715761">
                  <w:marLeft w:val="0"/>
                  <w:marRight w:val="0"/>
                  <w:marTop w:val="0"/>
                  <w:marBottom w:val="0"/>
                  <w:divBdr>
                    <w:top w:val="none" w:sz="0" w:space="0" w:color="auto"/>
                    <w:left w:val="none" w:sz="0" w:space="0" w:color="auto"/>
                    <w:bottom w:val="none" w:sz="0" w:space="0" w:color="auto"/>
                    <w:right w:val="none" w:sz="0" w:space="0" w:color="auto"/>
                  </w:divBdr>
                  <w:divsChild>
                    <w:div w:id="12665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843312">
      <w:bodyDiv w:val="1"/>
      <w:marLeft w:val="0"/>
      <w:marRight w:val="0"/>
      <w:marTop w:val="0"/>
      <w:marBottom w:val="0"/>
      <w:divBdr>
        <w:top w:val="none" w:sz="0" w:space="0" w:color="auto"/>
        <w:left w:val="none" w:sz="0" w:space="0" w:color="auto"/>
        <w:bottom w:val="none" w:sz="0" w:space="0" w:color="auto"/>
        <w:right w:val="none" w:sz="0" w:space="0" w:color="auto"/>
      </w:divBdr>
      <w:divsChild>
        <w:div w:id="920914926">
          <w:marLeft w:val="0"/>
          <w:marRight w:val="0"/>
          <w:marTop w:val="0"/>
          <w:marBottom w:val="0"/>
          <w:divBdr>
            <w:top w:val="none" w:sz="0" w:space="0" w:color="auto"/>
            <w:left w:val="none" w:sz="0" w:space="0" w:color="auto"/>
            <w:bottom w:val="none" w:sz="0" w:space="0" w:color="auto"/>
            <w:right w:val="none" w:sz="0" w:space="0" w:color="auto"/>
          </w:divBdr>
        </w:div>
        <w:div w:id="1637494444">
          <w:marLeft w:val="0"/>
          <w:marRight w:val="0"/>
          <w:marTop w:val="0"/>
          <w:marBottom w:val="0"/>
          <w:divBdr>
            <w:top w:val="none" w:sz="0" w:space="0" w:color="auto"/>
            <w:left w:val="none" w:sz="0" w:space="0" w:color="auto"/>
            <w:bottom w:val="none" w:sz="0" w:space="0" w:color="auto"/>
            <w:right w:val="none" w:sz="0" w:space="0" w:color="auto"/>
          </w:divBdr>
          <w:divsChild>
            <w:div w:id="6025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6908">
      <w:bodyDiv w:val="1"/>
      <w:marLeft w:val="0"/>
      <w:marRight w:val="0"/>
      <w:marTop w:val="0"/>
      <w:marBottom w:val="0"/>
      <w:divBdr>
        <w:top w:val="none" w:sz="0" w:space="0" w:color="auto"/>
        <w:left w:val="none" w:sz="0" w:space="0" w:color="auto"/>
        <w:bottom w:val="none" w:sz="0" w:space="0" w:color="auto"/>
        <w:right w:val="none" w:sz="0" w:space="0" w:color="auto"/>
      </w:divBdr>
    </w:div>
    <w:div w:id="353193940">
      <w:bodyDiv w:val="1"/>
      <w:marLeft w:val="0"/>
      <w:marRight w:val="0"/>
      <w:marTop w:val="0"/>
      <w:marBottom w:val="0"/>
      <w:divBdr>
        <w:top w:val="none" w:sz="0" w:space="0" w:color="auto"/>
        <w:left w:val="none" w:sz="0" w:space="0" w:color="auto"/>
        <w:bottom w:val="none" w:sz="0" w:space="0" w:color="auto"/>
        <w:right w:val="none" w:sz="0" w:space="0" w:color="auto"/>
      </w:divBdr>
    </w:div>
    <w:div w:id="355546098">
      <w:bodyDiv w:val="1"/>
      <w:marLeft w:val="0"/>
      <w:marRight w:val="0"/>
      <w:marTop w:val="0"/>
      <w:marBottom w:val="0"/>
      <w:divBdr>
        <w:top w:val="none" w:sz="0" w:space="0" w:color="auto"/>
        <w:left w:val="none" w:sz="0" w:space="0" w:color="auto"/>
        <w:bottom w:val="none" w:sz="0" w:space="0" w:color="auto"/>
        <w:right w:val="none" w:sz="0" w:space="0" w:color="auto"/>
      </w:divBdr>
    </w:div>
    <w:div w:id="390160214">
      <w:bodyDiv w:val="1"/>
      <w:marLeft w:val="0"/>
      <w:marRight w:val="0"/>
      <w:marTop w:val="0"/>
      <w:marBottom w:val="0"/>
      <w:divBdr>
        <w:top w:val="none" w:sz="0" w:space="0" w:color="auto"/>
        <w:left w:val="none" w:sz="0" w:space="0" w:color="auto"/>
        <w:bottom w:val="none" w:sz="0" w:space="0" w:color="auto"/>
        <w:right w:val="none" w:sz="0" w:space="0" w:color="auto"/>
      </w:divBdr>
    </w:div>
    <w:div w:id="399400123">
      <w:bodyDiv w:val="1"/>
      <w:marLeft w:val="0"/>
      <w:marRight w:val="0"/>
      <w:marTop w:val="0"/>
      <w:marBottom w:val="0"/>
      <w:divBdr>
        <w:top w:val="none" w:sz="0" w:space="0" w:color="auto"/>
        <w:left w:val="none" w:sz="0" w:space="0" w:color="auto"/>
        <w:bottom w:val="none" w:sz="0" w:space="0" w:color="auto"/>
        <w:right w:val="none" w:sz="0" w:space="0" w:color="auto"/>
      </w:divBdr>
    </w:div>
    <w:div w:id="409892515">
      <w:bodyDiv w:val="1"/>
      <w:marLeft w:val="0"/>
      <w:marRight w:val="0"/>
      <w:marTop w:val="0"/>
      <w:marBottom w:val="0"/>
      <w:divBdr>
        <w:top w:val="none" w:sz="0" w:space="0" w:color="auto"/>
        <w:left w:val="none" w:sz="0" w:space="0" w:color="auto"/>
        <w:bottom w:val="none" w:sz="0" w:space="0" w:color="auto"/>
        <w:right w:val="none" w:sz="0" w:space="0" w:color="auto"/>
      </w:divBdr>
    </w:div>
    <w:div w:id="427503149">
      <w:bodyDiv w:val="1"/>
      <w:marLeft w:val="0"/>
      <w:marRight w:val="0"/>
      <w:marTop w:val="0"/>
      <w:marBottom w:val="0"/>
      <w:divBdr>
        <w:top w:val="none" w:sz="0" w:space="0" w:color="auto"/>
        <w:left w:val="none" w:sz="0" w:space="0" w:color="auto"/>
        <w:bottom w:val="none" w:sz="0" w:space="0" w:color="auto"/>
        <w:right w:val="none" w:sz="0" w:space="0" w:color="auto"/>
      </w:divBdr>
      <w:divsChild>
        <w:div w:id="1976452205">
          <w:marLeft w:val="0"/>
          <w:marRight w:val="0"/>
          <w:marTop w:val="0"/>
          <w:marBottom w:val="0"/>
          <w:divBdr>
            <w:top w:val="none" w:sz="0" w:space="0" w:color="auto"/>
            <w:left w:val="none" w:sz="0" w:space="0" w:color="auto"/>
            <w:bottom w:val="none" w:sz="0" w:space="0" w:color="auto"/>
            <w:right w:val="none" w:sz="0" w:space="0" w:color="auto"/>
          </w:divBdr>
          <w:divsChild>
            <w:div w:id="335958448">
              <w:marLeft w:val="0"/>
              <w:marRight w:val="0"/>
              <w:marTop w:val="0"/>
              <w:marBottom w:val="0"/>
              <w:divBdr>
                <w:top w:val="none" w:sz="0" w:space="0" w:color="auto"/>
                <w:left w:val="none" w:sz="0" w:space="0" w:color="auto"/>
                <w:bottom w:val="none" w:sz="0" w:space="0" w:color="auto"/>
                <w:right w:val="none" w:sz="0" w:space="0" w:color="auto"/>
              </w:divBdr>
              <w:divsChild>
                <w:div w:id="32460179">
                  <w:marLeft w:val="0"/>
                  <w:marRight w:val="0"/>
                  <w:marTop w:val="0"/>
                  <w:marBottom w:val="0"/>
                  <w:divBdr>
                    <w:top w:val="none" w:sz="0" w:space="0" w:color="auto"/>
                    <w:left w:val="none" w:sz="0" w:space="0" w:color="auto"/>
                    <w:bottom w:val="none" w:sz="0" w:space="0" w:color="auto"/>
                    <w:right w:val="none" w:sz="0" w:space="0" w:color="auto"/>
                  </w:divBdr>
                  <w:divsChild>
                    <w:div w:id="3490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635">
      <w:bodyDiv w:val="1"/>
      <w:marLeft w:val="0"/>
      <w:marRight w:val="0"/>
      <w:marTop w:val="0"/>
      <w:marBottom w:val="0"/>
      <w:divBdr>
        <w:top w:val="none" w:sz="0" w:space="0" w:color="auto"/>
        <w:left w:val="none" w:sz="0" w:space="0" w:color="auto"/>
        <w:bottom w:val="none" w:sz="0" w:space="0" w:color="auto"/>
        <w:right w:val="none" w:sz="0" w:space="0" w:color="auto"/>
      </w:divBdr>
    </w:div>
    <w:div w:id="478964587">
      <w:bodyDiv w:val="1"/>
      <w:marLeft w:val="0"/>
      <w:marRight w:val="0"/>
      <w:marTop w:val="0"/>
      <w:marBottom w:val="0"/>
      <w:divBdr>
        <w:top w:val="none" w:sz="0" w:space="0" w:color="auto"/>
        <w:left w:val="none" w:sz="0" w:space="0" w:color="auto"/>
        <w:bottom w:val="none" w:sz="0" w:space="0" w:color="auto"/>
        <w:right w:val="none" w:sz="0" w:space="0" w:color="auto"/>
      </w:divBdr>
    </w:div>
    <w:div w:id="504444438">
      <w:bodyDiv w:val="1"/>
      <w:marLeft w:val="0"/>
      <w:marRight w:val="0"/>
      <w:marTop w:val="0"/>
      <w:marBottom w:val="0"/>
      <w:divBdr>
        <w:top w:val="none" w:sz="0" w:space="0" w:color="auto"/>
        <w:left w:val="none" w:sz="0" w:space="0" w:color="auto"/>
        <w:bottom w:val="none" w:sz="0" w:space="0" w:color="auto"/>
        <w:right w:val="none" w:sz="0" w:space="0" w:color="auto"/>
      </w:divBdr>
    </w:div>
    <w:div w:id="508562397">
      <w:bodyDiv w:val="1"/>
      <w:marLeft w:val="0"/>
      <w:marRight w:val="0"/>
      <w:marTop w:val="0"/>
      <w:marBottom w:val="0"/>
      <w:divBdr>
        <w:top w:val="none" w:sz="0" w:space="0" w:color="auto"/>
        <w:left w:val="none" w:sz="0" w:space="0" w:color="auto"/>
        <w:bottom w:val="none" w:sz="0" w:space="0" w:color="auto"/>
        <w:right w:val="none" w:sz="0" w:space="0" w:color="auto"/>
      </w:divBdr>
      <w:divsChild>
        <w:div w:id="23291061">
          <w:marLeft w:val="0"/>
          <w:marRight w:val="0"/>
          <w:marTop w:val="0"/>
          <w:marBottom w:val="0"/>
          <w:divBdr>
            <w:top w:val="none" w:sz="0" w:space="0" w:color="auto"/>
            <w:left w:val="none" w:sz="0" w:space="0" w:color="auto"/>
            <w:bottom w:val="none" w:sz="0" w:space="0" w:color="auto"/>
            <w:right w:val="none" w:sz="0" w:space="0" w:color="auto"/>
          </w:divBdr>
        </w:div>
        <w:div w:id="954869723">
          <w:marLeft w:val="0"/>
          <w:marRight w:val="0"/>
          <w:marTop w:val="0"/>
          <w:marBottom w:val="0"/>
          <w:divBdr>
            <w:top w:val="none" w:sz="0" w:space="0" w:color="auto"/>
            <w:left w:val="none" w:sz="0" w:space="0" w:color="auto"/>
            <w:bottom w:val="none" w:sz="0" w:space="0" w:color="auto"/>
            <w:right w:val="none" w:sz="0" w:space="0" w:color="auto"/>
          </w:divBdr>
          <w:divsChild>
            <w:div w:id="536427977">
              <w:marLeft w:val="0"/>
              <w:marRight w:val="0"/>
              <w:marTop w:val="0"/>
              <w:marBottom w:val="0"/>
              <w:divBdr>
                <w:top w:val="none" w:sz="0" w:space="0" w:color="auto"/>
                <w:left w:val="none" w:sz="0" w:space="0" w:color="auto"/>
                <w:bottom w:val="none" w:sz="0" w:space="0" w:color="auto"/>
                <w:right w:val="none" w:sz="0" w:space="0" w:color="auto"/>
              </w:divBdr>
            </w:div>
            <w:div w:id="1315917204">
              <w:marLeft w:val="0"/>
              <w:marRight w:val="0"/>
              <w:marTop w:val="0"/>
              <w:marBottom w:val="0"/>
              <w:divBdr>
                <w:top w:val="none" w:sz="0" w:space="0" w:color="auto"/>
                <w:left w:val="none" w:sz="0" w:space="0" w:color="auto"/>
                <w:bottom w:val="none" w:sz="0" w:space="0" w:color="auto"/>
                <w:right w:val="none" w:sz="0" w:space="0" w:color="auto"/>
              </w:divBdr>
              <w:divsChild>
                <w:div w:id="1087120455">
                  <w:marLeft w:val="0"/>
                  <w:marRight w:val="0"/>
                  <w:marTop w:val="0"/>
                  <w:marBottom w:val="0"/>
                  <w:divBdr>
                    <w:top w:val="none" w:sz="0" w:space="0" w:color="auto"/>
                    <w:left w:val="none" w:sz="0" w:space="0" w:color="auto"/>
                    <w:bottom w:val="none" w:sz="0" w:space="0" w:color="auto"/>
                    <w:right w:val="none" w:sz="0" w:space="0" w:color="auto"/>
                  </w:divBdr>
                  <w:divsChild>
                    <w:div w:id="506362096">
                      <w:marLeft w:val="0"/>
                      <w:marRight w:val="0"/>
                      <w:marTop w:val="0"/>
                      <w:marBottom w:val="0"/>
                      <w:divBdr>
                        <w:top w:val="none" w:sz="0" w:space="0" w:color="auto"/>
                        <w:left w:val="none" w:sz="0" w:space="0" w:color="auto"/>
                        <w:bottom w:val="none" w:sz="0" w:space="0" w:color="auto"/>
                        <w:right w:val="none" w:sz="0" w:space="0" w:color="auto"/>
                      </w:divBdr>
                    </w:div>
                    <w:div w:id="784426135">
                      <w:marLeft w:val="-105"/>
                      <w:marRight w:val="0"/>
                      <w:marTop w:val="0"/>
                      <w:marBottom w:val="0"/>
                      <w:divBdr>
                        <w:top w:val="none" w:sz="0" w:space="0" w:color="auto"/>
                        <w:left w:val="none" w:sz="0" w:space="0" w:color="auto"/>
                        <w:bottom w:val="none" w:sz="0" w:space="0" w:color="auto"/>
                        <w:right w:val="none" w:sz="0" w:space="0" w:color="auto"/>
                      </w:divBdr>
                      <w:divsChild>
                        <w:div w:id="17107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660216">
      <w:bodyDiv w:val="1"/>
      <w:marLeft w:val="0"/>
      <w:marRight w:val="0"/>
      <w:marTop w:val="0"/>
      <w:marBottom w:val="0"/>
      <w:divBdr>
        <w:top w:val="none" w:sz="0" w:space="0" w:color="auto"/>
        <w:left w:val="none" w:sz="0" w:space="0" w:color="auto"/>
        <w:bottom w:val="none" w:sz="0" w:space="0" w:color="auto"/>
        <w:right w:val="none" w:sz="0" w:space="0" w:color="auto"/>
      </w:divBdr>
      <w:divsChild>
        <w:div w:id="516040594">
          <w:marLeft w:val="0"/>
          <w:marRight w:val="0"/>
          <w:marTop w:val="0"/>
          <w:marBottom w:val="0"/>
          <w:divBdr>
            <w:top w:val="none" w:sz="0" w:space="0" w:color="auto"/>
            <w:left w:val="none" w:sz="0" w:space="0" w:color="auto"/>
            <w:bottom w:val="none" w:sz="0" w:space="0" w:color="auto"/>
            <w:right w:val="none" w:sz="0" w:space="0" w:color="auto"/>
          </w:divBdr>
          <w:divsChild>
            <w:div w:id="1136072646">
              <w:marLeft w:val="0"/>
              <w:marRight w:val="0"/>
              <w:marTop w:val="0"/>
              <w:marBottom w:val="0"/>
              <w:divBdr>
                <w:top w:val="none" w:sz="0" w:space="0" w:color="auto"/>
                <w:left w:val="none" w:sz="0" w:space="0" w:color="auto"/>
                <w:bottom w:val="none" w:sz="0" w:space="0" w:color="auto"/>
                <w:right w:val="none" w:sz="0" w:space="0" w:color="auto"/>
              </w:divBdr>
              <w:divsChild>
                <w:div w:id="662125671">
                  <w:marLeft w:val="0"/>
                  <w:marRight w:val="0"/>
                  <w:marTop w:val="0"/>
                  <w:marBottom w:val="0"/>
                  <w:divBdr>
                    <w:top w:val="none" w:sz="0" w:space="0" w:color="auto"/>
                    <w:left w:val="none" w:sz="0" w:space="0" w:color="auto"/>
                    <w:bottom w:val="none" w:sz="0" w:space="0" w:color="auto"/>
                    <w:right w:val="none" w:sz="0" w:space="0" w:color="auto"/>
                  </w:divBdr>
                  <w:divsChild>
                    <w:div w:id="2369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31156">
      <w:bodyDiv w:val="1"/>
      <w:marLeft w:val="0"/>
      <w:marRight w:val="0"/>
      <w:marTop w:val="0"/>
      <w:marBottom w:val="0"/>
      <w:divBdr>
        <w:top w:val="none" w:sz="0" w:space="0" w:color="auto"/>
        <w:left w:val="none" w:sz="0" w:space="0" w:color="auto"/>
        <w:bottom w:val="none" w:sz="0" w:space="0" w:color="auto"/>
        <w:right w:val="none" w:sz="0" w:space="0" w:color="auto"/>
      </w:divBdr>
    </w:div>
    <w:div w:id="656154182">
      <w:bodyDiv w:val="1"/>
      <w:marLeft w:val="0"/>
      <w:marRight w:val="0"/>
      <w:marTop w:val="0"/>
      <w:marBottom w:val="0"/>
      <w:divBdr>
        <w:top w:val="none" w:sz="0" w:space="0" w:color="auto"/>
        <w:left w:val="none" w:sz="0" w:space="0" w:color="auto"/>
        <w:bottom w:val="none" w:sz="0" w:space="0" w:color="auto"/>
        <w:right w:val="none" w:sz="0" w:space="0" w:color="auto"/>
      </w:divBdr>
    </w:div>
    <w:div w:id="660159066">
      <w:bodyDiv w:val="1"/>
      <w:marLeft w:val="0"/>
      <w:marRight w:val="0"/>
      <w:marTop w:val="0"/>
      <w:marBottom w:val="0"/>
      <w:divBdr>
        <w:top w:val="none" w:sz="0" w:space="0" w:color="auto"/>
        <w:left w:val="none" w:sz="0" w:space="0" w:color="auto"/>
        <w:bottom w:val="none" w:sz="0" w:space="0" w:color="auto"/>
        <w:right w:val="none" w:sz="0" w:space="0" w:color="auto"/>
      </w:divBdr>
    </w:div>
    <w:div w:id="691999378">
      <w:bodyDiv w:val="1"/>
      <w:marLeft w:val="0"/>
      <w:marRight w:val="0"/>
      <w:marTop w:val="0"/>
      <w:marBottom w:val="0"/>
      <w:divBdr>
        <w:top w:val="none" w:sz="0" w:space="0" w:color="auto"/>
        <w:left w:val="none" w:sz="0" w:space="0" w:color="auto"/>
        <w:bottom w:val="none" w:sz="0" w:space="0" w:color="auto"/>
        <w:right w:val="none" w:sz="0" w:space="0" w:color="auto"/>
      </w:divBdr>
    </w:div>
    <w:div w:id="768113502">
      <w:bodyDiv w:val="1"/>
      <w:marLeft w:val="0"/>
      <w:marRight w:val="0"/>
      <w:marTop w:val="0"/>
      <w:marBottom w:val="0"/>
      <w:divBdr>
        <w:top w:val="none" w:sz="0" w:space="0" w:color="auto"/>
        <w:left w:val="none" w:sz="0" w:space="0" w:color="auto"/>
        <w:bottom w:val="none" w:sz="0" w:space="0" w:color="auto"/>
        <w:right w:val="none" w:sz="0" w:space="0" w:color="auto"/>
      </w:divBdr>
    </w:div>
    <w:div w:id="811755206">
      <w:bodyDiv w:val="1"/>
      <w:marLeft w:val="0"/>
      <w:marRight w:val="0"/>
      <w:marTop w:val="0"/>
      <w:marBottom w:val="0"/>
      <w:divBdr>
        <w:top w:val="none" w:sz="0" w:space="0" w:color="auto"/>
        <w:left w:val="none" w:sz="0" w:space="0" w:color="auto"/>
        <w:bottom w:val="none" w:sz="0" w:space="0" w:color="auto"/>
        <w:right w:val="none" w:sz="0" w:space="0" w:color="auto"/>
      </w:divBdr>
      <w:divsChild>
        <w:div w:id="234364641">
          <w:marLeft w:val="0"/>
          <w:marRight w:val="0"/>
          <w:marTop w:val="0"/>
          <w:marBottom w:val="0"/>
          <w:divBdr>
            <w:top w:val="none" w:sz="0" w:space="0" w:color="auto"/>
            <w:left w:val="none" w:sz="0" w:space="0" w:color="auto"/>
            <w:bottom w:val="none" w:sz="0" w:space="0" w:color="auto"/>
            <w:right w:val="none" w:sz="0" w:space="0" w:color="auto"/>
          </w:divBdr>
          <w:divsChild>
            <w:div w:id="339427119">
              <w:marLeft w:val="0"/>
              <w:marRight w:val="0"/>
              <w:marTop w:val="0"/>
              <w:marBottom w:val="0"/>
              <w:divBdr>
                <w:top w:val="none" w:sz="0" w:space="0" w:color="auto"/>
                <w:left w:val="none" w:sz="0" w:space="0" w:color="auto"/>
                <w:bottom w:val="none" w:sz="0" w:space="0" w:color="auto"/>
                <w:right w:val="none" w:sz="0" w:space="0" w:color="auto"/>
              </w:divBdr>
              <w:divsChild>
                <w:div w:id="561260187">
                  <w:marLeft w:val="0"/>
                  <w:marRight w:val="0"/>
                  <w:marTop w:val="0"/>
                  <w:marBottom w:val="0"/>
                  <w:divBdr>
                    <w:top w:val="none" w:sz="0" w:space="0" w:color="auto"/>
                    <w:left w:val="none" w:sz="0" w:space="0" w:color="auto"/>
                    <w:bottom w:val="none" w:sz="0" w:space="0" w:color="auto"/>
                    <w:right w:val="none" w:sz="0" w:space="0" w:color="auto"/>
                  </w:divBdr>
                  <w:divsChild>
                    <w:div w:id="1699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99159">
      <w:bodyDiv w:val="1"/>
      <w:marLeft w:val="0"/>
      <w:marRight w:val="0"/>
      <w:marTop w:val="0"/>
      <w:marBottom w:val="0"/>
      <w:divBdr>
        <w:top w:val="none" w:sz="0" w:space="0" w:color="auto"/>
        <w:left w:val="none" w:sz="0" w:space="0" w:color="auto"/>
        <w:bottom w:val="none" w:sz="0" w:space="0" w:color="auto"/>
        <w:right w:val="none" w:sz="0" w:space="0" w:color="auto"/>
      </w:divBdr>
    </w:div>
    <w:div w:id="829633664">
      <w:bodyDiv w:val="1"/>
      <w:marLeft w:val="0"/>
      <w:marRight w:val="0"/>
      <w:marTop w:val="0"/>
      <w:marBottom w:val="0"/>
      <w:divBdr>
        <w:top w:val="none" w:sz="0" w:space="0" w:color="auto"/>
        <w:left w:val="none" w:sz="0" w:space="0" w:color="auto"/>
        <w:bottom w:val="none" w:sz="0" w:space="0" w:color="auto"/>
        <w:right w:val="none" w:sz="0" w:space="0" w:color="auto"/>
      </w:divBdr>
    </w:div>
    <w:div w:id="830951644">
      <w:bodyDiv w:val="1"/>
      <w:marLeft w:val="0"/>
      <w:marRight w:val="0"/>
      <w:marTop w:val="0"/>
      <w:marBottom w:val="0"/>
      <w:divBdr>
        <w:top w:val="none" w:sz="0" w:space="0" w:color="auto"/>
        <w:left w:val="none" w:sz="0" w:space="0" w:color="auto"/>
        <w:bottom w:val="none" w:sz="0" w:space="0" w:color="auto"/>
        <w:right w:val="none" w:sz="0" w:space="0" w:color="auto"/>
      </w:divBdr>
    </w:div>
    <w:div w:id="938759300">
      <w:bodyDiv w:val="1"/>
      <w:marLeft w:val="0"/>
      <w:marRight w:val="0"/>
      <w:marTop w:val="0"/>
      <w:marBottom w:val="0"/>
      <w:divBdr>
        <w:top w:val="none" w:sz="0" w:space="0" w:color="auto"/>
        <w:left w:val="none" w:sz="0" w:space="0" w:color="auto"/>
        <w:bottom w:val="none" w:sz="0" w:space="0" w:color="auto"/>
        <w:right w:val="none" w:sz="0" w:space="0" w:color="auto"/>
      </w:divBdr>
    </w:div>
    <w:div w:id="948976879">
      <w:bodyDiv w:val="1"/>
      <w:marLeft w:val="0"/>
      <w:marRight w:val="0"/>
      <w:marTop w:val="0"/>
      <w:marBottom w:val="0"/>
      <w:divBdr>
        <w:top w:val="none" w:sz="0" w:space="0" w:color="auto"/>
        <w:left w:val="none" w:sz="0" w:space="0" w:color="auto"/>
        <w:bottom w:val="none" w:sz="0" w:space="0" w:color="auto"/>
        <w:right w:val="none" w:sz="0" w:space="0" w:color="auto"/>
      </w:divBdr>
      <w:divsChild>
        <w:div w:id="1887908008">
          <w:marLeft w:val="0"/>
          <w:marRight w:val="0"/>
          <w:marTop w:val="0"/>
          <w:marBottom w:val="0"/>
          <w:divBdr>
            <w:top w:val="none" w:sz="0" w:space="0" w:color="auto"/>
            <w:left w:val="none" w:sz="0" w:space="0" w:color="auto"/>
            <w:bottom w:val="none" w:sz="0" w:space="0" w:color="auto"/>
            <w:right w:val="none" w:sz="0" w:space="0" w:color="auto"/>
          </w:divBdr>
          <w:divsChild>
            <w:div w:id="126168333">
              <w:marLeft w:val="0"/>
              <w:marRight w:val="0"/>
              <w:marTop w:val="0"/>
              <w:marBottom w:val="0"/>
              <w:divBdr>
                <w:top w:val="none" w:sz="0" w:space="0" w:color="auto"/>
                <w:left w:val="none" w:sz="0" w:space="0" w:color="auto"/>
                <w:bottom w:val="none" w:sz="0" w:space="0" w:color="auto"/>
                <w:right w:val="none" w:sz="0" w:space="0" w:color="auto"/>
              </w:divBdr>
              <w:divsChild>
                <w:div w:id="1163162432">
                  <w:marLeft w:val="0"/>
                  <w:marRight w:val="0"/>
                  <w:marTop w:val="0"/>
                  <w:marBottom w:val="0"/>
                  <w:divBdr>
                    <w:top w:val="none" w:sz="0" w:space="0" w:color="auto"/>
                    <w:left w:val="none" w:sz="0" w:space="0" w:color="auto"/>
                    <w:bottom w:val="none" w:sz="0" w:space="0" w:color="auto"/>
                    <w:right w:val="none" w:sz="0" w:space="0" w:color="auto"/>
                  </w:divBdr>
                  <w:divsChild>
                    <w:div w:id="12798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7990">
      <w:bodyDiv w:val="1"/>
      <w:marLeft w:val="0"/>
      <w:marRight w:val="0"/>
      <w:marTop w:val="0"/>
      <w:marBottom w:val="0"/>
      <w:divBdr>
        <w:top w:val="none" w:sz="0" w:space="0" w:color="auto"/>
        <w:left w:val="none" w:sz="0" w:space="0" w:color="auto"/>
        <w:bottom w:val="none" w:sz="0" w:space="0" w:color="auto"/>
        <w:right w:val="none" w:sz="0" w:space="0" w:color="auto"/>
      </w:divBdr>
    </w:div>
    <w:div w:id="1021589304">
      <w:bodyDiv w:val="1"/>
      <w:marLeft w:val="0"/>
      <w:marRight w:val="0"/>
      <w:marTop w:val="0"/>
      <w:marBottom w:val="0"/>
      <w:divBdr>
        <w:top w:val="none" w:sz="0" w:space="0" w:color="auto"/>
        <w:left w:val="none" w:sz="0" w:space="0" w:color="auto"/>
        <w:bottom w:val="none" w:sz="0" w:space="0" w:color="auto"/>
        <w:right w:val="none" w:sz="0" w:space="0" w:color="auto"/>
      </w:divBdr>
    </w:div>
    <w:div w:id="1054739080">
      <w:bodyDiv w:val="1"/>
      <w:marLeft w:val="0"/>
      <w:marRight w:val="0"/>
      <w:marTop w:val="0"/>
      <w:marBottom w:val="0"/>
      <w:divBdr>
        <w:top w:val="none" w:sz="0" w:space="0" w:color="auto"/>
        <w:left w:val="none" w:sz="0" w:space="0" w:color="auto"/>
        <w:bottom w:val="none" w:sz="0" w:space="0" w:color="auto"/>
        <w:right w:val="none" w:sz="0" w:space="0" w:color="auto"/>
      </w:divBdr>
      <w:divsChild>
        <w:div w:id="751899738">
          <w:marLeft w:val="0"/>
          <w:marRight w:val="0"/>
          <w:marTop w:val="0"/>
          <w:marBottom w:val="0"/>
          <w:divBdr>
            <w:top w:val="none" w:sz="0" w:space="0" w:color="auto"/>
            <w:left w:val="none" w:sz="0" w:space="0" w:color="auto"/>
            <w:bottom w:val="none" w:sz="0" w:space="0" w:color="auto"/>
            <w:right w:val="none" w:sz="0" w:space="0" w:color="auto"/>
          </w:divBdr>
          <w:divsChild>
            <w:div w:id="790131604">
              <w:marLeft w:val="0"/>
              <w:marRight w:val="0"/>
              <w:marTop w:val="0"/>
              <w:marBottom w:val="0"/>
              <w:divBdr>
                <w:top w:val="none" w:sz="0" w:space="0" w:color="auto"/>
                <w:left w:val="none" w:sz="0" w:space="0" w:color="auto"/>
                <w:bottom w:val="none" w:sz="0" w:space="0" w:color="auto"/>
                <w:right w:val="none" w:sz="0" w:space="0" w:color="auto"/>
              </w:divBdr>
              <w:divsChild>
                <w:div w:id="1972437627">
                  <w:marLeft w:val="0"/>
                  <w:marRight w:val="0"/>
                  <w:marTop w:val="0"/>
                  <w:marBottom w:val="0"/>
                  <w:divBdr>
                    <w:top w:val="none" w:sz="0" w:space="0" w:color="auto"/>
                    <w:left w:val="none" w:sz="0" w:space="0" w:color="auto"/>
                    <w:bottom w:val="none" w:sz="0" w:space="0" w:color="auto"/>
                    <w:right w:val="none" w:sz="0" w:space="0" w:color="auto"/>
                  </w:divBdr>
                  <w:divsChild>
                    <w:div w:id="12146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39672">
      <w:bodyDiv w:val="1"/>
      <w:marLeft w:val="0"/>
      <w:marRight w:val="0"/>
      <w:marTop w:val="0"/>
      <w:marBottom w:val="0"/>
      <w:divBdr>
        <w:top w:val="none" w:sz="0" w:space="0" w:color="auto"/>
        <w:left w:val="none" w:sz="0" w:space="0" w:color="auto"/>
        <w:bottom w:val="none" w:sz="0" w:space="0" w:color="auto"/>
        <w:right w:val="none" w:sz="0" w:space="0" w:color="auto"/>
      </w:divBdr>
    </w:div>
    <w:div w:id="1082487849">
      <w:bodyDiv w:val="1"/>
      <w:marLeft w:val="0"/>
      <w:marRight w:val="0"/>
      <w:marTop w:val="0"/>
      <w:marBottom w:val="0"/>
      <w:divBdr>
        <w:top w:val="none" w:sz="0" w:space="0" w:color="auto"/>
        <w:left w:val="none" w:sz="0" w:space="0" w:color="auto"/>
        <w:bottom w:val="none" w:sz="0" w:space="0" w:color="auto"/>
        <w:right w:val="none" w:sz="0" w:space="0" w:color="auto"/>
      </w:divBdr>
    </w:div>
    <w:div w:id="1094129647">
      <w:bodyDiv w:val="1"/>
      <w:marLeft w:val="0"/>
      <w:marRight w:val="0"/>
      <w:marTop w:val="0"/>
      <w:marBottom w:val="0"/>
      <w:divBdr>
        <w:top w:val="none" w:sz="0" w:space="0" w:color="auto"/>
        <w:left w:val="none" w:sz="0" w:space="0" w:color="auto"/>
        <w:bottom w:val="none" w:sz="0" w:space="0" w:color="auto"/>
        <w:right w:val="none" w:sz="0" w:space="0" w:color="auto"/>
      </w:divBdr>
    </w:div>
    <w:div w:id="1114980819">
      <w:bodyDiv w:val="1"/>
      <w:marLeft w:val="0"/>
      <w:marRight w:val="0"/>
      <w:marTop w:val="0"/>
      <w:marBottom w:val="0"/>
      <w:divBdr>
        <w:top w:val="none" w:sz="0" w:space="0" w:color="auto"/>
        <w:left w:val="none" w:sz="0" w:space="0" w:color="auto"/>
        <w:bottom w:val="none" w:sz="0" w:space="0" w:color="auto"/>
        <w:right w:val="none" w:sz="0" w:space="0" w:color="auto"/>
      </w:divBdr>
      <w:divsChild>
        <w:div w:id="1953201560">
          <w:marLeft w:val="0"/>
          <w:marRight w:val="0"/>
          <w:marTop w:val="0"/>
          <w:marBottom w:val="0"/>
          <w:divBdr>
            <w:top w:val="none" w:sz="0" w:space="0" w:color="auto"/>
            <w:left w:val="none" w:sz="0" w:space="0" w:color="auto"/>
            <w:bottom w:val="none" w:sz="0" w:space="0" w:color="auto"/>
            <w:right w:val="none" w:sz="0" w:space="0" w:color="auto"/>
          </w:divBdr>
          <w:divsChild>
            <w:div w:id="1842545844">
              <w:marLeft w:val="0"/>
              <w:marRight w:val="200"/>
              <w:marTop w:val="0"/>
              <w:marBottom w:val="400"/>
              <w:divBdr>
                <w:top w:val="none" w:sz="0" w:space="0" w:color="auto"/>
                <w:left w:val="none" w:sz="0" w:space="0" w:color="auto"/>
                <w:bottom w:val="none" w:sz="0" w:space="0" w:color="auto"/>
                <w:right w:val="none" w:sz="0" w:space="0" w:color="auto"/>
              </w:divBdr>
              <w:divsChild>
                <w:div w:id="111218036">
                  <w:marLeft w:val="80"/>
                  <w:marRight w:val="0"/>
                  <w:marTop w:val="200"/>
                  <w:marBottom w:val="200"/>
                  <w:divBdr>
                    <w:top w:val="none" w:sz="0" w:space="0" w:color="auto"/>
                    <w:left w:val="none" w:sz="0" w:space="0" w:color="auto"/>
                    <w:bottom w:val="none" w:sz="0" w:space="0" w:color="auto"/>
                    <w:right w:val="none" w:sz="0" w:space="0" w:color="auto"/>
                  </w:divBdr>
                  <w:divsChild>
                    <w:div w:id="49546825">
                      <w:marLeft w:val="160"/>
                      <w:marRight w:val="0"/>
                      <w:marTop w:val="200"/>
                      <w:marBottom w:val="200"/>
                      <w:divBdr>
                        <w:top w:val="none" w:sz="0" w:space="0" w:color="auto"/>
                        <w:left w:val="none" w:sz="0" w:space="0" w:color="auto"/>
                        <w:bottom w:val="none" w:sz="0" w:space="0" w:color="auto"/>
                        <w:right w:val="none" w:sz="0" w:space="0" w:color="auto"/>
                      </w:divBdr>
                      <w:divsChild>
                        <w:div w:id="1253782121">
                          <w:marLeft w:val="0"/>
                          <w:marRight w:val="0"/>
                          <w:marTop w:val="0"/>
                          <w:marBottom w:val="0"/>
                          <w:divBdr>
                            <w:top w:val="none" w:sz="0" w:space="0" w:color="auto"/>
                            <w:left w:val="none" w:sz="0" w:space="0" w:color="auto"/>
                            <w:bottom w:val="none" w:sz="0" w:space="0" w:color="auto"/>
                            <w:right w:val="none" w:sz="0" w:space="0" w:color="auto"/>
                          </w:divBdr>
                          <w:divsChild>
                            <w:div w:id="1223249877">
                              <w:marLeft w:val="1600"/>
                              <w:marRight w:val="0"/>
                              <w:marTop w:val="160"/>
                              <w:marBottom w:val="200"/>
                              <w:divBdr>
                                <w:top w:val="none" w:sz="0" w:space="0" w:color="auto"/>
                                <w:left w:val="none" w:sz="0" w:space="0" w:color="auto"/>
                                <w:bottom w:val="none" w:sz="0" w:space="0" w:color="auto"/>
                                <w:right w:val="none" w:sz="0" w:space="0" w:color="auto"/>
                              </w:divBdr>
                            </w:div>
                          </w:divsChild>
                        </w:div>
                      </w:divsChild>
                    </w:div>
                    <w:div w:id="427776653">
                      <w:marLeft w:val="160"/>
                      <w:marRight w:val="0"/>
                      <w:marTop w:val="200"/>
                      <w:marBottom w:val="200"/>
                      <w:divBdr>
                        <w:top w:val="none" w:sz="0" w:space="0" w:color="auto"/>
                        <w:left w:val="none" w:sz="0" w:space="0" w:color="auto"/>
                        <w:bottom w:val="none" w:sz="0" w:space="0" w:color="auto"/>
                        <w:right w:val="none" w:sz="0" w:space="0" w:color="auto"/>
                      </w:divBdr>
                    </w:div>
                    <w:div w:id="450128797">
                      <w:marLeft w:val="160"/>
                      <w:marRight w:val="0"/>
                      <w:marTop w:val="200"/>
                      <w:marBottom w:val="200"/>
                      <w:divBdr>
                        <w:top w:val="none" w:sz="0" w:space="0" w:color="auto"/>
                        <w:left w:val="none" w:sz="0" w:space="0" w:color="auto"/>
                        <w:bottom w:val="none" w:sz="0" w:space="0" w:color="auto"/>
                        <w:right w:val="none" w:sz="0" w:space="0" w:color="auto"/>
                      </w:divBdr>
                    </w:div>
                  </w:divsChild>
                </w:div>
                <w:div w:id="1671058780">
                  <w:marLeft w:val="400"/>
                  <w:marRight w:val="400"/>
                  <w:marTop w:val="240"/>
                  <w:marBottom w:val="300"/>
                  <w:divBdr>
                    <w:top w:val="none" w:sz="0" w:space="0" w:color="auto"/>
                    <w:left w:val="single" w:sz="6" w:space="4" w:color="646464"/>
                    <w:bottom w:val="none" w:sz="0" w:space="0" w:color="auto"/>
                    <w:right w:val="none" w:sz="0" w:space="0" w:color="auto"/>
                  </w:divBdr>
                </w:div>
              </w:divsChild>
            </w:div>
          </w:divsChild>
        </w:div>
      </w:divsChild>
    </w:div>
    <w:div w:id="1165244334">
      <w:bodyDiv w:val="1"/>
      <w:marLeft w:val="0"/>
      <w:marRight w:val="0"/>
      <w:marTop w:val="0"/>
      <w:marBottom w:val="0"/>
      <w:divBdr>
        <w:top w:val="none" w:sz="0" w:space="0" w:color="auto"/>
        <w:left w:val="none" w:sz="0" w:space="0" w:color="auto"/>
        <w:bottom w:val="none" w:sz="0" w:space="0" w:color="auto"/>
        <w:right w:val="none" w:sz="0" w:space="0" w:color="auto"/>
      </w:divBdr>
    </w:div>
    <w:div w:id="1183979446">
      <w:bodyDiv w:val="1"/>
      <w:marLeft w:val="0"/>
      <w:marRight w:val="0"/>
      <w:marTop w:val="0"/>
      <w:marBottom w:val="0"/>
      <w:divBdr>
        <w:top w:val="none" w:sz="0" w:space="0" w:color="auto"/>
        <w:left w:val="none" w:sz="0" w:space="0" w:color="auto"/>
        <w:bottom w:val="none" w:sz="0" w:space="0" w:color="auto"/>
        <w:right w:val="none" w:sz="0" w:space="0" w:color="auto"/>
      </w:divBdr>
    </w:div>
    <w:div w:id="1187138114">
      <w:bodyDiv w:val="1"/>
      <w:marLeft w:val="0"/>
      <w:marRight w:val="0"/>
      <w:marTop w:val="0"/>
      <w:marBottom w:val="0"/>
      <w:divBdr>
        <w:top w:val="none" w:sz="0" w:space="0" w:color="auto"/>
        <w:left w:val="none" w:sz="0" w:space="0" w:color="auto"/>
        <w:bottom w:val="none" w:sz="0" w:space="0" w:color="auto"/>
        <w:right w:val="none" w:sz="0" w:space="0" w:color="auto"/>
      </w:divBdr>
    </w:div>
    <w:div w:id="1264265185">
      <w:bodyDiv w:val="1"/>
      <w:marLeft w:val="0"/>
      <w:marRight w:val="0"/>
      <w:marTop w:val="0"/>
      <w:marBottom w:val="0"/>
      <w:divBdr>
        <w:top w:val="none" w:sz="0" w:space="0" w:color="auto"/>
        <w:left w:val="none" w:sz="0" w:space="0" w:color="auto"/>
        <w:bottom w:val="none" w:sz="0" w:space="0" w:color="auto"/>
        <w:right w:val="none" w:sz="0" w:space="0" w:color="auto"/>
      </w:divBdr>
    </w:div>
    <w:div w:id="1318338945">
      <w:bodyDiv w:val="1"/>
      <w:marLeft w:val="0"/>
      <w:marRight w:val="0"/>
      <w:marTop w:val="0"/>
      <w:marBottom w:val="0"/>
      <w:divBdr>
        <w:top w:val="none" w:sz="0" w:space="0" w:color="auto"/>
        <w:left w:val="none" w:sz="0" w:space="0" w:color="auto"/>
        <w:bottom w:val="none" w:sz="0" w:space="0" w:color="auto"/>
        <w:right w:val="none" w:sz="0" w:space="0" w:color="auto"/>
      </w:divBdr>
    </w:div>
    <w:div w:id="1332562482">
      <w:bodyDiv w:val="1"/>
      <w:marLeft w:val="0"/>
      <w:marRight w:val="0"/>
      <w:marTop w:val="0"/>
      <w:marBottom w:val="0"/>
      <w:divBdr>
        <w:top w:val="none" w:sz="0" w:space="0" w:color="auto"/>
        <w:left w:val="none" w:sz="0" w:space="0" w:color="auto"/>
        <w:bottom w:val="none" w:sz="0" w:space="0" w:color="auto"/>
        <w:right w:val="none" w:sz="0" w:space="0" w:color="auto"/>
      </w:divBdr>
    </w:div>
    <w:div w:id="1333988734">
      <w:bodyDiv w:val="1"/>
      <w:marLeft w:val="0"/>
      <w:marRight w:val="0"/>
      <w:marTop w:val="0"/>
      <w:marBottom w:val="0"/>
      <w:divBdr>
        <w:top w:val="none" w:sz="0" w:space="0" w:color="auto"/>
        <w:left w:val="none" w:sz="0" w:space="0" w:color="auto"/>
        <w:bottom w:val="none" w:sz="0" w:space="0" w:color="auto"/>
        <w:right w:val="none" w:sz="0" w:space="0" w:color="auto"/>
      </w:divBdr>
      <w:divsChild>
        <w:div w:id="2144303988">
          <w:marLeft w:val="0"/>
          <w:marRight w:val="0"/>
          <w:marTop w:val="0"/>
          <w:marBottom w:val="0"/>
          <w:divBdr>
            <w:top w:val="none" w:sz="0" w:space="0" w:color="auto"/>
            <w:left w:val="none" w:sz="0" w:space="0" w:color="auto"/>
            <w:bottom w:val="none" w:sz="0" w:space="0" w:color="auto"/>
            <w:right w:val="none" w:sz="0" w:space="0" w:color="auto"/>
          </w:divBdr>
          <w:divsChild>
            <w:div w:id="871184158">
              <w:marLeft w:val="0"/>
              <w:marRight w:val="0"/>
              <w:marTop w:val="0"/>
              <w:marBottom w:val="0"/>
              <w:divBdr>
                <w:top w:val="none" w:sz="0" w:space="0" w:color="auto"/>
                <w:left w:val="none" w:sz="0" w:space="0" w:color="auto"/>
                <w:bottom w:val="none" w:sz="0" w:space="0" w:color="auto"/>
                <w:right w:val="none" w:sz="0" w:space="0" w:color="auto"/>
              </w:divBdr>
              <w:divsChild>
                <w:div w:id="1610160571">
                  <w:marLeft w:val="0"/>
                  <w:marRight w:val="0"/>
                  <w:marTop w:val="0"/>
                  <w:marBottom w:val="0"/>
                  <w:divBdr>
                    <w:top w:val="none" w:sz="0" w:space="0" w:color="auto"/>
                    <w:left w:val="none" w:sz="0" w:space="0" w:color="auto"/>
                    <w:bottom w:val="none" w:sz="0" w:space="0" w:color="auto"/>
                    <w:right w:val="none" w:sz="0" w:space="0" w:color="auto"/>
                  </w:divBdr>
                  <w:divsChild>
                    <w:div w:id="4061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9011">
      <w:bodyDiv w:val="1"/>
      <w:marLeft w:val="0"/>
      <w:marRight w:val="0"/>
      <w:marTop w:val="0"/>
      <w:marBottom w:val="0"/>
      <w:divBdr>
        <w:top w:val="none" w:sz="0" w:space="0" w:color="auto"/>
        <w:left w:val="none" w:sz="0" w:space="0" w:color="auto"/>
        <w:bottom w:val="none" w:sz="0" w:space="0" w:color="auto"/>
        <w:right w:val="none" w:sz="0" w:space="0" w:color="auto"/>
      </w:divBdr>
    </w:div>
    <w:div w:id="1370640226">
      <w:bodyDiv w:val="1"/>
      <w:marLeft w:val="0"/>
      <w:marRight w:val="0"/>
      <w:marTop w:val="0"/>
      <w:marBottom w:val="0"/>
      <w:divBdr>
        <w:top w:val="none" w:sz="0" w:space="0" w:color="auto"/>
        <w:left w:val="none" w:sz="0" w:space="0" w:color="auto"/>
        <w:bottom w:val="none" w:sz="0" w:space="0" w:color="auto"/>
        <w:right w:val="none" w:sz="0" w:space="0" w:color="auto"/>
      </w:divBdr>
    </w:div>
    <w:div w:id="1395859863">
      <w:bodyDiv w:val="1"/>
      <w:marLeft w:val="0"/>
      <w:marRight w:val="0"/>
      <w:marTop w:val="0"/>
      <w:marBottom w:val="0"/>
      <w:divBdr>
        <w:top w:val="none" w:sz="0" w:space="0" w:color="auto"/>
        <w:left w:val="none" w:sz="0" w:space="0" w:color="auto"/>
        <w:bottom w:val="none" w:sz="0" w:space="0" w:color="auto"/>
        <w:right w:val="none" w:sz="0" w:space="0" w:color="auto"/>
      </w:divBdr>
    </w:div>
    <w:div w:id="1396976051">
      <w:bodyDiv w:val="1"/>
      <w:marLeft w:val="0"/>
      <w:marRight w:val="0"/>
      <w:marTop w:val="0"/>
      <w:marBottom w:val="0"/>
      <w:divBdr>
        <w:top w:val="none" w:sz="0" w:space="0" w:color="auto"/>
        <w:left w:val="none" w:sz="0" w:space="0" w:color="auto"/>
        <w:bottom w:val="none" w:sz="0" w:space="0" w:color="auto"/>
        <w:right w:val="none" w:sz="0" w:space="0" w:color="auto"/>
      </w:divBdr>
    </w:div>
    <w:div w:id="1404572641">
      <w:bodyDiv w:val="1"/>
      <w:marLeft w:val="0"/>
      <w:marRight w:val="0"/>
      <w:marTop w:val="0"/>
      <w:marBottom w:val="0"/>
      <w:divBdr>
        <w:top w:val="none" w:sz="0" w:space="0" w:color="auto"/>
        <w:left w:val="none" w:sz="0" w:space="0" w:color="auto"/>
        <w:bottom w:val="none" w:sz="0" w:space="0" w:color="auto"/>
        <w:right w:val="none" w:sz="0" w:space="0" w:color="auto"/>
      </w:divBdr>
    </w:div>
    <w:div w:id="1421487877">
      <w:bodyDiv w:val="1"/>
      <w:marLeft w:val="0"/>
      <w:marRight w:val="0"/>
      <w:marTop w:val="0"/>
      <w:marBottom w:val="0"/>
      <w:divBdr>
        <w:top w:val="none" w:sz="0" w:space="0" w:color="auto"/>
        <w:left w:val="none" w:sz="0" w:space="0" w:color="auto"/>
        <w:bottom w:val="none" w:sz="0" w:space="0" w:color="auto"/>
        <w:right w:val="none" w:sz="0" w:space="0" w:color="auto"/>
      </w:divBdr>
    </w:div>
    <w:div w:id="1440876326">
      <w:bodyDiv w:val="1"/>
      <w:marLeft w:val="0"/>
      <w:marRight w:val="0"/>
      <w:marTop w:val="0"/>
      <w:marBottom w:val="0"/>
      <w:divBdr>
        <w:top w:val="none" w:sz="0" w:space="0" w:color="auto"/>
        <w:left w:val="none" w:sz="0" w:space="0" w:color="auto"/>
        <w:bottom w:val="none" w:sz="0" w:space="0" w:color="auto"/>
        <w:right w:val="none" w:sz="0" w:space="0" w:color="auto"/>
      </w:divBdr>
    </w:div>
    <w:div w:id="1474756663">
      <w:bodyDiv w:val="1"/>
      <w:marLeft w:val="0"/>
      <w:marRight w:val="0"/>
      <w:marTop w:val="0"/>
      <w:marBottom w:val="0"/>
      <w:divBdr>
        <w:top w:val="none" w:sz="0" w:space="0" w:color="auto"/>
        <w:left w:val="none" w:sz="0" w:space="0" w:color="auto"/>
        <w:bottom w:val="none" w:sz="0" w:space="0" w:color="auto"/>
        <w:right w:val="none" w:sz="0" w:space="0" w:color="auto"/>
      </w:divBdr>
    </w:div>
    <w:div w:id="1501507402">
      <w:bodyDiv w:val="1"/>
      <w:marLeft w:val="0"/>
      <w:marRight w:val="0"/>
      <w:marTop w:val="0"/>
      <w:marBottom w:val="0"/>
      <w:divBdr>
        <w:top w:val="none" w:sz="0" w:space="0" w:color="auto"/>
        <w:left w:val="none" w:sz="0" w:space="0" w:color="auto"/>
        <w:bottom w:val="none" w:sz="0" w:space="0" w:color="auto"/>
        <w:right w:val="none" w:sz="0" w:space="0" w:color="auto"/>
      </w:divBdr>
      <w:divsChild>
        <w:div w:id="1782214503">
          <w:marLeft w:val="0"/>
          <w:marRight w:val="0"/>
          <w:marTop w:val="0"/>
          <w:marBottom w:val="0"/>
          <w:divBdr>
            <w:top w:val="none" w:sz="0" w:space="0" w:color="auto"/>
            <w:left w:val="none" w:sz="0" w:space="0" w:color="auto"/>
            <w:bottom w:val="none" w:sz="0" w:space="0" w:color="auto"/>
            <w:right w:val="none" w:sz="0" w:space="0" w:color="auto"/>
          </w:divBdr>
          <w:divsChild>
            <w:div w:id="576667425">
              <w:marLeft w:val="0"/>
              <w:marRight w:val="0"/>
              <w:marTop w:val="0"/>
              <w:marBottom w:val="0"/>
              <w:divBdr>
                <w:top w:val="none" w:sz="0" w:space="0" w:color="auto"/>
                <w:left w:val="none" w:sz="0" w:space="0" w:color="auto"/>
                <w:bottom w:val="none" w:sz="0" w:space="0" w:color="auto"/>
                <w:right w:val="none" w:sz="0" w:space="0" w:color="auto"/>
              </w:divBdr>
              <w:divsChild>
                <w:div w:id="1924335037">
                  <w:marLeft w:val="0"/>
                  <w:marRight w:val="0"/>
                  <w:marTop w:val="0"/>
                  <w:marBottom w:val="0"/>
                  <w:divBdr>
                    <w:top w:val="none" w:sz="0" w:space="0" w:color="auto"/>
                    <w:left w:val="none" w:sz="0" w:space="0" w:color="auto"/>
                    <w:bottom w:val="none" w:sz="0" w:space="0" w:color="auto"/>
                    <w:right w:val="none" w:sz="0" w:space="0" w:color="auto"/>
                  </w:divBdr>
                  <w:divsChild>
                    <w:div w:id="19969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14207">
      <w:bodyDiv w:val="1"/>
      <w:marLeft w:val="0"/>
      <w:marRight w:val="0"/>
      <w:marTop w:val="0"/>
      <w:marBottom w:val="0"/>
      <w:divBdr>
        <w:top w:val="none" w:sz="0" w:space="0" w:color="auto"/>
        <w:left w:val="none" w:sz="0" w:space="0" w:color="auto"/>
        <w:bottom w:val="none" w:sz="0" w:space="0" w:color="auto"/>
        <w:right w:val="none" w:sz="0" w:space="0" w:color="auto"/>
      </w:divBdr>
      <w:divsChild>
        <w:div w:id="644432880">
          <w:marLeft w:val="0"/>
          <w:marRight w:val="0"/>
          <w:marTop w:val="0"/>
          <w:marBottom w:val="0"/>
          <w:divBdr>
            <w:top w:val="none" w:sz="0" w:space="0" w:color="auto"/>
            <w:left w:val="none" w:sz="0" w:space="0" w:color="auto"/>
            <w:bottom w:val="none" w:sz="0" w:space="0" w:color="auto"/>
            <w:right w:val="none" w:sz="0" w:space="0" w:color="auto"/>
          </w:divBdr>
          <w:divsChild>
            <w:div w:id="364911532">
              <w:marLeft w:val="0"/>
              <w:marRight w:val="0"/>
              <w:marTop w:val="0"/>
              <w:marBottom w:val="0"/>
              <w:divBdr>
                <w:top w:val="none" w:sz="0" w:space="0" w:color="auto"/>
                <w:left w:val="none" w:sz="0" w:space="0" w:color="auto"/>
                <w:bottom w:val="none" w:sz="0" w:space="0" w:color="auto"/>
                <w:right w:val="none" w:sz="0" w:space="0" w:color="auto"/>
              </w:divBdr>
              <w:divsChild>
                <w:div w:id="20935358">
                  <w:marLeft w:val="0"/>
                  <w:marRight w:val="0"/>
                  <w:marTop w:val="0"/>
                  <w:marBottom w:val="0"/>
                  <w:divBdr>
                    <w:top w:val="none" w:sz="0" w:space="0" w:color="auto"/>
                    <w:left w:val="none" w:sz="0" w:space="0" w:color="auto"/>
                    <w:bottom w:val="none" w:sz="0" w:space="0" w:color="auto"/>
                    <w:right w:val="none" w:sz="0" w:space="0" w:color="auto"/>
                  </w:divBdr>
                  <w:divsChild>
                    <w:div w:id="18454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76281">
      <w:bodyDiv w:val="1"/>
      <w:marLeft w:val="0"/>
      <w:marRight w:val="0"/>
      <w:marTop w:val="0"/>
      <w:marBottom w:val="0"/>
      <w:divBdr>
        <w:top w:val="none" w:sz="0" w:space="0" w:color="auto"/>
        <w:left w:val="none" w:sz="0" w:space="0" w:color="auto"/>
        <w:bottom w:val="none" w:sz="0" w:space="0" w:color="auto"/>
        <w:right w:val="none" w:sz="0" w:space="0" w:color="auto"/>
      </w:divBdr>
    </w:div>
    <w:div w:id="1601638469">
      <w:bodyDiv w:val="1"/>
      <w:marLeft w:val="0"/>
      <w:marRight w:val="0"/>
      <w:marTop w:val="0"/>
      <w:marBottom w:val="0"/>
      <w:divBdr>
        <w:top w:val="none" w:sz="0" w:space="0" w:color="auto"/>
        <w:left w:val="none" w:sz="0" w:space="0" w:color="auto"/>
        <w:bottom w:val="none" w:sz="0" w:space="0" w:color="auto"/>
        <w:right w:val="none" w:sz="0" w:space="0" w:color="auto"/>
      </w:divBdr>
    </w:div>
    <w:div w:id="1613704281">
      <w:bodyDiv w:val="1"/>
      <w:marLeft w:val="0"/>
      <w:marRight w:val="0"/>
      <w:marTop w:val="0"/>
      <w:marBottom w:val="0"/>
      <w:divBdr>
        <w:top w:val="none" w:sz="0" w:space="0" w:color="auto"/>
        <w:left w:val="none" w:sz="0" w:space="0" w:color="auto"/>
        <w:bottom w:val="none" w:sz="0" w:space="0" w:color="auto"/>
        <w:right w:val="none" w:sz="0" w:space="0" w:color="auto"/>
      </w:divBdr>
    </w:div>
    <w:div w:id="1615481090">
      <w:bodyDiv w:val="1"/>
      <w:marLeft w:val="0"/>
      <w:marRight w:val="0"/>
      <w:marTop w:val="0"/>
      <w:marBottom w:val="0"/>
      <w:divBdr>
        <w:top w:val="none" w:sz="0" w:space="0" w:color="auto"/>
        <w:left w:val="none" w:sz="0" w:space="0" w:color="auto"/>
        <w:bottom w:val="none" w:sz="0" w:space="0" w:color="auto"/>
        <w:right w:val="none" w:sz="0" w:space="0" w:color="auto"/>
      </w:divBdr>
      <w:divsChild>
        <w:div w:id="1504396485">
          <w:marLeft w:val="0"/>
          <w:marRight w:val="0"/>
          <w:marTop w:val="0"/>
          <w:marBottom w:val="0"/>
          <w:divBdr>
            <w:top w:val="none" w:sz="0" w:space="0" w:color="auto"/>
            <w:left w:val="none" w:sz="0" w:space="0" w:color="auto"/>
            <w:bottom w:val="none" w:sz="0" w:space="0" w:color="auto"/>
            <w:right w:val="none" w:sz="0" w:space="0" w:color="auto"/>
          </w:divBdr>
          <w:divsChild>
            <w:div w:id="1289362409">
              <w:marLeft w:val="0"/>
              <w:marRight w:val="0"/>
              <w:marTop w:val="0"/>
              <w:marBottom w:val="0"/>
              <w:divBdr>
                <w:top w:val="none" w:sz="0" w:space="0" w:color="auto"/>
                <w:left w:val="none" w:sz="0" w:space="0" w:color="auto"/>
                <w:bottom w:val="none" w:sz="0" w:space="0" w:color="auto"/>
                <w:right w:val="none" w:sz="0" w:space="0" w:color="auto"/>
              </w:divBdr>
              <w:divsChild>
                <w:div w:id="1709334420">
                  <w:marLeft w:val="0"/>
                  <w:marRight w:val="0"/>
                  <w:marTop w:val="0"/>
                  <w:marBottom w:val="0"/>
                  <w:divBdr>
                    <w:top w:val="none" w:sz="0" w:space="0" w:color="auto"/>
                    <w:left w:val="none" w:sz="0" w:space="0" w:color="auto"/>
                    <w:bottom w:val="none" w:sz="0" w:space="0" w:color="auto"/>
                    <w:right w:val="none" w:sz="0" w:space="0" w:color="auto"/>
                  </w:divBdr>
                  <w:divsChild>
                    <w:div w:id="10366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8243">
      <w:bodyDiv w:val="1"/>
      <w:marLeft w:val="0"/>
      <w:marRight w:val="0"/>
      <w:marTop w:val="0"/>
      <w:marBottom w:val="0"/>
      <w:divBdr>
        <w:top w:val="none" w:sz="0" w:space="0" w:color="auto"/>
        <w:left w:val="none" w:sz="0" w:space="0" w:color="auto"/>
        <w:bottom w:val="none" w:sz="0" w:space="0" w:color="auto"/>
        <w:right w:val="none" w:sz="0" w:space="0" w:color="auto"/>
      </w:divBdr>
      <w:divsChild>
        <w:div w:id="1704866218">
          <w:marLeft w:val="0"/>
          <w:marRight w:val="0"/>
          <w:marTop w:val="0"/>
          <w:marBottom w:val="0"/>
          <w:divBdr>
            <w:top w:val="none" w:sz="0" w:space="0" w:color="auto"/>
            <w:left w:val="none" w:sz="0" w:space="0" w:color="auto"/>
            <w:bottom w:val="none" w:sz="0" w:space="0" w:color="auto"/>
            <w:right w:val="none" w:sz="0" w:space="0" w:color="auto"/>
          </w:divBdr>
          <w:divsChild>
            <w:div w:id="1850437846">
              <w:marLeft w:val="0"/>
              <w:marRight w:val="0"/>
              <w:marTop w:val="0"/>
              <w:marBottom w:val="0"/>
              <w:divBdr>
                <w:top w:val="none" w:sz="0" w:space="0" w:color="auto"/>
                <w:left w:val="none" w:sz="0" w:space="0" w:color="auto"/>
                <w:bottom w:val="none" w:sz="0" w:space="0" w:color="auto"/>
                <w:right w:val="none" w:sz="0" w:space="0" w:color="auto"/>
              </w:divBdr>
              <w:divsChild>
                <w:div w:id="455174601">
                  <w:marLeft w:val="0"/>
                  <w:marRight w:val="0"/>
                  <w:marTop w:val="0"/>
                  <w:marBottom w:val="0"/>
                  <w:divBdr>
                    <w:top w:val="none" w:sz="0" w:space="0" w:color="auto"/>
                    <w:left w:val="none" w:sz="0" w:space="0" w:color="auto"/>
                    <w:bottom w:val="none" w:sz="0" w:space="0" w:color="auto"/>
                    <w:right w:val="none" w:sz="0" w:space="0" w:color="auto"/>
                  </w:divBdr>
                  <w:divsChild>
                    <w:div w:id="7427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89744">
      <w:bodyDiv w:val="1"/>
      <w:marLeft w:val="0"/>
      <w:marRight w:val="0"/>
      <w:marTop w:val="0"/>
      <w:marBottom w:val="0"/>
      <w:divBdr>
        <w:top w:val="none" w:sz="0" w:space="0" w:color="auto"/>
        <w:left w:val="none" w:sz="0" w:space="0" w:color="auto"/>
        <w:bottom w:val="none" w:sz="0" w:space="0" w:color="auto"/>
        <w:right w:val="none" w:sz="0" w:space="0" w:color="auto"/>
      </w:divBdr>
    </w:div>
    <w:div w:id="1719552774">
      <w:bodyDiv w:val="1"/>
      <w:marLeft w:val="0"/>
      <w:marRight w:val="0"/>
      <w:marTop w:val="0"/>
      <w:marBottom w:val="0"/>
      <w:divBdr>
        <w:top w:val="none" w:sz="0" w:space="0" w:color="auto"/>
        <w:left w:val="none" w:sz="0" w:space="0" w:color="auto"/>
        <w:bottom w:val="none" w:sz="0" w:space="0" w:color="auto"/>
        <w:right w:val="none" w:sz="0" w:space="0" w:color="auto"/>
      </w:divBdr>
      <w:divsChild>
        <w:div w:id="1487360459">
          <w:marLeft w:val="0"/>
          <w:marRight w:val="0"/>
          <w:marTop w:val="0"/>
          <w:marBottom w:val="0"/>
          <w:divBdr>
            <w:top w:val="none" w:sz="0" w:space="0" w:color="auto"/>
            <w:left w:val="none" w:sz="0" w:space="0" w:color="auto"/>
            <w:bottom w:val="none" w:sz="0" w:space="0" w:color="auto"/>
            <w:right w:val="none" w:sz="0" w:space="0" w:color="auto"/>
          </w:divBdr>
          <w:divsChild>
            <w:div w:id="1762330276">
              <w:marLeft w:val="0"/>
              <w:marRight w:val="0"/>
              <w:marTop w:val="0"/>
              <w:marBottom w:val="0"/>
              <w:divBdr>
                <w:top w:val="none" w:sz="0" w:space="0" w:color="auto"/>
                <w:left w:val="none" w:sz="0" w:space="0" w:color="auto"/>
                <w:bottom w:val="none" w:sz="0" w:space="0" w:color="auto"/>
                <w:right w:val="none" w:sz="0" w:space="0" w:color="auto"/>
              </w:divBdr>
            </w:div>
          </w:divsChild>
        </w:div>
        <w:div w:id="1588541440">
          <w:marLeft w:val="0"/>
          <w:marRight w:val="0"/>
          <w:marTop w:val="0"/>
          <w:marBottom w:val="0"/>
          <w:divBdr>
            <w:top w:val="none" w:sz="0" w:space="0" w:color="auto"/>
            <w:left w:val="none" w:sz="0" w:space="0" w:color="auto"/>
            <w:bottom w:val="none" w:sz="0" w:space="0" w:color="auto"/>
            <w:right w:val="none" w:sz="0" w:space="0" w:color="auto"/>
          </w:divBdr>
        </w:div>
      </w:divsChild>
    </w:div>
    <w:div w:id="1758214340">
      <w:bodyDiv w:val="1"/>
      <w:marLeft w:val="0"/>
      <w:marRight w:val="0"/>
      <w:marTop w:val="0"/>
      <w:marBottom w:val="0"/>
      <w:divBdr>
        <w:top w:val="none" w:sz="0" w:space="0" w:color="auto"/>
        <w:left w:val="none" w:sz="0" w:space="0" w:color="auto"/>
        <w:bottom w:val="none" w:sz="0" w:space="0" w:color="auto"/>
        <w:right w:val="none" w:sz="0" w:space="0" w:color="auto"/>
      </w:divBdr>
      <w:divsChild>
        <w:div w:id="453136412">
          <w:marLeft w:val="0"/>
          <w:marRight w:val="0"/>
          <w:marTop w:val="150"/>
          <w:marBottom w:val="0"/>
          <w:divBdr>
            <w:top w:val="none" w:sz="0" w:space="0" w:color="auto"/>
            <w:left w:val="none" w:sz="0" w:space="0" w:color="auto"/>
            <w:bottom w:val="none" w:sz="0" w:space="0" w:color="auto"/>
            <w:right w:val="none" w:sz="0" w:space="0" w:color="auto"/>
          </w:divBdr>
        </w:div>
      </w:divsChild>
    </w:div>
    <w:div w:id="1766224579">
      <w:bodyDiv w:val="1"/>
      <w:marLeft w:val="0"/>
      <w:marRight w:val="0"/>
      <w:marTop w:val="0"/>
      <w:marBottom w:val="0"/>
      <w:divBdr>
        <w:top w:val="none" w:sz="0" w:space="0" w:color="auto"/>
        <w:left w:val="none" w:sz="0" w:space="0" w:color="auto"/>
        <w:bottom w:val="none" w:sz="0" w:space="0" w:color="auto"/>
        <w:right w:val="none" w:sz="0" w:space="0" w:color="auto"/>
      </w:divBdr>
      <w:divsChild>
        <w:div w:id="1231159652">
          <w:marLeft w:val="0"/>
          <w:marRight w:val="0"/>
          <w:marTop w:val="150"/>
          <w:marBottom w:val="0"/>
          <w:divBdr>
            <w:top w:val="none" w:sz="0" w:space="0" w:color="auto"/>
            <w:left w:val="none" w:sz="0" w:space="0" w:color="auto"/>
            <w:bottom w:val="none" w:sz="0" w:space="0" w:color="auto"/>
            <w:right w:val="none" w:sz="0" w:space="0" w:color="auto"/>
          </w:divBdr>
        </w:div>
      </w:divsChild>
    </w:div>
    <w:div w:id="1858887147">
      <w:bodyDiv w:val="1"/>
      <w:marLeft w:val="0"/>
      <w:marRight w:val="0"/>
      <w:marTop w:val="0"/>
      <w:marBottom w:val="0"/>
      <w:divBdr>
        <w:top w:val="none" w:sz="0" w:space="0" w:color="auto"/>
        <w:left w:val="none" w:sz="0" w:space="0" w:color="auto"/>
        <w:bottom w:val="none" w:sz="0" w:space="0" w:color="auto"/>
        <w:right w:val="none" w:sz="0" w:space="0" w:color="auto"/>
      </w:divBdr>
      <w:divsChild>
        <w:div w:id="563948780">
          <w:marLeft w:val="0"/>
          <w:marRight w:val="0"/>
          <w:marTop w:val="0"/>
          <w:marBottom w:val="0"/>
          <w:divBdr>
            <w:top w:val="none" w:sz="0" w:space="0" w:color="auto"/>
            <w:left w:val="none" w:sz="0" w:space="0" w:color="auto"/>
            <w:bottom w:val="none" w:sz="0" w:space="0" w:color="auto"/>
            <w:right w:val="none" w:sz="0" w:space="0" w:color="auto"/>
          </w:divBdr>
          <w:divsChild>
            <w:div w:id="84763732">
              <w:marLeft w:val="0"/>
              <w:marRight w:val="0"/>
              <w:marTop w:val="0"/>
              <w:marBottom w:val="0"/>
              <w:divBdr>
                <w:top w:val="none" w:sz="0" w:space="0" w:color="auto"/>
                <w:left w:val="none" w:sz="0" w:space="0" w:color="auto"/>
                <w:bottom w:val="none" w:sz="0" w:space="0" w:color="auto"/>
                <w:right w:val="none" w:sz="0" w:space="0" w:color="auto"/>
              </w:divBdr>
              <w:divsChild>
                <w:div w:id="1718508013">
                  <w:marLeft w:val="0"/>
                  <w:marRight w:val="0"/>
                  <w:marTop w:val="0"/>
                  <w:marBottom w:val="0"/>
                  <w:divBdr>
                    <w:top w:val="none" w:sz="0" w:space="0" w:color="auto"/>
                    <w:left w:val="none" w:sz="0" w:space="0" w:color="auto"/>
                    <w:bottom w:val="none" w:sz="0" w:space="0" w:color="auto"/>
                    <w:right w:val="none" w:sz="0" w:space="0" w:color="auto"/>
                  </w:divBdr>
                  <w:divsChild>
                    <w:div w:id="565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264">
      <w:bodyDiv w:val="1"/>
      <w:marLeft w:val="0"/>
      <w:marRight w:val="0"/>
      <w:marTop w:val="0"/>
      <w:marBottom w:val="0"/>
      <w:divBdr>
        <w:top w:val="none" w:sz="0" w:space="0" w:color="auto"/>
        <w:left w:val="none" w:sz="0" w:space="0" w:color="auto"/>
        <w:bottom w:val="none" w:sz="0" w:space="0" w:color="auto"/>
        <w:right w:val="none" w:sz="0" w:space="0" w:color="auto"/>
      </w:divBdr>
      <w:divsChild>
        <w:div w:id="1769422315">
          <w:marLeft w:val="0"/>
          <w:marRight w:val="0"/>
          <w:marTop w:val="0"/>
          <w:marBottom w:val="0"/>
          <w:divBdr>
            <w:top w:val="none" w:sz="0" w:space="0" w:color="auto"/>
            <w:left w:val="none" w:sz="0" w:space="0" w:color="auto"/>
            <w:bottom w:val="none" w:sz="0" w:space="0" w:color="auto"/>
            <w:right w:val="none" w:sz="0" w:space="0" w:color="auto"/>
          </w:divBdr>
          <w:divsChild>
            <w:div w:id="2100102287">
              <w:marLeft w:val="0"/>
              <w:marRight w:val="0"/>
              <w:marTop w:val="0"/>
              <w:marBottom w:val="0"/>
              <w:divBdr>
                <w:top w:val="none" w:sz="0" w:space="0" w:color="auto"/>
                <w:left w:val="none" w:sz="0" w:space="0" w:color="auto"/>
                <w:bottom w:val="none" w:sz="0" w:space="0" w:color="auto"/>
                <w:right w:val="none" w:sz="0" w:space="0" w:color="auto"/>
              </w:divBdr>
              <w:divsChild>
                <w:div w:id="881402575">
                  <w:marLeft w:val="0"/>
                  <w:marRight w:val="0"/>
                  <w:marTop w:val="0"/>
                  <w:marBottom w:val="0"/>
                  <w:divBdr>
                    <w:top w:val="none" w:sz="0" w:space="0" w:color="auto"/>
                    <w:left w:val="none" w:sz="0" w:space="0" w:color="auto"/>
                    <w:bottom w:val="none" w:sz="0" w:space="0" w:color="auto"/>
                    <w:right w:val="none" w:sz="0" w:space="0" w:color="auto"/>
                  </w:divBdr>
                  <w:divsChild>
                    <w:div w:id="7349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97171">
      <w:bodyDiv w:val="1"/>
      <w:marLeft w:val="0"/>
      <w:marRight w:val="0"/>
      <w:marTop w:val="0"/>
      <w:marBottom w:val="0"/>
      <w:divBdr>
        <w:top w:val="none" w:sz="0" w:space="0" w:color="auto"/>
        <w:left w:val="none" w:sz="0" w:space="0" w:color="auto"/>
        <w:bottom w:val="none" w:sz="0" w:space="0" w:color="auto"/>
        <w:right w:val="none" w:sz="0" w:space="0" w:color="auto"/>
      </w:divBdr>
    </w:div>
    <w:div w:id="2014187765">
      <w:bodyDiv w:val="1"/>
      <w:marLeft w:val="0"/>
      <w:marRight w:val="0"/>
      <w:marTop w:val="0"/>
      <w:marBottom w:val="0"/>
      <w:divBdr>
        <w:top w:val="none" w:sz="0" w:space="0" w:color="auto"/>
        <w:left w:val="none" w:sz="0" w:space="0" w:color="auto"/>
        <w:bottom w:val="none" w:sz="0" w:space="0" w:color="auto"/>
        <w:right w:val="none" w:sz="0" w:space="0" w:color="auto"/>
      </w:divBdr>
    </w:div>
    <w:div w:id="2029526457">
      <w:bodyDiv w:val="1"/>
      <w:marLeft w:val="0"/>
      <w:marRight w:val="0"/>
      <w:marTop w:val="0"/>
      <w:marBottom w:val="0"/>
      <w:divBdr>
        <w:top w:val="none" w:sz="0" w:space="0" w:color="auto"/>
        <w:left w:val="none" w:sz="0" w:space="0" w:color="auto"/>
        <w:bottom w:val="none" w:sz="0" w:space="0" w:color="auto"/>
        <w:right w:val="none" w:sz="0" w:space="0" w:color="auto"/>
      </w:divBdr>
      <w:divsChild>
        <w:div w:id="395588241">
          <w:marLeft w:val="0"/>
          <w:marRight w:val="0"/>
          <w:marTop w:val="0"/>
          <w:marBottom w:val="0"/>
          <w:divBdr>
            <w:top w:val="none" w:sz="0" w:space="0" w:color="auto"/>
            <w:left w:val="none" w:sz="0" w:space="0" w:color="auto"/>
            <w:bottom w:val="none" w:sz="0" w:space="0" w:color="auto"/>
            <w:right w:val="none" w:sz="0" w:space="0" w:color="auto"/>
          </w:divBdr>
          <w:divsChild>
            <w:div w:id="1918519071">
              <w:marLeft w:val="0"/>
              <w:marRight w:val="0"/>
              <w:marTop w:val="0"/>
              <w:marBottom w:val="0"/>
              <w:divBdr>
                <w:top w:val="none" w:sz="0" w:space="0" w:color="auto"/>
                <w:left w:val="none" w:sz="0" w:space="0" w:color="auto"/>
                <w:bottom w:val="none" w:sz="0" w:space="0" w:color="auto"/>
                <w:right w:val="none" w:sz="0" w:space="0" w:color="auto"/>
              </w:divBdr>
              <w:divsChild>
                <w:div w:id="1298031749">
                  <w:marLeft w:val="0"/>
                  <w:marRight w:val="0"/>
                  <w:marTop w:val="0"/>
                  <w:marBottom w:val="0"/>
                  <w:divBdr>
                    <w:top w:val="none" w:sz="0" w:space="0" w:color="auto"/>
                    <w:left w:val="none" w:sz="0" w:space="0" w:color="auto"/>
                    <w:bottom w:val="none" w:sz="0" w:space="0" w:color="auto"/>
                    <w:right w:val="none" w:sz="0" w:space="0" w:color="auto"/>
                  </w:divBdr>
                  <w:divsChild>
                    <w:div w:id="3036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archive.org/details/guideofficieldes00bela/page/128" TargetMode="External"/><Relationship Id="rId26" Type="http://schemas.openxmlformats.org/officeDocument/2006/relationships/hyperlink" Target="https://www.nh.gov/osi/data-center/documents/1830-1920-historic.pdf" TargetMode="External"/><Relationship Id="rId3" Type="http://schemas.openxmlformats.org/officeDocument/2006/relationships/styles" Target="styles.xml"/><Relationship Id="rId21" Type="http://schemas.openxmlformats.org/officeDocument/2006/relationships/hyperlink" Target="https://doi.org/10.7202/030997a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h.gov/osi/data-center/documents/1830-1920-historic.pdf" TargetMode="External"/><Relationship Id="rId25" Type="http://schemas.openxmlformats.org/officeDocument/2006/relationships/hyperlink" Target="https://www.dhs.gov/publication/fiscal-year-1998-statistical-yearbook-immigrant-tables"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scholars.wlu.ca/cmh/vol24/iss1/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rchivistes.qc.ca/revuearchives/vol36_2/36-2_quintal.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institut-strategie.fr/ihcc_eu1gm_Nouilhat.htm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newspapers.com/image/?clipping_id=27669722&amp;fcfToken=eyJhbGciOiJIUzI1NiIsInR5cCI6IkpXVCJ9.eyJmcmVlLXZpZXctaWQiOjQzMDcxNTEzNSwiaWF0IjoxNTY1NTgwMzIwLCJleHAiOjE1NjU2NjY3MjB9.lXwH-480i9wBWD2UzrHUSQu9SxRP5Ftu_2evZU2SzT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slf.gouv.qc.ca/bibliotheque-virtuelle/publication-html/?tx_iggcpplus_pi4%5Bfile%5D=publications/pubd101/d101ch1.html" TargetMode="External"/><Relationship Id="rId27" Type="http://schemas.openxmlformats.org/officeDocument/2006/relationships/hyperlink" Target="http://www.planning.ri.gov/documents/census/popcounts_est/pop_cities_towns_historic_1790-201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h.gov/osi/data-center/documents/1830-1920-historic.pdf" TargetMode="External"/><Relationship Id="rId2" Type="http://schemas.openxmlformats.org/officeDocument/2006/relationships/hyperlink" Target="https://www.dhs.gov/publication/fiscal-year-1998-statistical-yearbook-immigrant-tables" TargetMode="External"/><Relationship Id="rId1" Type="http://schemas.openxmlformats.org/officeDocument/2006/relationships/hyperlink" Target="https://www.dhs.gov/publication/fiscal-year-1998-statistical-yearbook-immigrant-tables" TargetMode="External"/><Relationship Id="rId5" Type="http://schemas.openxmlformats.org/officeDocument/2006/relationships/hyperlink" Target="http://www.planning.ri.gov/documents/census/popcounts_est/pop_cities_towns_historic_1790-2010.pdf" TargetMode="External"/><Relationship Id="rId4" Type="http://schemas.openxmlformats.org/officeDocument/2006/relationships/hyperlink" Target="https://archive.org/search.php?query=creator%3A%22United+States.+Immigration+Commission+%281907-1910%29%22&amp;and%5b%5d=collection%3A%22USGovernmentDocuments%22&amp;sort=creatorSorter&amp;and%5b%5d=creator%3A%22united+states.+immigration+commission+%281907-1910%2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898A-411F-4F5C-AB22-2F0B5116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73</Pages>
  <Words>26452</Words>
  <Characters>150781</Characters>
  <Application>Microsoft Office Word</Application>
  <DocSecurity>0</DocSecurity>
  <Lines>1256</Lines>
  <Paragraphs>353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Dans un cadre contemporain la guerre limitée trouve ses sources au XVIIIe siècle</vt:lpstr>
      <vt:lpstr>Dans un cadre contemporain la guerre limitée trouve ses sources au XVIIIe siècle</vt:lpstr>
    </vt:vector>
  </TitlesOfParts>
  <Company>Royal Military College of Canada</Company>
  <LinksUpToDate>false</LinksUpToDate>
  <CharactersWithSpaces>176880</CharactersWithSpaces>
  <SharedDoc>false</SharedDoc>
  <HLinks>
    <vt:vector size="96" baseType="variant">
      <vt:variant>
        <vt:i4>8192072</vt:i4>
      </vt:variant>
      <vt:variant>
        <vt:i4>33</vt:i4>
      </vt:variant>
      <vt:variant>
        <vt:i4>0</vt:i4>
      </vt:variant>
      <vt:variant>
        <vt:i4>5</vt:i4>
      </vt:variant>
      <vt:variant>
        <vt:lpwstr>http://www.planning.ri.gov/documents/census/popcounts_est/pop_cities_towns_historic_1790-2010.pdf</vt:lpwstr>
      </vt:variant>
      <vt:variant>
        <vt:lpwstr/>
      </vt:variant>
      <vt:variant>
        <vt:i4>7274533</vt:i4>
      </vt:variant>
      <vt:variant>
        <vt:i4>30</vt:i4>
      </vt:variant>
      <vt:variant>
        <vt:i4>0</vt:i4>
      </vt:variant>
      <vt:variant>
        <vt:i4>5</vt:i4>
      </vt:variant>
      <vt:variant>
        <vt:lpwstr>https://www.nh.gov/osi/data-center/documents/1830-1920-historic.pdf</vt:lpwstr>
      </vt:variant>
      <vt:variant>
        <vt:lpwstr/>
      </vt:variant>
      <vt:variant>
        <vt:i4>2162800</vt:i4>
      </vt:variant>
      <vt:variant>
        <vt:i4>27</vt:i4>
      </vt:variant>
      <vt:variant>
        <vt:i4>0</vt:i4>
      </vt:variant>
      <vt:variant>
        <vt:i4>5</vt:i4>
      </vt:variant>
      <vt:variant>
        <vt:lpwstr>https://www.dhs.gov/publication/fiscal-year-1998-statistical-yearbook-immigrant-tables</vt:lpwstr>
      </vt:variant>
      <vt:variant>
        <vt:lpwstr/>
      </vt:variant>
      <vt:variant>
        <vt:i4>65602</vt:i4>
      </vt:variant>
      <vt:variant>
        <vt:i4>24</vt:i4>
      </vt:variant>
      <vt:variant>
        <vt:i4>0</vt:i4>
      </vt:variant>
      <vt:variant>
        <vt:i4>5</vt:i4>
      </vt:variant>
      <vt:variant>
        <vt:lpwstr>http://www.archivistes.qc.ca/revuearchives/vol36_2/36-2_quintal.pdf</vt:lpwstr>
      </vt:variant>
      <vt:variant>
        <vt:lpwstr/>
      </vt:variant>
      <vt:variant>
        <vt:i4>4325386</vt:i4>
      </vt:variant>
      <vt:variant>
        <vt:i4>21</vt:i4>
      </vt:variant>
      <vt:variant>
        <vt:i4>0</vt:i4>
      </vt:variant>
      <vt:variant>
        <vt:i4>5</vt:i4>
      </vt:variant>
      <vt:variant>
        <vt:lpwstr>http://www.institut-strategie.fr/ihcc_eu1gm_Nouilhat.html</vt:lpwstr>
      </vt:variant>
      <vt:variant>
        <vt:lpwstr/>
      </vt:variant>
      <vt:variant>
        <vt:i4>1835091</vt:i4>
      </vt:variant>
      <vt:variant>
        <vt:i4>18</vt:i4>
      </vt:variant>
      <vt:variant>
        <vt:i4>0</vt:i4>
      </vt:variant>
      <vt:variant>
        <vt:i4>5</vt:i4>
      </vt:variant>
      <vt:variant>
        <vt:lpwstr>http://www.cslf.gouv.qc.ca/bibliotheque-virtuelle/publication-html/?tx_iggcpplus_pi4%5Bfile%5D=publications/pubd101/d101ch1.html</vt:lpwstr>
      </vt:variant>
      <vt:variant>
        <vt:lpwstr/>
      </vt:variant>
      <vt:variant>
        <vt:i4>5898242</vt:i4>
      </vt:variant>
      <vt:variant>
        <vt:i4>15</vt:i4>
      </vt:variant>
      <vt:variant>
        <vt:i4>0</vt:i4>
      </vt:variant>
      <vt:variant>
        <vt:i4>5</vt:i4>
      </vt:variant>
      <vt:variant>
        <vt:lpwstr>https://doi.org/10.7202/030997ar</vt:lpwstr>
      </vt:variant>
      <vt:variant>
        <vt:lpwstr/>
      </vt:variant>
      <vt:variant>
        <vt:i4>65624</vt:i4>
      </vt:variant>
      <vt:variant>
        <vt:i4>12</vt:i4>
      </vt:variant>
      <vt:variant>
        <vt:i4>0</vt:i4>
      </vt:variant>
      <vt:variant>
        <vt:i4>5</vt:i4>
      </vt:variant>
      <vt:variant>
        <vt:lpwstr>https://scholars.wlu.ca/cmh/vol24/iss1/24</vt:lpwstr>
      </vt:variant>
      <vt:variant>
        <vt:lpwstr/>
      </vt:variant>
      <vt:variant>
        <vt:i4>786521</vt:i4>
      </vt:variant>
      <vt:variant>
        <vt:i4>9</vt:i4>
      </vt:variant>
      <vt:variant>
        <vt:i4>0</vt:i4>
      </vt:variant>
      <vt:variant>
        <vt:i4>5</vt:i4>
      </vt:variant>
      <vt:variant>
        <vt:lpwstr>https://www.newspapers.com/image/?clipping_id=27669722&amp;fcfToken=eyJhbGciOiJIUzI1NiIsInR5cCI6IkpXVCJ9.eyJmcmVlLXZpZXctaWQiOjQzMDcxNTEzNSwiaWF0IjoxNTY1NTgwMzIwLCJleHAiOjE1NjU2NjY3MjB9.lXwH-480i9wBWD2UzrHUSQu9SxRP5Ftu_2evZU2SzTk</vt:lpwstr>
      </vt:variant>
      <vt:variant>
        <vt:lpwstr/>
      </vt:variant>
      <vt:variant>
        <vt:i4>8257644</vt:i4>
      </vt:variant>
      <vt:variant>
        <vt:i4>6</vt:i4>
      </vt:variant>
      <vt:variant>
        <vt:i4>0</vt:i4>
      </vt:variant>
      <vt:variant>
        <vt:i4>5</vt:i4>
      </vt:variant>
      <vt:variant>
        <vt:lpwstr>https://archive.org/details/guideofficieldes00bela/page/128</vt:lpwstr>
      </vt:variant>
      <vt:variant>
        <vt:lpwstr/>
      </vt:variant>
      <vt:variant>
        <vt:i4>7274533</vt:i4>
      </vt:variant>
      <vt:variant>
        <vt:i4>3</vt:i4>
      </vt:variant>
      <vt:variant>
        <vt:i4>0</vt:i4>
      </vt:variant>
      <vt:variant>
        <vt:i4>5</vt:i4>
      </vt:variant>
      <vt:variant>
        <vt:lpwstr>https://www.nh.gov/osi/data-center/documents/1830-1920-historic.pdf</vt:lpwstr>
      </vt:variant>
      <vt:variant>
        <vt:lpwstr/>
      </vt:variant>
      <vt:variant>
        <vt:i4>8192072</vt:i4>
      </vt:variant>
      <vt:variant>
        <vt:i4>12</vt:i4>
      </vt:variant>
      <vt:variant>
        <vt:i4>0</vt:i4>
      </vt:variant>
      <vt:variant>
        <vt:i4>5</vt:i4>
      </vt:variant>
      <vt:variant>
        <vt:lpwstr>http://www.planning.ri.gov/documents/census/popcounts_est/pop_cities_towns_historic_1790-2010.pdf</vt:lpwstr>
      </vt:variant>
      <vt:variant>
        <vt:lpwstr/>
      </vt:variant>
      <vt:variant>
        <vt:i4>2949179</vt:i4>
      </vt:variant>
      <vt:variant>
        <vt:i4>9</vt:i4>
      </vt:variant>
      <vt:variant>
        <vt:i4>0</vt:i4>
      </vt:variant>
      <vt:variant>
        <vt:i4>5</vt:i4>
      </vt:variant>
      <vt:variant>
        <vt:lpwstr>https://archive.org/search.php?query=creator%3A%22United+States.+Immigration+Commission+%281907-1910%29%22&amp;and%5b%5d=collection%3A%22USGovernmentDocuments%22&amp;sort=creatorSorter&amp;and%5b%5d=creator%3A%22united+states.+immigration+commission+%281907-1910%29%22</vt:lpwstr>
      </vt:variant>
      <vt:variant>
        <vt:lpwstr/>
      </vt:variant>
      <vt:variant>
        <vt:i4>7274533</vt:i4>
      </vt:variant>
      <vt:variant>
        <vt:i4>6</vt:i4>
      </vt:variant>
      <vt:variant>
        <vt:i4>0</vt:i4>
      </vt:variant>
      <vt:variant>
        <vt:i4>5</vt:i4>
      </vt:variant>
      <vt:variant>
        <vt:lpwstr>https://www.nh.gov/osi/data-center/documents/1830-1920-historic.pdf</vt:lpwstr>
      </vt:variant>
      <vt:variant>
        <vt:lpwstr/>
      </vt:variant>
      <vt:variant>
        <vt:i4>2162800</vt:i4>
      </vt:variant>
      <vt:variant>
        <vt:i4>3</vt:i4>
      </vt:variant>
      <vt:variant>
        <vt:i4>0</vt:i4>
      </vt:variant>
      <vt:variant>
        <vt:i4>5</vt:i4>
      </vt:variant>
      <vt:variant>
        <vt:lpwstr>https://www.dhs.gov/publication/fiscal-year-1998-statistical-yearbook-immigrant-tables</vt:lpwstr>
      </vt:variant>
      <vt:variant>
        <vt:lpwstr/>
      </vt:variant>
      <vt:variant>
        <vt:i4>2162800</vt:i4>
      </vt:variant>
      <vt:variant>
        <vt:i4>0</vt:i4>
      </vt:variant>
      <vt:variant>
        <vt:i4>0</vt:i4>
      </vt:variant>
      <vt:variant>
        <vt:i4>5</vt:i4>
      </vt:variant>
      <vt:variant>
        <vt:lpwstr>https://www.dhs.gov/publication/fiscal-year-1998-statistical-yearbook-immigrant-tables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un cadre contemporain la guerre limitée trouve ses sources au XVIIIe siècle</dc:title>
  <dc:subject/>
  <dc:creator>Cote</dc:creator>
  <cp:keywords/>
  <dc:description/>
  <cp:lastModifiedBy>Chantal Corriveau</cp:lastModifiedBy>
  <cp:revision>38</cp:revision>
  <dcterms:created xsi:type="dcterms:W3CDTF">2020-02-21T15:55:00Z</dcterms:created>
  <dcterms:modified xsi:type="dcterms:W3CDTF">2020-03-26T15:52:00Z</dcterms:modified>
</cp:coreProperties>
</file>