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916EA" w14:textId="77777777" w:rsidR="002E23C7" w:rsidRPr="000C6C2E" w:rsidRDefault="008F49A1" w:rsidP="008F49A1">
      <w:pPr>
        <w:jc w:val="center"/>
        <w:rPr>
          <w:rFonts w:cs="Times New Roman"/>
          <w:b/>
          <w:bCs/>
          <w:caps/>
        </w:rPr>
      </w:pPr>
      <w:r w:rsidRPr="000C6C2E">
        <w:rPr>
          <w:rFonts w:cs="Times New Roman"/>
          <w:b/>
          <w:bCs/>
          <w:caps/>
        </w:rPr>
        <w:t>“Fear of a Name Increases Fear of the Thing Itself”</w:t>
      </w:r>
    </w:p>
    <w:p w14:paraId="5BC03F3F" w14:textId="77777777" w:rsidR="002E23C7" w:rsidRPr="000C6C2E" w:rsidRDefault="002E23C7" w:rsidP="008F49A1">
      <w:pPr>
        <w:jc w:val="center"/>
        <w:rPr>
          <w:rFonts w:cs="Times New Roman"/>
          <w:b/>
          <w:bCs/>
          <w:caps/>
        </w:rPr>
      </w:pPr>
    </w:p>
    <w:p w14:paraId="2C2FFB52" w14:textId="198FBBEC" w:rsidR="008F49A1" w:rsidRPr="000C6C2E" w:rsidRDefault="008F49A1" w:rsidP="008F49A1">
      <w:pPr>
        <w:jc w:val="center"/>
        <w:rPr>
          <w:rFonts w:cs="Times New Roman"/>
        </w:rPr>
      </w:pPr>
      <w:r w:rsidRPr="000C6C2E">
        <w:rPr>
          <w:rFonts w:cs="Times New Roman"/>
        </w:rPr>
        <w:t xml:space="preserve">How Media Coverage of Terrorism Allows Terrorists to </w:t>
      </w:r>
      <w:r w:rsidRPr="000C6C2E">
        <w:rPr>
          <w:rFonts w:cs="Times New Roman"/>
          <w:i/>
          <w:iCs/>
        </w:rPr>
        <w:t>Succeed</w:t>
      </w:r>
      <w:r w:rsidRPr="000C6C2E">
        <w:rPr>
          <w:rFonts w:cs="Times New Roman"/>
        </w:rPr>
        <w:t xml:space="preserve"> by Undermining International (State) Legitimacy</w:t>
      </w:r>
    </w:p>
    <w:p w14:paraId="4023B5B4" w14:textId="77777777" w:rsidR="002E23C7" w:rsidRPr="000C6C2E" w:rsidRDefault="002E23C7" w:rsidP="000C6C2E">
      <w:pPr>
        <w:rPr>
          <w:rFonts w:cs="Times New Roman"/>
        </w:rPr>
      </w:pPr>
    </w:p>
    <w:p w14:paraId="252A9160" w14:textId="77777777" w:rsidR="002E23C7" w:rsidRDefault="002E23C7" w:rsidP="008F49A1">
      <w:pPr>
        <w:jc w:val="center"/>
        <w:rPr>
          <w:rFonts w:cs="Times New Roman"/>
        </w:rPr>
      </w:pPr>
    </w:p>
    <w:p w14:paraId="7FB53BDD" w14:textId="77777777" w:rsidR="000C6C2E" w:rsidRDefault="000C6C2E" w:rsidP="008F49A1">
      <w:pPr>
        <w:jc w:val="center"/>
        <w:rPr>
          <w:rFonts w:cs="Times New Roman"/>
        </w:rPr>
      </w:pPr>
    </w:p>
    <w:p w14:paraId="68519B9F" w14:textId="77777777" w:rsidR="000C6C2E" w:rsidRPr="000C6C2E" w:rsidRDefault="000C6C2E" w:rsidP="008F49A1">
      <w:pPr>
        <w:jc w:val="center"/>
        <w:rPr>
          <w:rFonts w:cs="Times New Roman"/>
        </w:rPr>
      </w:pPr>
    </w:p>
    <w:p w14:paraId="60EBEC60" w14:textId="77777777" w:rsidR="009276FA" w:rsidRPr="009276FA" w:rsidRDefault="009276FA" w:rsidP="009276FA">
      <w:pPr>
        <w:jc w:val="center"/>
        <w:rPr>
          <w:rFonts w:cs="Times New Roman (Body CS)"/>
          <w:b/>
          <w:bCs/>
          <w:i/>
          <w:iCs/>
          <w:caps/>
          <w:lang w:val="fr-CA"/>
        </w:rPr>
      </w:pPr>
      <w:r w:rsidRPr="009276FA">
        <w:rPr>
          <w:rFonts w:cs="Times New Roman (Body CS)"/>
          <w:b/>
          <w:bCs/>
          <w:i/>
          <w:iCs/>
          <w:caps/>
          <w:lang w:val="fr-CA"/>
        </w:rPr>
        <w:t>“La peur d'un nom ne fait qu'accroître la peur de la chose elle-même”</w:t>
      </w:r>
    </w:p>
    <w:p w14:paraId="14390DD1" w14:textId="77334D86" w:rsidR="002E23C7" w:rsidRPr="000C6C2E" w:rsidRDefault="002E23C7" w:rsidP="0099245F">
      <w:pPr>
        <w:pStyle w:val="NormalWeb"/>
        <w:shd w:val="clear" w:color="auto" w:fill="FFFFFF"/>
        <w:jc w:val="center"/>
        <w:rPr>
          <w:i/>
          <w:iCs/>
        </w:rPr>
      </w:pPr>
      <w:r w:rsidRPr="000C6C2E">
        <w:rPr>
          <w:i/>
          <w:iCs/>
        </w:rPr>
        <w:t xml:space="preserve">Comment la couverture </w:t>
      </w:r>
      <w:proofErr w:type="spellStart"/>
      <w:r w:rsidRPr="000C6C2E">
        <w:rPr>
          <w:i/>
          <w:iCs/>
        </w:rPr>
        <w:t>médiatique</w:t>
      </w:r>
      <w:proofErr w:type="spellEnd"/>
      <w:r w:rsidRPr="000C6C2E">
        <w:rPr>
          <w:i/>
          <w:iCs/>
        </w:rPr>
        <w:t xml:space="preserve"> du </w:t>
      </w:r>
      <w:proofErr w:type="spellStart"/>
      <w:r w:rsidRPr="000C6C2E">
        <w:rPr>
          <w:i/>
          <w:iCs/>
        </w:rPr>
        <w:t>terrorisme</w:t>
      </w:r>
      <w:proofErr w:type="spellEnd"/>
      <w:r w:rsidRPr="000C6C2E">
        <w:rPr>
          <w:i/>
          <w:iCs/>
        </w:rPr>
        <w:t xml:space="preserve"> </w:t>
      </w:r>
      <w:proofErr w:type="spellStart"/>
      <w:r w:rsidRPr="000C6C2E">
        <w:rPr>
          <w:i/>
          <w:iCs/>
        </w:rPr>
        <w:t>facilite</w:t>
      </w:r>
      <w:proofErr w:type="spellEnd"/>
      <w:r w:rsidRPr="000C6C2E">
        <w:rPr>
          <w:i/>
          <w:iCs/>
        </w:rPr>
        <w:t xml:space="preserve"> le succès du </w:t>
      </w:r>
      <w:proofErr w:type="spellStart"/>
      <w:r w:rsidRPr="000C6C2E">
        <w:rPr>
          <w:i/>
          <w:iCs/>
        </w:rPr>
        <w:t>terrorisme</w:t>
      </w:r>
      <w:proofErr w:type="spellEnd"/>
      <w:r w:rsidRPr="000C6C2E">
        <w:rPr>
          <w:i/>
          <w:iCs/>
        </w:rPr>
        <w:t xml:space="preserve"> </w:t>
      </w:r>
      <w:proofErr w:type="spellStart"/>
      <w:r w:rsidRPr="000C6C2E">
        <w:rPr>
          <w:i/>
          <w:iCs/>
        </w:rPr>
        <w:t>en</w:t>
      </w:r>
      <w:proofErr w:type="spellEnd"/>
      <w:r w:rsidRPr="000C6C2E">
        <w:rPr>
          <w:i/>
          <w:iCs/>
        </w:rPr>
        <w:t xml:space="preserve"> </w:t>
      </w:r>
      <w:proofErr w:type="spellStart"/>
      <w:r w:rsidRPr="000C6C2E">
        <w:rPr>
          <w:i/>
          <w:iCs/>
        </w:rPr>
        <w:t>sapant</w:t>
      </w:r>
      <w:proofErr w:type="spellEnd"/>
      <w:r w:rsidRPr="000C6C2E">
        <w:rPr>
          <w:i/>
          <w:iCs/>
        </w:rPr>
        <w:t xml:space="preserve"> la </w:t>
      </w:r>
      <w:proofErr w:type="spellStart"/>
      <w:r w:rsidRPr="000C6C2E">
        <w:rPr>
          <w:i/>
          <w:iCs/>
        </w:rPr>
        <w:t>légitimité</w:t>
      </w:r>
      <w:proofErr w:type="spellEnd"/>
      <w:r w:rsidRPr="000C6C2E">
        <w:rPr>
          <w:i/>
          <w:iCs/>
        </w:rPr>
        <w:t xml:space="preserve"> </w:t>
      </w:r>
      <w:proofErr w:type="spellStart"/>
      <w:r w:rsidRPr="000C6C2E">
        <w:rPr>
          <w:i/>
          <w:iCs/>
        </w:rPr>
        <w:t>internationale</w:t>
      </w:r>
      <w:proofErr w:type="spellEnd"/>
      <w:r w:rsidRPr="000C6C2E">
        <w:rPr>
          <w:i/>
          <w:iCs/>
        </w:rPr>
        <w:t xml:space="preserve"> de </w:t>
      </w:r>
      <w:proofErr w:type="spellStart"/>
      <w:r w:rsidRPr="000C6C2E">
        <w:rPr>
          <w:i/>
          <w:iCs/>
        </w:rPr>
        <w:t>l'État</w:t>
      </w:r>
      <w:proofErr w:type="spellEnd"/>
    </w:p>
    <w:p w14:paraId="10B3FC38" w14:textId="77777777" w:rsidR="002E23C7" w:rsidRPr="000C6C2E" w:rsidRDefault="002E23C7" w:rsidP="008F49A1">
      <w:pPr>
        <w:jc w:val="center"/>
        <w:rPr>
          <w:rFonts w:cs="Times New Roman"/>
          <w:b/>
          <w:bCs/>
        </w:rPr>
      </w:pPr>
    </w:p>
    <w:p w14:paraId="14D162EA" w14:textId="77777777" w:rsidR="002E23C7" w:rsidRPr="000C6C2E" w:rsidRDefault="002E23C7" w:rsidP="008F49A1">
      <w:pPr>
        <w:jc w:val="center"/>
        <w:rPr>
          <w:rFonts w:cs="Times New Roman"/>
          <w:b/>
          <w:bCs/>
        </w:rPr>
      </w:pPr>
    </w:p>
    <w:p w14:paraId="212EA2BF" w14:textId="77777777" w:rsidR="002E23C7" w:rsidRPr="000C6C2E" w:rsidRDefault="002E23C7" w:rsidP="008F49A1">
      <w:pPr>
        <w:jc w:val="center"/>
        <w:rPr>
          <w:rFonts w:cs="Times New Roman"/>
          <w:b/>
          <w:bCs/>
        </w:rPr>
      </w:pPr>
    </w:p>
    <w:p w14:paraId="76A4D428" w14:textId="77777777" w:rsidR="002E23C7" w:rsidRPr="000C6C2E" w:rsidRDefault="002E23C7" w:rsidP="008F49A1">
      <w:pPr>
        <w:jc w:val="center"/>
        <w:rPr>
          <w:rFonts w:cs="Times New Roman"/>
          <w:b/>
          <w:bCs/>
        </w:rPr>
      </w:pPr>
    </w:p>
    <w:p w14:paraId="47F9694D" w14:textId="77777777" w:rsidR="002E23C7" w:rsidRDefault="002E23C7" w:rsidP="008F49A1">
      <w:pPr>
        <w:jc w:val="center"/>
        <w:rPr>
          <w:rFonts w:cs="Times New Roman"/>
          <w:b/>
          <w:bCs/>
        </w:rPr>
      </w:pPr>
    </w:p>
    <w:p w14:paraId="1809C9FA" w14:textId="77777777" w:rsidR="000C6C2E" w:rsidRPr="000C6C2E" w:rsidRDefault="000C6C2E" w:rsidP="008F49A1">
      <w:pPr>
        <w:jc w:val="center"/>
        <w:rPr>
          <w:rFonts w:cs="Times New Roman"/>
          <w:b/>
          <w:bCs/>
        </w:rPr>
      </w:pPr>
    </w:p>
    <w:p w14:paraId="02CEB170" w14:textId="6EEDB5E5" w:rsidR="002E23C7" w:rsidRPr="000C6C2E" w:rsidRDefault="000C6C2E" w:rsidP="000C6C2E">
      <w:pPr>
        <w:jc w:val="center"/>
        <w:rPr>
          <w:rFonts w:cs="Times New Roman"/>
        </w:rPr>
      </w:pPr>
      <w:r w:rsidRPr="000C6C2E">
        <w:rPr>
          <w:rFonts w:cs="Times New Roman"/>
          <w:color w:val="333333"/>
          <w:shd w:val="clear" w:color="auto" w:fill="FFFFFF"/>
        </w:rPr>
        <w:t>A Thesis Submitted to the Division of Graduate Studies</w:t>
      </w:r>
      <w:r w:rsidRPr="000C6C2E">
        <w:rPr>
          <w:rFonts w:cs="Times New Roman"/>
          <w:color w:val="333333"/>
        </w:rPr>
        <w:br/>
      </w:r>
      <w:r w:rsidRPr="000C6C2E">
        <w:rPr>
          <w:rFonts w:cs="Times New Roman"/>
          <w:color w:val="333333"/>
          <w:shd w:val="clear" w:color="auto" w:fill="FFFFFF"/>
        </w:rPr>
        <w:t>of the Royal Military College of Canada</w:t>
      </w:r>
      <w:r w:rsidRPr="000C6C2E">
        <w:rPr>
          <w:rFonts w:cs="Times New Roman"/>
          <w:color w:val="333333"/>
        </w:rPr>
        <w:br/>
      </w:r>
      <w:r w:rsidRPr="000C6C2E">
        <w:rPr>
          <w:rFonts w:cs="Times New Roman"/>
          <w:color w:val="333333"/>
          <w:shd w:val="clear" w:color="auto" w:fill="FFFFFF"/>
        </w:rPr>
        <w:t>by</w:t>
      </w:r>
    </w:p>
    <w:p w14:paraId="0FA47828" w14:textId="77777777" w:rsidR="008F49A1" w:rsidRPr="000C6C2E" w:rsidRDefault="008F49A1" w:rsidP="008F49A1">
      <w:pPr>
        <w:jc w:val="center"/>
        <w:rPr>
          <w:rFonts w:cs="Times New Roman"/>
        </w:rPr>
      </w:pPr>
    </w:p>
    <w:p w14:paraId="33A25D0A" w14:textId="77777777" w:rsidR="008F49A1" w:rsidRDefault="008F49A1" w:rsidP="008F49A1">
      <w:pPr>
        <w:jc w:val="center"/>
        <w:rPr>
          <w:rFonts w:cs="Times New Roman"/>
        </w:rPr>
      </w:pPr>
    </w:p>
    <w:p w14:paraId="3BDB84D2" w14:textId="77777777" w:rsidR="000C6C2E" w:rsidRPr="000C6C2E" w:rsidRDefault="000C6C2E" w:rsidP="008F49A1">
      <w:pPr>
        <w:jc w:val="center"/>
        <w:rPr>
          <w:rFonts w:cs="Times New Roman"/>
        </w:rPr>
      </w:pPr>
    </w:p>
    <w:p w14:paraId="76D81F8C" w14:textId="6DEC3DF8" w:rsidR="008F49A1" w:rsidRPr="000C6C2E" w:rsidRDefault="008F49A1" w:rsidP="008F49A1">
      <w:pPr>
        <w:jc w:val="center"/>
        <w:rPr>
          <w:rFonts w:cs="Times New Roman"/>
        </w:rPr>
      </w:pPr>
      <w:r w:rsidRPr="000C6C2E">
        <w:rPr>
          <w:rFonts w:cs="Times New Roman"/>
        </w:rPr>
        <w:t xml:space="preserve">Eliana </w:t>
      </w:r>
      <w:r w:rsidR="000C6C2E">
        <w:rPr>
          <w:rFonts w:cs="Times New Roman"/>
        </w:rPr>
        <w:t>A</w:t>
      </w:r>
      <w:r w:rsidRPr="000C6C2E">
        <w:rPr>
          <w:rFonts w:cs="Times New Roman"/>
        </w:rPr>
        <w:t xml:space="preserve"> Glogauer</w:t>
      </w:r>
      <w:r w:rsidR="002E23C7" w:rsidRPr="000C6C2E">
        <w:rPr>
          <w:rFonts w:cs="Times New Roman"/>
        </w:rPr>
        <w:t>, BA, MA</w:t>
      </w:r>
    </w:p>
    <w:p w14:paraId="52428CEE" w14:textId="77777777" w:rsidR="002E23C7" w:rsidRPr="000C6C2E" w:rsidRDefault="002E23C7" w:rsidP="002E23C7">
      <w:pPr>
        <w:rPr>
          <w:rFonts w:cs="Times New Roman"/>
        </w:rPr>
      </w:pPr>
    </w:p>
    <w:p w14:paraId="5CA6E7BA" w14:textId="77777777" w:rsidR="002E23C7" w:rsidRDefault="002E23C7" w:rsidP="002E23C7">
      <w:pPr>
        <w:rPr>
          <w:rFonts w:cs="Times New Roman"/>
        </w:rPr>
      </w:pPr>
    </w:p>
    <w:p w14:paraId="4D9D0D24" w14:textId="77777777" w:rsidR="000C6C2E" w:rsidRPr="000C6C2E" w:rsidRDefault="000C6C2E" w:rsidP="002E23C7">
      <w:pPr>
        <w:rPr>
          <w:rFonts w:cs="Times New Roman"/>
        </w:rPr>
      </w:pPr>
    </w:p>
    <w:p w14:paraId="20F8500E" w14:textId="73B77688" w:rsidR="000C6C2E" w:rsidRDefault="000C6C2E" w:rsidP="001E1F62">
      <w:pPr>
        <w:jc w:val="center"/>
        <w:rPr>
          <w:rFonts w:cs="Times New Roman"/>
        </w:rPr>
      </w:pPr>
      <w:r w:rsidRPr="000C6C2E">
        <w:rPr>
          <w:rFonts w:cs="Times New Roman"/>
          <w:color w:val="333333"/>
          <w:shd w:val="clear" w:color="auto" w:fill="FFFFFF"/>
        </w:rPr>
        <w:t>In Partial Fulfillment of the Requirements for the Degree of</w:t>
      </w:r>
      <w:r w:rsidRPr="000C6C2E">
        <w:rPr>
          <w:rFonts w:cs="Times New Roman"/>
          <w:color w:val="333333"/>
        </w:rPr>
        <w:br/>
      </w:r>
      <w:r w:rsidRPr="000C6C2E">
        <w:rPr>
          <w:rFonts w:cs="Times New Roman"/>
          <w:color w:val="333333"/>
          <w:shd w:val="clear" w:color="auto" w:fill="FFFFFF"/>
        </w:rPr>
        <w:t>Doctor of Philosoph</w:t>
      </w:r>
      <w:r w:rsidR="001E1F62">
        <w:rPr>
          <w:rFonts w:cs="Times New Roman"/>
          <w:color w:val="333333"/>
          <w:shd w:val="clear" w:color="auto" w:fill="FFFFFF"/>
        </w:rPr>
        <w:t>y</w:t>
      </w:r>
    </w:p>
    <w:p w14:paraId="08DCA5F6" w14:textId="77777777" w:rsidR="000C6C2E" w:rsidRDefault="000C6C2E" w:rsidP="002E23C7">
      <w:pPr>
        <w:jc w:val="center"/>
        <w:rPr>
          <w:rFonts w:cs="Times New Roman"/>
        </w:rPr>
      </w:pPr>
    </w:p>
    <w:p w14:paraId="6A92E285" w14:textId="77777777" w:rsidR="000C6C2E" w:rsidRPr="000C6C2E" w:rsidRDefault="000C6C2E" w:rsidP="002E23C7">
      <w:pPr>
        <w:jc w:val="center"/>
        <w:rPr>
          <w:rFonts w:cs="Times New Roman"/>
        </w:rPr>
      </w:pPr>
    </w:p>
    <w:p w14:paraId="44015859" w14:textId="77777777" w:rsidR="008F49A1" w:rsidRPr="000C6C2E" w:rsidRDefault="008F49A1" w:rsidP="008F49A1">
      <w:pPr>
        <w:jc w:val="center"/>
        <w:rPr>
          <w:rFonts w:cs="Times New Roman"/>
        </w:rPr>
      </w:pPr>
    </w:p>
    <w:p w14:paraId="62E2DA8C" w14:textId="37794DBA" w:rsidR="008F49A1" w:rsidRPr="000C6C2E" w:rsidRDefault="002E23C7" w:rsidP="001E1F62">
      <w:pPr>
        <w:jc w:val="center"/>
        <w:rPr>
          <w:rFonts w:cs="Times New Roman"/>
        </w:rPr>
      </w:pPr>
      <w:r w:rsidRPr="000C6C2E">
        <w:rPr>
          <w:rFonts w:cs="Times New Roman"/>
        </w:rPr>
        <w:t>Ju</w:t>
      </w:r>
      <w:r w:rsidR="00915269">
        <w:rPr>
          <w:rFonts w:cs="Times New Roman"/>
        </w:rPr>
        <w:t>ly</w:t>
      </w:r>
      <w:r w:rsidRPr="000C6C2E">
        <w:rPr>
          <w:rFonts w:cs="Times New Roman"/>
        </w:rPr>
        <w:t xml:space="preserve"> </w:t>
      </w:r>
      <w:r w:rsidR="008F49A1" w:rsidRPr="000C6C2E">
        <w:rPr>
          <w:rFonts w:cs="Times New Roman"/>
        </w:rPr>
        <w:t>2024</w:t>
      </w:r>
    </w:p>
    <w:p w14:paraId="72B2CB46" w14:textId="686E9332" w:rsidR="002E4DC0" w:rsidRPr="00D73500" w:rsidRDefault="00B32CD1">
      <w:pPr>
        <w:rPr>
          <w:rFonts w:cs="Times New Roman"/>
          <w:color w:val="333333"/>
          <w:shd w:val="clear" w:color="auto" w:fill="FFFFFF"/>
        </w:rPr>
      </w:pPr>
      <w:r w:rsidRPr="000C6C2E">
        <w:rPr>
          <w:rFonts w:cs="Times New Roman"/>
          <w:color w:val="333333"/>
          <w:shd w:val="clear" w:color="auto" w:fill="FFFFFF"/>
        </w:rPr>
        <w:t>©This thesis may be used within the Department of National Defence but copyright for open publication remains the property of the author.</w:t>
      </w:r>
      <w:r w:rsidR="008F49A1">
        <w:rPr>
          <w:rFonts w:cs="Times New Roman"/>
        </w:rPr>
        <w:br w:type="page"/>
      </w:r>
    </w:p>
    <w:p w14:paraId="4DB2D6D8" w14:textId="4D6D9835" w:rsidR="00570D78" w:rsidRPr="007D152C" w:rsidRDefault="00570D78" w:rsidP="00570D78">
      <w:pPr>
        <w:jc w:val="center"/>
        <w:rPr>
          <w:rFonts w:cs="Times New Roman"/>
          <w:szCs w:val="22"/>
        </w:rPr>
      </w:pPr>
      <w:r w:rsidRPr="007D152C">
        <w:rPr>
          <w:rFonts w:cs="Times New Roman"/>
          <w:szCs w:val="22"/>
        </w:rPr>
        <w:lastRenderedPageBreak/>
        <w:t>This dissertation is dedicated to my father, Dr. Michael Glogauer.</w:t>
      </w:r>
    </w:p>
    <w:p w14:paraId="60E90105" w14:textId="77777777" w:rsidR="00570D78" w:rsidRPr="007D152C" w:rsidRDefault="00570D78" w:rsidP="00570D78">
      <w:pPr>
        <w:jc w:val="center"/>
        <w:rPr>
          <w:rFonts w:cs="Times New Roman"/>
          <w:szCs w:val="22"/>
        </w:rPr>
      </w:pPr>
    </w:p>
    <w:p w14:paraId="65D913E0" w14:textId="77777777" w:rsidR="00570D78" w:rsidRPr="007D152C" w:rsidRDefault="00570D78" w:rsidP="00570D78">
      <w:pPr>
        <w:jc w:val="center"/>
        <w:rPr>
          <w:rFonts w:cs="Times New Roman"/>
          <w:szCs w:val="22"/>
        </w:rPr>
      </w:pPr>
      <w:r w:rsidRPr="007D152C">
        <w:rPr>
          <w:rFonts w:cs="Times New Roman"/>
          <w:szCs w:val="22"/>
        </w:rPr>
        <w:t xml:space="preserve">Dad, you are the hardest-working person that I know. The example that you set has taught me that if you try hard enough, anything </w:t>
      </w:r>
      <w:r w:rsidRPr="007D152C">
        <w:rPr>
          <w:rFonts w:cs="Times New Roman"/>
          <w:i/>
          <w:iCs/>
          <w:szCs w:val="22"/>
        </w:rPr>
        <w:t>is</w:t>
      </w:r>
      <w:r w:rsidRPr="007D152C">
        <w:rPr>
          <w:rFonts w:cs="Times New Roman"/>
          <w:szCs w:val="22"/>
        </w:rPr>
        <w:t xml:space="preserve"> possible. Thank you for believing in my ability to complete this degree. Most importantly, thank you for giving me the push that I needed at the beginning of my final year of study – the conversation that we had in August 2023 is ultimately the reason that I was able to persevere and finish this dissertation.</w:t>
      </w:r>
    </w:p>
    <w:p w14:paraId="53DC6A44" w14:textId="77777777" w:rsidR="00570D78" w:rsidRPr="007D152C" w:rsidRDefault="00570D78" w:rsidP="00570D78">
      <w:pPr>
        <w:jc w:val="center"/>
        <w:rPr>
          <w:rFonts w:cs="Times New Roman"/>
          <w:szCs w:val="22"/>
        </w:rPr>
      </w:pPr>
    </w:p>
    <w:p w14:paraId="49E59023" w14:textId="77777777" w:rsidR="00570D78" w:rsidRPr="007D152C" w:rsidRDefault="00570D78" w:rsidP="00570D78">
      <w:pPr>
        <w:jc w:val="center"/>
        <w:rPr>
          <w:rFonts w:cs="Times New Roman"/>
          <w:szCs w:val="22"/>
        </w:rPr>
      </w:pPr>
      <w:r w:rsidRPr="007D152C">
        <w:rPr>
          <w:rFonts w:cs="Times New Roman"/>
          <w:szCs w:val="22"/>
        </w:rPr>
        <w:t>I could never have made this happen without you to look up to.</w:t>
      </w:r>
    </w:p>
    <w:p w14:paraId="6EEAC63A" w14:textId="2555C148" w:rsidR="00870D5B" w:rsidRDefault="00870D5B">
      <w:pPr>
        <w:spacing w:before="0" w:after="0"/>
        <w:rPr>
          <w:rFonts w:eastAsia="Times New Roman" w:cs="Times New Roman"/>
          <w:b/>
          <w:bCs/>
        </w:rPr>
      </w:pPr>
      <w:r>
        <w:rPr>
          <w:rFonts w:eastAsia="Times New Roman" w:cs="Times New Roman"/>
          <w:b/>
          <w:bCs/>
        </w:rPr>
        <w:br w:type="page"/>
      </w:r>
    </w:p>
    <w:p w14:paraId="685F27E0" w14:textId="6841A8D7" w:rsidR="00870D5B" w:rsidRPr="00870D5B" w:rsidRDefault="00870D5B" w:rsidP="00870D5B">
      <w:pPr>
        <w:pStyle w:val="DissertationChapterName"/>
        <w:rPr>
          <w:szCs w:val="22"/>
        </w:rPr>
      </w:pPr>
      <w:bookmarkStart w:id="0" w:name="_Toc175413105"/>
      <w:r w:rsidRPr="00870D5B">
        <w:rPr>
          <w:szCs w:val="22"/>
        </w:rPr>
        <w:lastRenderedPageBreak/>
        <w:t>Acknowledgements</w:t>
      </w:r>
      <w:bookmarkEnd w:id="0"/>
    </w:p>
    <w:p w14:paraId="59E450FA" w14:textId="77777777" w:rsidR="00870D5B" w:rsidRPr="00870D5B" w:rsidRDefault="00870D5B" w:rsidP="00870D5B">
      <w:pPr>
        <w:pStyle w:val="DissertationChapterName"/>
        <w:rPr>
          <w:szCs w:val="22"/>
        </w:rPr>
      </w:pPr>
    </w:p>
    <w:p w14:paraId="1D226E48" w14:textId="27037C3C" w:rsidR="00870D5B" w:rsidRPr="00870D5B" w:rsidRDefault="00870D5B" w:rsidP="00870D5B">
      <w:pPr>
        <w:ind w:firstLine="720"/>
        <w:rPr>
          <w:rFonts w:cs="Times New Roman"/>
          <w:szCs w:val="22"/>
        </w:rPr>
      </w:pPr>
      <w:r w:rsidRPr="00880AD8">
        <w:rPr>
          <w:rFonts w:cs="Times New Roman"/>
          <w:szCs w:val="22"/>
        </w:rPr>
        <w:t>“It takes a village.”</w:t>
      </w:r>
      <w:r w:rsidRPr="00870D5B">
        <w:rPr>
          <w:rFonts w:cs="Times New Roman"/>
          <w:szCs w:val="22"/>
        </w:rPr>
        <w:t xml:space="preserve"> While this saying usually comes up when talking about raising children (the </w:t>
      </w:r>
      <w:r w:rsidRPr="00870D5B">
        <w:rPr>
          <w:rFonts w:cs="Times New Roman"/>
          <w:i/>
          <w:iCs/>
          <w:szCs w:val="22"/>
        </w:rPr>
        <w:t>other</w:t>
      </w:r>
      <w:r w:rsidRPr="00870D5B">
        <w:rPr>
          <w:rFonts w:cs="Times New Roman"/>
          <w:szCs w:val="22"/>
        </w:rPr>
        <w:t xml:space="preserve"> project that defined my life over the last four years of the eight years that it took to complete this degree), it is more than appropriate to use it here, as I reflect on completing (!) this dissertation. I am incredibly fortunate to have benefited from the support of so many of my colleagues, friends and family over the last eight years, and I would be remiss if I did not recognize at least some of their specific contributions to my academic journey.</w:t>
      </w:r>
    </w:p>
    <w:p w14:paraId="4F2600BE" w14:textId="3419ADD2" w:rsidR="00870D5B" w:rsidRPr="00870D5B" w:rsidRDefault="00870D5B" w:rsidP="00870D5B">
      <w:pPr>
        <w:ind w:firstLine="720"/>
        <w:rPr>
          <w:rFonts w:cs="Times New Roman"/>
          <w:szCs w:val="22"/>
        </w:rPr>
      </w:pPr>
      <w:r w:rsidRPr="00870D5B">
        <w:rPr>
          <w:rFonts w:cs="Times New Roman"/>
          <w:szCs w:val="22"/>
        </w:rPr>
        <w:t>First and foremost, I need to thank my alma matter, the IDC (Interdisciplinary Center) Herzliya</w:t>
      </w:r>
      <w:r w:rsidR="0088526D">
        <w:rPr>
          <w:rFonts w:cs="Times New Roman"/>
          <w:szCs w:val="22"/>
        </w:rPr>
        <w:t xml:space="preserve"> (now Reichman University)</w:t>
      </w:r>
      <w:r w:rsidRPr="00870D5B">
        <w:rPr>
          <w:rFonts w:cs="Times New Roman"/>
          <w:szCs w:val="22"/>
        </w:rPr>
        <w:t xml:space="preserve">, for forgetting to revoke my access to online academic resources until I managed to complete the first draft of this dissertation. </w:t>
      </w:r>
    </w:p>
    <w:p w14:paraId="509F9E06" w14:textId="66276E54" w:rsidR="00870D5B" w:rsidRPr="00870D5B" w:rsidRDefault="00870D5B" w:rsidP="00870D5B">
      <w:pPr>
        <w:rPr>
          <w:rFonts w:cs="Times New Roman"/>
          <w:szCs w:val="22"/>
        </w:rPr>
      </w:pPr>
      <w:r w:rsidRPr="00870D5B">
        <w:rPr>
          <w:rFonts w:cs="Times New Roman"/>
          <w:szCs w:val="22"/>
        </w:rPr>
        <w:t>Now, to mention some specific individuals:</w:t>
      </w:r>
    </w:p>
    <w:p w14:paraId="7F4EED74" w14:textId="11C07186" w:rsidR="00870D5B" w:rsidRPr="00870D5B" w:rsidRDefault="00870D5B" w:rsidP="00870D5B">
      <w:pPr>
        <w:ind w:firstLine="720"/>
        <w:rPr>
          <w:rFonts w:cs="Times New Roman"/>
          <w:szCs w:val="22"/>
        </w:rPr>
      </w:pPr>
      <w:r w:rsidRPr="00870D5B">
        <w:rPr>
          <w:rFonts w:cs="Times New Roman"/>
          <w:szCs w:val="22"/>
        </w:rPr>
        <w:t xml:space="preserve">This endeavor would not have been possible without </w:t>
      </w:r>
      <w:r w:rsidRPr="00870D5B">
        <w:rPr>
          <w:rFonts w:cs="Times New Roman"/>
          <w:b/>
          <w:bCs/>
          <w:szCs w:val="22"/>
        </w:rPr>
        <w:t>Dr. Barbara J. Falk</w:t>
      </w:r>
      <w:r w:rsidRPr="00870D5B">
        <w:rPr>
          <w:rFonts w:cs="Times New Roman"/>
          <w:szCs w:val="22"/>
        </w:rPr>
        <w:t xml:space="preserve">, who signed on to be my primary supervisor even before I formally began my doctoral studies in 2016. Dr. Falk has simultaneously been both the strongest supporter and sharpest critic of my work on this project. This is a better project than I ever dreamed that I could produce </w:t>
      </w:r>
      <w:r w:rsidRPr="00870D5B">
        <w:rPr>
          <w:rFonts w:cs="Times New Roman"/>
          <w:i/>
          <w:iCs/>
          <w:szCs w:val="22"/>
        </w:rPr>
        <w:t>because</w:t>
      </w:r>
      <w:r w:rsidRPr="00870D5B">
        <w:rPr>
          <w:rFonts w:cs="Times New Roman"/>
          <w:szCs w:val="22"/>
        </w:rPr>
        <w:t xml:space="preserve"> of Dr. Falk. Most importantly, I would not be the academic I am today without her continued insistence that I strive for better, more fulsome analysis, and more concise, exacting language in writing this dissertation.</w:t>
      </w:r>
    </w:p>
    <w:p w14:paraId="02450BE1" w14:textId="1ECFCF77" w:rsidR="00870D5B" w:rsidRPr="00870D5B" w:rsidRDefault="00870D5B" w:rsidP="00870D5B">
      <w:pPr>
        <w:ind w:firstLine="720"/>
        <w:rPr>
          <w:rFonts w:cs="Times New Roman"/>
          <w:szCs w:val="22"/>
        </w:rPr>
      </w:pPr>
      <w:r w:rsidRPr="00870D5B">
        <w:rPr>
          <w:rFonts w:cs="Times New Roman"/>
          <w:szCs w:val="22"/>
        </w:rPr>
        <w:t xml:space="preserve">This dissertation also benefited greatly from the valuable advice, suggestions and constructive criticism provided by </w:t>
      </w:r>
      <w:r w:rsidRPr="00870D5B">
        <w:rPr>
          <w:rFonts w:cs="Times New Roman"/>
          <w:b/>
          <w:bCs/>
          <w:szCs w:val="22"/>
        </w:rPr>
        <w:t>Dr. Geoff Pond</w:t>
      </w:r>
      <w:r w:rsidRPr="00870D5B">
        <w:rPr>
          <w:rFonts w:cs="Times New Roman"/>
          <w:szCs w:val="22"/>
        </w:rPr>
        <w:t>, whose contribution to this dissertation cannot be overstated. He jumped in last September – an eleventh-hour addition to my supervisory committee – and spent countless hours shepherding me through checking, re-checking and finalizing the quantitative portions of this research on an accelerated timeline. Dr. Pond’s superhuman patience and relentless encouragement through the last year of my doctoral studies got me through the final hurdles to complete this dissertation. I never could have done it without him.</w:t>
      </w:r>
    </w:p>
    <w:p w14:paraId="539903A1" w14:textId="2556BB09" w:rsidR="00870D5B" w:rsidRPr="00870D5B" w:rsidRDefault="00870D5B" w:rsidP="00870D5B">
      <w:pPr>
        <w:ind w:firstLine="720"/>
        <w:rPr>
          <w:rFonts w:cs="Times New Roman"/>
          <w:szCs w:val="22"/>
        </w:rPr>
      </w:pPr>
      <w:r w:rsidRPr="00870D5B">
        <w:rPr>
          <w:rFonts w:cs="Times New Roman"/>
          <w:szCs w:val="22"/>
        </w:rPr>
        <w:t xml:space="preserve">I would like to express my deepest appreciation to </w:t>
      </w:r>
      <w:r w:rsidRPr="00870D5B">
        <w:rPr>
          <w:rFonts w:cs="Times New Roman"/>
          <w:b/>
          <w:bCs/>
          <w:szCs w:val="22"/>
        </w:rPr>
        <w:t>Dr. Howard Coombs</w:t>
      </w:r>
      <w:r w:rsidRPr="00870D5B">
        <w:rPr>
          <w:rFonts w:cs="Times New Roman"/>
          <w:szCs w:val="22"/>
        </w:rPr>
        <w:t xml:space="preserve"> and </w:t>
      </w:r>
      <w:r w:rsidRPr="00870D5B">
        <w:rPr>
          <w:rFonts w:cs="Times New Roman"/>
          <w:b/>
          <w:bCs/>
          <w:szCs w:val="22"/>
        </w:rPr>
        <w:t>Dr. Joel Sokolsky</w:t>
      </w:r>
      <w:r w:rsidRPr="00870D5B">
        <w:rPr>
          <w:rFonts w:cs="Times New Roman"/>
          <w:szCs w:val="22"/>
        </w:rPr>
        <w:t xml:space="preserve">, who extended a great amount of assistance throughout my doctoral studies. In particular, Dr. Coombs’s feedback throughout the WS604 - Contemporary Warfare course and preparation for my Military History comprehensive examination was instrumental in shaping my decision to frame terrorism as means of post-modern warfare in this dissertation. As well, Dr. Sokolsky provided invaluable guidance relating to my conceptualization of legitimacy and formulating the policy recommendations that flow from my research. His WS695 – Armed Forces in Society and WS633 – U.S. Defence Policy lectures were the academic highlights of my time in-person on the RMC campus. Moreover, preparing for my Defence Policy comprehensive examination under his guidance was incredibly influential in shaping the way that I think about security issues, and my overall academic perspective on International Relations. </w:t>
      </w:r>
    </w:p>
    <w:p w14:paraId="4EFB32C9" w14:textId="5A398D90" w:rsidR="00870D5B" w:rsidRPr="00870D5B" w:rsidRDefault="00870D5B" w:rsidP="00870D5B">
      <w:pPr>
        <w:ind w:firstLine="720"/>
        <w:rPr>
          <w:rFonts w:cs="Times New Roman"/>
          <w:szCs w:val="22"/>
        </w:rPr>
      </w:pPr>
      <w:r w:rsidRPr="00870D5B">
        <w:rPr>
          <w:rFonts w:cs="Times New Roman"/>
          <w:szCs w:val="22"/>
        </w:rPr>
        <w:t xml:space="preserve">I must also gratefully acknowledge the guidance and encouragement of </w:t>
      </w:r>
      <w:r w:rsidRPr="00870D5B">
        <w:rPr>
          <w:rFonts w:cs="Times New Roman"/>
          <w:b/>
          <w:bCs/>
          <w:szCs w:val="22"/>
        </w:rPr>
        <w:t>Dr. Sarah Hill</w:t>
      </w:r>
      <w:r w:rsidRPr="00870D5B">
        <w:rPr>
          <w:rFonts w:cs="Times New Roman"/>
          <w:szCs w:val="22"/>
        </w:rPr>
        <w:t xml:space="preserve">, Chair of the War Studies Programme at the Royal Military College of Canada. Dr. Hill was instrumental in ensuring that I “crossed the finish line,” particularly over the course of the final year of my doctoral studies. I am also so grateful to </w:t>
      </w:r>
      <w:r w:rsidRPr="00870D5B">
        <w:rPr>
          <w:rFonts w:cs="Times New Roman"/>
          <w:b/>
          <w:bCs/>
          <w:szCs w:val="22"/>
        </w:rPr>
        <w:t xml:space="preserve">Dr. Barbara </w:t>
      </w:r>
      <w:proofErr w:type="spellStart"/>
      <w:r w:rsidRPr="00870D5B">
        <w:rPr>
          <w:rFonts w:cs="Times New Roman"/>
          <w:b/>
          <w:bCs/>
          <w:szCs w:val="22"/>
        </w:rPr>
        <w:t>Zeeb</w:t>
      </w:r>
      <w:proofErr w:type="spellEnd"/>
      <w:r w:rsidRPr="00870D5B">
        <w:rPr>
          <w:rFonts w:cs="Times New Roman"/>
          <w:szCs w:val="22"/>
        </w:rPr>
        <w:t>, chair of my dissertation defense, for the integral role that she</w:t>
      </w:r>
      <w:r w:rsidR="0088526D">
        <w:rPr>
          <w:rFonts w:cs="Times New Roman"/>
          <w:szCs w:val="22"/>
        </w:rPr>
        <w:t xml:space="preserve"> and the rest of my examination committee (Dr. Falk, Dr. Pond. Dr. Sokolsky, Dr. Kitchen, and Dr. Boulden) </w:t>
      </w:r>
      <w:r w:rsidRPr="00870D5B">
        <w:rPr>
          <w:rFonts w:cs="Times New Roman"/>
          <w:szCs w:val="22"/>
        </w:rPr>
        <w:t xml:space="preserve">played in helping me “cross the finish line” in the middle of </w:t>
      </w:r>
      <w:r w:rsidR="0088526D">
        <w:rPr>
          <w:rFonts w:cs="Times New Roman"/>
          <w:szCs w:val="22"/>
        </w:rPr>
        <w:t xml:space="preserve">what should probably have been everyone’s </w:t>
      </w:r>
      <w:r w:rsidRPr="00870D5B">
        <w:rPr>
          <w:rFonts w:cs="Times New Roman"/>
          <w:szCs w:val="22"/>
        </w:rPr>
        <w:t xml:space="preserve">summer </w:t>
      </w:r>
      <w:r w:rsidR="0088526D">
        <w:rPr>
          <w:rFonts w:cs="Times New Roman"/>
          <w:szCs w:val="22"/>
        </w:rPr>
        <w:t>vacation.</w:t>
      </w:r>
    </w:p>
    <w:p w14:paraId="221F882E" w14:textId="6413D5F8" w:rsidR="00870D5B" w:rsidRPr="00870D5B" w:rsidRDefault="00870D5B" w:rsidP="00870D5B">
      <w:pPr>
        <w:ind w:firstLine="720"/>
        <w:rPr>
          <w:rFonts w:cs="Times New Roman"/>
          <w:szCs w:val="22"/>
        </w:rPr>
      </w:pPr>
      <w:r w:rsidRPr="00870D5B">
        <w:rPr>
          <w:rFonts w:cs="Times New Roman"/>
          <w:szCs w:val="22"/>
        </w:rPr>
        <w:t xml:space="preserve">I would also like to thank </w:t>
      </w:r>
      <w:r w:rsidRPr="00870D5B">
        <w:rPr>
          <w:rFonts w:cs="Times New Roman"/>
          <w:b/>
          <w:bCs/>
          <w:szCs w:val="22"/>
        </w:rPr>
        <w:t>Dr. Assaf Moghadam</w:t>
      </w:r>
      <w:r w:rsidRPr="00870D5B">
        <w:rPr>
          <w:rFonts w:cs="Times New Roman"/>
          <w:szCs w:val="22"/>
        </w:rPr>
        <w:t xml:space="preserve">, the Program Director of the M.A. in Counter-Terrorism and Homeland Security Studies at Reichman University, for his unwavering support over the course of my post-secondary studies. Without his academic mentorship and assistance, I would never have been able to begin my doctoral studies in the first place. Dr. Moghadam was a driving force behind </w:t>
      </w:r>
      <w:r w:rsidRPr="00870D5B">
        <w:rPr>
          <w:rFonts w:cs="Times New Roman"/>
          <w:szCs w:val="22"/>
        </w:rPr>
        <w:lastRenderedPageBreak/>
        <w:t>my ability to finish my M.A. two months early in order to begin my doctoral studies at the Royal Military College. He has written me countless recommendation letters over the years. Most importantly, he has always been in my corner, providing useful and timely advice and encouragement without which the research described in this dissertation would not have been possible.</w:t>
      </w:r>
    </w:p>
    <w:p w14:paraId="652834E2" w14:textId="517EF5E5" w:rsidR="00870D5B" w:rsidRPr="00870D5B" w:rsidRDefault="00870D5B" w:rsidP="00870D5B">
      <w:pPr>
        <w:ind w:firstLine="720"/>
        <w:rPr>
          <w:rFonts w:cs="Times New Roman"/>
          <w:szCs w:val="22"/>
        </w:rPr>
      </w:pPr>
      <w:r w:rsidRPr="00870D5B">
        <w:rPr>
          <w:rFonts w:cs="Times New Roman"/>
          <w:szCs w:val="22"/>
        </w:rPr>
        <w:t xml:space="preserve">I benefitted immeasurably from the many conversations I had and advice I received from </w:t>
      </w:r>
      <w:r w:rsidRPr="00870D5B">
        <w:rPr>
          <w:rFonts w:cs="Times New Roman"/>
          <w:b/>
          <w:bCs/>
          <w:szCs w:val="22"/>
        </w:rPr>
        <w:t xml:space="preserve">Dr. Lesley </w:t>
      </w:r>
      <w:proofErr w:type="spellStart"/>
      <w:r w:rsidRPr="00870D5B">
        <w:rPr>
          <w:rFonts w:cs="Times New Roman"/>
          <w:b/>
          <w:bCs/>
          <w:szCs w:val="22"/>
        </w:rPr>
        <w:t>Terris</w:t>
      </w:r>
      <w:proofErr w:type="spellEnd"/>
      <w:r w:rsidRPr="00870D5B">
        <w:rPr>
          <w:rFonts w:cs="Times New Roman"/>
          <w:szCs w:val="22"/>
        </w:rPr>
        <w:t xml:space="preserve"> (Reichman University), </w:t>
      </w:r>
      <w:r w:rsidRPr="00870D5B">
        <w:rPr>
          <w:rFonts w:cs="Times New Roman"/>
          <w:b/>
          <w:bCs/>
          <w:szCs w:val="22"/>
        </w:rPr>
        <w:t xml:space="preserve">Dr. Eitan </w:t>
      </w:r>
      <w:proofErr w:type="spellStart"/>
      <w:r w:rsidRPr="00870D5B">
        <w:rPr>
          <w:rFonts w:cs="Times New Roman"/>
          <w:b/>
          <w:bCs/>
          <w:szCs w:val="22"/>
        </w:rPr>
        <w:t>Azani</w:t>
      </w:r>
      <w:proofErr w:type="spellEnd"/>
      <w:r w:rsidRPr="00870D5B">
        <w:rPr>
          <w:rFonts w:cs="Times New Roman"/>
          <w:szCs w:val="22"/>
        </w:rPr>
        <w:t xml:space="preserve"> (Reichman University), </w:t>
      </w:r>
      <w:r w:rsidRPr="00870D5B">
        <w:rPr>
          <w:rFonts w:cs="Times New Roman"/>
          <w:b/>
          <w:bCs/>
          <w:szCs w:val="22"/>
        </w:rPr>
        <w:t>Dr. Veronica Kitchen</w:t>
      </w:r>
      <w:r w:rsidRPr="00870D5B">
        <w:rPr>
          <w:rFonts w:cs="Times New Roman"/>
          <w:szCs w:val="22"/>
        </w:rPr>
        <w:t xml:space="preserve"> (University of Waterloo), </w:t>
      </w:r>
      <w:r w:rsidRPr="00870D5B">
        <w:rPr>
          <w:rFonts w:cs="Times New Roman"/>
          <w:b/>
          <w:bCs/>
          <w:szCs w:val="22"/>
        </w:rPr>
        <w:t>Dr. Mark Shirk</w:t>
      </w:r>
      <w:r w:rsidRPr="00870D5B">
        <w:rPr>
          <w:rFonts w:cs="Times New Roman"/>
          <w:szCs w:val="22"/>
        </w:rPr>
        <w:t xml:space="preserve"> (University of Maryland), </w:t>
      </w:r>
      <w:r w:rsidRPr="00870D5B">
        <w:rPr>
          <w:rFonts w:cs="Times New Roman"/>
          <w:b/>
          <w:bCs/>
          <w:szCs w:val="22"/>
        </w:rPr>
        <w:t>Dr. Michael Zilis</w:t>
      </w:r>
      <w:r w:rsidRPr="00870D5B">
        <w:rPr>
          <w:rFonts w:cs="Times New Roman"/>
          <w:szCs w:val="22"/>
        </w:rPr>
        <w:t xml:space="preserve"> (University of Kentucky), </w:t>
      </w:r>
      <w:r w:rsidRPr="00870D5B">
        <w:rPr>
          <w:rFonts w:cs="Times New Roman"/>
          <w:b/>
          <w:bCs/>
          <w:szCs w:val="22"/>
        </w:rPr>
        <w:t>Dr. Lee Seymour</w:t>
      </w:r>
      <w:r w:rsidRPr="00870D5B">
        <w:rPr>
          <w:rFonts w:cs="Times New Roman"/>
          <w:szCs w:val="22"/>
        </w:rPr>
        <w:t xml:space="preserve"> (Université de Montréal), </w:t>
      </w:r>
      <w:r w:rsidRPr="00870D5B">
        <w:rPr>
          <w:rFonts w:cs="Times New Roman"/>
          <w:b/>
          <w:bCs/>
          <w:szCs w:val="22"/>
        </w:rPr>
        <w:t>Dr. Michael Robinson</w:t>
      </w:r>
      <w:r w:rsidRPr="00870D5B">
        <w:rPr>
          <w:rFonts w:cs="Times New Roman"/>
          <w:szCs w:val="22"/>
        </w:rPr>
        <w:t xml:space="preserve"> (Modern War Institute at Westpoint), </w:t>
      </w:r>
      <w:r w:rsidRPr="00870D5B">
        <w:rPr>
          <w:rFonts w:cs="Times New Roman"/>
          <w:b/>
          <w:bCs/>
          <w:szCs w:val="22"/>
        </w:rPr>
        <w:t>Dr. Danielle Gilbert</w:t>
      </w:r>
      <w:r w:rsidRPr="00870D5B">
        <w:rPr>
          <w:rFonts w:cs="Times New Roman"/>
          <w:szCs w:val="22"/>
        </w:rPr>
        <w:t xml:space="preserve"> (Northwestern University), </w:t>
      </w:r>
      <w:r w:rsidRPr="00870D5B">
        <w:rPr>
          <w:rFonts w:cs="Times New Roman"/>
          <w:b/>
          <w:bCs/>
          <w:szCs w:val="22"/>
        </w:rPr>
        <w:t>Dr. Devorah Margolin</w:t>
      </w:r>
      <w:r w:rsidRPr="00870D5B">
        <w:rPr>
          <w:rFonts w:cs="Times New Roman"/>
          <w:szCs w:val="22"/>
        </w:rPr>
        <w:t xml:space="preserve"> (Georgetown University), </w:t>
      </w:r>
      <w:r w:rsidRPr="00870D5B">
        <w:rPr>
          <w:rFonts w:cs="Times New Roman"/>
          <w:b/>
          <w:bCs/>
          <w:szCs w:val="22"/>
        </w:rPr>
        <w:t xml:space="preserve">Dr. Polina </w:t>
      </w:r>
      <w:proofErr w:type="spellStart"/>
      <w:r w:rsidRPr="00870D5B">
        <w:rPr>
          <w:rFonts w:cs="Times New Roman"/>
          <w:b/>
          <w:bCs/>
          <w:szCs w:val="22"/>
        </w:rPr>
        <w:t>Beliakova</w:t>
      </w:r>
      <w:proofErr w:type="spellEnd"/>
      <w:r w:rsidRPr="00870D5B">
        <w:rPr>
          <w:rFonts w:cs="Times New Roman"/>
          <w:szCs w:val="22"/>
        </w:rPr>
        <w:t xml:space="preserve"> (Massachusetts Institute of Technology), </w:t>
      </w:r>
      <w:r w:rsidRPr="00870D5B">
        <w:rPr>
          <w:rFonts w:cs="Times New Roman"/>
          <w:b/>
          <w:bCs/>
          <w:szCs w:val="22"/>
        </w:rPr>
        <w:t>Dr. Elise Sammons</w:t>
      </w:r>
      <w:r w:rsidRPr="00870D5B">
        <w:rPr>
          <w:rFonts w:cs="Times New Roman"/>
          <w:szCs w:val="22"/>
        </w:rPr>
        <w:t xml:space="preserve">, </w:t>
      </w:r>
      <w:r w:rsidRPr="00870D5B">
        <w:rPr>
          <w:rFonts w:cs="Times New Roman"/>
          <w:b/>
          <w:bCs/>
          <w:szCs w:val="22"/>
        </w:rPr>
        <w:t xml:space="preserve">Elizabeth </w:t>
      </w:r>
      <w:proofErr w:type="spellStart"/>
      <w:r w:rsidRPr="00870D5B">
        <w:rPr>
          <w:rFonts w:cs="Times New Roman"/>
          <w:b/>
          <w:bCs/>
          <w:szCs w:val="22"/>
        </w:rPr>
        <w:t>Ebunoluwa</w:t>
      </w:r>
      <w:proofErr w:type="spellEnd"/>
      <w:r w:rsidRPr="00870D5B">
        <w:rPr>
          <w:rFonts w:cs="Times New Roman"/>
          <w:szCs w:val="22"/>
        </w:rPr>
        <w:t xml:space="preserve">, </w:t>
      </w:r>
      <w:r w:rsidRPr="00870D5B">
        <w:rPr>
          <w:rFonts w:cs="Times New Roman"/>
          <w:b/>
          <w:bCs/>
          <w:szCs w:val="22"/>
        </w:rPr>
        <w:t>Christian Picard</w:t>
      </w:r>
      <w:r w:rsidRPr="00870D5B">
        <w:rPr>
          <w:rFonts w:cs="Times New Roman"/>
          <w:szCs w:val="22"/>
        </w:rPr>
        <w:t xml:space="preserve">, </w:t>
      </w:r>
      <w:r w:rsidRPr="00870D5B">
        <w:rPr>
          <w:rFonts w:cs="Times New Roman"/>
          <w:b/>
          <w:bCs/>
          <w:szCs w:val="22"/>
        </w:rPr>
        <w:t xml:space="preserve">Dr. Adam </w:t>
      </w:r>
      <w:proofErr w:type="spellStart"/>
      <w:r w:rsidRPr="00870D5B">
        <w:rPr>
          <w:rFonts w:cs="Times New Roman"/>
          <w:b/>
          <w:bCs/>
          <w:szCs w:val="22"/>
        </w:rPr>
        <w:t>Kingsmith</w:t>
      </w:r>
      <w:proofErr w:type="spellEnd"/>
      <w:r w:rsidRPr="00870D5B">
        <w:rPr>
          <w:rFonts w:cs="Times New Roman"/>
          <w:szCs w:val="22"/>
        </w:rPr>
        <w:t xml:space="preserve">, </w:t>
      </w:r>
      <w:r w:rsidRPr="00870D5B">
        <w:rPr>
          <w:rFonts w:cs="Times New Roman"/>
          <w:b/>
          <w:bCs/>
          <w:szCs w:val="22"/>
        </w:rPr>
        <w:t>Julian von Bargen</w:t>
      </w:r>
      <w:r w:rsidRPr="00870D5B">
        <w:rPr>
          <w:rFonts w:cs="Times New Roman"/>
          <w:szCs w:val="22"/>
        </w:rPr>
        <w:t xml:space="preserve">, </w:t>
      </w:r>
      <w:proofErr w:type="spellStart"/>
      <w:r w:rsidRPr="00870D5B">
        <w:rPr>
          <w:rFonts w:cs="Times New Roman"/>
          <w:b/>
          <w:bCs/>
          <w:szCs w:val="22"/>
        </w:rPr>
        <w:t>Zeev</w:t>
      </w:r>
      <w:proofErr w:type="spellEnd"/>
      <w:r w:rsidRPr="00870D5B">
        <w:rPr>
          <w:rFonts w:cs="Times New Roman"/>
          <w:b/>
          <w:bCs/>
          <w:szCs w:val="22"/>
        </w:rPr>
        <w:t xml:space="preserve"> Ben </w:t>
      </w:r>
      <w:proofErr w:type="spellStart"/>
      <w:r w:rsidRPr="00870D5B">
        <w:rPr>
          <w:rFonts w:cs="Times New Roman"/>
          <w:b/>
          <w:bCs/>
          <w:szCs w:val="22"/>
        </w:rPr>
        <w:t>Shachar</w:t>
      </w:r>
      <w:proofErr w:type="spellEnd"/>
      <w:r w:rsidRPr="00870D5B">
        <w:rPr>
          <w:rFonts w:cs="Times New Roman"/>
          <w:szCs w:val="22"/>
        </w:rPr>
        <w:t xml:space="preserve">, </w:t>
      </w:r>
      <w:r w:rsidR="0088526D" w:rsidRPr="00870D5B">
        <w:rPr>
          <w:rFonts w:cs="Times New Roman"/>
          <w:b/>
          <w:bCs/>
          <w:szCs w:val="22"/>
        </w:rPr>
        <w:t>Dr. Jane Boulden</w:t>
      </w:r>
      <w:r w:rsidR="0088526D" w:rsidRPr="00870D5B">
        <w:rPr>
          <w:rFonts w:cs="Times New Roman"/>
          <w:szCs w:val="22"/>
        </w:rPr>
        <w:t xml:space="preserve"> (Royal Military College), </w:t>
      </w:r>
      <w:r w:rsidRPr="00870D5B">
        <w:rPr>
          <w:rFonts w:cs="Times New Roman"/>
          <w:szCs w:val="22"/>
        </w:rPr>
        <w:t xml:space="preserve">and </w:t>
      </w:r>
      <w:r w:rsidRPr="00870D5B">
        <w:rPr>
          <w:rFonts w:cs="Times New Roman"/>
          <w:b/>
          <w:bCs/>
          <w:szCs w:val="22"/>
        </w:rPr>
        <w:t>Dr. Joanna Harrington</w:t>
      </w:r>
      <w:r w:rsidRPr="00870D5B">
        <w:rPr>
          <w:rFonts w:cs="Times New Roman"/>
          <w:szCs w:val="22"/>
        </w:rPr>
        <w:t xml:space="preserve"> (University of Alberta). I am especially grateful to </w:t>
      </w:r>
      <w:r w:rsidRPr="00870D5B">
        <w:rPr>
          <w:rFonts w:cs="Times New Roman"/>
          <w:b/>
          <w:bCs/>
          <w:szCs w:val="22"/>
        </w:rPr>
        <w:t xml:space="preserve">Dr. </w:t>
      </w:r>
      <w:proofErr w:type="spellStart"/>
      <w:r w:rsidRPr="00870D5B">
        <w:rPr>
          <w:rFonts w:cs="Times New Roman"/>
          <w:b/>
          <w:bCs/>
          <w:szCs w:val="22"/>
        </w:rPr>
        <w:t>Miloud</w:t>
      </w:r>
      <w:proofErr w:type="spellEnd"/>
      <w:r w:rsidRPr="00870D5B">
        <w:rPr>
          <w:rFonts w:cs="Times New Roman"/>
          <w:b/>
          <w:bCs/>
          <w:szCs w:val="22"/>
        </w:rPr>
        <w:t xml:space="preserve"> </w:t>
      </w:r>
      <w:proofErr w:type="spellStart"/>
      <w:r w:rsidRPr="00870D5B">
        <w:rPr>
          <w:rFonts w:cs="Times New Roman"/>
          <w:b/>
          <w:bCs/>
          <w:szCs w:val="22"/>
        </w:rPr>
        <w:t>Chennoufi</w:t>
      </w:r>
      <w:proofErr w:type="spellEnd"/>
      <w:r w:rsidRPr="00870D5B">
        <w:rPr>
          <w:rFonts w:cs="Times New Roman"/>
          <w:b/>
          <w:bCs/>
          <w:szCs w:val="22"/>
        </w:rPr>
        <w:t xml:space="preserve"> </w:t>
      </w:r>
      <w:r w:rsidRPr="00870D5B">
        <w:rPr>
          <w:rFonts w:cs="Times New Roman"/>
          <w:szCs w:val="22"/>
        </w:rPr>
        <w:t xml:space="preserve">(Canadian Forces College/Royal Military College of Canada) for his last minute proofread of (and significant edits to) the French version of the abstract for this dissertation. </w:t>
      </w:r>
    </w:p>
    <w:p w14:paraId="524532D7" w14:textId="371CAB88" w:rsidR="00870D5B" w:rsidRPr="00870D5B" w:rsidRDefault="00870D5B" w:rsidP="00870D5B">
      <w:pPr>
        <w:ind w:firstLine="720"/>
        <w:rPr>
          <w:rFonts w:cs="Times New Roman"/>
          <w:szCs w:val="22"/>
        </w:rPr>
      </w:pPr>
      <w:r w:rsidRPr="00870D5B">
        <w:rPr>
          <w:rFonts w:cs="Times New Roman"/>
          <w:szCs w:val="22"/>
        </w:rPr>
        <w:t xml:space="preserve">I would also like to extend my sincere thanks to the individuals who have been a sort of makeshift academic cohort during my time at the Royal Military College – in particular, during the time that I spent commuting to and from Kingston in the early years of my doctoral studies. I am very grateful to </w:t>
      </w:r>
      <w:r w:rsidRPr="00870D5B">
        <w:rPr>
          <w:rFonts w:cs="Times New Roman"/>
          <w:b/>
          <w:bCs/>
          <w:szCs w:val="22"/>
        </w:rPr>
        <w:t>Lt. Col. (Dr.) Andrew Brown</w:t>
      </w:r>
      <w:r w:rsidRPr="00870D5B">
        <w:rPr>
          <w:rFonts w:cs="Times New Roman"/>
          <w:szCs w:val="22"/>
        </w:rPr>
        <w:t xml:space="preserve"> for his academic assistance, advice and collegiality over the course of the time I spent in person at the Royal Military College. I would also like to thank the 44</w:t>
      </w:r>
      <w:r w:rsidRPr="00870D5B">
        <w:rPr>
          <w:rFonts w:cs="Times New Roman"/>
          <w:szCs w:val="22"/>
          <w:vertAlign w:val="superscript"/>
        </w:rPr>
        <w:t>th</w:t>
      </w:r>
      <w:r w:rsidRPr="00870D5B">
        <w:rPr>
          <w:rFonts w:cs="Times New Roman"/>
          <w:szCs w:val="22"/>
        </w:rPr>
        <w:t xml:space="preserve"> Joint Command and Staff Programme (2018) at the Canadian Forces College in Toronto for their help and support through my comprehensive examination preparations. In particular, I need to acknowledge </w:t>
      </w:r>
      <w:r w:rsidRPr="00870D5B">
        <w:rPr>
          <w:rFonts w:cs="Times New Roman"/>
          <w:b/>
          <w:bCs/>
          <w:szCs w:val="22"/>
        </w:rPr>
        <w:t>Lt. Col. Chad Johannes</w:t>
      </w:r>
      <w:r w:rsidRPr="00870D5B">
        <w:rPr>
          <w:rFonts w:cs="Times New Roman"/>
          <w:szCs w:val="22"/>
        </w:rPr>
        <w:t xml:space="preserve"> and </w:t>
      </w:r>
      <w:r w:rsidRPr="00870D5B">
        <w:rPr>
          <w:rFonts w:cs="Times New Roman"/>
          <w:b/>
          <w:bCs/>
          <w:szCs w:val="22"/>
        </w:rPr>
        <w:t xml:space="preserve">Maj. </w:t>
      </w:r>
      <w:proofErr w:type="spellStart"/>
      <w:r w:rsidRPr="00870D5B">
        <w:rPr>
          <w:rFonts w:cs="Times New Roman"/>
          <w:b/>
          <w:bCs/>
          <w:szCs w:val="22"/>
        </w:rPr>
        <w:t>Aafaq</w:t>
      </w:r>
      <w:proofErr w:type="spellEnd"/>
      <w:r w:rsidRPr="00870D5B">
        <w:rPr>
          <w:rFonts w:cs="Times New Roman"/>
          <w:b/>
          <w:bCs/>
          <w:szCs w:val="22"/>
        </w:rPr>
        <w:t xml:space="preserve"> </w:t>
      </w:r>
      <w:proofErr w:type="spellStart"/>
      <w:r w:rsidRPr="00870D5B">
        <w:rPr>
          <w:rFonts w:cs="Times New Roman"/>
          <w:b/>
          <w:bCs/>
          <w:szCs w:val="22"/>
        </w:rPr>
        <w:t>Hyder</w:t>
      </w:r>
      <w:proofErr w:type="spellEnd"/>
      <w:r w:rsidRPr="00870D5B">
        <w:rPr>
          <w:rFonts w:cs="Times New Roman"/>
          <w:szCs w:val="22"/>
        </w:rPr>
        <w:t xml:space="preserve"> for their encouragement, their patience (all of the extra ice time and stick handling drills…), and for convincing me that I was good enough to play full contact ice hockey with a group of military officers (I was not.). Gentlemen, thank you for the memories – they were the highlights of one of the most difficult years of my life – and, most of all, thank you for teaching me not to take myself too seriously. On a slightly more serious note, I also need to thank </w:t>
      </w:r>
      <w:r w:rsidRPr="00870D5B">
        <w:rPr>
          <w:rFonts w:cs="Times New Roman"/>
          <w:b/>
          <w:bCs/>
          <w:szCs w:val="22"/>
        </w:rPr>
        <w:t>Lt. Col. (Dr.) Levon Bond</w:t>
      </w:r>
      <w:r w:rsidRPr="00870D5B">
        <w:rPr>
          <w:rFonts w:cs="Times New Roman"/>
          <w:szCs w:val="22"/>
        </w:rPr>
        <w:t xml:space="preserve"> for our weekly comprehensive examination preparation sessions. Meeting you at the Aroma on Avenue Rd. on Thursdays kept me motivated and on track through a very tumultuous period of time, and was a key reason that I managed to adequately prepare for (and pass) my comprehensive exams. </w:t>
      </w:r>
    </w:p>
    <w:p w14:paraId="2A682127" w14:textId="61ED59F2" w:rsidR="00870D5B" w:rsidRPr="00870D5B" w:rsidRDefault="00870D5B" w:rsidP="00870D5B">
      <w:pPr>
        <w:ind w:firstLine="720"/>
        <w:rPr>
          <w:rFonts w:cs="Times New Roman"/>
          <w:b/>
          <w:bCs/>
          <w:szCs w:val="22"/>
        </w:rPr>
      </w:pPr>
      <w:r w:rsidRPr="00870D5B">
        <w:rPr>
          <w:rFonts w:cs="Times New Roman"/>
          <w:szCs w:val="22"/>
        </w:rPr>
        <w:t xml:space="preserve">From the early stages of my research, I relied heavily on the tireless support, encouragement, last-minute proofreading and overall assistance of some amazing friends, family, colleagues, and (former) students. I could not – and would not – have made it through this process without their presence in my life. In no particular order: </w:t>
      </w:r>
      <w:r w:rsidRPr="00870D5B">
        <w:rPr>
          <w:rFonts w:cs="Times New Roman"/>
          <w:b/>
          <w:bCs/>
          <w:szCs w:val="22"/>
        </w:rPr>
        <w:t xml:space="preserve">Charlotte Duval </w:t>
      </w:r>
      <w:proofErr w:type="spellStart"/>
      <w:r w:rsidRPr="00870D5B">
        <w:rPr>
          <w:rFonts w:cs="Times New Roman"/>
          <w:b/>
          <w:bCs/>
          <w:szCs w:val="22"/>
        </w:rPr>
        <w:t>L’Antoine</w:t>
      </w:r>
      <w:proofErr w:type="spellEnd"/>
      <w:r w:rsidRPr="00870D5B">
        <w:rPr>
          <w:rFonts w:cs="Times New Roman"/>
          <w:b/>
          <w:bCs/>
          <w:szCs w:val="22"/>
        </w:rPr>
        <w:t xml:space="preserve">, Alec </w:t>
      </w:r>
      <w:proofErr w:type="spellStart"/>
      <w:r w:rsidRPr="00870D5B">
        <w:rPr>
          <w:rFonts w:cs="Times New Roman"/>
          <w:b/>
          <w:bCs/>
          <w:szCs w:val="22"/>
        </w:rPr>
        <w:t>Sader</w:t>
      </w:r>
      <w:proofErr w:type="spellEnd"/>
      <w:r w:rsidRPr="00870D5B">
        <w:rPr>
          <w:rFonts w:cs="Times New Roman"/>
          <w:b/>
          <w:bCs/>
          <w:szCs w:val="22"/>
        </w:rPr>
        <w:t xml:space="preserve">, Zackary </w:t>
      </w:r>
      <w:proofErr w:type="spellStart"/>
      <w:r w:rsidRPr="00870D5B">
        <w:rPr>
          <w:rFonts w:cs="Times New Roman"/>
          <w:b/>
          <w:bCs/>
          <w:szCs w:val="22"/>
        </w:rPr>
        <w:t>Fridlyand</w:t>
      </w:r>
      <w:proofErr w:type="spellEnd"/>
      <w:r w:rsidRPr="00870D5B">
        <w:rPr>
          <w:rFonts w:cs="Times New Roman"/>
          <w:b/>
          <w:bCs/>
          <w:szCs w:val="22"/>
        </w:rPr>
        <w:t xml:space="preserve">, </w:t>
      </w:r>
      <w:proofErr w:type="spellStart"/>
      <w:r w:rsidRPr="00870D5B">
        <w:rPr>
          <w:rFonts w:cs="Times New Roman"/>
          <w:b/>
          <w:bCs/>
          <w:szCs w:val="22"/>
        </w:rPr>
        <w:t>Abla</w:t>
      </w:r>
      <w:proofErr w:type="spellEnd"/>
      <w:r w:rsidRPr="00870D5B">
        <w:rPr>
          <w:rFonts w:cs="Times New Roman"/>
          <w:b/>
          <w:bCs/>
          <w:szCs w:val="22"/>
        </w:rPr>
        <w:t xml:space="preserve"> </w:t>
      </w:r>
      <w:proofErr w:type="spellStart"/>
      <w:r w:rsidRPr="00870D5B">
        <w:rPr>
          <w:rFonts w:cs="Times New Roman"/>
          <w:b/>
          <w:bCs/>
          <w:szCs w:val="22"/>
        </w:rPr>
        <w:t>Lamrani</w:t>
      </w:r>
      <w:proofErr w:type="spellEnd"/>
      <w:r w:rsidRPr="00870D5B">
        <w:rPr>
          <w:rFonts w:cs="Times New Roman"/>
          <w:b/>
          <w:bCs/>
          <w:szCs w:val="22"/>
        </w:rPr>
        <w:t xml:space="preserve">, Dr. Judah Glogauer, Mira </w:t>
      </w:r>
      <w:proofErr w:type="spellStart"/>
      <w:r w:rsidRPr="00870D5B">
        <w:rPr>
          <w:rFonts w:cs="Times New Roman"/>
          <w:b/>
          <w:bCs/>
          <w:szCs w:val="22"/>
        </w:rPr>
        <w:t>Samet</w:t>
      </w:r>
      <w:proofErr w:type="spellEnd"/>
      <w:r w:rsidRPr="00870D5B">
        <w:rPr>
          <w:rFonts w:cs="Times New Roman"/>
          <w:b/>
          <w:bCs/>
          <w:szCs w:val="22"/>
        </w:rPr>
        <w:t xml:space="preserve">, Shaya </w:t>
      </w:r>
      <w:proofErr w:type="spellStart"/>
      <w:r w:rsidRPr="00870D5B">
        <w:rPr>
          <w:rFonts w:cs="Times New Roman"/>
          <w:b/>
          <w:bCs/>
          <w:szCs w:val="22"/>
        </w:rPr>
        <w:t>Samet</w:t>
      </w:r>
      <w:proofErr w:type="spellEnd"/>
      <w:r w:rsidRPr="00870D5B">
        <w:rPr>
          <w:rFonts w:cs="Times New Roman"/>
          <w:b/>
          <w:bCs/>
          <w:szCs w:val="22"/>
        </w:rPr>
        <w:t xml:space="preserve">, Aaron </w:t>
      </w:r>
      <w:proofErr w:type="spellStart"/>
      <w:r w:rsidRPr="00870D5B">
        <w:rPr>
          <w:rFonts w:cs="Times New Roman"/>
          <w:b/>
          <w:bCs/>
          <w:szCs w:val="22"/>
        </w:rPr>
        <w:t>Shifman</w:t>
      </w:r>
      <w:proofErr w:type="spellEnd"/>
      <w:r w:rsidRPr="00870D5B">
        <w:rPr>
          <w:rFonts w:cs="Times New Roman"/>
          <w:b/>
          <w:bCs/>
          <w:szCs w:val="22"/>
        </w:rPr>
        <w:t xml:space="preserve">, Nicholas </w:t>
      </w:r>
      <w:proofErr w:type="spellStart"/>
      <w:r w:rsidRPr="00870D5B">
        <w:rPr>
          <w:rFonts w:cs="Times New Roman"/>
          <w:b/>
          <w:bCs/>
          <w:szCs w:val="22"/>
        </w:rPr>
        <w:t>Buhite</w:t>
      </w:r>
      <w:proofErr w:type="spellEnd"/>
      <w:r w:rsidRPr="00870D5B">
        <w:rPr>
          <w:rFonts w:cs="Times New Roman"/>
          <w:b/>
          <w:bCs/>
          <w:szCs w:val="22"/>
        </w:rPr>
        <w:t xml:space="preserve">, Serena </w:t>
      </w:r>
      <w:proofErr w:type="spellStart"/>
      <w:r w:rsidRPr="00870D5B">
        <w:rPr>
          <w:rFonts w:cs="Times New Roman"/>
          <w:b/>
          <w:bCs/>
          <w:szCs w:val="22"/>
        </w:rPr>
        <w:t>Merucci</w:t>
      </w:r>
      <w:proofErr w:type="spellEnd"/>
      <w:r w:rsidRPr="00870D5B">
        <w:rPr>
          <w:rFonts w:cs="Times New Roman"/>
          <w:b/>
          <w:bCs/>
          <w:szCs w:val="22"/>
        </w:rPr>
        <w:t xml:space="preserve">, Corey Grunberg, Amy Lau, Debbie Chen, Brittany Dunn, Esther Heisler, Adam </w:t>
      </w:r>
      <w:proofErr w:type="spellStart"/>
      <w:r w:rsidRPr="00870D5B">
        <w:rPr>
          <w:rFonts w:cs="Times New Roman"/>
          <w:b/>
          <w:bCs/>
          <w:szCs w:val="22"/>
        </w:rPr>
        <w:t>Ossip</w:t>
      </w:r>
      <w:proofErr w:type="spellEnd"/>
      <w:r w:rsidRPr="00870D5B">
        <w:rPr>
          <w:rFonts w:cs="Times New Roman"/>
          <w:b/>
          <w:bCs/>
          <w:szCs w:val="22"/>
        </w:rPr>
        <w:t xml:space="preserve">, Ethan Heft, </w:t>
      </w:r>
      <w:proofErr w:type="spellStart"/>
      <w:r w:rsidRPr="00870D5B">
        <w:rPr>
          <w:rFonts w:cs="Times New Roman"/>
          <w:b/>
          <w:bCs/>
          <w:szCs w:val="22"/>
        </w:rPr>
        <w:t>Sanam</w:t>
      </w:r>
      <w:proofErr w:type="spellEnd"/>
      <w:r w:rsidRPr="00870D5B">
        <w:rPr>
          <w:rFonts w:cs="Times New Roman"/>
          <w:b/>
          <w:bCs/>
          <w:szCs w:val="22"/>
        </w:rPr>
        <w:t xml:space="preserve"> Skinner, Jared </w:t>
      </w:r>
      <w:proofErr w:type="spellStart"/>
      <w:r w:rsidRPr="00870D5B">
        <w:rPr>
          <w:rFonts w:cs="Times New Roman"/>
          <w:b/>
          <w:bCs/>
          <w:szCs w:val="22"/>
        </w:rPr>
        <w:t>Ebrahimoff</w:t>
      </w:r>
      <w:proofErr w:type="spellEnd"/>
      <w:r w:rsidRPr="00870D5B">
        <w:rPr>
          <w:rFonts w:cs="Times New Roman"/>
          <w:b/>
          <w:bCs/>
          <w:szCs w:val="22"/>
        </w:rPr>
        <w:t xml:space="preserve">, Richard Ludwig, Dr. </w:t>
      </w:r>
      <w:proofErr w:type="spellStart"/>
      <w:r w:rsidRPr="00870D5B">
        <w:rPr>
          <w:rFonts w:cs="Times New Roman"/>
          <w:b/>
          <w:bCs/>
          <w:szCs w:val="22"/>
        </w:rPr>
        <w:t>Avi</w:t>
      </w:r>
      <w:proofErr w:type="spellEnd"/>
      <w:r w:rsidRPr="00870D5B">
        <w:rPr>
          <w:rFonts w:cs="Times New Roman"/>
          <w:b/>
          <w:bCs/>
          <w:szCs w:val="22"/>
        </w:rPr>
        <w:t xml:space="preserve"> Jager, </w:t>
      </w:r>
      <w:proofErr w:type="spellStart"/>
      <w:r w:rsidRPr="00870D5B">
        <w:rPr>
          <w:rFonts w:cs="Times New Roman"/>
          <w:b/>
          <w:bCs/>
          <w:szCs w:val="22"/>
        </w:rPr>
        <w:t>Dorona</w:t>
      </w:r>
      <w:proofErr w:type="spellEnd"/>
      <w:r w:rsidRPr="00870D5B">
        <w:rPr>
          <w:rFonts w:cs="Times New Roman"/>
          <w:b/>
          <w:bCs/>
          <w:szCs w:val="22"/>
        </w:rPr>
        <w:t xml:space="preserve"> </w:t>
      </w:r>
      <w:proofErr w:type="spellStart"/>
      <w:r w:rsidRPr="00870D5B">
        <w:rPr>
          <w:rFonts w:cs="Times New Roman"/>
          <w:b/>
          <w:bCs/>
          <w:szCs w:val="22"/>
        </w:rPr>
        <w:t>Zierler</w:t>
      </w:r>
      <w:proofErr w:type="spellEnd"/>
      <w:r w:rsidRPr="00870D5B">
        <w:rPr>
          <w:rFonts w:cs="Times New Roman"/>
          <w:b/>
          <w:bCs/>
          <w:szCs w:val="22"/>
        </w:rPr>
        <w:t xml:space="preserve">, Chris Williams, Andrew Mao, Gabrielle Lin, Amber Chen, Audrey Gong, Hannah Wang, </w:t>
      </w:r>
      <w:r w:rsidRPr="00870D5B">
        <w:rPr>
          <w:rFonts w:cs="Times New Roman"/>
          <w:szCs w:val="22"/>
        </w:rPr>
        <w:t xml:space="preserve">and </w:t>
      </w:r>
      <w:r w:rsidRPr="00870D5B">
        <w:rPr>
          <w:rFonts w:cs="Times New Roman"/>
          <w:b/>
          <w:bCs/>
          <w:szCs w:val="22"/>
        </w:rPr>
        <w:t xml:space="preserve">Nadia Abu Ata. </w:t>
      </w:r>
    </w:p>
    <w:p w14:paraId="7FD34EE2" w14:textId="69A07513" w:rsidR="00870D5B" w:rsidRPr="00870D5B" w:rsidRDefault="00870D5B" w:rsidP="00870D5B">
      <w:pPr>
        <w:ind w:firstLine="720"/>
        <w:rPr>
          <w:rFonts w:cs="Times New Roman"/>
          <w:szCs w:val="22"/>
        </w:rPr>
      </w:pPr>
      <w:r w:rsidRPr="00870D5B">
        <w:rPr>
          <w:rFonts w:cs="Times New Roman"/>
          <w:szCs w:val="22"/>
        </w:rPr>
        <w:t xml:space="preserve">Special thanks to </w:t>
      </w:r>
      <w:r w:rsidRPr="00870D5B">
        <w:rPr>
          <w:rFonts w:cs="Times New Roman"/>
          <w:b/>
          <w:bCs/>
          <w:szCs w:val="22"/>
        </w:rPr>
        <w:t xml:space="preserve">Rena </w:t>
      </w:r>
      <w:proofErr w:type="spellStart"/>
      <w:r w:rsidRPr="00870D5B">
        <w:rPr>
          <w:rFonts w:cs="Times New Roman"/>
          <w:b/>
          <w:bCs/>
          <w:szCs w:val="22"/>
        </w:rPr>
        <w:t>Uretsky</w:t>
      </w:r>
      <w:proofErr w:type="spellEnd"/>
      <w:r w:rsidRPr="00870D5B">
        <w:rPr>
          <w:rFonts w:cs="Times New Roman"/>
          <w:szCs w:val="22"/>
        </w:rPr>
        <w:t xml:space="preserve">, and </w:t>
      </w:r>
      <w:r w:rsidRPr="00870D5B">
        <w:rPr>
          <w:rFonts w:cs="Times New Roman"/>
          <w:b/>
          <w:bCs/>
          <w:szCs w:val="22"/>
        </w:rPr>
        <w:t>Leah and Howard Goldford</w:t>
      </w:r>
      <w:r w:rsidRPr="00870D5B">
        <w:rPr>
          <w:rFonts w:cs="Times New Roman"/>
          <w:szCs w:val="22"/>
        </w:rPr>
        <w:t xml:space="preserve"> (and </w:t>
      </w:r>
      <w:r w:rsidRPr="00870D5B">
        <w:rPr>
          <w:rFonts w:cs="Times New Roman"/>
          <w:b/>
          <w:bCs/>
          <w:szCs w:val="22"/>
        </w:rPr>
        <w:t>Shannon</w:t>
      </w:r>
      <w:r w:rsidRPr="00870D5B">
        <w:rPr>
          <w:rFonts w:cs="Times New Roman"/>
          <w:szCs w:val="22"/>
        </w:rPr>
        <w:t xml:space="preserve">) for helping out with childcare over the last year of my Ph.D. – your willingness to watch over our kids ensured that I had the physical and mental space to finish this degree while I was on my own during the week, in a city where I have no biological family. Thank you for taking care of Jamie, Callie, and </w:t>
      </w:r>
      <w:proofErr w:type="spellStart"/>
      <w:r w:rsidRPr="00870D5B">
        <w:rPr>
          <w:rFonts w:cs="Times New Roman"/>
          <w:szCs w:val="22"/>
        </w:rPr>
        <w:t>Macky</w:t>
      </w:r>
      <w:proofErr w:type="spellEnd"/>
      <w:r w:rsidRPr="00870D5B">
        <w:rPr>
          <w:rFonts w:cs="Times New Roman"/>
          <w:szCs w:val="22"/>
        </w:rPr>
        <w:t>, and for loving them like they are your own.</w:t>
      </w:r>
    </w:p>
    <w:p w14:paraId="7C9A8839" w14:textId="4BB843C7" w:rsidR="00870D5B" w:rsidRPr="00870D5B" w:rsidRDefault="00870D5B" w:rsidP="00870D5B">
      <w:pPr>
        <w:rPr>
          <w:rFonts w:cs="Times New Roman"/>
          <w:szCs w:val="22"/>
        </w:rPr>
      </w:pPr>
      <w:r w:rsidRPr="00870D5B">
        <w:rPr>
          <w:rFonts w:cs="Times New Roman"/>
          <w:szCs w:val="22"/>
        </w:rPr>
        <w:t>I also want to single out some specific individuals who have played integral roles not only in supporting me through this degree, but in shaping the human being that I have become.</w:t>
      </w:r>
    </w:p>
    <w:p w14:paraId="0586E5A3" w14:textId="770CF604" w:rsidR="00870D5B" w:rsidRPr="00870D5B" w:rsidRDefault="00870D5B" w:rsidP="00870D5B">
      <w:pPr>
        <w:ind w:firstLine="720"/>
        <w:rPr>
          <w:rFonts w:cs="Times New Roman"/>
          <w:szCs w:val="22"/>
        </w:rPr>
      </w:pPr>
      <w:r w:rsidRPr="00870D5B">
        <w:rPr>
          <w:rFonts w:cs="Times New Roman"/>
          <w:szCs w:val="22"/>
        </w:rPr>
        <w:t xml:space="preserve">Back in 2016, I would never have had the confidence to apply to Ph.D. programs, or submit my initial proposal for the project that became this dissertation without </w:t>
      </w:r>
      <w:r w:rsidRPr="00870D5B">
        <w:rPr>
          <w:rFonts w:cs="Times New Roman"/>
          <w:b/>
          <w:bCs/>
          <w:szCs w:val="22"/>
        </w:rPr>
        <w:t xml:space="preserve">Daniel </w:t>
      </w:r>
      <w:proofErr w:type="spellStart"/>
      <w:r w:rsidRPr="00870D5B">
        <w:rPr>
          <w:rFonts w:cs="Times New Roman"/>
          <w:b/>
          <w:bCs/>
          <w:szCs w:val="22"/>
        </w:rPr>
        <w:t>Gindis</w:t>
      </w:r>
      <w:proofErr w:type="spellEnd"/>
      <w:r w:rsidRPr="00870D5B">
        <w:rPr>
          <w:rFonts w:cs="Times New Roman"/>
          <w:szCs w:val="22"/>
        </w:rPr>
        <w:t xml:space="preserve">. Dan, it’s been… a </w:t>
      </w:r>
      <w:r w:rsidRPr="00870D5B">
        <w:rPr>
          <w:rFonts w:cs="Times New Roman"/>
          <w:szCs w:val="22"/>
        </w:rPr>
        <w:lastRenderedPageBreak/>
        <w:t>ride. Thank you for your unwavering support through all three (!) of my academic degrees. Even though our relationship has evolved significantly, you’ve always made sure that I know you believe in me and my abilities. Thank you for challenging me to push my intellectual, academic and social limits. I would not have become the academic I am today (or, more importantly, the person that I have become over the course of my adult life so far) without your influence in my life.</w:t>
      </w:r>
    </w:p>
    <w:p w14:paraId="44C05511" w14:textId="0897B9C8" w:rsidR="00870D5B" w:rsidRPr="00870D5B" w:rsidRDefault="00870D5B" w:rsidP="00870D5B">
      <w:pPr>
        <w:ind w:firstLine="720"/>
        <w:rPr>
          <w:rFonts w:cs="Times New Roman"/>
          <w:szCs w:val="22"/>
        </w:rPr>
      </w:pPr>
      <w:r w:rsidRPr="00870D5B">
        <w:rPr>
          <w:rFonts w:cs="Times New Roman"/>
          <w:szCs w:val="22"/>
        </w:rPr>
        <w:t xml:space="preserve">I wouldn’t have developed any of (what I hope are) the more nuanced perspectives that I hold on international issues without </w:t>
      </w:r>
      <w:r w:rsidRPr="00870D5B">
        <w:rPr>
          <w:rFonts w:cs="Times New Roman"/>
          <w:b/>
          <w:bCs/>
          <w:szCs w:val="22"/>
        </w:rPr>
        <w:t>Mimas Al-Rayyan</w:t>
      </w:r>
      <w:r w:rsidRPr="00870D5B">
        <w:rPr>
          <w:rFonts w:cs="Times New Roman"/>
          <w:szCs w:val="22"/>
        </w:rPr>
        <w:t>. Mimas, over the years the example that you set has taught me to challenge implicitly held political beliefs and inspired me to take positions that are just (if unpopular). Moreover, you have shown me what it really means to care about people unconditionally and treat them with respect even in situations of fundamental, irreconcilable disagreement. One day, I hope to be able to handle difficult situations with half of the confidence, grace and tact that you have displayed throughout the years we’ve known each other. The aforementioned notwithstanding (and above all else), thank you for being a friend to me when I needed friendship the most.</w:t>
      </w:r>
    </w:p>
    <w:p w14:paraId="1C42A500" w14:textId="4746F7A8" w:rsidR="00870D5B" w:rsidRPr="00870D5B" w:rsidRDefault="00870D5B" w:rsidP="00870D5B">
      <w:pPr>
        <w:ind w:firstLine="720"/>
        <w:rPr>
          <w:rFonts w:cs="Times New Roman"/>
          <w:szCs w:val="22"/>
        </w:rPr>
      </w:pPr>
      <w:r w:rsidRPr="00870D5B">
        <w:rPr>
          <w:rFonts w:cs="Times New Roman"/>
          <w:szCs w:val="22"/>
        </w:rPr>
        <w:t xml:space="preserve">I also need to thank </w:t>
      </w:r>
      <w:r w:rsidRPr="00870D5B">
        <w:rPr>
          <w:rFonts w:cs="Times New Roman"/>
          <w:b/>
          <w:bCs/>
          <w:szCs w:val="22"/>
        </w:rPr>
        <w:t>Sam Jowett</w:t>
      </w:r>
      <w:r w:rsidRPr="00870D5B">
        <w:rPr>
          <w:rFonts w:cs="Times New Roman"/>
          <w:szCs w:val="22"/>
        </w:rPr>
        <w:t xml:space="preserve">, my long-suffering colleague-turned-skating-partner, who has held </w:t>
      </w:r>
      <w:r w:rsidRPr="00870D5B">
        <w:rPr>
          <w:rFonts w:cs="Times New Roman"/>
          <w:i/>
          <w:iCs/>
          <w:szCs w:val="22"/>
        </w:rPr>
        <w:t>at least</w:t>
      </w:r>
      <w:r w:rsidRPr="00870D5B">
        <w:rPr>
          <w:rFonts w:cs="Times New Roman"/>
          <w:szCs w:val="22"/>
        </w:rPr>
        <w:t xml:space="preserve"> half of the key to my ability to cope through Model UN coaching craziness, comprehensive examination preparation, dissertation writing and more since 2017. Sam, thanks for all of the hours that you spent on the phone listening to me vent, the pre-COVID 19 downtown restaurant adventures, the early morning wake-up calls (without which we probably wouldn’t have made it to the rink), your willingness to try just about anything (both on the ice and in the real world), all of the last minute proofreading and editing, and most of all: for always having my back (even when I was probably – at least partially – in the wrong). I would never have made it through the last bunch of years without you in my life.</w:t>
      </w:r>
    </w:p>
    <w:p w14:paraId="5269B75C" w14:textId="3FBEE7A7" w:rsidR="00870D5B" w:rsidRPr="00870D5B" w:rsidRDefault="00870D5B" w:rsidP="00870D5B">
      <w:pPr>
        <w:ind w:firstLine="720"/>
        <w:rPr>
          <w:rFonts w:cs="Times New Roman"/>
          <w:szCs w:val="22"/>
        </w:rPr>
      </w:pPr>
      <w:r w:rsidRPr="00870D5B">
        <w:rPr>
          <w:rFonts w:cs="Times New Roman"/>
          <w:szCs w:val="22"/>
        </w:rPr>
        <w:t xml:space="preserve">On a related note, I want to acknowledge the roles that my figure skating coaches (past and present – but in particular </w:t>
      </w:r>
      <w:r w:rsidRPr="00870D5B">
        <w:rPr>
          <w:rFonts w:cs="Times New Roman"/>
          <w:b/>
          <w:bCs/>
          <w:szCs w:val="22"/>
        </w:rPr>
        <w:t>Megan Saunders</w:t>
      </w:r>
      <w:r w:rsidRPr="00870D5B">
        <w:rPr>
          <w:rFonts w:cs="Times New Roman"/>
          <w:szCs w:val="22"/>
        </w:rPr>
        <w:t xml:space="preserve"> and </w:t>
      </w:r>
      <w:proofErr w:type="spellStart"/>
      <w:r w:rsidRPr="00870D5B">
        <w:rPr>
          <w:rFonts w:cs="Times New Roman"/>
          <w:b/>
          <w:bCs/>
          <w:szCs w:val="22"/>
        </w:rPr>
        <w:t>Tophie</w:t>
      </w:r>
      <w:proofErr w:type="spellEnd"/>
      <w:r w:rsidRPr="00870D5B">
        <w:rPr>
          <w:rFonts w:cs="Times New Roman"/>
          <w:b/>
          <w:bCs/>
          <w:szCs w:val="22"/>
        </w:rPr>
        <w:t xml:space="preserve"> Davies</w:t>
      </w:r>
      <w:r w:rsidRPr="00870D5B">
        <w:rPr>
          <w:rFonts w:cs="Times New Roman"/>
          <w:szCs w:val="22"/>
        </w:rPr>
        <w:t xml:space="preserve">) have played in giving me structure and support. You are able to highlight the little ways that I have improved on days when I feel like nothing is going well. Crucially, you are able to see me for me at times when I otherwise feel invisible. Thank you for helping me remember that there is life outside of academia, and for helping me redefine who and what I am. Megan, thank you for the hours that you put into working on my basic skating skills – and, in particular, for never showing frustration or giving up on me when it took me months to pick up on little things you were trying to teach me. </w:t>
      </w:r>
      <w:proofErr w:type="spellStart"/>
      <w:r w:rsidRPr="00870D5B">
        <w:rPr>
          <w:rFonts w:cs="Times New Roman"/>
          <w:szCs w:val="22"/>
        </w:rPr>
        <w:t>Tophie</w:t>
      </w:r>
      <w:proofErr w:type="spellEnd"/>
      <w:r w:rsidRPr="00870D5B">
        <w:rPr>
          <w:rFonts w:cs="Times New Roman"/>
          <w:szCs w:val="22"/>
        </w:rPr>
        <w:t>, thank you for your willingness to talk through dissertation ideas (and for being willing to listen to my Ph.D. rants), and for letting me have my notes (and coffee) at the boards during my ice time. (I promise I’ll start using my ice time properly again soon!)</w:t>
      </w:r>
    </w:p>
    <w:p w14:paraId="33289578" w14:textId="19C9BBC6" w:rsidR="00870D5B" w:rsidRPr="00870D5B" w:rsidRDefault="00870D5B" w:rsidP="00870D5B">
      <w:pPr>
        <w:rPr>
          <w:rFonts w:cs="Times New Roman"/>
          <w:szCs w:val="22"/>
        </w:rPr>
      </w:pPr>
      <w:r w:rsidRPr="00870D5B">
        <w:rPr>
          <w:rFonts w:cs="Times New Roman"/>
          <w:szCs w:val="22"/>
        </w:rPr>
        <w:t>Now, for my family…</w:t>
      </w:r>
    </w:p>
    <w:p w14:paraId="52518E94" w14:textId="6B35670E" w:rsidR="00870D5B" w:rsidRPr="00870D5B" w:rsidRDefault="00870D5B" w:rsidP="00870D5B">
      <w:pPr>
        <w:ind w:firstLine="720"/>
        <w:rPr>
          <w:rFonts w:cs="Times New Roman"/>
          <w:color w:val="000000" w:themeColor="text1"/>
          <w:szCs w:val="22"/>
        </w:rPr>
      </w:pPr>
      <w:r w:rsidRPr="00870D5B">
        <w:rPr>
          <w:rFonts w:cs="Times New Roman"/>
          <w:szCs w:val="22"/>
        </w:rPr>
        <w:t xml:space="preserve">First, to </w:t>
      </w:r>
      <w:r w:rsidRPr="00870D5B">
        <w:rPr>
          <w:rFonts w:cs="Times New Roman"/>
          <w:b/>
          <w:bCs/>
          <w:szCs w:val="22"/>
        </w:rPr>
        <w:t>Alex Petit-Thorne</w:t>
      </w:r>
      <w:r w:rsidRPr="00870D5B">
        <w:rPr>
          <w:rFonts w:cs="Times New Roman"/>
          <w:szCs w:val="22"/>
        </w:rPr>
        <w:t xml:space="preserve">, who has been (and continues to be) so much more than a best friend. Alex, I met you when I was going through the </w:t>
      </w:r>
      <w:r w:rsidRPr="00870D5B">
        <w:rPr>
          <w:rFonts w:cs="Times New Roman"/>
          <w:color w:val="000000" w:themeColor="text1"/>
          <w:szCs w:val="22"/>
        </w:rPr>
        <w:t>most difficult period in my life so far, and you almost instantly became an anchor and stepped up to support me despite everything you were also dealing with at the time. You’re the strongest person I know – you’re incredibly hardworking, and a brilliant academic and writer. Moreover, you always finish what you start, and consistently go above and beyond for your friends. Since I started to work on this dissertation, you’ve challenged me by asking me the hard questions about what my research is doing, and my dissertation is so much better due to all of your input. Alex, thank you for being the incredible person that you are, who I aspire to emulate, and who I am so lucky to have met and be able to call my best friend (and my kids’ ‘Ti’).</w:t>
      </w:r>
    </w:p>
    <w:p w14:paraId="723686F4" w14:textId="77723D5D" w:rsidR="00870D5B" w:rsidRPr="00870D5B" w:rsidRDefault="00870D5B" w:rsidP="00870D5B">
      <w:pPr>
        <w:ind w:firstLine="720"/>
        <w:rPr>
          <w:rFonts w:cs="Times New Roman"/>
          <w:color w:val="000000" w:themeColor="text1"/>
          <w:szCs w:val="22"/>
        </w:rPr>
      </w:pPr>
      <w:r w:rsidRPr="00870D5B">
        <w:rPr>
          <w:rFonts w:cs="Times New Roman"/>
          <w:color w:val="000000" w:themeColor="text1"/>
          <w:szCs w:val="22"/>
        </w:rPr>
        <w:t xml:space="preserve">Next, to </w:t>
      </w:r>
      <w:proofErr w:type="spellStart"/>
      <w:r w:rsidRPr="00870D5B">
        <w:rPr>
          <w:rFonts w:cs="Times New Roman"/>
          <w:b/>
          <w:bCs/>
          <w:color w:val="000000" w:themeColor="text1"/>
          <w:szCs w:val="22"/>
        </w:rPr>
        <w:t>Samaikya</w:t>
      </w:r>
      <w:proofErr w:type="spellEnd"/>
      <w:r w:rsidRPr="00870D5B">
        <w:rPr>
          <w:rFonts w:cs="Times New Roman"/>
          <w:b/>
          <w:bCs/>
          <w:color w:val="000000" w:themeColor="text1"/>
          <w:szCs w:val="22"/>
        </w:rPr>
        <w:t xml:space="preserve"> Karri</w:t>
      </w:r>
      <w:r w:rsidRPr="00870D5B">
        <w:rPr>
          <w:rFonts w:cs="Times New Roman"/>
          <w:color w:val="000000" w:themeColor="text1"/>
          <w:szCs w:val="22"/>
        </w:rPr>
        <w:t xml:space="preserve">. </w:t>
      </w:r>
      <w:proofErr w:type="spellStart"/>
      <w:r w:rsidRPr="00870D5B">
        <w:rPr>
          <w:rFonts w:cs="Times New Roman"/>
          <w:color w:val="000000" w:themeColor="text1"/>
          <w:szCs w:val="22"/>
        </w:rPr>
        <w:t>Samaikya</w:t>
      </w:r>
      <w:proofErr w:type="spellEnd"/>
      <w:r w:rsidRPr="00870D5B">
        <w:rPr>
          <w:rFonts w:cs="Times New Roman"/>
          <w:color w:val="000000" w:themeColor="text1"/>
          <w:szCs w:val="22"/>
        </w:rPr>
        <w:t>, you’ve been the person-of-everything for every conference that we’ve run together since we met in 2014. Somewhere along the line, you became my person-of-everything as well</w:t>
      </w:r>
      <w:r w:rsidR="0088526D">
        <w:rPr>
          <w:rFonts w:cs="Times New Roman"/>
          <w:color w:val="000000" w:themeColor="text1"/>
          <w:szCs w:val="22"/>
        </w:rPr>
        <w:t>. (Sorry, not sorry.)</w:t>
      </w:r>
      <w:r w:rsidRPr="00870D5B">
        <w:rPr>
          <w:rFonts w:cs="Times New Roman"/>
          <w:color w:val="000000" w:themeColor="text1"/>
          <w:szCs w:val="22"/>
        </w:rPr>
        <w:t xml:space="preserve"> </w:t>
      </w:r>
      <w:r w:rsidR="0088526D">
        <w:rPr>
          <w:rFonts w:cs="Times New Roman"/>
          <w:color w:val="000000" w:themeColor="text1"/>
          <w:szCs w:val="22"/>
        </w:rPr>
        <w:t>Y</w:t>
      </w:r>
      <w:r w:rsidRPr="00870D5B">
        <w:rPr>
          <w:rFonts w:cs="Times New Roman"/>
          <w:color w:val="000000" w:themeColor="text1"/>
          <w:szCs w:val="22"/>
        </w:rPr>
        <w:t xml:space="preserve">ou’re one of the people I’m closest to and I’ve really relied on your help and support throughout this Ph.D. Thank you for your unflinching willingness to brainstorm quantitative methodology and double, triple and quadruple check calculations at ungodly hours of the night. Moreover, thank you for choosing to be my (our) family. The role that you play in my life (and in </w:t>
      </w:r>
      <w:r w:rsidRPr="00870D5B">
        <w:rPr>
          <w:rFonts w:cs="Times New Roman"/>
          <w:color w:val="000000" w:themeColor="text1"/>
          <w:szCs w:val="22"/>
        </w:rPr>
        <w:lastRenderedPageBreak/>
        <w:t xml:space="preserve">Avram, Jamie, Callie and </w:t>
      </w:r>
      <w:proofErr w:type="spellStart"/>
      <w:r w:rsidRPr="00870D5B">
        <w:rPr>
          <w:rFonts w:cs="Times New Roman"/>
          <w:color w:val="000000" w:themeColor="text1"/>
          <w:szCs w:val="22"/>
        </w:rPr>
        <w:t>Macky’s</w:t>
      </w:r>
      <w:proofErr w:type="spellEnd"/>
      <w:r w:rsidRPr="00870D5B">
        <w:rPr>
          <w:rFonts w:cs="Times New Roman"/>
          <w:color w:val="000000" w:themeColor="text1"/>
          <w:szCs w:val="22"/>
        </w:rPr>
        <w:t xml:space="preserve"> lives) exemplifies what I think a “chosen family” relationship should look like, and I’m so honored that you decided that it was worth your while to be that for us. </w:t>
      </w:r>
    </w:p>
    <w:p w14:paraId="5D173149" w14:textId="5046F649" w:rsidR="00870D5B" w:rsidRPr="00870D5B" w:rsidRDefault="00870D5B" w:rsidP="00870D5B">
      <w:pPr>
        <w:ind w:firstLine="720"/>
        <w:rPr>
          <w:rFonts w:cs="Times New Roman"/>
          <w:szCs w:val="22"/>
        </w:rPr>
      </w:pPr>
      <w:r w:rsidRPr="00870D5B">
        <w:rPr>
          <w:rFonts w:cs="Times New Roman"/>
          <w:szCs w:val="22"/>
        </w:rPr>
        <w:t xml:space="preserve">To my mom, </w:t>
      </w:r>
      <w:r w:rsidRPr="00870D5B">
        <w:rPr>
          <w:rFonts w:cs="Times New Roman"/>
          <w:b/>
          <w:bCs/>
          <w:szCs w:val="22"/>
        </w:rPr>
        <w:t>Deborah Glogauer</w:t>
      </w:r>
      <w:r w:rsidRPr="00870D5B">
        <w:rPr>
          <w:rFonts w:cs="Times New Roman"/>
          <w:szCs w:val="22"/>
        </w:rPr>
        <w:t xml:space="preserve">. Mom, there’s so much I could say here, but I think what deserves the most acknowledgement (in the context of not just this dissertation but my overall academic career so far!) is how hard you worked to teach me the importance perseverance – and in particular, of finishing what I start. Something else I need to mention that comes in at a close second is your refusal to let me drop French class once I got to high school. I’d never have been able to put together the abstract for this dissertation without your insistence that I be at least somewhat proficient at writing in French! </w:t>
      </w:r>
    </w:p>
    <w:p w14:paraId="4281BA8C" w14:textId="4D633BC4" w:rsidR="00870D5B" w:rsidRPr="00870D5B" w:rsidRDefault="00870D5B" w:rsidP="00870D5B">
      <w:pPr>
        <w:ind w:firstLine="720"/>
        <w:rPr>
          <w:rFonts w:cs="Times New Roman"/>
          <w:szCs w:val="22"/>
        </w:rPr>
      </w:pPr>
      <w:r w:rsidRPr="00870D5B">
        <w:rPr>
          <w:rFonts w:cs="Times New Roman"/>
          <w:szCs w:val="22"/>
        </w:rPr>
        <w:t xml:space="preserve">To my dad, </w:t>
      </w:r>
      <w:r w:rsidRPr="00870D5B">
        <w:rPr>
          <w:rFonts w:cs="Times New Roman"/>
          <w:b/>
          <w:bCs/>
          <w:szCs w:val="22"/>
        </w:rPr>
        <w:t>Michael Glogauer</w:t>
      </w:r>
      <w:r w:rsidRPr="00870D5B">
        <w:rPr>
          <w:rFonts w:cs="Times New Roman"/>
          <w:szCs w:val="22"/>
        </w:rPr>
        <w:t>. Dad, I’ve said most of what I admire and love about my dad in my dedication, and talked about how much I’ve benefitted from his unwavering support and guidance in my academic career so far. All that’s left to say is that I’ve finally learned that a Ph.D. does not equal getting ice cream (as we thought as kids). Getting my Ph.D. has led me to marvel even more at all of your efforts and achievements. I’m so proud to be your daughter.</w:t>
      </w:r>
    </w:p>
    <w:p w14:paraId="40B4CB96" w14:textId="72F8A198" w:rsidR="00870D5B" w:rsidRPr="00870D5B" w:rsidRDefault="00870D5B" w:rsidP="00870D5B">
      <w:pPr>
        <w:ind w:firstLine="720"/>
        <w:rPr>
          <w:rFonts w:cs="Times New Roman"/>
          <w:szCs w:val="22"/>
        </w:rPr>
      </w:pPr>
      <w:r w:rsidRPr="00870D5B">
        <w:rPr>
          <w:rFonts w:cs="Times New Roman"/>
          <w:szCs w:val="22"/>
        </w:rPr>
        <w:t xml:space="preserve">To my grandparents, </w:t>
      </w:r>
      <w:r w:rsidRPr="00870D5B">
        <w:rPr>
          <w:rFonts w:cs="Times New Roman"/>
          <w:b/>
          <w:bCs/>
          <w:szCs w:val="22"/>
        </w:rPr>
        <w:t xml:space="preserve">Beverly and Harold </w:t>
      </w:r>
      <w:proofErr w:type="spellStart"/>
      <w:r w:rsidRPr="00870D5B">
        <w:rPr>
          <w:rFonts w:cs="Times New Roman"/>
          <w:b/>
          <w:bCs/>
          <w:szCs w:val="22"/>
        </w:rPr>
        <w:t>Shifman</w:t>
      </w:r>
      <w:proofErr w:type="spellEnd"/>
      <w:r w:rsidRPr="00870D5B">
        <w:rPr>
          <w:rFonts w:cs="Times New Roman"/>
          <w:szCs w:val="22"/>
        </w:rPr>
        <w:t xml:space="preserve">. Bubby and </w:t>
      </w:r>
      <w:proofErr w:type="spellStart"/>
      <w:r w:rsidRPr="00870D5B">
        <w:rPr>
          <w:rFonts w:cs="Times New Roman"/>
          <w:szCs w:val="22"/>
        </w:rPr>
        <w:t>Zaidy</w:t>
      </w:r>
      <w:proofErr w:type="spellEnd"/>
      <w:r w:rsidRPr="00870D5B">
        <w:rPr>
          <w:rFonts w:cs="Times New Roman"/>
          <w:szCs w:val="22"/>
        </w:rPr>
        <w:t>, your support means the world to me, and I’m so glad that you were able to see me defend this dissertation. Most, importantly, thank you for insisting that I stop by your condo on my way to and from Kingston every week. (Those may have been the only proper meals I ate throughout coursework!)</w:t>
      </w:r>
    </w:p>
    <w:p w14:paraId="72AF503F" w14:textId="475C4ACA" w:rsidR="00870D5B" w:rsidRPr="00870D5B" w:rsidRDefault="00870D5B" w:rsidP="00870D5B">
      <w:pPr>
        <w:ind w:firstLine="720"/>
        <w:rPr>
          <w:rFonts w:cs="Times New Roman"/>
          <w:szCs w:val="22"/>
        </w:rPr>
      </w:pPr>
      <w:r w:rsidRPr="00870D5B">
        <w:rPr>
          <w:rFonts w:cs="Times New Roman"/>
          <w:szCs w:val="22"/>
        </w:rPr>
        <w:t xml:space="preserve">To my (Avram’s) aunt, </w:t>
      </w:r>
      <w:r w:rsidRPr="00870D5B">
        <w:rPr>
          <w:rFonts w:cs="Times New Roman"/>
          <w:b/>
          <w:bCs/>
          <w:szCs w:val="22"/>
        </w:rPr>
        <w:t xml:space="preserve">Dr. Karen </w:t>
      </w:r>
      <w:proofErr w:type="spellStart"/>
      <w:r w:rsidRPr="00870D5B">
        <w:rPr>
          <w:rFonts w:cs="Times New Roman"/>
          <w:b/>
          <w:bCs/>
          <w:szCs w:val="22"/>
        </w:rPr>
        <w:t>Pearlston</w:t>
      </w:r>
      <w:proofErr w:type="spellEnd"/>
      <w:r w:rsidRPr="00870D5B">
        <w:rPr>
          <w:rFonts w:cs="Times New Roman"/>
          <w:szCs w:val="22"/>
        </w:rPr>
        <w:t>. Aunt Karen, you have always made yourself available to give both academic and personal advice and support, no matter what was going on in your world, many provinces away. Thank you for being an academic role model and a mentor – someone who I hope to emulate one day. Above all else, thank you for treating me like family. For deciding that I was your niece since long before I married your nephew. Your love and support played a huge role in getting me through the last few bumps in the long road that was this Ph.D.</w:t>
      </w:r>
    </w:p>
    <w:p w14:paraId="6E51BC84" w14:textId="3AAE09EA" w:rsidR="00870D5B" w:rsidRPr="00870D5B" w:rsidRDefault="00870D5B" w:rsidP="00870D5B">
      <w:pPr>
        <w:ind w:firstLine="720"/>
        <w:rPr>
          <w:rFonts w:cs="Times New Roman"/>
          <w:szCs w:val="22"/>
        </w:rPr>
      </w:pPr>
      <w:r w:rsidRPr="00870D5B">
        <w:rPr>
          <w:rFonts w:cs="Times New Roman"/>
          <w:szCs w:val="22"/>
        </w:rPr>
        <w:t>Finally… (second) last but very far from least:</w:t>
      </w:r>
      <w:r w:rsidRPr="00870D5B">
        <w:rPr>
          <w:rFonts w:cs="Times New Roman"/>
          <w:b/>
          <w:bCs/>
          <w:szCs w:val="22"/>
        </w:rPr>
        <w:t xml:space="preserve"> </w:t>
      </w:r>
      <w:r w:rsidRPr="00870D5B">
        <w:rPr>
          <w:rFonts w:cs="Times New Roman"/>
          <w:szCs w:val="22"/>
        </w:rPr>
        <w:t xml:space="preserve">to my husband and (long-suffering) best friend, </w:t>
      </w:r>
      <w:r w:rsidRPr="00870D5B">
        <w:rPr>
          <w:rFonts w:cs="Times New Roman"/>
          <w:b/>
          <w:bCs/>
          <w:szCs w:val="22"/>
        </w:rPr>
        <w:t>Avram Heisler</w:t>
      </w:r>
      <w:r w:rsidRPr="00870D5B">
        <w:rPr>
          <w:rFonts w:cs="Times New Roman"/>
          <w:szCs w:val="22"/>
        </w:rPr>
        <w:t>. Avram, since we met in 2013 you’ve pushed me to become a better, more thoughtful and more consistent person and scholar. You’ve challenged me to push the boundaries of my critical thinking beyond what I thought was possible. You’ve read, reread and edited countless drafts of papers, presentations, and dissertation chapters. You’ve spent countless hours on calls listening to me vent, and providing support (sometimes from continents away). You were, and continue to be, my inspiration for everything I’ve accomplished academically. Without you, I’d never have started this crazy journey to begin with. So, I guess what I’m really saying, is thank you for telling me to “just go write it yourself, then,” way back in November 2015. I can’t tell you how much it means to me that you kept the ship that is our household steady so that I could get through the final stages of this process, to finish (!) this dissertation. I love you so much. (You’re still the best scholar that I know.)</w:t>
      </w:r>
    </w:p>
    <w:p w14:paraId="39F578EA" w14:textId="064C3A7B" w:rsidR="00870D5B" w:rsidRPr="0088526D" w:rsidRDefault="00870D5B" w:rsidP="0088526D">
      <w:pPr>
        <w:ind w:firstLine="720"/>
        <w:rPr>
          <w:rFonts w:cs="Times New Roman"/>
          <w:b/>
          <w:bCs/>
          <w:szCs w:val="22"/>
        </w:rPr>
        <w:sectPr w:rsidR="00870D5B" w:rsidRPr="0088526D" w:rsidSect="00870D5B">
          <w:headerReference w:type="even" r:id="rId8"/>
          <w:headerReference w:type="default" r:id="rId9"/>
          <w:headerReference w:type="first" r:id="rId10"/>
          <w:pgSz w:w="12240" w:h="15840"/>
          <w:pgMar w:top="1440" w:right="1440" w:bottom="1440" w:left="1440" w:header="708" w:footer="708" w:gutter="0"/>
          <w:pgNumType w:fmt="lowerRoman" w:start="2"/>
          <w:cols w:space="708"/>
          <w:titlePg/>
          <w:docGrid w:linePitch="360"/>
        </w:sectPr>
      </w:pPr>
      <w:r w:rsidRPr="00870D5B">
        <w:rPr>
          <w:rFonts w:cs="Times New Roman"/>
          <w:szCs w:val="22"/>
        </w:rPr>
        <w:t xml:space="preserve">Here, I should also acknowledge my amazing </w:t>
      </w:r>
      <w:r w:rsidR="0088526D">
        <w:rPr>
          <w:rFonts w:cs="Times New Roman"/>
          <w:szCs w:val="22"/>
        </w:rPr>
        <w:t>children</w:t>
      </w:r>
      <w:r w:rsidRPr="00870D5B">
        <w:rPr>
          <w:rFonts w:cs="Times New Roman"/>
          <w:szCs w:val="22"/>
        </w:rPr>
        <w:t xml:space="preserve">: </w:t>
      </w:r>
      <w:r w:rsidRPr="00870D5B">
        <w:rPr>
          <w:rFonts w:cs="Times New Roman"/>
          <w:b/>
          <w:bCs/>
          <w:szCs w:val="22"/>
        </w:rPr>
        <w:t>(Hannah), James, Caroline, and Michaela</w:t>
      </w:r>
      <w:r w:rsidRPr="00870D5B">
        <w:rPr>
          <w:rFonts w:cs="Times New Roman"/>
          <w:szCs w:val="22"/>
        </w:rPr>
        <w:t xml:space="preserve">. Everything I do, I do for you. Always know that you can accomplish anything that you set out to accomplish, and that the only barriers to that are those that </w:t>
      </w:r>
      <w:r w:rsidRPr="0088526D">
        <w:rPr>
          <w:rFonts w:cs="Times New Roman"/>
          <w:i/>
          <w:iCs/>
          <w:szCs w:val="22"/>
        </w:rPr>
        <w:t>we</w:t>
      </w:r>
      <w:r w:rsidRPr="00870D5B">
        <w:rPr>
          <w:rFonts w:cs="Times New Roman"/>
          <w:szCs w:val="22"/>
        </w:rPr>
        <w:t xml:space="preserve"> place</w:t>
      </w:r>
      <w:r w:rsidR="0088526D">
        <w:rPr>
          <w:rFonts w:cs="Times New Roman"/>
          <w:szCs w:val="22"/>
        </w:rPr>
        <w:t xml:space="preserve">, </w:t>
      </w:r>
      <w:r w:rsidRPr="00870D5B">
        <w:rPr>
          <w:rFonts w:cs="Times New Roman"/>
          <w:szCs w:val="22"/>
        </w:rPr>
        <w:t>or let others place, in front of us.</w:t>
      </w:r>
      <w:r w:rsidR="0088526D">
        <w:rPr>
          <w:rFonts w:cs="Times New Roman"/>
          <w:b/>
          <w:bCs/>
          <w:szCs w:val="22"/>
        </w:rPr>
        <w:t xml:space="preserve"> </w:t>
      </w:r>
      <w:r w:rsidR="0088526D" w:rsidRPr="0088526D">
        <w:rPr>
          <w:rFonts w:cs="Times New Roman"/>
          <w:szCs w:val="22"/>
        </w:rPr>
        <w:t xml:space="preserve">I love you </w:t>
      </w:r>
      <w:r w:rsidR="0088526D">
        <w:rPr>
          <w:rFonts w:cs="Times New Roman"/>
          <w:szCs w:val="22"/>
        </w:rPr>
        <w:t xml:space="preserve">guys </w:t>
      </w:r>
      <w:r w:rsidR="0088526D" w:rsidRPr="0088526D">
        <w:rPr>
          <w:rFonts w:cs="Times New Roman"/>
          <w:szCs w:val="22"/>
        </w:rPr>
        <w:t>forever</w:t>
      </w:r>
      <w:r w:rsidR="0088526D">
        <w:rPr>
          <w:rFonts w:cs="Times New Roman"/>
          <w:szCs w:val="22"/>
        </w:rPr>
        <w:t xml:space="preserve"> and </w:t>
      </w:r>
      <w:proofErr w:type="spellStart"/>
      <w:r w:rsidR="0088526D">
        <w:rPr>
          <w:rFonts w:cs="Times New Roman"/>
          <w:szCs w:val="22"/>
        </w:rPr>
        <w:t>mostest</w:t>
      </w:r>
      <w:proofErr w:type="spellEnd"/>
      <w:r w:rsidR="0088526D">
        <w:rPr>
          <w:rFonts w:cs="Times New Roman"/>
          <w:szCs w:val="22"/>
        </w:rPr>
        <w:t>.</w:t>
      </w:r>
    </w:p>
    <w:p w14:paraId="2C1641E2" w14:textId="00750785" w:rsidR="002E4DC0" w:rsidRDefault="002E4DC0" w:rsidP="002E4DC0">
      <w:pPr>
        <w:pStyle w:val="DissertationChapterName"/>
      </w:pPr>
      <w:bookmarkStart w:id="1" w:name="_Toc175413106"/>
      <w:r>
        <w:lastRenderedPageBreak/>
        <w:t>Abstract</w:t>
      </w:r>
      <w:bookmarkEnd w:id="1"/>
    </w:p>
    <w:p w14:paraId="57B8A3A2" w14:textId="77777777" w:rsidR="00670CE3" w:rsidRDefault="00670CE3"/>
    <w:p w14:paraId="616A5D3C" w14:textId="77777777" w:rsidR="00670CE3" w:rsidRPr="00637A9B" w:rsidRDefault="00670CE3" w:rsidP="00670CE3">
      <w:pPr>
        <w:ind w:firstLine="720"/>
        <w:rPr>
          <w:rFonts w:cs="Times New Roman"/>
        </w:rPr>
      </w:pPr>
      <w:r w:rsidRPr="00637A9B">
        <w:rPr>
          <w:rFonts w:cs="Times New Roman"/>
        </w:rPr>
        <w:t xml:space="preserve">In this study, I seek to answer the questions of whether and how terrorism succeeds in relation to the way that media coverage frames terrorism in the news coverage of terrorism produced by Reuters, the Associated Press (AP), and </w:t>
      </w:r>
      <w:proofErr w:type="spellStart"/>
      <w:r w:rsidRPr="00637A9B">
        <w:rPr>
          <w:rFonts w:cs="Times New Roman"/>
        </w:rPr>
        <w:t>Agence</w:t>
      </w:r>
      <w:proofErr w:type="spellEnd"/>
      <w:r w:rsidRPr="00637A9B">
        <w:rPr>
          <w:rFonts w:cs="Times New Roman"/>
        </w:rPr>
        <w:t xml:space="preserve"> France-Presse (AFP) between January 1, 2012, and January 31, 2018. Here, ‘success’ is predicated on terrorists’ ability to undermine international (state) legitimacy, where legitimacy constitutes the legality of actions taken, the justification associated with these actions, and the state’s constituents’ consent to its continued governance. In exploring the relationship between media coverage, (state) legitimacy, and terrorism, I revisit the scholarly and policy debates associated with defining terrorism, International Relations (IR) scholarship that ties together notions of legitimacy and statehood, and academic literature about the relationship between terrorism and the media. I use my description and analysis of these debates (the subject of Chapters 3, 4 and 5) to provide for the way that I operationally define media coverage of terrorism (my independent variable) and international (state) legitimacy (my dependent variable) for the purposes of mixed methods analysis. To that end, I conduct multivariable data analysis (MVA) consisting of concurrent Spearman correlations, simple linear regression analyses, and the calculation of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r w:rsidRPr="00637A9B">
        <w:rPr>
          <w:rFonts w:eastAsiaTheme="minorEastAsia" w:cs="Times New Roman"/>
        </w:rPr>
        <w:t xml:space="preserve"> (the coefficient of determination) to suggest </w:t>
      </w:r>
      <w:r w:rsidRPr="00637A9B">
        <w:rPr>
          <w:rFonts w:eastAsiaTheme="minorEastAsia" w:cs="Times New Roman"/>
          <w:i/>
          <w:iCs/>
        </w:rPr>
        <w:t>whether</w:t>
      </w:r>
      <w:r w:rsidRPr="00637A9B">
        <w:rPr>
          <w:rFonts w:eastAsiaTheme="minorEastAsia" w:cs="Times New Roman"/>
        </w:rPr>
        <w:t xml:space="preserve"> there is a negative correlation between media coverage of terrorism and international (state) legitimacy in Chapter 6. I expand on the results I describe in Chapter 6 by using basic statistical methods (including the calculation of the </w:t>
      </w:r>
      <m:oMath>
        <m:r>
          <w:rPr>
            <w:rFonts w:ascii="Cambria Math" w:eastAsiaTheme="minorEastAsia" w:hAnsi="Cambria Math" w:cs="Times New Roman"/>
          </w:rPr>
          <m:t>t</m:t>
        </m:r>
      </m:oMath>
      <w:r w:rsidRPr="00637A9B">
        <w:rPr>
          <w:rFonts w:eastAsiaTheme="minorEastAsia" w:cs="Times New Roman"/>
        </w:rPr>
        <w:t xml:space="preserve">-scores associated with the ratio of terrorist incidents perpetrated on a given date to media bulletins relating to terrorism published on that same date) to narrow down my seven-year sample to specific dates that saw the publication of a disproportionate amount of media coverage of terrorism. The media bulletins published on the 7 high coverage and 35 low coverage dates that I identify using these calculations establishes a smaller sample of 2,276 media bulletins. Then, I use </w:t>
      </w:r>
      <w:proofErr w:type="spellStart"/>
      <w:r w:rsidRPr="00637A9B">
        <w:rPr>
          <w:rFonts w:cs="Times New Roman"/>
        </w:rPr>
        <w:t>Provalis</w:t>
      </w:r>
      <w:proofErr w:type="spellEnd"/>
      <w:r w:rsidRPr="00637A9B">
        <w:rPr>
          <w:rFonts w:cs="Times New Roman"/>
        </w:rPr>
        <w:t xml:space="preserve"> Research’s </w:t>
      </w:r>
      <w:proofErr w:type="spellStart"/>
      <w:r w:rsidRPr="00637A9B">
        <w:rPr>
          <w:rFonts w:cs="Times New Roman"/>
        </w:rPr>
        <w:t>QDAMiner</w:t>
      </w:r>
      <w:proofErr w:type="spellEnd"/>
      <w:r w:rsidRPr="00637A9B">
        <w:rPr>
          <w:rFonts w:cs="Times New Roman"/>
        </w:rPr>
        <w:t xml:space="preserve"> and </w:t>
      </w:r>
      <w:proofErr w:type="spellStart"/>
      <w:r w:rsidRPr="00637A9B">
        <w:rPr>
          <w:rFonts w:cs="Times New Roman"/>
        </w:rPr>
        <w:t>WordStat</w:t>
      </w:r>
      <w:proofErr w:type="spellEnd"/>
      <w:r w:rsidRPr="00637A9B">
        <w:rPr>
          <w:rFonts w:cs="Times New Roman"/>
        </w:rPr>
        <w:t xml:space="preserve"> software packages to detect and identify instances of bias in this smaller sample, ultimately using critical discourse analysis (CDA) in conjunction with media framing approaches that emphasize the role of perceptions, biases, and pre-existing knowledge in influencing information conveyed through written media to examine the different ways media coverage depicts terrorism. After this Chapter 7 discussion about </w:t>
      </w:r>
      <w:r w:rsidRPr="00637A9B">
        <w:rPr>
          <w:rFonts w:cs="Times New Roman"/>
          <w:bCs/>
          <w:i/>
          <w:iCs/>
          <w:color w:val="000000" w:themeColor="text1"/>
        </w:rPr>
        <w:t>how</w:t>
      </w:r>
      <w:r w:rsidRPr="00637A9B">
        <w:rPr>
          <w:rFonts w:cs="Times New Roman"/>
          <w:bCs/>
          <w:color w:val="000000" w:themeColor="text1"/>
        </w:rPr>
        <w:t xml:space="preserve"> media coverage of terrorism damages (state) legitimacy, I compare and contrast the instructions regarding journalistic depictions of terrorism provided by Reuters, AP and AFP’s style guides by both analyzing the three style guides in relation to one another, </w:t>
      </w:r>
      <w:r w:rsidRPr="00637A9B">
        <w:rPr>
          <w:rFonts w:cs="Times New Roman"/>
          <w:bCs/>
          <w:i/>
          <w:iCs/>
          <w:color w:val="000000" w:themeColor="text1"/>
        </w:rPr>
        <w:t xml:space="preserve">and </w:t>
      </w:r>
      <w:r w:rsidRPr="00637A9B">
        <w:rPr>
          <w:rFonts w:cs="Times New Roman"/>
          <w:bCs/>
          <w:color w:val="000000" w:themeColor="text1"/>
        </w:rPr>
        <w:t>examining to what extent each news agency’s portrayal of terrorism in its published media bulletins actually accords with the guidelines outlined in its style guide. Finally, I conclude this study by using the insight gleaned from this Chapter 8 comparative analysis to draw policy-relevant conclusions about the interplay between terrorism and the mass media.</w:t>
      </w:r>
    </w:p>
    <w:p w14:paraId="72810753" w14:textId="1F4C3E5F" w:rsidR="002E4DC0" w:rsidRPr="00670CE3" w:rsidRDefault="00670CE3">
      <w:pPr>
        <w:rPr>
          <w:rFonts w:eastAsiaTheme="minorEastAsia" w:cs="Times New Roman"/>
        </w:rPr>
      </w:pPr>
      <w:r w:rsidRPr="00637A9B">
        <w:rPr>
          <w:rFonts w:eastAsiaTheme="minorEastAsia" w:cs="Times New Roman"/>
        </w:rPr>
        <w:br w:type="page"/>
      </w:r>
    </w:p>
    <w:p w14:paraId="6ACDF5AA" w14:textId="47BC7F6C" w:rsidR="002E4DC0" w:rsidRPr="002E4DC0" w:rsidRDefault="002E4DC0" w:rsidP="002E4DC0">
      <w:pPr>
        <w:pStyle w:val="DissertationChapterName"/>
        <w:rPr>
          <w:rFonts w:eastAsiaTheme="minorEastAsia"/>
        </w:rPr>
      </w:pPr>
      <w:bookmarkStart w:id="2" w:name="_Toc175413107"/>
      <w:r>
        <w:rPr>
          <w:rFonts w:eastAsiaTheme="minorEastAsia"/>
        </w:rPr>
        <w:lastRenderedPageBreak/>
        <w:t>Resumé</w:t>
      </w:r>
      <w:bookmarkEnd w:id="2"/>
    </w:p>
    <w:p w14:paraId="02029510" w14:textId="77777777" w:rsidR="001E2BE4" w:rsidRDefault="001E2BE4" w:rsidP="001E2BE4">
      <w:pPr>
        <w:ind w:firstLine="720"/>
        <w:rPr>
          <w:rFonts w:eastAsia="Times New Roman" w:cs="Times New Roman"/>
          <w:color w:val="000000"/>
        </w:rPr>
      </w:pPr>
    </w:p>
    <w:p w14:paraId="1F02A04E" w14:textId="77777777" w:rsidR="009276FA" w:rsidRPr="009276FA" w:rsidRDefault="009276FA" w:rsidP="009276FA">
      <w:pPr>
        <w:ind w:firstLine="720"/>
        <w:rPr>
          <w:rFonts w:eastAsia="Times New Roman" w:cs="Times New Roman"/>
          <w:color w:val="000000"/>
          <w:lang w:val="fr-CA"/>
        </w:rPr>
      </w:pPr>
      <w:r w:rsidRPr="009276FA">
        <w:rPr>
          <w:rFonts w:eastAsia="Times New Roman" w:cs="Times New Roman"/>
          <w:color w:val="000000"/>
          <w:lang w:val="fr-CA"/>
        </w:rPr>
        <w:t xml:space="preserve">Dans cette étude, nous visons à répondre aux questions connexes de savoir si et comment le terrorisme réussit, en raison de la manière dont la couverture médiatique produite par Reuters, l’Associated </w:t>
      </w:r>
      <w:proofErr w:type="spellStart"/>
      <w:r w:rsidRPr="009276FA">
        <w:rPr>
          <w:rFonts w:eastAsia="Times New Roman" w:cs="Times New Roman"/>
          <w:color w:val="000000"/>
          <w:lang w:val="fr-CA"/>
        </w:rPr>
        <w:t>Press</w:t>
      </w:r>
      <w:proofErr w:type="spellEnd"/>
      <w:r w:rsidRPr="009276FA">
        <w:rPr>
          <w:rFonts w:eastAsia="Times New Roman" w:cs="Times New Roman"/>
          <w:color w:val="000000"/>
          <w:lang w:val="fr-CA"/>
        </w:rPr>
        <w:t xml:space="preserve"> (AP) et l’Agence France-Presse (AFP) entre le 1 janvier 2012 et le 31 décembre 2018 présente le terrorisme par rapport à l’État. Dans ce contexte, ‘la réussite’ constitue la capacité des terroristes à saper la légitimité internationale de l’État. Alors, nous conceptualisons la légitimité en fonction de la légalité des actions de l’État, de la justification associée à ces actions, et du consentement des constituants de l’État à la gouvernance continue de l’État. L’examen de l’interaction entre la couverture médiatique, la légitimité de l’État et le terrorisme, nous oblige à revisiter les débats académiques et politiques sur la définition du terrorisme, les ouvrages académiques qui relient les notions de légitimité et d’État, ainsi que la littérature sur la relation entre le terrorisme et les médias. La description et l’analyse de ces débats (le sujet de chapitres 3, 4 et 5) sera utilisée pour définir opérationnellement la variable indépendante (la couverture médiatique du terrorisme) et la variable dépendante (la légitimité de l’État) dans le contexte d’une combinaison des méthodes qualitatives et quantitatives que nous utilisons pour mener cette étude. Sera ainsi effectuée l’analyse exploratoire des données (AED) multivariée qui comprend calcul simultané des coefficients de corrélation de classement de </w:t>
      </w:r>
      <w:r w:rsidRPr="009276FA">
        <w:rPr>
          <w:rFonts w:eastAsiaTheme="minorEastAsia" w:cs="Times New Roman"/>
          <w:lang w:val="fr-CA"/>
        </w:rPr>
        <w:t>Spearman (</w:t>
      </w:r>
      <m:oMath>
        <m:r>
          <w:rPr>
            <w:rFonts w:ascii="Cambria Math" w:eastAsiaTheme="minorEastAsia" w:hAnsi="Cambria Math" w:cs="Times New Roman"/>
          </w:rPr>
          <m:t>ρ</m:t>
        </m:r>
      </m:oMath>
      <w:r w:rsidRPr="009276FA">
        <w:rPr>
          <w:rFonts w:eastAsiaTheme="minorEastAsia" w:cs="Times New Roman"/>
          <w:lang w:val="fr-CA"/>
        </w:rPr>
        <w:t>)</w:t>
      </w:r>
      <w:r w:rsidRPr="009276FA">
        <w:rPr>
          <w:rFonts w:eastAsia="Times New Roman" w:cs="Times New Roman"/>
          <w:color w:val="000000"/>
          <w:lang w:val="fr-CA"/>
        </w:rPr>
        <w:t>, des analyses de régression linéaire simple, et le calcul de </w:t>
      </w:r>
      <w:r w:rsidRPr="009276FA">
        <w:rPr>
          <w:rFonts w:eastAsia="Times New Roman" w:cs="Times New Roman"/>
          <w:color w:val="000000"/>
        </w:rPr>
        <w:fldChar w:fldCharType="begin"/>
      </w:r>
      <w:r w:rsidRPr="009276FA">
        <w:rPr>
          <w:rFonts w:eastAsia="Times New Roman" w:cs="Times New Roman"/>
          <w:color w:val="000000"/>
          <w:lang w:val="fr-CA"/>
        </w:rPr>
        <w:instrText xml:space="preserve"> INCLUDEPICTURE "blob:https://languagetool.org/4374720a-4f5d-48eb-bbb7-98b8c2cbfdb7" \* MERGEFORMATINET </w:instrText>
      </w:r>
      <w:r w:rsidR="00000000">
        <w:rPr>
          <w:rFonts w:eastAsia="Times New Roman" w:cs="Times New Roman"/>
          <w:color w:val="000000"/>
        </w:rPr>
        <w:fldChar w:fldCharType="separate"/>
      </w:r>
      <w:r w:rsidRPr="009276FA">
        <w:rPr>
          <w:rFonts w:eastAsia="Times New Roman" w:cs="Times New Roman"/>
          <w:color w:val="000000"/>
        </w:rPr>
        <w:fldChar w:fldCharType="end"/>
      </w:r>
      <m:oMath>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lang w:val="fr-CA"/>
              </w:rPr>
              <m:t>2</m:t>
            </m:r>
          </m:sup>
        </m:sSup>
      </m:oMath>
      <w:r w:rsidRPr="009276FA">
        <w:rPr>
          <w:rFonts w:eastAsiaTheme="minorEastAsia" w:cs="Times New Roman"/>
          <w:lang w:val="fr-CA"/>
        </w:rPr>
        <w:t xml:space="preserve"> (le coefficient de détermination) </w:t>
      </w:r>
      <w:r w:rsidRPr="009276FA">
        <w:rPr>
          <w:rFonts w:eastAsia="Times New Roman" w:cs="Times New Roman"/>
          <w:color w:val="000000"/>
          <w:lang w:val="fr-CA"/>
        </w:rPr>
        <w:t xml:space="preserve">pour voir s’il existe une corrélation négative entre la couverture médiatique du terrorisme et la légitimité de l’État dans le chapitre 6. Nous élargissons les résultats décrits au chapitre 6 par l’emploi des méthodes statistiques de base (y compris le calcul des </w:t>
      </w:r>
      <w:r w:rsidRPr="009276FA">
        <w:rPr>
          <w:rFonts w:eastAsiaTheme="minorEastAsia" w:cs="Times New Roman"/>
          <w:lang w:val="fr-CA"/>
        </w:rPr>
        <w:t>statistiques-</w:t>
      </w:r>
      <m:oMath>
        <m:r>
          <w:rPr>
            <w:rFonts w:ascii="Cambria Math" w:eastAsiaTheme="minorEastAsia" w:hAnsi="Cambria Math" w:cs="Times New Roman"/>
          </w:rPr>
          <m:t>T</m:t>
        </m:r>
      </m:oMath>
      <w:r w:rsidRPr="009276FA">
        <w:rPr>
          <w:rFonts w:eastAsia="Times New Roman" w:cs="Times New Roman"/>
          <w:color w:val="000000"/>
          <w:lang w:val="fr-CA"/>
        </w:rPr>
        <w:t xml:space="preserve"> associé avec le ratio des attentats terroristes entre la publication des communiquées de presse à une date précise) pour ramener l’échantillon de sept ans aux dates spécifiques correspondant à la somme disproportionnée de couvertures médiatiques du terrorisme. Les communiqués de presse publiés pendant les 7 jours avec le plus de médiatisation et les 35 jours avec le moins de médiatisation que nous définissons à l’aide de ces calculs permettent d’obtenir un petit échantillon de 2,276 communiqués de presse. Ensuite, nous utiliserons les logiciels de </w:t>
      </w:r>
      <w:proofErr w:type="spellStart"/>
      <w:r w:rsidRPr="009276FA">
        <w:rPr>
          <w:rFonts w:eastAsia="Times New Roman" w:cs="Times New Roman"/>
          <w:color w:val="000000"/>
          <w:lang w:val="fr-CA"/>
        </w:rPr>
        <w:t>Provalis</w:t>
      </w:r>
      <w:proofErr w:type="spellEnd"/>
      <w:r w:rsidRPr="009276FA">
        <w:rPr>
          <w:rFonts w:eastAsia="Times New Roman" w:cs="Times New Roman"/>
          <w:color w:val="000000"/>
          <w:lang w:val="fr-CA"/>
        </w:rPr>
        <w:t xml:space="preserve"> </w:t>
      </w:r>
      <w:proofErr w:type="spellStart"/>
      <w:r w:rsidRPr="009276FA">
        <w:rPr>
          <w:rFonts w:eastAsia="Times New Roman" w:cs="Times New Roman"/>
          <w:color w:val="000000"/>
          <w:lang w:val="fr-CA"/>
        </w:rPr>
        <w:t>Research</w:t>
      </w:r>
      <w:proofErr w:type="spellEnd"/>
      <w:r w:rsidRPr="009276FA">
        <w:rPr>
          <w:rFonts w:eastAsia="Times New Roman" w:cs="Times New Roman"/>
          <w:color w:val="000000"/>
          <w:lang w:val="fr-CA"/>
        </w:rPr>
        <w:t xml:space="preserve">, </w:t>
      </w:r>
      <w:proofErr w:type="spellStart"/>
      <w:r w:rsidRPr="009276FA">
        <w:rPr>
          <w:rFonts w:eastAsia="Times New Roman" w:cs="Times New Roman"/>
          <w:color w:val="000000"/>
          <w:lang w:val="fr-CA"/>
        </w:rPr>
        <w:t>QDAMiner</w:t>
      </w:r>
      <w:proofErr w:type="spellEnd"/>
      <w:r w:rsidRPr="009276FA">
        <w:rPr>
          <w:rFonts w:eastAsia="Times New Roman" w:cs="Times New Roman"/>
          <w:color w:val="000000"/>
          <w:lang w:val="fr-CA"/>
        </w:rPr>
        <w:t xml:space="preserve"> et </w:t>
      </w:r>
      <w:proofErr w:type="spellStart"/>
      <w:r w:rsidRPr="009276FA">
        <w:rPr>
          <w:rFonts w:eastAsia="Times New Roman" w:cs="Times New Roman"/>
          <w:color w:val="000000"/>
          <w:lang w:val="fr-CA"/>
        </w:rPr>
        <w:t>WordStat</w:t>
      </w:r>
      <w:proofErr w:type="spellEnd"/>
      <w:r w:rsidRPr="009276FA">
        <w:rPr>
          <w:rFonts w:eastAsia="Times New Roman" w:cs="Times New Roman"/>
          <w:color w:val="000000"/>
          <w:lang w:val="fr-CA"/>
        </w:rPr>
        <w:t xml:space="preserve">, afin de détecter et d’identifier les cas de biais dans ce petit échantillon, pour finalement utiliser l'analyse critique du discours (ACD) en conjonction avec les approches de cadrage médiatique qui mettent l'accent sur le rôle des perceptions, des préjugés et des connaissances préexistantes sur l'influence des informations véhiculées par les médias écrits et examiner les différentes manières dont la couverture médiatique dépeint le terrorisme. Après la discussion sur la manière dont la couverture médiatique du terrorisme porte atteinte à la légitimité de l’État (au chapitre 7), nous comparerons et contrasterons les instructions concernant les représentations journalistiques du terrorisme fournies par les guides de style de Reuters, l’AP et l’AFP en analysant les trois guides de style les uns par rapport aux autres et en examinant dans quelle mesure la représentation du terrorisme par chaque agence de presse dans ses bulletins médiatiques publiés correspond effectivement aux directives énoncées dans son guide de style. Enfin, nous </w:t>
      </w:r>
      <w:proofErr w:type="spellStart"/>
      <w:r w:rsidRPr="009276FA">
        <w:rPr>
          <w:rFonts w:eastAsia="Times New Roman" w:cs="Times New Roman"/>
          <w:color w:val="000000"/>
          <w:lang w:val="fr-CA"/>
        </w:rPr>
        <w:t>concluerons</w:t>
      </w:r>
      <w:proofErr w:type="spellEnd"/>
      <w:r w:rsidRPr="009276FA">
        <w:rPr>
          <w:rFonts w:eastAsia="Times New Roman" w:cs="Times New Roman"/>
          <w:color w:val="000000"/>
          <w:lang w:val="fr-CA"/>
        </w:rPr>
        <w:t xml:space="preserve"> cette étude en utilisant les apports de l’analyse comparative décrite au chapitre 8 pour parvenir à des conclusions portant sur les politiques pertinentes sur l’interaction entre le terrorisme et la couverture médiatique.</w:t>
      </w:r>
    </w:p>
    <w:p w14:paraId="0AEDC50D" w14:textId="77777777" w:rsidR="009276FA" w:rsidRPr="00880AD8" w:rsidRDefault="009276FA">
      <w:pPr>
        <w:spacing w:before="0" w:after="0"/>
        <w:rPr>
          <w:rFonts w:eastAsia="Arial Unicode MS" w:cs="Times New Roman"/>
          <w:b/>
          <w:bCs/>
          <w:color w:val="000000"/>
          <w:szCs w:val="22"/>
          <w:u w:color="000000"/>
          <w:bdr w:val="nil"/>
          <w:lang w:val="en-US"/>
        </w:rPr>
      </w:pPr>
      <w:r>
        <w:rPr>
          <w:rFonts w:cs="Times New Roman"/>
          <w:b/>
          <w:bCs/>
          <w:sz w:val="24"/>
        </w:rPr>
        <w:br w:type="page"/>
      </w:r>
    </w:p>
    <w:p w14:paraId="0F31C7D6" w14:textId="77777777" w:rsidR="00446A06" w:rsidRDefault="008F49A1" w:rsidP="00870D5B">
      <w:pPr>
        <w:pStyle w:val="BodyA"/>
        <w:spacing w:before="120" w:after="120"/>
        <w:jc w:val="center"/>
        <w:rPr>
          <w:noProof/>
        </w:rPr>
      </w:pPr>
      <w:r w:rsidRPr="00880AD8">
        <w:rPr>
          <w:rFonts w:ascii="Times New Roman" w:hAnsi="Times New Roman" w:cs="Times New Roman"/>
          <w:b/>
          <w:bCs/>
        </w:rPr>
        <w:lastRenderedPageBreak/>
        <w:t>Table of Contents</w:t>
      </w:r>
      <w:r w:rsidR="00937600" w:rsidRPr="00880AD8">
        <w:rPr>
          <w:rFonts w:ascii="Times New Roman" w:hAnsi="Times New Roman" w:cs="Times New Roman"/>
          <w:b/>
          <w:bCs/>
        </w:rPr>
        <w:fldChar w:fldCharType="begin"/>
      </w:r>
      <w:r w:rsidR="00937600" w:rsidRPr="00880AD8">
        <w:rPr>
          <w:rFonts w:ascii="Times New Roman" w:hAnsi="Times New Roman" w:cs="Times New Roman"/>
          <w:b/>
          <w:bCs/>
        </w:rPr>
        <w:instrText xml:space="preserve"> TOC \h \z \t "Dissertation Chapter Name,1,Dissertation Section 1,2,Dissertation Section 2,3,Dissertation Section 3,4" </w:instrText>
      </w:r>
      <w:r w:rsidR="00937600" w:rsidRPr="00880AD8">
        <w:rPr>
          <w:rFonts w:ascii="Times New Roman" w:hAnsi="Times New Roman" w:cs="Times New Roman"/>
          <w:b/>
          <w:bCs/>
        </w:rPr>
        <w:fldChar w:fldCharType="separate"/>
      </w:r>
    </w:p>
    <w:p w14:paraId="4793FAA3" w14:textId="10E503FB"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06" w:history="1">
        <w:r w:rsidR="00446A06" w:rsidRPr="000863E1">
          <w:rPr>
            <w:rStyle w:val="Hyperlink"/>
            <w:noProof/>
          </w:rPr>
          <w:t>Abstract</w:t>
        </w:r>
        <w:r w:rsidR="00446A06">
          <w:rPr>
            <w:noProof/>
            <w:webHidden/>
          </w:rPr>
          <w:tab/>
        </w:r>
        <w:r w:rsidR="00446A06">
          <w:rPr>
            <w:noProof/>
            <w:webHidden/>
          </w:rPr>
          <w:fldChar w:fldCharType="begin"/>
        </w:r>
        <w:r w:rsidR="00446A06">
          <w:rPr>
            <w:noProof/>
            <w:webHidden/>
          </w:rPr>
          <w:instrText xml:space="preserve"> PAGEREF _Toc175413106 \h </w:instrText>
        </w:r>
        <w:r w:rsidR="00446A06">
          <w:rPr>
            <w:noProof/>
            <w:webHidden/>
          </w:rPr>
        </w:r>
        <w:r w:rsidR="00446A06">
          <w:rPr>
            <w:noProof/>
            <w:webHidden/>
          </w:rPr>
          <w:fldChar w:fldCharType="separate"/>
        </w:r>
        <w:r w:rsidR="0088526D">
          <w:rPr>
            <w:noProof/>
            <w:webHidden/>
          </w:rPr>
          <w:t>ii</w:t>
        </w:r>
        <w:r w:rsidR="00446A06">
          <w:rPr>
            <w:noProof/>
            <w:webHidden/>
          </w:rPr>
          <w:fldChar w:fldCharType="end"/>
        </w:r>
      </w:hyperlink>
    </w:p>
    <w:p w14:paraId="13030739" w14:textId="0BC048A0"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07" w:history="1">
        <w:r w:rsidR="00446A06" w:rsidRPr="000863E1">
          <w:rPr>
            <w:rStyle w:val="Hyperlink"/>
            <w:noProof/>
          </w:rPr>
          <w:t>Resumé</w:t>
        </w:r>
        <w:r w:rsidR="00446A06">
          <w:rPr>
            <w:noProof/>
            <w:webHidden/>
          </w:rPr>
          <w:tab/>
        </w:r>
        <w:r w:rsidR="00446A06">
          <w:rPr>
            <w:noProof/>
            <w:webHidden/>
          </w:rPr>
          <w:fldChar w:fldCharType="begin"/>
        </w:r>
        <w:r w:rsidR="00446A06">
          <w:rPr>
            <w:noProof/>
            <w:webHidden/>
          </w:rPr>
          <w:instrText xml:space="preserve"> PAGEREF _Toc175413107 \h </w:instrText>
        </w:r>
        <w:r w:rsidR="00446A06">
          <w:rPr>
            <w:noProof/>
            <w:webHidden/>
          </w:rPr>
        </w:r>
        <w:r w:rsidR="00446A06">
          <w:rPr>
            <w:noProof/>
            <w:webHidden/>
          </w:rPr>
          <w:fldChar w:fldCharType="separate"/>
        </w:r>
        <w:r w:rsidR="0088526D">
          <w:rPr>
            <w:noProof/>
            <w:webHidden/>
          </w:rPr>
          <w:t>iii</w:t>
        </w:r>
        <w:r w:rsidR="00446A06">
          <w:rPr>
            <w:noProof/>
            <w:webHidden/>
          </w:rPr>
          <w:fldChar w:fldCharType="end"/>
        </w:r>
      </w:hyperlink>
    </w:p>
    <w:p w14:paraId="7638DE89" w14:textId="518FD7BE"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08" w:history="1">
        <w:r w:rsidR="00446A06" w:rsidRPr="000863E1">
          <w:rPr>
            <w:rStyle w:val="Hyperlink"/>
            <w:noProof/>
          </w:rPr>
          <w:t>List of Tables</w:t>
        </w:r>
        <w:r w:rsidR="00446A06">
          <w:rPr>
            <w:noProof/>
            <w:webHidden/>
          </w:rPr>
          <w:tab/>
        </w:r>
        <w:r w:rsidR="00446A06">
          <w:rPr>
            <w:noProof/>
            <w:webHidden/>
          </w:rPr>
          <w:fldChar w:fldCharType="begin"/>
        </w:r>
        <w:r w:rsidR="00446A06">
          <w:rPr>
            <w:noProof/>
            <w:webHidden/>
          </w:rPr>
          <w:instrText xml:space="preserve"> PAGEREF _Toc175413108 \h </w:instrText>
        </w:r>
        <w:r w:rsidR="00446A06">
          <w:rPr>
            <w:noProof/>
            <w:webHidden/>
          </w:rPr>
        </w:r>
        <w:r w:rsidR="00446A06">
          <w:rPr>
            <w:noProof/>
            <w:webHidden/>
          </w:rPr>
          <w:fldChar w:fldCharType="separate"/>
        </w:r>
        <w:r w:rsidR="0088526D">
          <w:rPr>
            <w:noProof/>
            <w:webHidden/>
          </w:rPr>
          <w:t>vii</w:t>
        </w:r>
        <w:r w:rsidR="00446A06">
          <w:rPr>
            <w:noProof/>
            <w:webHidden/>
          </w:rPr>
          <w:fldChar w:fldCharType="end"/>
        </w:r>
      </w:hyperlink>
    </w:p>
    <w:p w14:paraId="7EBE1CE2" w14:textId="43ADBEED"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09" w:history="1">
        <w:r w:rsidR="00446A06" w:rsidRPr="000863E1">
          <w:rPr>
            <w:rStyle w:val="Hyperlink"/>
            <w:noProof/>
          </w:rPr>
          <w:t>List of Figures</w:t>
        </w:r>
        <w:r w:rsidR="00446A06">
          <w:rPr>
            <w:noProof/>
            <w:webHidden/>
          </w:rPr>
          <w:tab/>
        </w:r>
        <w:r w:rsidR="00446A06">
          <w:rPr>
            <w:noProof/>
            <w:webHidden/>
          </w:rPr>
          <w:fldChar w:fldCharType="begin"/>
        </w:r>
        <w:r w:rsidR="00446A06">
          <w:rPr>
            <w:noProof/>
            <w:webHidden/>
          </w:rPr>
          <w:instrText xml:space="preserve"> PAGEREF _Toc175413109 \h </w:instrText>
        </w:r>
        <w:r w:rsidR="00446A06">
          <w:rPr>
            <w:noProof/>
            <w:webHidden/>
          </w:rPr>
        </w:r>
        <w:r w:rsidR="00446A06">
          <w:rPr>
            <w:noProof/>
            <w:webHidden/>
          </w:rPr>
          <w:fldChar w:fldCharType="separate"/>
        </w:r>
        <w:r w:rsidR="0088526D">
          <w:rPr>
            <w:noProof/>
            <w:webHidden/>
          </w:rPr>
          <w:t>ix</w:t>
        </w:r>
        <w:r w:rsidR="00446A06">
          <w:rPr>
            <w:noProof/>
            <w:webHidden/>
          </w:rPr>
          <w:fldChar w:fldCharType="end"/>
        </w:r>
      </w:hyperlink>
    </w:p>
    <w:p w14:paraId="5E6718B0" w14:textId="54B0DAD1"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10" w:history="1">
        <w:r w:rsidR="00446A06" w:rsidRPr="000863E1">
          <w:rPr>
            <w:rStyle w:val="Hyperlink"/>
            <w:noProof/>
          </w:rPr>
          <w:t>List of Symbols/Nomenclature</w:t>
        </w:r>
        <w:r w:rsidR="00446A06">
          <w:rPr>
            <w:noProof/>
            <w:webHidden/>
          </w:rPr>
          <w:tab/>
        </w:r>
        <w:r w:rsidR="00446A06">
          <w:rPr>
            <w:noProof/>
            <w:webHidden/>
          </w:rPr>
          <w:fldChar w:fldCharType="begin"/>
        </w:r>
        <w:r w:rsidR="00446A06">
          <w:rPr>
            <w:noProof/>
            <w:webHidden/>
          </w:rPr>
          <w:instrText xml:space="preserve"> PAGEREF _Toc175413110 \h </w:instrText>
        </w:r>
        <w:r w:rsidR="00446A06">
          <w:rPr>
            <w:noProof/>
            <w:webHidden/>
          </w:rPr>
        </w:r>
        <w:r w:rsidR="00446A06">
          <w:rPr>
            <w:noProof/>
            <w:webHidden/>
          </w:rPr>
          <w:fldChar w:fldCharType="separate"/>
        </w:r>
        <w:r w:rsidR="0088526D">
          <w:rPr>
            <w:noProof/>
            <w:webHidden/>
          </w:rPr>
          <w:t>x</w:t>
        </w:r>
        <w:r w:rsidR="00446A06">
          <w:rPr>
            <w:noProof/>
            <w:webHidden/>
          </w:rPr>
          <w:fldChar w:fldCharType="end"/>
        </w:r>
      </w:hyperlink>
    </w:p>
    <w:p w14:paraId="342B0B41" w14:textId="3D3FC711"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11" w:history="1">
        <w:r w:rsidR="00446A06" w:rsidRPr="000863E1">
          <w:rPr>
            <w:rStyle w:val="Hyperlink"/>
            <w:noProof/>
          </w:rPr>
          <w:t>List of Abbreviations</w:t>
        </w:r>
        <w:r w:rsidR="00446A06">
          <w:rPr>
            <w:noProof/>
            <w:webHidden/>
          </w:rPr>
          <w:tab/>
        </w:r>
        <w:r w:rsidR="00446A06">
          <w:rPr>
            <w:noProof/>
            <w:webHidden/>
          </w:rPr>
          <w:fldChar w:fldCharType="begin"/>
        </w:r>
        <w:r w:rsidR="00446A06">
          <w:rPr>
            <w:noProof/>
            <w:webHidden/>
          </w:rPr>
          <w:instrText xml:space="preserve"> PAGEREF _Toc175413111 \h </w:instrText>
        </w:r>
        <w:r w:rsidR="00446A06">
          <w:rPr>
            <w:noProof/>
            <w:webHidden/>
          </w:rPr>
        </w:r>
        <w:r w:rsidR="00446A06">
          <w:rPr>
            <w:noProof/>
            <w:webHidden/>
          </w:rPr>
          <w:fldChar w:fldCharType="separate"/>
        </w:r>
        <w:r w:rsidR="0088526D">
          <w:rPr>
            <w:noProof/>
            <w:webHidden/>
          </w:rPr>
          <w:t>xiii</w:t>
        </w:r>
        <w:r w:rsidR="00446A06">
          <w:rPr>
            <w:noProof/>
            <w:webHidden/>
          </w:rPr>
          <w:fldChar w:fldCharType="end"/>
        </w:r>
      </w:hyperlink>
    </w:p>
    <w:p w14:paraId="725B84FE" w14:textId="5E773BBF"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12" w:history="1">
        <w:r w:rsidR="00446A06" w:rsidRPr="000863E1">
          <w:rPr>
            <w:rStyle w:val="Hyperlink"/>
            <w:noProof/>
          </w:rPr>
          <w:t>Glossary of Terms</w:t>
        </w:r>
        <w:r w:rsidR="00446A06">
          <w:rPr>
            <w:noProof/>
            <w:webHidden/>
          </w:rPr>
          <w:tab/>
        </w:r>
        <w:r w:rsidR="00446A06">
          <w:rPr>
            <w:noProof/>
            <w:webHidden/>
          </w:rPr>
          <w:fldChar w:fldCharType="begin"/>
        </w:r>
        <w:r w:rsidR="00446A06">
          <w:rPr>
            <w:noProof/>
            <w:webHidden/>
          </w:rPr>
          <w:instrText xml:space="preserve"> PAGEREF _Toc175413112 \h </w:instrText>
        </w:r>
        <w:r w:rsidR="00446A06">
          <w:rPr>
            <w:noProof/>
            <w:webHidden/>
          </w:rPr>
        </w:r>
        <w:r w:rsidR="00446A06">
          <w:rPr>
            <w:noProof/>
            <w:webHidden/>
          </w:rPr>
          <w:fldChar w:fldCharType="separate"/>
        </w:r>
        <w:r w:rsidR="0088526D">
          <w:rPr>
            <w:noProof/>
            <w:webHidden/>
          </w:rPr>
          <w:t>xv</w:t>
        </w:r>
        <w:r w:rsidR="00446A06">
          <w:rPr>
            <w:noProof/>
            <w:webHidden/>
          </w:rPr>
          <w:fldChar w:fldCharType="end"/>
        </w:r>
      </w:hyperlink>
    </w:p>
    <w:p w14:paraId="3C09EFF2" w14:textId="58430B00"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13" w:history="1">
        <w:r w:rsidR="00446A06" w:rsidRPr="000863E1">
          <w:rPr>
            <w:rStyle w:val="Hyperlink"/>
            <w:noProof/>
          </w:rPr>
          <w:t>Chapter 1 – Introduction</w:t>
        </w:r>
        <w:r w:rsidR="00446A06">
          <w:rPr>
            <w:noProof/>
            <w:webHidden/>
          </w:rPr>
          <w:tab/>
        </w:r>
        <w:r w:rsidR="00446A06">
          <w:rPr>
            <w:noProof/>
            <w:webHidden/>
          </w:rPr>
          <w:fldChar w:fldCharType="begin"/>
        </w:r>
        <w:r w:rsidR="00446A06">
          <w:rPr>
            <w:noProof/>
            <w:webHidden/>
          </w:rPr>
          <w:instrText xml:space="preserve"> PAGEREF _Toc175413113 \h </w:instrText>
        </w:r>
        <w:r w:rsidR="00446A06">
          <w:rPr>
            <w:noProof/>
            <w:webHidden/>
          </w:rPr>
        </w:r>
        <w:r w:rsidR="00446A06">
          <w:rPr>
            <w:noProof/>
            <w:webHidden/>
          </w:rPr>
          <w:fldChar w:fldCharType="separate"/>
        </w:r>
        <w:r w:rsidR="0088526D">
          <w:rPr>
            <w:noProof/>
            <w:webHidden/>
          </w:rPr>
          <w:t>1</w:t>
        </w:r>
        <w:r w:rsidR="00446A06">
          <w:rPr>
            <w:noProof/>
            <w:webHidden/>
          </w:rPr>
          <w:fldChar w:fldCharType="end"/>
        </w:r>
      </w:hyperlink>
    </w:p>
    <w:p w14:paraId="6446F180" w14:textId="58FB7454"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14" w:history="1">
        <w:r w:rsidR="00446A06" w:rsidRPr="000863E1">
          <w:rPr>
            <w:rStyle w:val="Hyperlink"/>
            <w:noProof/>
          </w:rPr>
          <w:t>Chapter 2 – Methodology</w:t>
        </w:r>
        <w:r w:rsidR="00446A06">
          <w:rPr>
            <w:noProof/>
            <w:webHidden/>
          </w:rPr>
          <w:tab/>
        </w:r>
        <w:r w:rsidR="00446A06">
          <w:rPr>
            <w:noProof/>
            <w:webHidden/>
          </w:rPr>
          <w:fldChar w:fldCharType="begin"/>
        </w:r>
        <w:r w:rsidR="00446A06">
          <w:rPr>
            <w:noProof/>
            <w:webHidden/>
          </w:rPr>
          <w:instrText xml:space="preserve"> PAGEREF _Toc175413114 \h </w:instrText>
        </w:r>
        <w:r w:rsidR="00446A06">
          <w:rPr>
            <w:noProof/>
            <w:webHidden/>
          </w:rPr>
        </w:r>
        <w:r w:rsidR="00446A06">
          <w:rPr>
            <w:noProof/>
            <w:webHidden/>
          </w:rPr>
          <w:fldChar w:fldCharType="separate"/>
        </w:r>
        <w:r w:rsidR="0088526D">
          <w:rPr>
            <w:noProof/>
            <w:webHidden/>
          </w:rPr>
          <w:t>7</w:t>
        </w:r>
        <w:r w:rsidR="00446A06">
          <w:rPr>
            <w:noProof/>
            <w:webHidden/>
          </w:rPr>
          <w:fldChar w:fldCharType="end"/>
        </w:r>
      </w:hyperlink>
    </w:p>
    <w:p w14:paraId="10ABAC7F" w14:textId="46FC04E3"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15" w:history="1">
        <w:r w:rsidR="00446A06" w:rsidRPr="000863E1">
          <w:rPr>
            <w:rStyle w:val="Hyperlink"/>
            <w:noProof/>
          </w:rPr>
          <w:t>Justification for Mixed-Methods Approach</w:t>
        </w:r>
        <w:r w:rsidR="00446A06">
          <w:rPr>
            <w:noProof/>
            <w:webHidden/>
          </w:rPr>
          <w:tab/>
        </w:r>
        <w:r w:rsidR="00446A06">
          <w:rPr>
            <w:noProof/>
            <w:webHidden/>
          </w:rPr>
          <w:fldChar w:fldCharType="begin"/>
        </w:r>
        <w:r w:rsidR="00446A06">
          <w:rPr>
            <w:noProof/>
            <w:webHidden/>
          </w:rPr>
          <w:instrText xml:space="preserve"> PAGEREF _Toc175413115 \h </w:instrText>
        </w:r>
        <w:r w:rsidR="00446A06">
          <w:rPr>
            <w:noProof/>
            <w:webHidden/>
          </w:rPr>
        </w:r>
        <w:r w:rsidR="00446A06">
          <w:rPr>
            <w:noProof/>
            <w:webHidden/>
          </w:rPr>
          <w:fldChar w:fldCharType="separate"/>
        </w:r>
        <w:r w:rsidR="0088526D">
          <w:rPr>
            <w:noProof/>
            <w:webHidden/>
          </w:rPr>
          <w:t>7</w:t>
        </w:r>
        <w:r w:rsidR="00446A06">
          <w:rPr>
            <w:noProof/>
            <w:webHidden/>
          </w:rPr>
          <w:fldChar w:fldCharType="end"/>
        </w:r>
      </w:hyperlink>
    </w:p>
    <w:p w14:paraId="25053451" w14:textId="3764C651"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16" w:history="1">
        <w:r w:rsidR="00446A06" w:rsidRPr="000863E1">
          <w:rPr>
            <w:rStyle w:val="Hyperlink"/>
            <w:noProof/>
          </w:rPr>
          <w:t>Justification for Sampling Frame</w:t>
        </w:r>
        <w:r w:rsidR="00446A06">
          <w:rPr>
            <w:noProof/>
            <w:webHidden/>
          </w:rPr>
          <w:tab/>
        </w:r>
        <w:r w:rsidR="00446A06">
          <w:rPr>
            <w:noProof/>
            <w:webHidden/>
          </w:rPr>
          <w:fldChar w:fldCharType="begin"/>
        </w:r>
        <w:r w:rsidR="00446A06">
          <w:rPr>
            <w:noProof/>
            <w:webHidden/>
          </w:rPr>
          <w:instrText xml:space="preserve"> PAGEREF _Toc175413116 \h </w:instrText>
        </w:r>
        <w:r w:rsidR="00446A06">
          <w:rPr>
            <w:noProof/>
            <w:webHidden/>
          </w:rPr>
        </w:r>
        <w:r w:rsidR="00446A06">
          <w:rPr>
            <w:noProof/>
            <w:webHidden/>
          </w:rPr>
          <w:fldChar w:fldCharType="separate"/>
        </w:r>
        <w:r w:rsidR="0088526D">
          <w:rPr>
            <w:noProof/>
            <w:webHidden/>
          </w:rPr>
          <w:t>8</w:t>
        </w:r>
        <w:r w:rsidR="00446A06">
          <w:rPr>
            <w:noProof/>
            <w:webHidden/>
          </w:rPr>
          <w:fldChar w:fldCharType="end"/>
        </w:r>
      </w:hyperlink>
    </w:p>
    <w:p w14:paraId="53B4D965" w14:textId="4887900C"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17" w:history="1">
        <w:r w:rsidR="00446A06" w:rsidRPr="000863E1">
          <w:rPr>
            <w:rStyle w:val="Hyperlink"/>
            <w:noProof/>
          </w:rPr>
          <w:t>Research Question and Hypothesis</w:t>
        </w:r>
        <w:r w:rsidR="00446A06">
          <w:rPr>
            <w:noProof/>
            <w:webHidden/>
          </w:rPr>
          <w:tab/>
        </w:r>
        <w:r w:rsidR="00446A06">
          <w:rPr>
            <w:noProof/>
            <w:webHidden/>
          </w:rPr>
          <w:fldChar w:fldCharType="begin"/>
        </w:r>
        <w:r w:rsidR="00446A06">
          <w:rPr>
            <w:noProof/>
            <w:webHidden/>
          </w:rPr>
          <w:instrText xml:space="preserve"> PAGEREF _Toc175413117 \h </w:instrText>
        </w:r>
        <w:r w:rsidR="00446A06">
          <w:rPr>
            <w:noProof/>
            <w:webHidden/>
          </w:rPr>
        </w:r>
        <w:r w:rsidR="00446A06">
          <w:rPr>
            <w:noProof/>
            <w:webHidden/>
          </w:rPr>
          <w:fldChar w:fldCharType="separate"/>
        </w:r>
        <w:r w:rsidR="0088526D">
          <w:rPr>
            <w:noProof/>
            <w:webHidden/>
          </w:rPr>
          <w:t>8</w:t>
        </w:r>
        <w:r w:rsidR="00446A06">
          <w:rPr>
            <w:noProof/>
            <w:webHidden/>
          </w:rPr>
          <w:fldChar w:fldCharType="end"/>
        </w:r>
      </w:hyperlink>
    </w:p>
    <w:p w14:paraId="5C04ECF4" w14:textId="1174EF1A"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18" w:history="1">
        <w:r w:rsidR="00446A06" w:rsidRPr="000863E1">
          <w:rPr>
            <w:rStyle w:val="Hyperlink"/>
            <w:noProof/>
          </w:rPr>
          <w:t>Chapter 6’s Quantitative Research Design</w:t>
        </w:r>
        <w:r w:rsidR="00446A06">
          <w:rPr>
            <w:noProof/>
            <w:webHidden/>
          </w:rPr>
          <w:tab/>
        </w:r>
        <w:r w:rsidR="00446A06">
          <w:rPr>
            <w:noProof/>
            <w:webHidden/>
          </w:rPr>
          <w:fldChar w:fldCharType="begin"/>
        </w:r>
        <w:r w:rsidR="00446A06">
          <w:rPr>
            <w:noProof/>
            <w:webHidden/>
          </w:rPr>
          <w:instrText xml:space="preserve"> PAGEREF _Toc175413118 \h </w:instrText>
        </w:r>
        <w:r w:rsidR="00446A06">
          <w:rPr>
            <w:noProof/>
            <w:webHidden/>
          </w:rPr>
        </w:r>
        <w:r w:rsidR="00446A06">
          <w:rPr>
            <w:noProof/>
            <w:webHidden/>
          </w:rPr>
          <w:fldChar w:fldCharType="separate"/>
        </w:r>
        <w:r w:rsidR="0088526D">
          <w:rPr>
            <w:noProof/>
            <w:webHidden/>
          </w:rPr>
          <w:t>9</w:t>
        </w:r>
        <w:r w:rsidR="00446A06">
          <w:rPr>
            <w:noProof/>
            <w:webHidden/>
          </w:rPr>
          <w:fldChar w:fldCharType="end"/>
        </w:r>
      </w:hyperlink>
    </w:p>
    <w:p w14:paraId="440330BF" w14:textId="42F2B86C"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19" w:history="1">
        <w:r w:rsidR="00446A06" w:rsidRPr="000863E1">
          <w:rPr>
            <w:rStyle w:val="Hyperlink"/>
            <w:noProof/>
          </w:rPr>
          <w:t>Control Variables</w:t>
        </w:r>
        <w:r w:rsidR="00446A06">
          <w:rPr>
            <w:noProof/>
            <w:webHidden/>
          </w:rPr>
          <w:tab/>
        </w:r>
        <w:r w:rsidR="00446A06">
          <w:rPr>
            <w:noProof/>
            <w:webHidden/>
          </w:rPr>
          <w:fldChar w:fldCharType="begin"/>
        </w:r>
        <w:r w:rsidR="00446A06">
          <w:rPr>
            <w:noProof/>
            <w:webHidden/>
          </w:rPr>
          <w:instrText xml:space="preserve"> PAGEREF _Toc175413119 \h </w:instrText>
        </w:r>
        <w:r w:rsidR="00446A06">
          <w:rPr>
            <w:noProof/>
            <w:webHidden/>
          </w:rPr>
        </w:r>
        <w:r w:rsidR="00446A06">
          <w:rPr>
            <w:noProof/>
            <w:webHidden/>
          </w:rPr>
          <w:fldChar w:fldCharType="separate"/>
        </w:r>
        <w:r w:rsidR="0088526D">
          <w:rPr>
            <w:noProof/>
            <w:webHidden/>
          </w:rPr>
          <w:t>12</w:t>
        </w:r>
        <w:r w:rsidR="00446A06">
          <w:rPr>
            <w:noProof/>
            <w:webHidden/>
          </w:rPr>
          <w:fldChar w:fldCharType="end"/>
        </w:r>
      </w:hyperlink>
    </w:p>
    <w:p w14:paraId="4971DCA3" w14:textId="4CC9F9AE"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20" w:history="1">
        <w:r w:rsidR="00446A06" w:rsidRPr="000863E1">
          <w:rPr>
            <w:rStyle w:val="Hyperlink"/>
            <w:noProof/>
          </w:rPr>
          <w:t>Chapter 7’s Mixed-Methods Research Design</w:t>
        </w:r>
        <w:r w:rsidR="00446A06">
          <w:rPr>
            <w:noProof/>
            <w:webHidden/>
          </w:rPr>
          <w:tab/>
        </w:r>
        <w:r w:rsidR="00446A06">
          <w:rPr>
            <w:noProof/>
            <w:webHidden/>
          </w:rPr>
          <w:fldChar w:fldCharType="begin"/>
        </w:r>
        <w:r w:rsidR="00446A06">
          <w:rPr>
            <w:noProof/>
            <w:webHidden/>
          </w:rPr>
          <w:instrText xml:space="preserve"> PAGEREF _Toc175413120 \h </w:instrText>
        </w:r>
        <w:r w:rsidR="00446A06">
          <w:rPr>
            <w:noProof/>
            <w:webHidden/>
          </w:rPr>
        </w:r>
        <w:r w:rsidR="00446A06">
          <w:rPr>
            <w:noProof/>
            <w:webHidden/>
          </w:rPr>
          <w:fldChar w:fldCharType="separate"/>
        </w:r>
        <w:r w:rsidR="0088526D">
          <w:rPr>
            <w:noProof/>
            <w:webHidden/>
          </w:rPr>
          <w:t>14</w:t>
        </w:r>
        <w:r w:rsidR="00446A06">
          <w:rPr>
            <w:noProof/>
            <w:webHidden/>
          </w:rPr>
          <w:fldChar w:fldCharType="end"/>
        </w:r>
      </w:hyperlink>
    </w:p>
    <w:p w14:paraId="302A3D78" w14:textId="6DF85C53"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21" w:history="1">
        <w:r w:rsidR="00446A06" w:rsidRPr="000863E1">
          <w:rPr>
            <w:rStyle w:val="Hyperlink"/>
            <w:noProof/>
          </w:rPr>
          <w:t>Quantitative Methodology (Statistical Analysis)</w:t>
        </w:r>
        <w:r w:rsidR="00446A06">
          <w:rPr>
            <w:noProof/>
            <w:webHidden/>
          </w:rPr>
          <w:tab/>
        </w:r>
        <w:r w:rsidR="00446A06">
          <w:rPr>
            <w:noProof/>
            <w:webHidden/>
          </w:rPr>
          <w:fldChar w:fldCharType="begin"/>
        </w:r>
        <w:r w:rsidR="00446A06">
          <w:rPr>
            <w:noProof/>
            <w:webHidden/>
          </w:rPr>
          <w:instrText xml:space="preserve"> PAGEREF _Toc175413121 \h </w:instrText>
        </w:r>
        <w:r w:rsidR="00446A06">
          <w:rPr>
            <w:noProof/>
            <w:webHidden/>
          </w:rPr>
        </w:r>
        <w:r w:rsidR="00446A06">
          <w:rPr>
            <w:noProof/>
            <w:webHidden/>
          </w:rPr>
          <w:fldChar w:fldCharType="separate"/>
        </w:r>
        <w:r w:rsidR="0088526D">
          <w:rPr>
            <w:noProof/>
            <w:webHidden/>
          </w:rPr>
          <w:t>14</w:t>
        </w:r>
        <w:r w:rsidR="00446A06">
          <w:rPr>
            <w:noProof/>
            <w:webHidden/>
          </w:rPr>
          <w:fldChar w:fldCharType="end"/>
        </w:r>
      </w:hyperlink>
    </w:p>
    <w:p w14:paraId="5F84FFC8" w14:textId="0DB710EB"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22" w:history="1">
        <w:r w:rsidR="00446A06" w:rsidRPr="000863E1">
          <w:rPr>
            <w:rStyle w:val="Hyperlink"/>
            <w:noProof/>
          </w:rPr>
          <w:t>Identifying Bias</w:t>
        </w:r>
        <w:r w:rsidR="00446A06">
          <w:rPr>
            <w:noProof/>
            <w:webHidden/>
          </w:rPr>
          <w:tab/>
        </w:r>
        <w:r w:rsidR="00446A06">
          <w:rPr>
            <w:noProof/>
            <w:webHidden/>
          </w:rPr>
          <w:fldChar w:fldCharType="begin"/>
        </w:r>
        <w:r w:rsidR="00446A06">
          <w:rPr>
            <w:noProof/>
            <w:webHidden/>
          </w:rPr>
          <w:instrText xml:space="preserve"> PAGEREF _Toc175413122 \h </w:instrText>
        </w:r>
        <w:r w:rsidR="00446A06">
          <w:rPr>
            <w:noProof/>
            <w:webHidden/>
          </w:rPr>
        </w:r>
        <w:r w:rsidR="00446A06">
          <w:rPr>
            <w:noProof/>
            <w:webHidden/>
          </w:rPr>
          <w:fldChar w:fldCharType="separate"/>
        </w:r>
        <w:r w:rsidR="0088526D">
          <w:rPr>
            <w:noProof/>
            <w:webHidden/>
          </w:rPr>
          <w:t>15</w:t>
        </w:r>
        <w:r w:rsidR="00446A06">
          <w:rPr>
            <w:noProof/>
            <w:webHidden/>
          </w:rPr>
          <w:fldChar w:fldCharType="end"/>
        </w:r>
      </w:hyperlink>
    </w:p>
    <w:p w14:paraId="0C5577AC" w14:textId="74A05FB5"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23" w:history="1">
        <w:r w:rsidR="00446A06" w:rsidRPr="000863E1">
          <w:rPr>
            <w:rStyle w:val="Hyperlink"/>
            <w:noProof/>
          </w:rPr>
          <w:t>Qualitative Research Design</w:t>
        </w:r>
        <w:r w:rsidR="00446A06">
          <w:rPr>
            <w:noProof/>
            <w:webHidden/>
          </w:rPr>
          <w:tab/>
        </w:r>
        <w:r w:rsidR="00446A06">
          <w:rPr>
            <w:noProof/>
            <w:webHidden/>
          </w:rPr>
          <w:fldChar w:fldCharType="begin"/>
        </w:r>
        <w:r w:rsidR="00446A06">
          <w:rPr>
            <w:noProof/>
            <w:webHidden/>
          </w:rPr>
          <w:instrText xml:space="preserve"> PAGEREF _Toc175413123 \h </w:instrText>
        </w:r>
        <w:r w:rsidR="00446A06">
          <w:rPr>
            <w:noProof/>
            <w:webHidden/>
          </w:rPr>
        </w:r>
        <w:r w:rsidR="00446A06">
          <w:rPr>
            <w:noProof/>
            <w:webHidden/>
          </w:rPr>
          <w:fldChar w:fldCharType="separate"/>
        </w:r>
        <w:r w:rsidR="0088526D">
          <w:rPr>
            <w:noProof/>
            <w:webHidden/>
          </w:rPr>
          <w:t>17</w:t>
        </w:r>
        <w:r w:rsidR="00446A06">
          <w:rPr>
            <w:noProof/>
            <w:webHidden/>
          </w:rPr>
          <w:fldChar w:fldCharType="end"/>
        </w:r>
      </w:hyperlink>
    </w:p>
    <w:p w14:paraId="45DCB70F" w14:textId="449AB7B4"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24" w:history="1">
        <w:r w:rsidR="00446A06" w:rsidRPr="000863E1">
          <w:rPr>
            <w:rStyle w:val="Hyperlink"/>
            <w:noProof/>
          </w:rPr>
          <w:t>Conclusion</w:t>
        </w:r>
        <w:r w:rsidR="00446A06">
          <w:rPr>
            <w:noProof/>
            <w:webHidden/>
          </w:rPr>
          <w:tab/>
        </w:r>
        <w:r w:rsidR="00446A06">
          <w:rPr>
            <w:noProof/>
            <w:webHidden/>
          </w:rPr>
          <w:fldChar w:fldCharType="begin"/>
        </w:r>
        <w:r w:rsidR="00446A06">
          <w:rPr>
            <w:noProof/>
            <w:webHidden/>
          </w:rPr>
          <w:instrText xml:space="preserve"> PAGEREF _Toc175413124 \h </w:instrText>
        </w:r>
        <w:r w:rsidR="00446A06">
          <w:rPr>
            <w:noProof/>
            <w:webHidden/>
          </w:rPr>
        </w:r>
        <w:r w:rsidR="00446A06">
          <w:rPr>
            <w:noProof/>
            <w:webHidden/>
          </w:rPr>
          <w:fldChar w:fldCharType="separate"/>
        </w:r>
        <w:r w:rsidR="0088526D">
          <w:rPr>
            <w:noProof/>
            <w:webHidden/>
          </w:rPr>
          <w:t>19</w:t>
        </w:r>
        <w:r w:rsidR="00446A06">
          <w:rPr>
            <w:noProof/>
            <w:webHidden/>
          </w:rPr>
          <w:fldChar w:fldCharType="end"/>
        </w:r>
      </w:hyperlink>
    </w:p>
    <w:p w14:paraId="3F678F6B" w14:textId="7EFE7B6D"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25" w:history="1">
        <w:r w:rsidR="00446A06" w:rsidRPr="000863E1">
          <w:rPr>
            <w:rStyle w:val="Hyperlink"/>
            <w:noProof/>
          </w:rPr>
          <w:t>Chapter 3 – Understanding Terrorism</w:t>
        </w:r>
        <w:r w:rsidR="00446A06">
          <w:rPr>
            <w:noProof/>
            <w:webHidden/>
          </w:rPr>
          <w:tab/>
        </w:r>
        <w:r w:rsidR="00446A06">
          <w:rPr>
            <w:noProof/>
            <w:webHidden/>
          </w:rPr>
          <w:fldChar w:fldCharType="begin"/>
        </w:r>
        <w:r w:rsidR="00446A06">
          <w:rPr>
            <w:noProof/>
            <w:webHidden/>
          </w:rPr>
          <w:instrText xml:space="preserve"> PAGEREF _Toc175413125 \h </w:instrText>
        </w:r>
        <w:r w:rsidR="00446A06">
          <w:rPr>
            <w:noProof/>
            <w:webHidden/>
          </w:rPr>
        </w:r>
        <w:r w:rsidR="00446A06">
          <w:rPr>
            <w:noProof/>
            <w:webHidden/>
          </w:rPr>
          <w:fldChar w:fldCharType="separate"/>
        </w:r>
        <w:r w:rsidR="0088526D">
          <w:rPr>
            <w:noProof/>
            <w:webHidden/>
          </w:rPr>
          <w:t>21</w:t>
        </w:r>
        <w:r w:rsidR="00446A06">
          <w:rPr>
            <w:noProof/>
            <w:webHidden/>
          </w:rPr>
          <w:fldChar w:fldCharType="end"/>
        </w:r>
      </w:hyperlink>
    </w:p>
    <w:p w14:paraId="02F5D4F7" w14:textId="28461E4B"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26" w:history="1">
        <w:r w:rsidR="00446A06" w:rsidRPr="000863E1">
          <w:rPr>
            <w:rStyle w:val="Hyperlink"/>
            <w:noProof/>
          </w:rPr>
          <w:t>Scholarly Attempts to Define ‘Terrorism’</w:t>
        </w:r>
        <w:r w:rsidR="00446A06">
          <w:rPr>
            <w:noProof/>
            <w:webHidden/>
          </w:rPr>
          <w:tab/>
        </w:r>
        <w:r w:rsidR="00446A06">
          <w:rPr>
            <w:noProof/>
            <w:webHidden/>
          </w:rPr>
          <w:fldChar w:fldCharType="begin"/>
        </w:r>
        <w:r w:rsidR="00446A06">
          <w:rPr>
            <w:noProof/>
            <w:webHidden/>
          </w:rPr>
          <w:instrText xml:space="preserve"> PAGEREF _Toc175413126 \h </w:instrText>
        </w:r>
        <w:r w:rsidR="00446A06">
          <w:rPr>
            <w:noProof/>
            <w:webHidden/>
          </w:rPr>
        </w:r>
        <w:r w:rsidR="00446A06">
          <w:rPr>
            <w:noProof/>
            <w:webHidden/>
          </w:rPr>
          <w:fldChar w:fldCharType="separate"/>
        </w:r>
        <w:r w:rsidR="0088526D">
          <w:rPr>
            <w:noProof/>
            <w:webHidden/>
          </w:rPr>
          <w:t>22</w:t>
        </w:r>
        <w:r w:rsidR="00446A06">
          <w:rPr>
            <w:noProof/>
            <w:webHidden/>
          </w:rPr>
          <w:fldChar w:fldCharType="end"/>
        </w:r>
      </w:hyperlink>
    </w:p>
    <w:p w14:paraId="2BF7BA15" w14:textId="4A573335"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27" w:history="1">
        <w:r w:rsidR="00446A06" w:rsidRPr="000863E1">
          <w:rPr>
            <w:rStyle w:val="Hyperlink"/>
            <w:noProof/>
          </w:rPr>
          <w:t>Is Terrorism an “Essentially Contested Concept”?</w:t>
        </w:r>
        <w:r w:rsidR="00446A06">
          <w:rPr>
            <w:noProof/>
            <w:webHidden/>
          </w:rPr>
          <w:tab/>
        </w:r>
        <w:r w:rsidR="00446A06">
          <w:rPr>
            <w:noProof/>
            <w:webHidden/>
          </w:rPr>
          <w:fldChar w:fldCharType="begin"/>
        </w:r>
        <w:r w:rsidR="00446A06">
          <w:rPr>
            <w:noProof/>
            <w:webHidden/>
          </w:rPr>
          <w:instrText xml:space="preserve"> PAGEREF _Toc175413127 \h </w:instrText>
        </w:r>
        <w:r w:rsidR="00446A06">
          <w:rPr>
            <w:noProof/>
            <w:webHidden/>
          </w:rPr>
        </w:r>
        <w:r w:rsidR="00446A06">
          <w:rPr>
            <w:noProof/>
            <w:webHidden/>
          </w:rPr>
          <w:fldChar w:fldCharType="separate"/>
        </w:r>
        <w:r w:rsidR="0088526D">
          <w:rPr>
            <w:noProof/>
            <w:webHidden/>
          </w:rPr>
          <w:t>23</w:t>
        </w:r>
        <w:r w:rsidR="00446A06">
          <w:rPr>
            <w:noProof/>
            <w:webHidden/>
          </w:rPr>
          <w:fldChar w:fldCharType="end"/>
        </w:r>
      </w:hyperlink>
    </w:p>
    <w:p w14:paraId="59AA93DE" w14:textId="5636F95C"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28" w:history="1">
        <w:r w:rsidR="00446A06" w:rsidRPr="000863E1">
          <w:rPr>
            <w:rStyle w:val="Hyperlink"/>
            <w:noProof/>
          </w:rPr>
          <w:t>The Analytical Utility of “Essentially Contested Concepts”: Conceptual Clash</w:t>
        </w:r>
        <w:r w:rsidR="00446A06">
          <w:rPr>
            <w:noProof/>
            <w:webHidden/>
          </w:rPr>
          <w:tab/>
        </w:r>
        <w:r w:rsidR="00446A06">
          <w:rPr>
            <w:noProof/>
            <w:webHidden/>
          </w:rPr>
          <w:fldChar w:fldCharType="begin"/>
        </w:r>
        <w:r w:rsidR="00446A06">
          <w:rPr>
            <w:noProof/>
            <w:webHidden/>
          </w:rPr>
          <w:instrText xml:space="preserve"> PAGEREF _Toc175413128 \h </w:instrText>
        </w:r>
        <w:r w:rsidR="00446A06">
          <w:rPr>
            <w:noProof/>
            <w:webHidden/>
          </w:rPr>
        </w:r>
        <w:r w:rsidR="00446A06">
          <w:rPr>
            <w:noProof/>
            <w:webHidden/>
          </w:rPr>
          <w:fldChar w:fldCharType="separate"/>
        </w:r>
        <w:r w:rsidR="0088526D">
          <w:rPr>
            <w:noProof/>
            <w:webHidden/>
          </w:rPr>
          <w:t>24</w:t>
        </w:r>
        <w:r w:rsidR="00446A06">
          <w:rPr>
            <w:noProof/>
            <w:webHidden/>
          </w:rPr>
          <w:fldChar w:fldCharType="end"/>
        </w:r>
      </w:hyperlink>
    </w:p>
    <w:p w14:paraId="7FF78D20" w14:textId="790B1072"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29" w:history="1">
        <w:r w:rsidR="00446A06" w:rsidRPr="000863E1">
          <w:rPr>
            <w:rStyle w:val="Hyperlink"/>
            <w:noProof/>
          </w:rPr>
          <w:t>Competing De Minimis Definitions of Terrorism</w:t>
        </w:r>
        <w:r w:rsidR="00446A06">
          <w:rPr>
            <w:noProof/>
            <w:webHidden/>
          </w:rPr>
          <w:tab/>
        </w:r>
        <w:r w:rsidR="00446A06">
          <w:rPr>
            <w:noProof/>
            <w:webHidden/>
          </w:rPr>
          <w:fldChar w:fldCharType="begin"/>
        </w:r>
        <w:r w:rsidR="00446A06">
          <w:rPr>
            <w:noProof/>
            <w:webHidden/>
          </w:rPr>
          <w:instrText xml:space="preserve"> PAGEREF _Toc175413129 \h </w:instrText>
        </w:r>
        <w:r w:rsidR="00446A06">
          <w:rPr>
            <w:noProof/>
            <w:webHidden/>
          </w:rPr>
        </w:r>
        <w:r w:rsidR="00446A06">
          <w:rPr>
            <w:noProof/>
            <w:webHidden/>
          </w:rPr>
          <w:fldChar w:fldCharType="separate"/>
        </w:r>
        <w:r w:rsidR="0088526D">
          <w:rPr>
            <w:noProof/>
            <w:webHidden/>
          </w:rPr>
          <w:t>25</w:t>
        </w:r>
        <w:r w:rsidR="00446A06">
          <w:rPr>
            <w:noProof/>
            <w:webHidden/>
          </w:rPr>
          <w:fldChar w:fldCharType="end"/>
        </w:r>
      </w:hyperlink>
    </w:p>
    <w:p w14:paraId="56EE10E4" w14:textId="0D8234AC"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30" w:history="1">
        <w:r w:rsidR="00446A06" w:rsidRPr="000863E1">
          <w:rPr>
            <w:rStyle w:val="Hyperlink"/>
            <w:noProof/>
          </w:rPr>
          <w:t xml:space="preserve">A </w:t>
        </w:r>
        <w:r w:rsidR="00446A06" w:rsidRPr="000863E1">
          <w:rPr>
            <w:rStyle w:val="Hyperlink"/>
            <w:i/>
            <w:iCs/>
            <w:noProof/>
          </w:rPr>
          <w:t>De Minimis</w:t>
        </w:r>
        <w:r w:rsidR="00446A06" w:rsidRPr="000863E1">
          <w:rPr>
            <w:rStyle w:val="Hyperlink"/>
            <w:noProof/>
          </w:rPr>
          <w:t xml:space="preserve"> Scholarly Definition of Terrorism</w:t>
        </w:r>
        <w:r w:rsidR="00446A06">
          <w:rPr>
            <w:noProof/>
            <w:webHidden/>
          </w:rPr>
          <w:tab/>
        </w:r>
        <w:r w:rsidR="00446A06">
          <w:rPr>
            <w:noProof/>
            <w:webHidden/>
          </w:rPr>
          <w:fldChar w:fldCharType="begin"/>
        </w:r>
        <w:r w:rsidR="00446A06">
          <w:rPr>
            <w:noProof/>
            <w:webHidden/>
          </w:rPr>
          <w:instrText xml:space="preserve"> PAGEREF _Toc175413130 \h </w:instrText>
        </w:r>
        <w:r w:rsidR="00446A06">
          <w:rPr>
            <w:noProof/>
            <w:webHidden/>
          </w:rPr>
        </w:r>
        <w:r w:rsidR="00446A06">
          <w:rPr>
            <w:noProof/>
            <w:webHidden/>
          </w:rPr>
          <w:fldChar w:fldCharType="separate"/>
        </w:r>
        <w:r w:rsidR="0088526D">
          <w:rPr>
            <w:noProof/>
            <w:webHidden/>
          </w:rPr>
          <w:t>26</w:t>
        </w:r>
        <w:r w:rsidR="00446A06">
          <w:rPr>
            <w:noProof/>
            <w:webHidden/>
          </w:rPr>
          <w:fldChar w:fldCharType="end"/>
        </w:r>
      </w:hyperlink>
    </w:p>
    <w:p w14:paraId="060AD5DF" w14:textId="37FC7E4E"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31" w:history="1">
        <w:r w:rsidR="00446A06" w:rsidRPr="000863E1">
          <w:rPr>
            <w:rStyle w:val="Hyperlink"/>
            <w:noProof/>
          </w:rPr>
          <w:t xml:space="preserve">Conceiving of a </w:t>
        </w:r>
        <w:r w:rsidR="00446A06" w:rsidRPr="000863E1">
          <w:rPr>
            <w:rStyle w:val="Hyperlink"/>
            <w:i/>
            <w:iCs/>
            <w:noProof/>
          </w:rPr>
          <w:t>De Minimis</w:t>
        </w:r>
        <w:r w:rsidR="00446A06" w:rsidRPr="000863E1">
          <w:rPr>
            <w:rStyle w:val="Hyperlink"/>
            <w:noProof/>
          </w:rPr>
          <w:t xml:space="preserve"> Policy Definition of Terrorism</w:t>
        </w:r>
        <w:r w:rsidR="00446A06">
          <w:rPr>
            <w:noProof/>
            <w:webHidden/>
          </w:rPr>
          <w:tab/>
        </w:r>
        <w:r w:rsidR="00446A06">
          <w:rPr>
            <w:noProof/>
            <w:webHidden/>
          </w:rPr>
          <w:fldChar w:fldCharType="begin"/>
        </w:r>
        <w:r w:rsidR="00446A06">
          <w:rPr>
            <w:noProof/>
            <w:webHidden/>
          </w:rPr>
          <w:instrText xml:space="preserve"> PAGEREF _Toc175413131 \h </w:instrText>
        </w:r>
        <w:r w:rsidR="00446A06">
          <w:rPr>
            <w:noProof/>
            <w:webHidden/>
          </w:rPr>
        </w:r>
        <w:r w:rsidR="00446A06">
          <w:rPr>
            <w:noProof/>
            <w:webHidden/>
          </w:rPr>
          <w:fldChar w:fldCharType="separate"/>
        </w:r>
        <w:r w:rsidR="0088526D">
          <w:rPr>
            <w:noProof/>
            <w:webHidden/>
          </w:rPr>
          <w:t>27</w:t>
        </w:r>
        <w:r w:rsidR="00446A06">
          <w:rPr>
            <w:noProof/>
            <w:webHidden/>
          </w:rPr>
          <w:fldChar w:fldCharType="end"/>
        </w:r>
      </w:hyperlink>
    </w:p>
    <w:p w14:paraId="68BB73B9" w14:textId="758299C1"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32" w:history="1">
        <w:r w:rsidR="00446A06" w:rsidRPr="000863E1">
          <w:rPr>
            <w:rStyle w:val="Hyperlink"/>
            <w:noProof/>
          </w:rPr>
          <w:t>Terrorism and Post-Modern Warfare</w:t>
        </w:r>
        <w:r w:rsidR="00446A06">
          <w:rPr>
            <w:noProof/>
            <w:webHidden/>
          </w:rPr>
          <w:tab/>
        </w:r>
        <w:r w:rsidR="00446A06">
          <w:rPr>
            <w:noProof/>
            <w:webHidden/>
          </w:rPr>
          <w:fldChar w:fldCharType="begin"/>
        </w:r>
        <w:r w:rsidR="00446A06">
          <w:rPr>
            <w:noProof/>
            <w:webHidden/>
          </w:rPr>
          <w:instrText xml:space="preserve"> PAGEREF _Toc175413132 \h </w:instrText>
        </w:r>
        <w:r w:rsidR="00446A06">
          <w:rPr>
            <w:noProof/>
            <w:webHidden/>
          </w:rPr>
        </w:r>
        <w:r w:rsidR="00446A06">
          <w:rPr>
            <w:noProof/>
            <w:webHidden/>
          </w:rPr>
          <w:fldChar w:fldCharType="separate"/>
        </w:r>
        <w:r w:rsidR="0088526D">
          <w:rPr>
            <w:noProof/>
            <w:webHidden/>
          </w:rPr>
          <w:t>31</w:t>
        </w:r>
        <w:r w:rsidR="00446A06">
          <w:rPr>
            <w:noProof/>
            <w:webHidden/>
          </w:rPr>
          <w:fldChar w:fldCharType="end"/>
        </w:r>
      </w:hyperlink>
    </w:p>
    <w:p w14:paraId="7A536462" w14:textId="04377C14"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33" w:history="1">
        <w:r w:rsidR="00446A06" w:rsidRPr="000863E1">
          <w:rPr>
            <w:rStyle w:val="Hyperlink"/>
            <w:noProof/>
          </w:rPr>
          <w:t>Conclusion</w:t>
        </w:r>
        <w:r w:rsidR="00446A06">
          <w:rPr>
            <w:noProof/>
            <w:webHidden/>
          </w:rPr>
          <w:tab/>
        </w:r>
        <w:r w:rsidR="00446A06">
          <w:rPr>
            <w:noProof/>
            <w:webHidden/>
          </w:rPr>
          <w:fldChar w:fldCharType="begin"/>
        </w:r>
        <w:r w:rsidR="00446A06">
          <w:rPr>
            <w:noProof/>
            <w:webHidden/>
          </w:rPr>
          <w:instrText xml:space="preserve"> PAGEREF _Toc175413133 \h </w:instrText>
        </w:r>
        <w:r w:rsidR="00446A06">
          <w:rPr>
            <w:noProof/>
            <w:webHidden/>
          </w:rPr>
        </w:r>
        <w:r w:rsidR="00446A06">
          <w:rPr>
            <w:noProof/>
            <w:webHidden/>
          </w:rPr>
          <w:fldChar w:fldCharType="separate"/>
        </w:r>
        <w:r w:rsidR="0088526D">
          <w:rPr>
            <w:noProof/>
            <w:webHidden/>
          </w:rPr>
          <w:t>33</w:t>
        </w:r>
        <w:r w:rsidR="00446A06">
          <w:rPr>
            <w:noProof/>
            <w:webHidden/>
          </w:rPr>
          <w:fldChar w:fldCharType="end"/>
        </w:r>
      </w:hyperlink>
    </w:p>
    <w:p w14:paraId="6C3EFE2F" w14:textId="0E3FF261"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34" w:history="1">
        <w:r w:rsidR="00446A06" w:rsidRPr="000863E1">
          <w:rPr>
            <w:rStyle w:val="Hyperlink"/>
            <w:noProof/>
          </w:rPr>
          <w:t>Chapter 4 – Terrorism, the State, and International Legitimacy</w:t>
        </w:r>
        <w:r w:rsidR="00446A06">
          <w:rPr>
            <w:noProof/>
            <w:webHidden/>
          </w:rPr>
          <w:tab/>
        </w:r>
        <w:r w:rsidR="00446A06">
          <w:rPr>
            <w:noProof/>
            <w:webHidden/>
          </w:rPr>
          <w:fldChar w:fldCharType="begin"/>
        </w:r>
        <w:r w:rsidR="00446A06">
          <w:rPr>
            <w:noProof/>
            <w:webHidden/>
          </w:rPr>
          <w:instrText xml:space="preserve"> PAGEREF _Toc175413134 \h </w:instrText>
        </w:r>
        <w:r w:rsidR="00446A06">
          <w:rPr>
            <w:noProof/>
            <w:webHidden/>
          </w:rPr>
        </w:r>
        <w:r w:rsidR="00446A06">
          <w:rPr>
            <w:noProof/>
            <w:webHidden/>
          </w:rPr>
          <w:fldChar w:fldCharType="separate"/>
        </w:r>
        <w:r w:rsidR="0088526D">
          <w:rPr>
            <w:noProof/>
            <w:webHidden/>
          </w:rPr>
          <w:t>36</w:t>
        </w:r>
        <w:r w:rsidR="00446A06">
          <w:rPr>
            <w:noProof/>
            <w:webHidden/>
          </w:rPr>
          <w:fldChar w:fldCharType="end"/>
        </w:r>
      </w:hyperlink>
    </w:p>
    <w:p w14:paraId="47AA3135" w14:textId="750A52AC"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35" w:history="1">
        <w:r w:rsidR="00446A06" w:rsidRPr="000863E1">
          <w:rPr>
            <w:rStyle w:val="Hyperlink"/>
            <w:noProof/>
          </w:rPr>
          <w:t>Statehood</w:t>
        </w:r>
        <w:r w:rsidR="00446A06">
          <w:rPr>
            <w:noProof/>
            <w:webHidden/>
          </w:rPr>
          <w:tab/>
        </w:r>
        <w:r w:rsidR="00446A06">
          <w:rPr>
            <w:noProof/>
            <w:webHidden/>
          </w:rPr>
          <w:fldChar w:fldCharType="begin"/>
        </w:r>
        <w:r w:rsidR="00446A06">
          <w:rPr>
            <w:noProof/>
            <w:webHidden/>
          </w:rPr>
          <w:instrText xml:space="preserve"> PAGEREF _Toc175413135 \h </w:instrText>
        </w:r>
        <w:r w:rsidR="00446A06">
          <w:rPr>
            <w:noProof/>
            <w:webHidden/>
          </w:rPr>
        </w:r>
        <w:r w:rsidR="00446A06">
          <w:rPr>
            <w:noProof/>
            <w:webHidden/>
          </w:rPr>
          <w:fldChar w:fldCharType="separate"/>
        </w:r>
        <w:r w:rsidR="0088526D">
          <w:rPr>
            <w:noProof/>
            <w:webHidden/>
          </w:rPr>
          <w:t>37</w:t>
        </w:r>
        <w:r w:rsidR="00446A06">
          <w:rPr>
            <w:noProof/>
            <w:webHidden/>
          </w:rPr>
          <w:fldChar w:fldCharType="end"/>
        </w:r>
      </w:hyperlink>
    </w:p>
    <w:p w14:paraId="672E99E4" w14:textId="6A45AD44"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36" w:history="1">
        <w:r w:rsidR="00446A06" w:rsidRPr="000863E1">
          <w:rPr>
            <w:rStyle w:val="Hyperlink"/>
            <w:noProof/>
          </w:rPr>
          <w:t>Legitimacy</w:t>
        </w:r>
        <w:r w:rsidR="00446A06">
          <w:rPr>
            <w:noProof/>
            <w:webHidden/>
          </w:rPr>
          <w:tab/>
        </w:r>
        <w:r w:rsidR="00446A06">
          <w:rPr>
            <w:noProof/>
            <w:webHidden/>
          </w:rPr>
          <w:fldChar w:fldCharType="begin"/>
        </w:r>
        <w:r w:rsidR="00446A06">
          <w:rPr>
            <w:noProof/>
            <w:webHidden/>
          </w:rPr>
          <w:instrText xml:space="preserve"> PAGEREF _Toc175413136 \h </w:instrText>
        </w:r>
        <w:r w:rsidR="00446A06">
          <w:rPr>
            <w:noProof/>
            <w:webHidden/>
          </w:rPr>
        </w:r>
        <w:r w:rsidR="00446A06">
          <w:rPr>
            <w:noProof/>
            <w:webHidden/>
          </w:rPr>
          <w:fldChar w:fldCharType="separate"/>
        </w:r>
        <w:r w:rsidR="0088526D">
          <w:rPr>
            <w:noProof/>
            <w:webHidden/>
          </w:rPr>
          <w:t>43</w:t>
        </w:r>
        <w:r w:rsidR="00446A06">
          <w:rPr>
            <w:noProof/>
            <w:webHidden/>
          </w:rPr>
          <w:fldChar w:fldCharType="end"/>
        </w:r>
      </w:hyperlink>
    </w:p>
    <w:p w14:paraId="01D29F4A" w14:textId="57A880C6"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37" w:history="1">
        <w:r w:rsidR="00446A06" w:rsidRPr="000863E1">
          <w:rPr>
            <w:rStyle w:val="Hyperlink"/>
            <w:noProof/>
          </w:rPr>
          <w:t>What is (State) Legitimacy?</w:t>
        </w:r>
        <w:r w:rsidR="00446A06">
          <w:rPr>
            <w:noProof/>
            <w:webHidden/>
          </w:rPr>
          <w:tab/>
        </w:r>
        <w:r w:rsidR="00446A06">
          <w:rPr>
            <w:noProof/>
            <w:webHidden/>
          </w:rPr>
          <w:fldChar w:fldCharType="begin"/>
        </w:r>
        <w:r w:rsidR="00446A06">
          <w:rPr>
            <w:noProof/>
            <w:webHidden/>
          </w:rPr>
          <w:instrText xml:space="preserve"> PAGEREF _Toc175413137 \h </w:instrText>
        </w:r>
        <w:r w:rsidR="00446A06">
          <w:rPr>
            <w:noProof/>
            <w:webHidden/>
          </w:rPr>
        </w:r>
        <w:r w:rsidR="00446A06">
          <w:rPr>
            <w:noProof/>
            <w:webHidden/>
          </w:rPr>
          <w:fldChar w:fldCharType="separate"/>
        </w:r>
        <w:r w:rsidR="0088526D">
          <w:rPr>
            <w:noProof/>
            <w:webHidden/>
          </w:rPr>
          <w:t>44</w:t>
        </w:r>
        <w:r w:rsidR="00446A06">
          <w:rPr>
            <w:noProof/>
            <w:webHidden/>
          </w:rPr>
          <w:fldChar w:fldCharType="end"/>
        </w:r>
      </w:hyperlink>
    </w:p>
    <w:p w14:paraId="08359D19" w14:textId="02219403"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38" w:history="1">
        <w:r w:rsidR="00446A06" w:rsidRPr="000863E1">
          <w:rPr>
            <w:rStyle w:val="Hyperlink"/>
            <w:noProof/>
          </w:rPr>
          <w:t>Domestic vs. International (State) Legitimacy</w:t>
        </w:r>
        <w:r w:rsidR="00446A06">
          <w:rPr>
            <w:noProof/>
            <w:webHidden/>
          </w:rPr>
          <w:tab/>
        </w:r>
        <w:r w:rsidR="00446A06">
          <w:rPr>
            <w:noProof/>
            <w:webHidden/>
          </w:rPr>
          <w:fldChar w:fldCharType="begin"/>
        </w:r>
        <w:r w:rsidR="00446A06">
          <w:rPr>
            <w:noProof/>
            <w:webHidden/>
          </w:rPr>
          <w:instrText xml:space="preserve"> PAGEREF _Toc175413138 \h </w:instrText>
        </w:r>
        <w:r w:rsidR="00446A06">
          <w:rPr>
            <w:noProof/>
            <w:webHidden/>
          </w:rPr>
        </w:r>
        <w:r w:rsidR="00446A06">
          <w:rPr>
            <w:noProof/>
            <w:webHidden/>
          </w:rPr>
          <w:fldChar w:fldCharType="separate"/>
        </w:r>
        <w:r w:rsidR="0088526D">
          <w:rPr>
            <w:noProof/>
            <w:webHidden/>
          </w:rPr>
          <w:t>48</w:t>
        </w:r>
        <w:r w:rsidR="00446A06">
          <w:rPr>
            <w:noProof/>
            <w:webHidden/>
          </w:rPr>
          <w:fldChar w:fldCharType="end"/>
        </w:r>
      </w:hyperlink>
    </w:p>
    <w:p w14:paraId="0BD878F1" w14:textId="43D59DDF"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39" w:history="1">
        <w:r w:rsidR="00446A06" w:rsidRPr="000863E1">
          <w:rPr>
            <w:rStyle w:val="Hyperlink"/>
            <w:noProof/>
          </w:rPr>
          <w:t>Conclusion</w:t>
        </w:r>
        <w:r w:rsidR="00446A06">
          <w:rPr>
            <w:noProof/>
            <w:webHidden/>
          </w:rPr>
          <w:tab/>
        </w:r>
        <w:r w:rsidR="00446A06">
          <w:rPr>
            <w:noProof/>
            <w:webHidden/>
          </w:rPr>
          <w:fldChar w:fldCharType="begin"/>
        </w:r>
        <w:r w:rsidR="00446A06">
          <w:rPr>
            <w:noProof/>
            <w:webHidden/>
          </w:rPr>
          <w:instrText xml:space="preserve"> PAGEREF _Toc175413139 \h </w:instrText>
        </w:r>
        <w:r w:rsidR="00446A06">
          <w:rPr>
            <w:noProof/>
            <w:webHidden/>
          </w:rPr>
        </w:r>
        <w:r w:rsidR="00446A06">
          <w:rPr>
            <w:noProof/>
            <w:webHidden/>
          </w:rPr>
          <w:fldChar w:fldCharType="separate"/>
        </w:r>
        <w:r w:rsidR="0088526D">
          <w:rPr>
            <w:noProof/>
            <w:webHidden/>
          </w:rPr>
          <w:t>51</w:t>
        </w:r>
        <w:r w:rsidR="00446A06">
          <w:rPr>
            <w:noProof/>
            <w:webHidden/>
          </w:rPr>
          <w:fldChar w:fldCharType="end"/>
        </w:r>
      </w:hyperlink>
    </w:p>
    <w:p w14:paraId="0AA46A25" w14:textId="70B5F865"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40" w:history="1">
        <w:r w:rsidR="00446A06" w:rsidRPr="000863E1">
          <w:rPr>
            <w:rStyle w:val="Hyperlink"/>
            <w:noProof/>
          </w:rPr>
          <w:t>Chapter 5 – Terrorism and the Media</w:t>
        </w:r>
        <w:r w:rsidR="00446A06">
          <w:rPr>
            <w:noProof/>
            <w:webHidden/>
          </w:rPr>
          <w:tab/>
        </w:r>
        <w:r w:rsidR="00446A06">
          <w:rPr>
            <w:noProof/>
            <w:webHidden/>
          </w:rPr>
          <w:fldChar w:fldCharType="begin"/>
        </w:r>
        <w:r w:rsidR="00446A06">
          <w:rPr>
            <w:noProof/>
            <w:webHidden/>
          </w:rPr>
          <w:instrText xml:space="preserve"> PAGEREF _Toc175413140 \h </w:instrText>
        </w:r>
        <w:r w:rsidR="00446A06">
          <w:rPr>
            <w:noProof/>
            <w:webHidden/>
          </w:rPr>
        </w:r>
        <w:r w:rsidR="00446A06">
          <w:rPr>
            <w:noProof/>
            <w:webHidden/>
          </w:rPr>
          <w:fldChar w:fldCharType="separate"/>
        </w:r>
        <w:r w:rsidR="0088526D">
          <w:rPr>
            <w:noProof/>
            <w:webHidden/>
          </w:rPr>
          <w:t>53</w:t>
        </w:r>
        <w:r w:rsidR="00446A06">
          <w:rPr>
            <w:noProof/>
            <w:webHidden/>
          </w:rPr>
          <w:fldChar w:fldCharType="end"/>
        </w:r>
      </w:hyperlink>
    </w:p>
    <w:p w14:paraId="6088C54A" w14:textId="7E884AA9"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41" w:history="1">
        <w:r w:rsidR="00446A06" w:rsidRPr="000863E1">
          <w:rPr>
            <w:rStyle w:val="Hyperlink"/>
            <w:noProof/>
          </w:rPr>
          <w:t>Propaganda of the Deed</w:t>
        </w:r>
        <w:r w:rsidR="00446A06">
          <w:rPr>
            <w:noProof/>
            <w:webHidden/>
          </w:rPr>
          <w:tab/>
        </w:r>
        <w:r w:rsidR="00446A06">
          <w:rPr>
            <w:noProof/>
            <w:webHidden/>
          </w:rPr>
          <w:fldChar w:fldCharType="begin"/>
        </w:r>
        <w:r w:rsidR="00446A06">
          <w:rPr>
            <w:noProof/>
            <w:webHidden/>
          </w:rPr>
          <w:instrText xml:space="preserve"> PAGEREF _Toc175413141 \h </w:instrText>
        </w:r>
        <w:r w:rsidR="00446A06">
          <w:rPr>
            <w:noProof/>
            <w:webHidden/>
          </w:rPr>
        </w:r>
        <w:r w:rsidR="00446A06">
          <w:rPr>
            <w:noProof/>
            <w:webHidden/>
          </w:rPr>
          <w:fldChar w:fldCharType="separate"/>
        </w:r>
        <w:r w:rsidR="0088526D">
          <w:rPr>
            <w:noProof/>
            <w:webHidden/>
          </w:rPr>
          <w:t>54</w:t>
        </w:r>
        <w:r w:rsidR="00446A06">
          <w:rPr>
            <w:noProof/>
            <w:webHidden/>
          </w:rPr>
          <w:fldChar w:fldCharType="end"/>
        </w:r>
      </w:hyperlink>
    </w:p>
    <w:p w14:paraId="7A05957E" w14:textId="5745120C"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42" w:history="1">
        <w:r w:rsidR="00446A06" w:rsidRPr="000863E1">
          <w:rPr>
            <w:rStyle w:val="Hyperlink"/>
            <w:noProof/>
          </w:rPr>
          <w:t>The Symbiosis between Terrorism and the Mass Media</w:t>
        </w:r>
        <w:r w:rsidR="00446A06">
          <w:rPr>
            <w:noProof/>
            <w:webHidden/>
          </w:rPr>
          <w:tab/>
        </w:r>
        <w:r w:rsidR="00446A06">
          <w:rPr>
            <w:noProof/>
            <w:webHidden/>
          </w:rPr>
          <w:fldChar w:fldCharType="begin"/>
        </w:r>
        <w:r w:rsidR="00446A06">
          <w:rPr>
            <w:noProof/>
            <w:webHidden/>
          </w:rPr>
          <w:instrText xml:space="preserve"> PAGEREF _Toc175413142 \h </w:instrText>
        </w:r>
        <w:r w:rsidR="00446A06">
          <w:rPr>
            <w:noProof/>
            <w:webHidden/>
          </w:rPr>
        </w:r>
        <w:r w:rsidR="00446A06">
          <w:rPr>
            <w:noProof/>
            <w:webHidden/>
          </w:rPr>
          <w:fldChar w:fldCharType="separate"/>
        </w:r>
        <w:r w:rsidR="0088526D">
          <w:rPr>
            <w:noProof/>
            <w:webHidden/>
          </w:rPr>
          <w:t>60</w:t>
        </w:r>
        <w:r w:rsidR="00446A06">
          <w:rPr>
            <w:noProof/>
            <w:webHidden/>
          </w:rPr>
          <w:fldChar w:fldCharType="end"/>
        </w:r>
      </w:hyperlink>
    </w:p>
    <w:p w14:paraId="4344E9BA" w14:textId="100569E1"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43" w:history="1">
        <w:r w:rsidR="00446A06" w:rsidRPr="000863E1">
          <w:rPr>
            <w:rStyle w:val="Hyperlink"/>
            <w:noProof/>
          </w:rPr>
          <w:t>The Media and Political Communication</w:t>
        </w:r>
        <w:r w:rsidR="00446A06">
          <w:rPr>
            <w:noProof/>
            <w:webHidden/>
          </w:rPr>
          <w:tab/>
        </w:r>
        <w:r w:rsidR="00446A06">
          <w:rPr>
            <w:noProof/>
            <w:webHidden/>
          </w:rPr>
          <w:fldChar w:fldCharType="begin"/>
        </w:r>
        <w:r w:rsidR="00446A06">
          <w:rPr>
            <w:noProof/>
            <w:webHidden/>
          </w:rPr>
          <w:instrText xml:space="preserve"> PAGEREF _Toc175413143 \h </w:instrText>
        </w:r>
        <w:r w:rsidR="00446A06">
          <w:rPr>
            <w:noProof/>
            <w:webHidden/>
          </w:rPr>
        </w:r>
        <w:r w:rsidR="00446A06">
          <w:rPr>
            <w:noProof/>
            <w:webHidden/>
          </w:rPr>
          <w:fldChar w:fldCharType="separate"/>
        </w:r>
        <w:r w:rsidR="0088526D">
          <w:rPr>
            <w:noProof/>
            <w:webHidden/>
          </w:rPr>
          <w:t>68</w:t>
        </w:r>
        <w:r w:rsidR="00446A06">
          <w:rPr>
            <w:noProof/>
            <w:webHidden/>
          </w:rPr>
          <w:fldChar w:fldCharType="end"/>
        </w:r>
      </w:hyperlink>
    </w:p>
    <w:p w14:paraId="45C74E3A" w14:textId="4B41A100"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44" w:history="1">
        <w:r w:rsidR="00446A06" w:rsidRPr="000863E1">
          <w:rPr>
            <w:rStyle w:val="Hyperlink"/>
            <w:noProof/>
          </w:rPr>
          <w:t>Media Bias and Framing</w:t>
        </w:r>
        <w:r w:rsidR="00446A06">
          <w:rPr>
            <w:noProof/>
            <w:webHidden/>
          </w:rPr>
          <w:tab/>
        </w:r>
        <w:r w:rsidR="00446A06">
          <w:rPr>
            <w:noProof/>
            <w:webHidden/>
          </w:rPr>
          <w:fldChar w:fldCharType="begin"/>
        </w:r>
        <w:r w:rsidR="00446A06">
          <w:rPr>
            <w:noProof/>
            <w:webHidden/>
          </w:rPr>
          <w:instrText xml:space="preserve"> PAGEREF _Toc175413144 \h </w:instrText>
        </w:r>
        <w:r w:rsidR="00446A06">
          <w:rPr>
            <w:noProof/>
            <w:webHidden/>
          </w:rPr>
        </w:r>
        <w:r w:rsidR="00446A06">
          <w:rPr>
            <w:noProof/>
            <w:webHidden/>
          </w:rPr>
          <w:fldChar w:fldCharType="separate"/>
        </w:r>
        <w:r w:rsidR="0088526D">
          <w:rPr>
            <w:noProof/>
            <w:webHidden/>
          </w:rPr>
          <w:t>70</w:t>
        </w:r>
        <w:r w:rsidR="00446A06">
          <w:rPr>
            <w:noProof/>
            <w:webHidden/>
          </w:rPr>
          <w:fldChar w:fldCharType="end"/>
        </w:r>
      </w:hyperlink>
    </w:p>
    <w:p w14:paraId="0A10CFC1" w14:textId="037D44BC"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45" w:history="1">
        <w:r w:rsidR="00446A06" w:rsidRPr="000863E1">
          <w:rPr>
            <w:rStyle w:val="Hyperlink"/>
            <w:noProof/>
          </w:rPr>
          <w:t>Media Production</w:t>
        </w:r>
        <w:r w:rsidR="00446A06">
          <w:rPr>
            <w:noProof/>
            <w:webHidden/>
          </w:rPr>
          <w:tab/>
        </w:r>
        <w:r w:rsidR="00446A06">
          <w:rPr>
            <w:noProof/>
            <w:webHidden/>
          </w:rPr>
          <w:fldChar w:fldCharType="begin"/>
        </w:r>
        <w:r w:rsidR="00446A06">
          <w:rPr>
            <w:noProof/>
            <w:webHidden/>
          </w:rPr>
          <w:instrText xml:space="preserve"> PAGEREF _Toc175413145 \h </w:instrText>
        </w:r>
        <w:r w:rsidR="00446A06">
          <w:rPr>
            <w:noProof/>
            <w:webHidden/>
          </w:rPr>
        </w:r>
        <w:r w:rsidR="00446A06">
          <w:rPr>
            <w:noProof/>
            <w:webHidden/>
          </w:rPr>
          <w:fldChar w:fldCharType="separate"/>
        </w:r>
        <w:r w:rsidR="0088526D">
          <w:rPr>
            <w:noProof/>
            <w:webHidden/>
          </w:rPr>
          <w:t>73</w:t>
        </w:r>
        <w:r w:rsidR="00446A06">
          <w:rPr>
            <w:noProof/>
            <w:webHidden/>
          </w:rPr>
          <w:fldChar w:fldCharType="end"/>
        </w:r>
      </w:hyperlink>
    </w:p>
    <w:p w14:paraId="41FED9EF" w14:textId="7DF6CCBF"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46" w:history="1">
        <w:r w:rsidR="00446A06" w:rsidRPr="000863E1">
          <w:rPr>
            <w:rStyle w:val="Hyperlink"/>
            <w:noProof/>
          </w:rPr>
          <w:t>Conclusion</w:t>
        </w:r>
        <w:r w:rsidR="00446A06">
          <w:rPr>
            <w:noProof/>
            <w:webHidden/>
          </w:rPr>
          <w:tab/>
        </w:r>
        <w:r w:rsidR="00446A06">
          <w:rPr>
            <w:noProof/>
            <w:webHidden/>
          </w:rPr>
          <w:fldChar w:fldCharType="begin"/>
        </w:r>
        <w:r w:rsidR="00446A06">
          <w:rPr>
            <w:noProof/>
            <w:webHidden/>
          </w:rPr>
          <w:instrText xml:space="preserve"> PAGEREF _Toc175413146 \h </w:instrText>
        </w:r>
        <w:r w:rsidR="00446A06">
          <w:rPr>
            <w:noProof/>
            <w:webHidden/>
          </w:rPr>
        </w:r>
        <w:r w:rsidR="00446A06">
          <w:rPr>
            <w:noProof/>
            <w:webHidden/>
          </w:rPr>
          <w:fldChar w:fldCharType="separate"/>
        </w:r>
        <w:r w:rsidR="0088526D">
          <w:rPr>
            <w:noProof/>
            <w:webHidden/>
          </w:rPr>
          <w:t>76</w:t>
        </w:r>
        <w:r w:rsidR="00446A06">
          <w:rPr>
            <w:noProof/>
            <w:webHidden/>
          </w:rPr>
          <w:fldChar w:fldCharType="end"/>
        </w:r>
      </w:hyperlink>
    </w:p>
    <w:p w14:paraId="68FB6FDA" w14:textId="74D9F1A3"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47" w:history="1">
        <w:r w:rsidR="00446A06" w:rsidRPr="000863E1">
          <w:rPr>
            <w:rStyle w:val="Hyperlink"/>
            <w:noProof/>
          </w:rPr>
          <w:t xml:space="preserve">Chapter 6 – </w:t>
        </w:r>
        <w:r w:rsidR="00446A06" w:rsidRPr="000863E1">
          <w:rPr>
            <w:rStyle w:val="Hyperlink"/>
            <w:i/>
            <w:iCs/>
            <w:noProof/>
          </w:rPr>
          <w:t>Does</w:t>
        </w:r>
        <w:r w:rsidR="00446A06" w:rsidRPr="000863E1">
          <w:rPr>
            <w:rStyle w:val="Hyperlink"/>
            <w:noProof/>
          </w:rPr>
          <w:t xml:space="preserve"> Media Coverage of Terrorism Affect International (State) Legitimacy?</w:t>
        </w:r>
        <w:r w:rsidR="00446A06">
          <w:rPr>
            <w:noProof/>
            <w:webHidden/>
          </w:rPr>
          <w:tab/>
        </w:r>
        <w:r w:rsidR="00446A06">
          <w:rPr>
            <w:noProof/>
            <w:webHidden/>
          </w:rPr>
          <w:fldChar w:fldCharType="begin"/>
        </w:r>
        <w:r w:rsidR="00446A06">
          <w:rPr>
            <w:noProof/>
            <w:webHidden/>
          </w:rPr>
          <w:instrText xml:space="preserve"> PAGEREF _Toc175413147 \h </w:instrText>
        </w:r>
        <w:r w:rsidR="00446A06">
          <w:rPr>
            <w:noProof/>
            <w:webHidden/>
          </w:rPr>
        </w:r>
        <w:r w:rsidR="00446A06">
          <w:rPr>
            <w:noProof/>
            <w:webHidden/>
          </w:rPr>
          <w:fldChar w:fldCharType="separate"/>
        </w:r>
        <w:r w:rsidR="0088526D">
          <w:rPr>
            <w:noProof/>
            <w:webHidden/>
          </w:rPr>
          <w:t>78</w:t>
        </w:r>
        <w:r w:rsidR="00446A06">
          <w:rPr>
            <w:noProof/>
            <w:webHidden/>
          </w:rPr>
          <w:fldChar w:fldCharType="end"/>
        </w:r>
      </w:hyperlink>
    </w:p>
    <w:p w14:paraId="10FEE9B8" w14:textId="78007C15"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48" w:history="1">
        <w:r w:rsidR="00446A06" w:rsidRPr="000863E1">
          <w:rPr>
            <w:rStyle w:val="Hyperlink"/>
            <w:noProof/>
          </w:rPr>
          <w:t>Research Question and Hypotheses</w:t>
        </w:r>
        <w:r w:rsidR="00446A06">
          <w:rPr>
            <w:noProof/>
            <w:webHidden/>
          </w:rPr>
          <w:tab/>
        </w:r>
        <w:r w:rsidR="00446A06">
          <w:rPr>
            <w:noProof/>
            <w:webHidden/>
          </w:rPr>
          <w:fldChar w:fldCharType="begin"/>
        </w:r>
        <w:r w:rsidR="00446A06">
          <w:rPr>
            <w:noProof/>
            <w:webHidden/>
          </w:rPr>
          <w:instrText xml:space="preserve"> PAGEREF _Toc175413148 \h </w:instrText>
        </w:r>
        <w:r w:rsidR="00446A06">
          <w:rPr>
            <w:noProof/>
            <w:webHidden/>
          </w:rPr>
        </w:r>
        <w:r w:rsidR="00446A06">
          <w:rPr>
            <w:noProof/>
            <w:webHidden/>
          </w:rPr>
          <w:fldChar w:fldCharType="separate"/>
        </w:r>
        <w:r w:rsidR="0088526D">
          <w:rPr>
            <w:noProof/>
            <w:webHidden/>
          </w:rPr>
          <w:t>78</w:t>
        </w:r>
        <w:r w:rsidR="00446A06">
          <w:rPr>
            <w:noProof/>
            <w:webHidden/>
          </w:rPr>
          <w:fldChar w:fldCharType="end"/>
        </w:r>
      </w:hyperlink>
    </w:p>
    <w:p w14:paraId="1E59046C" w14:textId="6A480EA6"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49" w:history="1">
        <w:r w:rsidR="00446A06" w:rsidRPr="000863E1">
          <w:rPr>
            <w:rStyle w:val="Hyperlink"/>
            <w:noProof/>
          </w:rPr>
          <w:t>Operational Definition of Variables</w:t>
        </w:r>
        <w:r w:rsidR="00446A06">
          <w:rPr>
            <w:noProof/>
            <w:webHidden/>
          </w:rPr>
          <w:tab/>
        </w:r>
        <w:r w:rsidR="00446A06">
          <w:rPr>
            <w:noProof/>
            <w:webHidden/>
          </w:rPr>
          <w:fldChar w:fldCharType="begin"/>
        </w:r>
        <w:r w:rsidR="00446A06">
          <w:rPr>
            <w:noProof/>
            <w:webHidden/>
          </w:rPr>
          <w:instrText xml:space="preserve"> PAGEREF _Toc175413149 \h </w:instrText>
        </w:r>
        <w:r w:rsidR="00446A06">
          <w:rPr>
            <w:noProof/>
            <w:webHidden/>
          </w:rPr>
        </w:r>
        <w:r w:rsidR="00446A06">
          <w:rPr>
            <w:noProof/>
            <w:webHidden/>
          </w:rPr>
          <w:fldChar w:fldCharType="separate"/>
        </w:r>
        <w:r w:rsidR="0088526D">
          <w:rPr>
            <w:noProof/>
            <w:webHidden/>
          </w:rPr>
          <w:t>80</w:t>
        </w:r>
        <w:r w:rsidR="00446A06">
          <w:rPr>
            <w:noProof/>
            <w:webHidden/>
          </w:rPr>
          <w:fldChar w:fldCharType="end"/>
        </w:r>
      </w:hyperlink>
    </w:p>
    <w:p w14:paraId="580B6F23" w14:textId="2A87F361"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50" w:history="1">
        <w:r w:rsidR="00446A06" w:rsidRPr="000863E1">
          <w:rPr>
            <w:rStyle w:val="Hyperlink"/>
            <w:noProof/>
          </w:rPr>
          <w:t>Independent Variables</w:t>
        </w:r>
        <w:r w:rsidR="00446A06">
          <w:rPr>
            <w:noProof/>
            <w:webHidden/>
          </w:rPr>
          <w:tab/>
        </w:r>
        <w:r w:rsidR="00446A06">
          <w:rPr>
            <w:noProof/>
            <w:webHidden/>
          </w:rPr>
          <w:fldChar w:fldCharType="begin"/>
        </w:r>
        <w:r w:rsidR="00446A06">
          <w:rPr>
            <w:noProof/>
            <w:webHidden/>
          </w:rPr>
          <w:instrText xml:space="preserve"> PAGEREF _Toc175413150 \h </w:instrText>
        </w:r>
        <w:r w:rsidR="00446A06">
          <w:rPr>
            <w:noProof/>
            <w:webHidden/>
          </w:rPr>
        </w:r>
        <w:r w:rsidR="00446A06">
          <w:rPr>
            <w:noProof/>
            <w:webHidden/>
          </w:rPr>
          <w:fldChar w:fldCharType="separate"/>
        </w:r>
        <w:r w:rsidR="0088526D">
          <w:rPr>
            <w:noProof/>
            <w:webHidden/>
          </w:rPr>
          <w:t>80</w:t>
        </w:r>
        <w:r w:rsidR="00446A06">
          <w:rPr>
            <w:noProof/>
            <w:webHidden/>
          </w:rPr>
          <w:fldChar w:fldCharType="end"/>
        </w:r>
      </w:hyperlink>
    </w:p>
    <w:p w14:paraId="49B36BA1" w14:textId="129D8CAD"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51" w:history="1">
        <w:r w:rsidR="00446A06" w:rsidRPr="000863E1">
          <w:rPr>
            <w:rStyle w:val="Hyperlink"/>
            <w:noProof/>
          </w:rPr>
          <w:t>Dependent Variable</w:t>
        </w:r>
        <w:r w:rsidR="00446A06">
          <w:rPr>
            <w:noProof/>
            <w:webHidden/>
          </w:rPr>
          <w:tab/>
        </w:r>
        <w:r w:rsidR="00446A06">
          <w:rPr>
            <w:noProof/>
            <w:webHidden/>
          </w:rPr>
          <w:fldChar w:fldCharType="begin"/>
        </w:r>
        <w:r w:rsidR="00446A06">
          <w:rPr>
            <w:noProof/>
            <w:webHidden/>
          </w:rPr>
          <w:instrText xml:space="preserve"> PAGEREF _Toc175413151 \h </w:instrText>
        </w:r>
        <w:r w:rsidR="00446A06">
          <w:rPr>
            <w:noProof/>
            <w:webHidden/>
          </w:rPr>
        </w:r>
        <w:r w:rsidR="00446A06">
          <w:rPr>
            <w:noProof/>
            <w:webHidden/>
          </w:rPr>
          <w:fldChar w:fldCharType="separate"/>
        </w:r>
        <w:r w:rsidR="0088526D">
          <w:rPr>
            <w:noProof/>
            <w:webHidden/>
          </w:rPr>
          <w:t>81</w:t>
        </w:r>
        <w:r w:rsidR="00446A06">
          <w:rPr>
            <w:noProof/>
            <w:webHidden/>
          </w:rPr>
          <w:fldChar w:fldCharType="end"/>
        </w:r>
      </w:hyperlink>
    </w:p>
    <w:p w14:paraId="0334D822" w14:textId="1809D5A5"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52" w:history="1">
        <w:r w:rsidR="00446A06" w:rsidRPr="000863E1">
          <w:rPr>
            <w:rStyle w:val="Hyperlink"/>
            <w:noProof/>
          </w:rPr>
          <w:t>Data Analysis</w:t>
        </w:r>
        <w:r w:rsidR="00446A06">
          <w:rPr>
            <w:noProof/>
            <w:webHidden/>
          </w:rPr>
          <w:tab/>
        </w:r>
        <w:r w:rsidR="00446A06">
          <w:rPr>
            <w:noProof/>
            <w:webHidden/>
          </w:rPr>
          <w:fldChar w:fldCharType="begin"/>
        </w:r>
        <w:r w:rsidR="00446A06">
          <w:rPr>
            <w:noProof/>
            <w:webHidden/>
          </w:rPr>
          <w:instrText xml:space="preserve"> PAGEREF _Toc175413152 \h </w:instrText>
        </w:r>
        <w:r w:rsidR="00446A06">
          <w:rPr>
            <w:noProof/>
            <w:webHidden/>
          </w:rPr>
        </w:r>
        <w:r w:rsidR="00446A06">
          <w:rPr>
            <w:noProof/>
            <w:webHidden/>
          </w:rPr>
          <w:fldChar w:fldCharType="separate"/>
        </w:r>
        <w:r w:rsidR="0088526D">
          <w:rPr>
            <w:noProof/>
            <w:webHidden/>
          </w:rPr>
          <w:t>83</w:t>
        </w:r>
        <w:r w:rsidR="00446A06">
          <w:rPr>
            <w:noProof/>
            <w:webHidden/>
          </w:rPr>
          <w:fldChar w:fldCharType="end"/>
        </w:r>
      </w:hyperlink>
    </w:p>
    <w:p w14:paraId="1D543F42" w14:textId="124A1724"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53" w:history="1">
        <w:r w:rsidR="00446A06" w:rsidRPr="000863E1">
          <w:rPr>
            <w:rStyle w:val="Hyperlink"/>
            <w:noProof/>
          </w:rPr>
          <w:t>Conclusion</w:t>
        </w:r>
        <w:r w:rsidR="00446A06">
          <w:rPr>
            <w:noProof/>
            <w:webHidden/>
          </w:rPr>
          <w:tab/>
        </w:r>
        <w:r w:rsidR="00446A06">
          <w:rPr>
            <w:noProof/>
            <w:webHidden/>
          </w:rPr>
          <w:fldChar w:fldCharType="begin"/>
        </w:r>
        <w:r w:rsidR="00446A06">
          <w:rPr>
            <w:noProof/>
            <w:webHidden/>
          </w:rPr>
          <w:instrText xml:space="preserve"> PAGEREF _Toc175413153 \h </w:instrText>
        </w:r>
        <w:r w:rsidR="00446A06">
          <w:rPr>
            <w:noProof/>
            <w:webHidden/>
          </w:rPr>
        </w:r>
        <w:r w:rsidR="00446A06">
          <w:rPr>
            <w:noProof/>
            <w:webHidden/>
          </w:rPr>
          <w:fldChar w:fldCharType="separate"/>
        </w:r>
        <w:r w:rsidR="0088526D">
          <w:rPr>
            <w:noProof/>
            <w:webHidden/>
          </w:rPr>
          <w:t>87</w:t>
        </w:r>
        <w:r w:rsidR="00446A06">
          <w:rPr>
            <w:noProof/>
            <w:webHidden/>
          </w:rPr>
          <w:fldChar w:fldCharType="end"/>
        </w:r>
      </w:hyperlink>
    </w:p>
    <w:p w14:paraId="440B9594" w14:textId="5B1AE159"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54" w:history="1">
        <w:r w:rsidR="00446A06" w:rsidRPr="000863E1">
          <w:rPr>
            <w:rStyle w:val="Hyperlink"/>
            <w:noProof/>
          </w:rPr>
          <w:t xml:space="preserve">Chapter 7 –  </w:t>
        </w:r>
        <w:r w:rsidR="00446A06" w:rsidRPr="000863E1">
          <w:rPr>
            <w:rStyle w:val="Hyperlink"/>
            <w:i/>
            <w:iCs/>
            <w:noProof/>
          </w:rPr>
          <w:t>How</w:t>
        </w:r>
        <w:r w:rsidR="00446A06" w:rsidRPr="000863E1">
          <w:rPr>
            <w:rStyle w:val="Hyperlink"/>
            <w:noProof/>
          </w:rPr>
          <w:t xml:space="preserve"> Does the Media Coverage of Terrorism Affect International (State) Legitimacy?</w:t>
        </w:r>
        <w:r w:rsidR="00446A06">
          <w:rPr>
            <w:noProof/>
            <w:webHidden/>
          </w:rPr>
          <w:tab/>
        </w:r>
        <w:r w:rsidR="00446A06">
          <w:rPr>
            <w:noProof/>
            <w:webHidden/>
          </w:rPr>
          <w:fldChar w:fldCharType="begin"/>
        </w:r>
        <w:r w:rsidR="00446A06">
          <w:rPr>
            <w:noProof/>
            <w:webHidden/>
          </w:rPr>
          <w:instrText xml:space="preserve"> PAGEREF _Toc175413154 \h </w:instrText>
        </w:r>
        <w:r w:rsidR="00446A06">
          <w:rPr>
            <w:noProof/>
            <w:webHidden/>
          </w:rPr>
        </w:r>
        <w:r w:rsidR="00446A06">
          <w:rPr>
            <w:noProof/>
            <w:webHidden/>
          </w:rPr>
          <w:fldChar w:fldCharType="separate"/>
        </w:r>
        <w:r w:rsidR="0088526D">
          <w:rPr>
            <w:noProof/>
            <w:webHidden/>
          </w:rPr>
          <w:t>89</w:t>
        </w:r>
        <w:r w:rsidR="00446A06">
          <w:rPr>
            <w:noProof/>
            <w:webHidden/>
          </w:rPr>
          <w:fldChar w:fldCharType="end"/>
        </w:r>
      </w:hyperlink>
    </w:p>
    <w:p w14:paraId="0B762E01" w14:textId="17BD4DD6"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55" w:history="1">
        <w:r w:rsidR="00446A06" w:rsidRPr="000863E1">
          <w:rPr>
            <w:rStyle w:val="Hyperlink"/>
            <w:noProof/>
          </w:rPr>
          <w:t>Terrorism Manifests in Opposition to State Authority</w:t>
        </w:r>
        <w:r w:rsidR="00446A06">
          <w:rPr>
            <w:noProof/>
            <w:webHidden/>
          </w:rPr>
          <w:tab/>
        </w:r>
        <w:r w:rsidR="00446A06">
          <w:rPr>
            <w:noProof/>
            <w:webHidden/>
          </w:rPr>
          <w:fldChar w:fldCharType="begin"/>
        </w:r>
        <w:r w:rsidR="00446A06">
          <w:rPr>
            <w:noProof/>
            <w:webHidden/>
          </w:rPr>
          <w:instrText xml:space="preserve"> PAGEREF _Toc175413155 \h </w:instrText>
        </w:r>
        <w:r w:rsidR="00446A06">
          <w:rPr>
            <w:noProof/>
            <w:webHidden/>
          </w:rPr>
        </w:r>
        <w:r w:rsidR="00446A06">
          <w:rPr>
            <w:noProof/>
            <w:webHidden/>
          </w:rPr>
          <w:fldChar w:fldCharType="separate"/>
        </w:r>
        <w:r w:rsidR="0088526D">
          <w:rPr>
            <w:noProof/>
            <w:webHidden/>
          </w:rPr>
          <w:t>91</w:t>
        </w:r>
        <w:r w:rsidR="00446A06">
          <w:rPr>
            <w:noProof/>
            <w:webHidden/>
          </w:rPr>
          <w:fldChar w:fldCharType="end"/>
        </w:r>
      </w:hyperlink>
    </w:p>
    <w:p w14:paraId="4FCF8AAB" w14:textId="7C0DAE1A"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56" w:history="1">
        <w:r w:rsidR="00446A06" w:rsidRPr="000863E1">
          <w:rPr>
            <w:rStyle w:val="Hyperlink"/>
            <w:noProof/>
          </w:rPr>
          <w:t>Assessing the De Minimis Media Coverage Definition of Terrorism in Relation to the De Minimis Policy Definition of Terrorism</w:t>
        </w:r>
        <w:r w:rsidR="00446A06">
          <w:rPr>
            <w:noProof/>
            <w:webHidden/>
          </w:rPr>
          <w:tab/>
        </w:r>
        <w:r w:rsidR="00446A06">
          <w:rPr>
            <w:noProof/>
            <w:webHidden/>
          </w:rPr>
          <w:fldChar w:fldCharType="begin"/>
        </w:r>
        <w:r w:rsidR="00446A06">
          <w:rPr>
            <w:noProof/>
            <w:webHidden/>
          </w:rPr>
          <w:instrText xml:space="preserve"> PAGEREF _Toc175413156 \h </w:instrText>
        </w:r>
        <w:r w:rsidR="00446A06">
          <w:rPr>
            <w:noProof/>
            <w:webHidden/>
          </w:rPr>
        </w:r>
        <w:r w:rsidR="00446A06">
          <w:rPr>
            <w:noProof/>
            <w:webHidden/>
          </w:rPr>
          <w:fldChar w:fldCharType="separate"/>
        </w:r>
        <w:r w:rsidR="0088526D">
          <w:rPr>
            <w:noProof/>
            <w:webHidden/>
          </w:rPr>
          <w:t>93</w:t>
        </w:r>
        <w:r w:rsidR="00446A06">
          <w:rPr>
            <w:noProof/>
            <w:webHidden/>
          </w:rPr>
          <w:fldChar w:fldCharType="end"/>
        </w:r>
      </w:hyperlink>
    </w:p>
    <w:p w14:paraId="6807A5B3" w14:textId="43A2EAAD"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57" w:history="1">
        <w:r w:rsidR="00446A06" w:rsidRPr="000863E1">
          <w:rPr>
            <w:rStyle w:val="Hyperlink"/>
            <w:noProof/>
          </w:rPr>
          <w:t>States and Terrorists Compete for the Same Authority</w:t>
        </w:r>
        <w:r w:rsidR="00446A06">
          <w:rPr>
            <w:noProof/>
            <w:webHidden/>
          </w:rPr>
          <w:tab/>
        </w:r>
        <w:r w:rsidR="00446A06">
          <w:rPr>
            <w:noProof/>
            <w:webHidden/>
          </w:rPr>
          <w:fldChar w:fldCharType="begin"/>
        </w:r>
        <w:r w:rsidR="00446A06">
          <w:rPr>
            <w:noProof/>
            <w:webHidden/>
          </w:rPr>
          <w:instrText xml:space="preserve"> PAGEREF _Toc175413157 \h </w:instrText>
        </w:r>
        <w:r w:rsidR="00446A06">
          <w:rPr>
            <w:noProof/>
            <w:webHidden/>
          </w:rPr>
        </w:r>
        <w:r w:rsidR="00446A06">
          <w:rPr>
            <w:noProof/>
            <w:webHidden/>
          </w:rPr>
          <w:fldChar w:fldCharType="separate"/>
        </w:r>
        <w:r w:rsidR="0088526D">
          <w:rPr>
            <w:noProof/>
            <w:webHidden/>
          </w:rPr>
          <w:t>99</w:t>
        </w:r>
        <w:r w:rsidR="00446A06">
          <w:rPr>
            <w:noProof/>
            <w:webHidden/>
          </w:rPr>
          <w:fldChar w:fldCharType="end"/>
        </w:r>
      </w:hyperlink>
    </w:p>
    <w:p w14:paraId="086CAD3B" w14:textId="318EF6A3"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58" w:history="1">
        <w:r w:rsidR="00446A06" w:rsidRPr="000863E1">
          <w:rPr>
            <w:rStyle w:val="Hyperlink"/>
            <w:noProof/>
          </w:rPr>
          <w:t>Media Coverage of Terrorism Places States and Terrorists on the Same Level</w:t>
        </w:r>
        <w:r w:rsidR="00446A06">
          <w:rPr>
            <w:noProof/>
            <w:webHidden/>
          </w:rPr>
          <w:tab/>
        </w:r>
        <w:r w:rsidR="00446A06">
          <w:rPr>
            <w:noProof/>
            <w:webHidden/>
          </w:rPr>
          <w:fldChar w:fldCharType="begin"/>
        </w:r>
        <w:r w:rsidR="00446A06">
          <w:rPr>
            <w:noProof/>
            <w:webHidden/>
          </w:rPr>
          <w:instrText xml:space="preserve"> PAGEREF _Toc175413158 \h </w:instrText>
        </w:r>
        <w:r w:rsidR="00446A06">
          <w:rPr>
            <w:noProof/>
            <w:webHidden/>
          </w:rPr>
        </w:r>
        <w:r w:rsidR="00446A06">
          <w:rPr>
            <w:noProof/>
            <w:webHidden/>
          </w:rPr>
          <w:fldChar w:fldCharType="separate"/>
        </w:r>
        <w:r w:rsidR="0088526D">
          <w:rPr>
            <w:noProof/>
            <w:webHidden/>
          </w:rPr>
          <w:t>104</w:t>
        </w:r>
        <w:r w:rsidR="00446A06">
          <w:rPr>
            <w:noProof/>
            <w:webHidden/>
          </w:rPr>
          <w:fldChar w:fldCharType="end"/>
        </w:r>
      </w:hyperlink>
    </w:p>
    <w:p w14:paraId="4C3E64CF" w14:textId="7C3ADBB3"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59" w:history="1">
        <w:r w:rsidR="00446A06" w:rsidRPr="000863E1">
          <w:rPr>
            <w:rStyle w:val="Hyperlink"/>
            <w:noProof/>
          </w:rPr>
          <w:t>States Have Established Their Own Worst Enemy in Terrorists</w:t>
        </w:r>
        <w:r w:rsidR="00446A06">
          <w:rPr>
            <w:noProof/>
            <w:webHidden/>
          </w:rPr>
          <w:tab/>
        </w:r>
        <w:r w:rsidR="00446A06">
          <w:rPr>
            <w:noProof/>
            <w:webHidden/>
          </w:rPr>
          <w:fldChar w:fldCharType="begin"/>
        </w:r>
        <w:r w:rsidR="00446A06">
          <w:rPr>
            <w:noProof/>
            <w:webHidden/>
          </w:rPr>
          <w:instrText xml:space="preserve"> PAGEREF _Toc175413159 \h </w:instrText>
        </w:r>
        <w:r w:rsidR="00446A06">
          <w:rPr>
            <w:noProof/>
            <w:webHidden/>
          </w:rPr>
        </w:r>
        <w:r w:rsidR="00446A06">
          <w:rPr>
            <w:noProof/>
            <w:webHidden/>
          </w:rPr>
          <w:fldChar w:fldCharType="separate"/>
        </w:r>
        <w:r w:rsidR="0088526D">
          <w:rPr>
            <w:noProof/>
            <w:webHidden/>
          </w:rPr>
          <w:t>112</w:t>
        </w:r>
        <w:r w:rsidR="00446A06">
          <w:rPr>
            <w:noProof/>
            <w:webHidden/>
          </w:rPr>
          <w:fldChar w:fldCharType="end"/>
        </w:r>
      </w:hyperlink>
    </w:p>
    <w:p w14:paraId="10AE31C5" w14:textId="420402F1"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60" w:history="1">
        <w:r w:rsidR="00446A06" w:rsidRPr="000863E1">
          <w:rPr>
            <w:rStyle w:val="Hyperlink"/>
            <w:noProof/>
          </w:rPr>
          <w:t>Conclusion</w:t>
        </w:r>
        <w:r w:rsidR="00446A06">
          <w:rPr>
            <w:noProof/>
            <w:webHidden/>
          </w:rPr>
          <w:tab/>
        </w:r>
        <w:r w:rsidR="00446A06">
          <w:rPr>
            <w:noProof/>
            <w:webHidden/>
          </w:rPr>
          <w:fldChar w:fldCharType="begin"/>
        </w:r>
        <w:r w:rsidR="00446A06">
          <w:rPr>
            <w:noProof/>
            <w:webHidden/>
          </w:rPr>
          <w:instrText xml:space="preserve"> PAGEREF _Toc175413160 \h </w:instrText>
        </w:r>
        <w:r w:rsidR="00446A06">
          <w:rPr>
            <w:noProof/>
            <w:webHidden/>
          </w:rPr>
        </w:r>
        <w:r w:rsidR="00446A06">
          <w:rPr>
            <w:noProof/>
            <w:webHidden/>
          </w:rPr>
          <w:fldChar w:fldCharType="separate"/>
        </w:r>
        <w:r w:rsidR="0088526D">
          <w:rPr>
            <w:noProof/>
            <w:webHidden/>
          </w:rPr>
          <w:t>116</w:t>
        </w:r>
        <w:r w:rsidR="00446A06">
          <w:rPr>
            <w:noProof/>
            <w:webHidden/>
          </w:rPr>
          <w:fldChar w:fldCharType="end"/>
        </w:r>
      </w:hyperlink>
    </w:p>
    <w:p w14:paraId="05B7FA82" w14:textId="074C30BB"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61" w:history="1">
        <w:r w:rsidR="00446A06" w:rsidRPr="000863E1">
          <w:rPr>
            <w:rStyle w:val="Hyperlink"/>
            <w:noProof/>
          </w:rPr>
          <w:t>Chapter 8 – Existing Policies and Guidelines for Journalists</w:t>
        </w:r>
        <w:r w:rsidR="00446A06">
          <w:rPr>
            <w:noProof/>
            <w:webHidden/>
          </w:rPr>
          <w:tab/>
        </w:r>
        <w:r w:rsidR="00446A06">
          <w:rPr>
            <w:noProof/>
            <w:webHidden/>
          </w:rPr>
          <w:fldChar w:fldCharType="begin"/>
        </w:r>
        <w:r w:rsidR="00446A06">
          <w:rPr>
            <w:noProof/>
            <w:webHidden/>
          </w:rPr>
          <w:instrText xml:space="preserve"> PAGEREF _Toc175413161 \h </w:instrText>
        </w:r>
        <w:r w:rsidR="00446A06">
          <w:rPr>
            <w:noProof/>
            <w:webHidden/>
          </w:rPr>
        </w:r>
        <w:r w:rsidR="00446A06">
          <w:rPr>
            <w:noProof/>
            <w:webHidden/>
          </w:rPr>
          <w:fldChar w:fldCharType="separate"/>
        </w:r>
        <w:r w:rsidR="0088526D">
          <w:rPr>
            <w:noProof/>
            <w:webHidden/>
          </w:rPr>
          <w:t>118</w:t>
        </w:r>
        <w:r w:rsidR="00446A06">
          <w:rPr>
            <w:noProof/>
            <w:webHidden/>
          </w:rPr>
          <w:fldChar w:fldCharType="end"/>
        </w:r>
      </w:hyperlink>
    </w:p>
    <w:p w14:paraId="7E11F995" w14:textId="4ED3307D"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62" w:history="1">
        <w:r w:rsidR="00446A06" w:rsidRPr="000863E1">
          <w:rPr>
            <w:rStyle w:val="Hyperlink"/>
            <w:noProof/>
          </w:rPr>
          <w:t>Existing Policy Relating to the Media Coverage of Terrorism</w:t>
        </w:r>
        <w:r w:rsidR="00446A06">
          <w:rPr>
            <w:noProof/>
            <w:webHidden/>
          </w:rPr>
          <w:tab/>
        </w:r>
        <w:r w:rsidR="00446A06">
          <w:rPr>
            <w:noProof/>
            <w:webHidden/>
          </w:rPr>
          <w:fldChar w:fldCharType="begin"/>
        </w:r>
        <w:r w:rsidR="00446A06">
          <w:rPr>
            <w:noProof/>
            <w:webHidden/>
          </w:rPr>
          <w:instrText xml:space="preserve"> PAGEREF _Toc175413162 \h </w:instrText>
        </w:r>
        <w:r w:rsidR="00446A06">
          <w:rPr>
            <w:noProof/>
            <w:webHidden/>
          </w:rPr>
        </w:r>
        <w:r w:rsidR="00446A06">
          <w:rPr>
            <w:noProof/>
            <w:webHidden/>
          </w:rPr>
          <w:fldChar w:fldCharType="separate"/>
        </w:r>
        <w:r w:rsidR="0088526D">
          <w:rPr>
            <w:noProof/>
            <w:webHidden/>
          </w:rPr>
          <w:t>119</w:t>
        </w:r>
        <w:r w:rsidR="00446A06">
          <w:rPr>
            <w:noProof/>
            <w:webHidden/>
          </w:rPr>
          <w:fldChar w:fldCharType="end"/>
        </w:r>
      </w:hyperlink>
    </w:p>
    <w:p w14:paraId="12A0B75A" w14:textId="443EB64D"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63" w:history="1">
        <w:r w:rsidR="00446A06" w:rsidRPr="000863E1">
          <w:rPr>
            <w:rStyle w:val="Hyperlink"/>
            <w:noProof/>
          </w:rPr>
          <w:t>International News Agency Style Guides on Terrorism</w:t>
        </w:r>
        <w:r w:rsidR="00446A06">
          <w:rPr>
            <w:noProof/>
            <w:webHidden/>
          </w:rPr>
          <w:tab/>
        </w:r>
        <w:r w:rsidR="00446A06">
          <w:rPr>
            <w:noProof/>
            <w:webHidden/>
          </w:rPr>
          <w:fldChar w:fldCharType="begin"/>
        </w:r>
        <w:r w:rsidR="00446A06">
          <w:rPr>
            <w:noProof/>
            <w:webHidden/>
          </w:rPr>
          <w:instrText xml:space="preserve"> PAGEREF _Toc175413163 \h </w:instrText>
        </w:r>
        <w:r w:rsidR="00446A06">
          <w:rPr>
            <w:noProof/>
            <w:webHidden/>
          </w:rPr>
        </w:r>
        <w:r w:rsidR="00446A06">
          <w:rPr>
            <w:noProof/>
            <w:webHidden/>
          </w:rPr>
          <w:fldChar w:fldCharType="separate"/>
        </w:r>
        <w:r w:rsidR="0088526D">
          <w:rPr>
            <w:noProof/>
            <w:webHidden/>
          </w:rPr>
          <w:t>120</w:t>
        </w:r>
        <w:r w:rsidR="00446A06">
          <w:rPr>
            <w:noProof/>
            <w:webHidden/>
          </w:rPr>
          <w:fldChar w:fldCharType="end"/>
        </w:r>
      </w:hyperlink>
    </w:p>
    <w:p w14:paraId="3AA6B2AA" w14:textId="3D381B87"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64" w:history="1">
        <w:r w:rsidR="00446A06" w:rsidRPr="000863E1">
          <w:rPr>
            <w:rStyle w:val="Hyperlink"/>
            <w:noProof/>
          </w:rPr>
          <w:t>The Effect of Style Guides on Terrorism’s Depiction in Media Coverage</w:t>
        </w:r>
        <w:r w:rsidR="00446A06">
          <w:rPr>
            <w:noProof/>
            <w:webHidden/>
          </w:rPr>
          <w:tab/>
        </w:r>
        <w:r w:rsidR="00446A06">
          <w:rPr>
            <w:noProof/>
            <w:webHidden/>
          </w:rPr>
          <w:fldChar w:fldCharType="begin"/>
        </w:r>
        <w:r w:rsidR="00446A06">
          <w:rPr>
            <w:noProof/>
            <w:webHidden/>
          </w:rPr>
          <w:instrText xml:space="preserve"> PAGEREF _Toc175413164 \h </w:instrText>
        </w:r>
        <w:r w:rsidR="00446A06">
          <w:rPr>
            <w:noProof/>
            <w:webHidden/>
          </w:rPr>
        </w:r>
        <w:r w:rsidR="00446A06">
          <w:rPr>
            <w:noProof/>
            <w:webHidden/>
          </w:rPr>
          <w:fldChar w:fldCharType="separate"/>
        </w:r>
        <w:r w:rsidR="0088526D">
          <w:rPr>
            <w:noProof/>
            <w:webHidden/>
          </w:rPr>
          <w:t>123</w:t>
        </w:r>
        <w:r w:rsidR="00446A06">
          <w:rPr>
            <w:noProof/>
            <w:webHidden/>
          </w:rPr>
          <w:fldChar w:fldCharType="end"/>
        </w:r>
      </w:hyperlink>
    </w:p>
    <w:p w14:paraId="2820FBBA" w14:textId="018322A4"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65" w:history="1">
        <w:r w:rsidR="00446A06" w:rsidRPr="000863E1">
          <w:rPr>
            <w:rStyle w:val="Hyperlink"/>
            <w:noProof/>
          </w:rPr>
          <w:t>Conclusion</w:t>
        </w:r>
        <w:r w:rsidR="00446A06">
          <w:rPr>
            <w:noProof/>
            <w:webHidden/>
          </w:rPr>
          <w:tab/>
        </w:r>
        <w:r w:rsidR="00446A06">
          <w:rPr>
            <w:noProof/>
            <w:webHidden/>
          </w:rPr>
          <w:fldChar w:fldCharType="begin"/>
        </w:r>
        <w:r w:rsidR="00446A06">
          <w:rPr>
            <w:noProof/>
            <w:webHidden/>
          </w:rPr>
          <w:instrText xml:space="preserve"> PAGEREF _Toc175413165 \h </w:instrText>
        </w:r>
        <w:r w:rsidR="00446A06">
          <w:rPr>
            <w:noProof/>
            <w:webHidden/>
          </w:rPr>
        </w:r>
        <w:r w:rsidR="00446A06">
          <w:rPr>
            <w:noProof/>
            <w:webHidden/>
          </w:rPr>
          <w:fldChar w:fldCharType="separate"/>
        </w:r>
        <w:r w:rsidR="0088526D">
          <w:rPr>
            <w:noProof/>
            <w:webHidden/>
          </w:rPr>
          <w:t>125</w:t>
        </w:r>
        <w:r w:rsidR="00446A06">
          <w:rPr>
            <w:noProof/>
            <w:webHidden/>
          </w:rPr>
          <w:fldChar w:fldCharType="end"/>
        </w:r>
      </w:hyperlink>
    </w:p>
    <w:p w14:paraId="1465CB7D" w14:textId="5B9E4581"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66" w:history="1">
        <w:r w:rsidR="00446A06" w:rsidRPr="000863E1">
          <w:rPr>
            <w:rStyle w:val="Hyperlink"/>
            <w:noProof/>
          </w:rPr>
          <w:t>Chapter 9 – Conclusion</w:t>
        </w:r>
        <w:r w:rsidR="00446A06">
          <w:rPr>
            <w:noProof/>
            <w:webHidden/>
          </w:rPr>
          <w:tab/>
        </w:r>
        <w:r w:rsidR="00446A06">
          <w:rPr>
            <w:noProof/>
            <w:webHidden/>
          </w:rPr>
          <w:fldChar w:fldCharType="begin"/>
        </w:r>
        <w:r w:rsidR="00446A06">
          <w:rPr>
            <w:noProof/>
            <w:webHidden/>
          </w:rPr>
          <w:instrText xml:space="preserve"> PAGEREF _Toc175413166 \h </w:instrText>
        </w:r>
        <w:r w:rsidR="00446A06">
          <w:rPr>
            <w:noProof/>
            <w:webHidden/>
          </w:rPr>
        </w:r>
        <w:r w:rsidR="00446A06">
          <w:rPr>
            <w:noProof/>
            <w:webHidden/>
          </w:rPr>
          <w:fldChar w:fldCharType="separate"/>
        </w:r>
        <w:r w:rsidR="0088526D">
          <w:rPr>
            <w:noProof/>
            <w:webHidden/>
          </w:rPr>
          <w:t>126</w:t>
        </w:r>
        <w:r w:rsidR="00446A06">
          <w:rPr>
            <w:noProof/>
            <w:webHidden/>
          </w:rPr>
          <w:fldChar w:fldCharType="end"/>
        </w:r>
      </w:hyperlink>
    </w:p>
    <w:p w14:paraId="203C47BD" w14:textId="7FDA7E6B"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67" w:history="1">
        <w:r w:rsidR="00446A06" w:rsidRPr="000863E1">
          <w:rPr>
            <w:rStyle w:val="Hyperlink"/>
            <w:noProof/>
          </w:rPr>
          <w:t>Principles to Inform Media-Centric Policy Recommendations</w:t>
        </w:r>
        <w:r w:rsidR="00446A06">
          <w:rPr>
            <w:noProof/>
            <w:webHidden/>
          </w:rPr>
          <w:tab/>
        </w:r>
        <w:r w:rsidR="00446A06">
          <w:rPr>
            <w:noProof/>
            <w:webHidden/>
          </w:rPr>
          <w:fldChar w:fldCharType="begin"/>
        </w:r>
        <w:r w:rsidR="00446A06">
          <w:rPr>
            <w:noProof/>
            <w:webHidden/>
          </w:rPr>
          <w:instrText xml:space="preserve"> PAGEREF _Toc175413167 \h </w:instrText>
        </w:r>
        <w:r w:rsidR="00446A06">
          <w:rPr>
            <w:noProof/>
            <w:webHidden/>
          </w:rPr>
        </w:r>
        <w:r w:rsidR="00446A06">
          <w:rPr>
            <w:noProof/>
            <w:webHidden/>
          </w:rPr>
          <w:fldChar w:fldCharType="separate"/>
        </w:r>
        <w:r w:rsidR="0088526D">
          <w:rPr>
            <w:noProof/>
            <w:webHidden/>
          </w:rPr>
          <w:t>128</w:t>
        </w:r>
        <w:r w:rsidR="00446A06">
          <w:rPr>
            <w:noProof/>
            <w:webHidden/>
          </w:rPr>
          <w:fldChar w:fldCharType="end"/>
        </w:r>
      </w:hyperlink>
    </w:p>
    <w:p w14:paraId="4398E285" w14:textId="798486A0"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68" w:history="1">
        <w:r w:rsidR="00446A06" w:rsidRPr="000863E1">
          <w:rPr>
            <w:rStyle w:val="Hyperlink"/>
            <w:noProof/>
          </w:rPr>
          <w:t>Principles to Inform State-Based Policy Recommendations</w:t>
        </w:r>
        <w:r w:rsidR="00446A06">
          <w:rPr>
            <w:noProof/>
            <w:webHidden/>
          </w:rPr>
          <w:tab/>
        </w:r>
        <w:r w:rsidR="00446A06">
          <w:rPr>
            <w:noProof/>
            <w:webHidden/>
          </w:rPr>
          <w:fldChar w:fldCharType="begin"/>
        </w:r>
        <w:r w:rsidR="00446A06">
          <w:rPr>
            <w:noProof/>
            <w:webHidden/>
          </w:rPr>
          <w:instrText xml:space="preserve"> PAGEREF _Toc175413168 \h </w:instrText>
        </w:r>
        <w:r w:rsidR="00446A06">
          <w:rPr>
            <w:noProof/>
            <w:webHidden/>
          </w:rPr>
        </w:r>
        <w:r w:rsidR="00446A06">
          <w:rPr>
            <w:noProof/>
            <w:webHidden/>
          </w:rPr>
          <w:fldChar w:fldCharType="separate"/>
        </w:r>
        <w:r w:rsidR="0088526D">
          <w:rPr>
            <w:noProof/>
            <w:webHidden/>
          </w:rPr>
          <w:t>129</w:t>
        </w:r>
        <w:r w:rsidR="00446A06">
          <w:rPr>
            <w:noProof/>
            <w:webHidden/>
          </w:rPr>
          <w:fldChar w:fldCharType="end"/>
        </w:r>
      </w:hyperlink>
    </w:p>
    <w:p w14:paraId="5B36DF62" w14:textId="2EEA2CE7"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69" w:history="1">
        <w:r w:rsidR="00446A06" w:rsidRPr="000863E1">
          <w:rPr>
            <w:rStyle w:val="Hyperlink"/>
            <w:noProof/>
          </w:rPr>
          <w:t>Conclusion</w:t>
        </w:r>
        <w:r w:rsidR="00446A06">
          <w:rPr>
            <w:noProof/>
            <w:webHidden/>
          </w:rPr>
          <w:tab/>
        </w:r>
        <w:r w:rsidR="00446A06">
          <w:rPr>
            <w:noProof/>
            <w:webHidden/>
          </w:rPr>
          <w:fldChar w:fldCharType="begin"/>
        </w:r>
        <w:r w:rsidR="00446A06">
          <w:rPr>
            <w:noProof/>
            <w:webHidden/>
          </w:rPr>
          <w:instrText xml:space="preserve"> PAGEREF _Toc175413169 \h </w:instrText>
        </w:r>
        <w:r w:rsidR="00446A06">
          <w:rPr>
            <w:noProof/>
            <w:webHidden/>
          </w:rPr>
        </w:r>
        <w:r w:rsidR="00446A06">
          <w:rPr>
            <w:noProof/>
            <w:webHidden/>
          </w:rPr>
          <w:fldChar w:fldCharType="separate"/>
        </w:r>
        <w:r w:rsidR="0088526D">
          <w:rPr>
            <w:noProof/>
            <w:webHidden/>
          </w:rPr>
          <w:t>130</w:t>
        </w:r>
        <w:r w:rsidR="00446A06">
          <w:rPr>
            <w:noProof/>
            <w:webHidden/>
          </w:rPr>
          <w:fldChar w:fldCharType="end"/>
        </w:r>
      </w:hyperlink>
    </w:p>
    <w:p w14:paraId="63248EFC" w14:textId="0FD89447"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70" w:history="1">
        <w:r w:rsidR="00446A06" w:rsidRPr="000863E1">
          <w:rPr>
            <w:rStyle w:val="Hyperlink"/>
            <w:noProof/>
          </w:rPr>
          <w:t>Bibliography</w:t>
        </w:r>
        <w:r w:rsidR="00446A06">
          <w:rPr>
            <w:noProof/>
            <w:webHidden/>
          </w:rPr>
          <w:tab/>
        </w:r>
        <w:r w:rsidR="00446A06">
          <w:rPr>
            <w:noProof/>
            <w:webHidden/>
          </w:rPr>
          <w:fldChar w:fldCharType="begin"/>
        </w:r>
        <w:r w:rsidR="00446A06">
          <w:rPr>
            <w:noProof/>
            <w:webHidden/>
          </w:rPr>
          <w:instrText xml:space="preserve"> PAGEREF _Toc175413170 \h </w:instrText>
        </w:r>
        <w:r w:rsidR="00446A06">
          <w:rPr>
            <w:noProof/>
            <w:webHidden/>
          </w:rPr>
        </w:r>
        <w:r w:rsidR="00446A06">
          <w:rPr>
            <w:noProof/>
            <w:webHidden/>
          </w:rPr>
          <w:fldChar w:fldCharType="separate"/>
        </w:r>
        <w:r w:rsidR="0088526D">
          <w:rPr>
            <w:noProof/>
            <w:webHidden/>
          </w:rPr>
          <w:t>132</w:t>
        </w:r>
        <w:r w:rsidR="00446A06">
          <w:rPr>
            <w:noProof/>
            <w:webHidden/>
          </w:rPr>
          <w:fldChar w:fldCharType="end"/>
        </w:r>
      </w:hyperlink>
    </w:p>
    <w:p w14:paraId="0C8E5854" w14:textId="2CA66DE9"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71" w:history="1">
        <w:r w:rsidR="00446A06" w:rsidRPr="000863E1">
          <w:rPr>
            <w:rStyle w:val="Hyperlink"/>
            <w:noProof/>
          </w:rPr>
          <w:t>Primary Sources</w:t>
        </w:r>
        <w:r w:rsidR="00446A06">
          <w:rPr>
            <w:noProof/>
            <w:webHidden/>
          </w:rPr>
          <w:tab/>
        </w:r>
        <w:r w:rsidR="00446A06">
          <w:rPr>
            <w:noProof/>
            <w:webHidden/>
          </w:rPr>
          <w:fldChar w:fldCharType="begin"/>
        </w:r>
        <w:r w:rsidR="00446A06">
          <w:rPr>
            <w:noProof/>
            <w:webHidden/>
          </w:rPr>
          <w:instrText xml:space="preserve"> PAGEREF _Toc175413171 \h </w:instrText>
        </w:r>
        <w:r w:rsidR="00446A06">
          <w:rPr>
            <w:noProof/>
            <w:webHidden/>
          </w:rPr>
        </w:r>
        <w:r w:rsidR="00446A06">
          <w:rPr>
            <w:noProof/>
            <w:webHidden/>
          </w:rPr>
          <w:fldChar w:fldCharType="separate"/>
        </w:r>
        <w:r w:rsidR="0088526D">
          <w:rPr>
            <w:noProof/>
            <w:webHidden/>
          </w:rPr>
          <w:t>132</w:t>
        </w:r>
        <w:r w:rsidR="00446A06">
          <w:rPr>
            <w:noProof/>
            <w:webHidden/>
          </w:rPr>
          <w:fldChar w:fldCharType="end"/>
        </w:r>
      </w:hyperlink>
    </w:p>
    <w:p w14:paraId="4BDF4EE1" w14:textId="51B3925C"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72" w:history="1">
        <w:r w:rsidR="00446A06" w:rsidRPr="000863E1">
          <w:rPr>
            <w:rStyle w:val="Hyperlink"/>
            <w:noProof/>
          </w:rPr>
          <w:t>Secondary Sources</w:t>
        </w:r>
        <w:r w:rsidR="00446A06">
          <w:rPr>
            <w:noProof/>
            <w:webHidden/>
          </w:rPr>
          <w:tab/>
        </w:r>
        <w:r w:rsidR="00446A06">
          <w:rPr>
            <w:noProof/>
            <w:webHidden/>
          </w:rPr>
          <w:fldChar w:fldCharType="begin"/>
        </w:r>
        <w:r w:rsidR="00446A06">
          <w:rPr>
            <w:noProof/>
            <w:webHidden/>
          </w:rPr>
          <w:instrText xml:space="preserve"> PAGEREF _Toc175413172 \h </w:instrText>
        </w:r>
        <w:r w:rsidR="00446A06">
          <w:rPr>
            <w:noProof/>
            <w:webHidden/>
          </w:rPr>
        </w:r>
        <w:r w:rsidR="00446A06">
          <w:rPr>
            <w:noProof/>
            <w:webHidden/>
          </w:rPr>
          <w:fldChar w:fldCharType="separate"/>
        </w:r>
        <w:r w:rsidR="0088526D">
          <w:rPr>
            <w:noProof/>
            <w:webHidden/>
          </w:rPr>
          <w:t>134</w:t>
        </w:r>
        <w:r w:rsidR="00446A06">
          <w:rPr>
            <w:noProof/>
            <w:webHidden/>
          </w:rPr>
          <w:fldChar w:fldCharType="end"/>
        </w:r>
      </w:hyperlink>
    </w:p>
    <w:p w14:paraId="50E1E8B3" w14:textId="1127B936" w:rsidR="00446A06" w:rsidRDefault="00000000">
      <w:pPr>
        <w:pStyle w:val="TOC1"/>
        <w:tabs>
          <w:tab w:val="right" w:leader="dot" w:pos="9350"/>
        </w:tabs>
        <w:rPr>
          <w:rFonts w:asciiTheme="minorHAnsi" w:eastAsiaTheme="minorEastAsia" w:hAnsiTheme="minorHAnsi" w:cstheme="minorBidi"/>
          <w:b w:val="0"/>
          <w:bCs w:val="0"/>
          <w:caps w:val="0"/>
          <w:noProof/>
          <w:kern w:val="2"/>
          <w:sz w:val="24"/>
          <w:szCs w:val="24"/>
          <w14:ligatures w14:val="standardContextual"/>
        </w:rPr>
      </w:pPr>
      <w:hyperlink w:anchor="_Toc175413173" w:history="1">
        <w:r w:rsidR="00446A06" w:rsidRPr="000863E1">
          <w:rPr>
            <w:rStyle w:val="Hyperlink"/>
            <w:noProof/>
          </w:rPr>
          <w:t>Appendices</w:t>
        </w:r>
        <w:r w:rsidR="00446A06">
          <w:rPr>
            <w:noProof/>
            <w:webHidden/>
          </w:rPr>
          <w:tab/>
        </w:r>
        <w:r w:rsidR="00446A06">
          <w:rPr>
            <w:noProof/>
            <w:webHidden/>
          </w:rPr>
          <w:fldChar w:fldCharType="begin"/>
        </w:r>
        <w:r w:rsidR="00446A06">
          <w:rPr>
            <w:noProof/>
            <w:webHidden/>
          </w:rPr>
          <w:instrText xml:space="preserve"> PAGEREF _Toc175413173 \h </w:instrText>
        </w:r>
        <w:r w:rsidR="00446A06">
          <w:rPr>
            <w:noProof/>
            <w:webHidden/>
          </w:rPr>
        </w:r>
        <w:r w:rsidR="00446A06">
          <w:rPr>
            <w:noProof/>
            <w:webHidden/>
          </w:rPr>
          <w:fldChar w:fldCharType="separate"/>
        </w:r>
        <w:r w:rsidR="0088526D">
          <w:rPr>
            <w:noProof/>
            <w:webHidden/>
          </w:rPr>
          <w:t>156</w:t>
        </w:r>
        <w:r w:rsidR="00446A06">
          <w:rPr>
            <w:noProof/>
            <w:webHidden/>
          </w:rPr>
          <w:fldChar w:fldCharType="end"/>
        </w:r>
      </w:hyperlink>
    </w:p>
    <w:p w14:paraId="05A90880" w14:textId="59EA315F"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74" w:history="1">
        <w:r w:rsidR="00446A06" w:rsidRPr="000863E1">
          <w:rPr>
            <w:rStyle w:val="Hyperlink"/>
            <w:noProof/>
          </w:rPr>
          <w:t>Appendix A – Redacted Correspondence with Staff at the Reuters Archive in London, and the AP Archive in New York</w:t>
        </w:r>
        <w:r w:rsidR="00446A06">
          <w:rPr>
            <w:noProof/>
            <w:webHidden/>
          </w:rPr>
          <w:tab/>
        </w:r>
        <w:r w:rsidR="00446A06">
          <w:rPr>
            <w:noProof/>
            <w:webHidden/>
          </w:rPr>
          <w:fldChar w:fldCharType="begin"/>
        </w:r>
        <w:r w:rsidR="00446A06">
          <w:rPr>
            <w:noProof/>
            <w:webHidden/>
          </w:rPr>
          <w:instrText xml:space="preserve"> PAGEREF _Toc175413174 \h </w:instrText>
        </w:r>
        <w:r w:rsidR="00446A06">
          <w:rPr>
            <w:noProof/>
            <w:webHidden/>
          </w:rPr>
        </w:r>
        <w:r w:rsidR="00446A06">
          <w:rPr>
            <w:noProof/>
            <w:webHidden/>
          </w:rPr>
          <w:fldChar w:fldCharType="separate"/>
        </w:r>
        <w:r w:rsidR="0088526D">
          <w:rPr>
            <w:noProof/>
            <w:webHidden/>
          </w:rPr>
          <w:t>157</w:t>
        </w:r>
        <w:r w:rsidR="00446A06">
          <w:rPr>
            <w:noProof/>
            <w:webHidden/>
          </w:rPr>
          <w:fldChar w:fldCharType="end"/>
        </w:r>
      </w:hyperlink>
    </w:p>
    <w:p w14:paraId="40B7D870" w14:textId="0BCC111F"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75" w:history="1">
        <w:r w:rsidR="00446A06" w:rsidRPr="000863E1">
          <w:rPr>
            <w:rStyle w:val="Hyperlink"/>
            <w:noProof/>
          </w:rPr>
          <w:t>Correspondence with Staff at the Reuters Archive (March 30, 2020 – April 7, 2020)</w:t>
        </w:r>
        <w:r w:rsidR="00446A06">
          <w:rPr>
            <w:noProof/>
            <w:webHidden/>
          </w:rPr>
          <w:tab/>
        </w:r>
        <w:r w:rsidR="00446A06">
          <w:rPr>
            <w:noProof/>
            <w:webHidden/>
          </w:rPr>
          <w:fldChar w:fldCharType="begin"/>
        </w:r>
        <w:r w:rsidR="00446A06">
          <w:rPr>
            <w:noProof/>
            <w:webHidden/>
          </w:rPr>
          <w:instrText xml:space="preserve"> PAGEREF _Toc175413175 \h </w:instrText>
        </w:r>
        <w:r w:rsidR="00446A06">
          <w:rPr>
            <w:noProof/>
            <w:webHidden/>
          </w:rPr>
        </w:r>
        <w:r w:rsidR="00446A06">
          <w:rPr>
            <w:noProof/>
            <w:webHidden/>
          </w:rPr>
          <w:fldChar w:fldCharType="separate"/>
        </w:r>
        <w:r w:rsidR="0088526D">
          <w:rPr>
            <w:noProof/>
            <w:webHidden/>
          </w:rPr>
          <w:t>157</w:t>
        </w:r>
        <w:r w:rsidR="00446A06">
          <w:rPr>
            <w:noProof/>
            <w:webHidden/>
          </w:rPr>
          <w:fldChar w:fldCharType="end"/>
        </w:r>
      </w:hyperlink>
    </w:p>
    <w:p w14:paraId="67F71488" w14:textId="21B08E47"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76" w:history="1">
        <w:r w:rsidR="00446A06" w:rsidRPr="000863E1">
          <w:rPr>
            <w:rStyle w:val="Hyperlink"/>
            <w:noProof/>
          </w:rPr>
          <w:t>Correspondence with Staff at the AP Archive (March 30, 2020 and April 7, 2020)</w:t>
        </w:r>
        <w:r w:rsidR="00446A06">
          <w:rPr>
            <w:noProof/>
            <w:webHidden/>
          </w:rPr>
          <w:tab/>
        </w:r>
        <w:r w:rsidR="00446A06">
          <w:rPr>
            <w:noProof/>
            <w:webHidden/>
          </w:rPr>
          <w:fldChar w:fldCharType="begin"/>
        </w:r>
        <w:r w:rsidR="00446A06">
          <w:rPr>
            <w:noProof/>
            <w:webHidden/>
          </w:rPr>
          <w:instrText xml:space="preserve"> PAGEREF _Toc175413176 \h </w:instrText>
        </w:r>
        <w:r w:rsidR="00446A06">
          <w:rPr>
            <w:noProof/>
            <w:webHidden/>
          </w:rPr>
        </w:r>
        <w:r w:rsidR="00446A06">
          <w:rPr>
            <w:noProof/>
            <w:webHidden/>
          </w:rPr>
          <w:fldChar w:fldCharType="separate"/>
        </w:r>
        <w:r w:rsidR="0088526D">
          <w:rPr>
            <w:noProof/>
            <w:webHidden/>
          </w:rPr>
          <w:t>160</w:t>
        </w:r>
        <w:r w:rsidR="00446A06">
          <w:rPr>
            <w:noProof/>
            <w:webHidden/>
          </w:rPr>
          <w:fldChar w:fldCharType="end"/>
        </w:r>
      </w:hyperlink>
    </w:p>
    <w:p w14:paraId="0CDB8910" w14:textId="2B161D87"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77" w:history="1">
        <w:r w:rsidR="00446A06" w:rsidRPr="000863E1">
          <w:rPr>
            <w:rStyle w:val="Hyperlink"/>
            <w:noProof/>
          </w:rPr>
          <w:t>Email Attachment: AP Stories Search_2019.docx</w:t>
        </w:r>
        <w:r w:rsidR="00446A06">
          <w:rPr>
            <w:noProof/>
            <w:webHidden/>
          </w:rPr>
          <w:tab/>
        </w:r>
        <w:r w:rsidR="00446A06">
          <w:rPr>
            <w:noProof/>
            <w:webHidden/>
          </w:rPr>
          <w:fldChar w:fldCharType="begin"/>
        </w:r>
        <w:r w:rsidR="00446A06">
          <w:rPr>
            <w:noProof/>
            <w:webHidden/>
          </w:rPr>
          <w:instrText xml:space="preserve"> PAGEREF _Toc175413177 \h </w:instrText>
        </w:r>
        <w:r w:rsidR="00446A06">
          <w:rPr>
            <w:noProof/>
            <w:webHidden/>
          </w:rPr>
        </w:r>
        <w:r w:rsidR="00446A06">
          <w:rPr>
            <w:noProof/>
            <w:webHidden/>
          </w:rPr>
          <w:fldChar w:fldCharType="separate"/>
        </w:r>
        <w:r w:rsidR="0088526D">
          <w:rPr>
            <w:noProof/>
            <w:webHidden/>
          </w:rPr>
          <w:t>162</w:t>
        </w:r>
        <w:r w:rsidR="00446A06">
          <w:rPr>
            <w:noProof/>
            <w:webHidden/>
          </w:rPr>
          <w:fldChar w:fldCharType="end"/>
        </w:r>
      </w:hyperlink>
    </w:p>
    <w:p w14:paraId="5D25F49E" w14:textId="296C7EB9"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78" w:history="1">
        <w:r w:rsidR="00446A06" w:rsidRPr="000863E1">
          <w:rPr>
            <w:rStyle w:val="Hyperlink"/>
            <w:noProof/>
          </w:rPr>
          <w:t>Appendix B – Full Dictionary of Bias Indicators Derived from Luo, Card, and Jurafsky’s 2020 Research</w:t>
        </w:r>
        <w:r w:rsidR="00446A06">
          <w:rPr>
            <w:noProof/>
            <w:webHidden/>
          </w:rPr>
          <w:tab/>
        </w:r>
        <w:r w:rsidR="00446A06">
          <w:rPr>
            <w:noProof/>
            <w:webHidden/>
          </w:rPr>
          <w:fldChar w:fldCharType="begin"/>
        </w:r>
        <w:r w:rsidR="00446A06">
          <w:rPr>
            <w:noProof/>
            <w:webHidden/>
          </w:rPr>
          <w:instrText xml:space="preserve"> PAGEREF _Toc175413178 \h </w:instrText>
        </w:r>
        <w:r w:rsidR="00446A06">
          <w:rPr>
            <w:noProof/>
            <w:webHidden/>
          </w:rPr>
        </w:r>
        <w:r w:rsidR="00446A06">
          <w:rPr>
            <w:noProof/>
            <w:webHidden/>
          </w:rPr>
          <w:fldChar w:fldCharType="separate"/>
        </w:r>
        <w:r w:rsidR="0088526D">
          <w:rPr>
            <w:noProof/>
            <w:webHidden/>
          </w:rPr>
          <w:t>163</w:t>
        </w:r>
        <w:r w:rsidR="00446A06">
          <w:rPr>
            <w:noProof/>
            <w:webHidden/>
          </w:rPr>
          <w:fldChar w:fldCharType="end"/>
        </w:r>
      </w:hyperlink>
    </w:p>
    <w:p w14:paraId="14262805" w14:textId="1F6B77B0"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79" w:history="1">
        <w:r w:rsidR="00446A06" w:rsidRPr="000863E1">
          <w:rPr>
            <w:rStyle w:val="Hyperlink"/>
            <w:noProof/>
          </w:rPr>
          <w:t>Positive Bias Indicators</w:t>
        </w:r>
        <w:r w:rsidR="00446A06">
          <w:rPr>
            <w:noProof/>
            <w:webHidden/>
          </w:rPr>
          <w:tab/>
        </w:r>
        <w:r w:rsidR="00446A06">
          <w:rPr>
            <w:noProof/>
            <w:webHidden/>
          </w:rPr>
          <w:fldChar w:fldCharType="begin"/>
        </w:r>
        <w:r w:rsidR="00446A06">
          <w:rPr>
            <w:noProof/>
            <w:webHidden/>
          </w:rPr>
          <w:instrText xml:space="preserve"> PAGEREF _Toc175413179 \h </w:instrText>
        </w:r>
        <w:r w:rsidR="00446A06">
          <w:rPr>
            <w:noProof/>
            <w:webHidden/>
          </w:rPr>
        </w:r>
        <w:r w:rsidR="00446A06">
          <w:rPr>
            <w:noProof/>
            <w:webHidden/>
          </w:rPr>
          <w:fldChar w:fldCharType="separate"/>
        </w:r>
        <w:r w:rsidR="0088526D">
          <w:rPr>
            <w:noProof/>
            <w:webHidden/>
          </w:rPr>
          <w:t>163</w:t>
        </w:r>
        <w:r w:rsidR="00446A06">
          <w:rPr>
            <w:noProof/>
            <w:webHidden/>
          </w:rPr>
          <w:fldChar w:fldCharType="end"/>
        </w:r>
      </w:hyperlink>
    </w:p>
    <w:p w14:paraId="16D9FA65" w14:textId="1547118A"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80" w:history="1">
        <w:r w:rsidR="00446A06" w:rsidRPr="000863E1">
          <w:rPr>
            <w:rStyle w:val="Hyperlink"/>
            <w:noProof/>
          </w:rPr>
          <w:t>Negative Bias Indicators</w:t>
        </w:r>
        <w:r w:rsidR="00446A06">
          <w:rPr>
            <w:noProof/>
            <w:webHidden/>
          </w:rPr>
          <w:tab/>
        </w:r>
        <w:r w:rsidR="00446A06">
          <w:rPr>
            <w:noProof/>
            <w:webHidden/>
          </w:rPr>
          <w:fldChar w:fldCharType="begin"/>
        </w:r>
        <w:r w:rsidR="00446A06">
          <w:rPr>
            <w:noProof/>
            <w:webHidden/>
          </w:rPr>
          <w:instrText xml:space="preserve"> PAGEREF _Toc175413180 \h </w:instrText>
        </w:r>
        <w:r w:rsidR="00446A06">
          <w:rPr>
            <w:noProof/>
            <w:webHidden/>
          </w:rPr>
        </w:r>
        <w:r w:rsidR="00446A06">
          <w:rPr>
            <w:noProof/>
            <w:webHidden/>
          </w:rPr>
          <w:fldChar w:fldCharType="separate"/>
        </w:r>
        <w:r w:rsidR="0088526D">
          <w:rPr>
            <w:noProof/>
            <w:webHidden/>
          </w:rPr>
          <w:t>164</w:t>
        </w:r>
        <w:r w:rsidR="00446A06">
          <w:rPr>
            <w:noProof/>
            <w:webHidden/>
          </w:rPr>
          <w:fldChar w:fldCharType="end"/>
        </w:r>
      </w:hyperlink>
    </w:p>
    <w:p w14:paraId="4367BF78" w14:textId="45A7CC7B"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81" w:history="1">
        <w:r w:rsidR="00446A06" w:rsidRPr="000863E1">
          <w:rPr>
            <w:rStyle w:val="Hyperlink"/>
            <w:noProof/>
          </w:rPr>
          <w:t>Appendix C – List of Search Terms and Strings Used to Identify Bias in the Media Coverage of Terrorism</w:t>
        </w:r>
        <w:r w:rsidR="00446A06">
          <w:rPr>
            <w:noProof/>
            <w:webHidden/>
          </w:rPr>
          <w:tab/>
        </w:r>
        <w:r w:rsidR="00446A06">
          <w:rPr>
            <w:noProof/>
            <w:webHidden/>
          </w:rPr>
          <w:fldChar w:fldCharType="begin"/>
        </w:r>
        <w:r w:rsidR="00446A06">
          <w:rPr>
            <w:noProof/>
            <w:webHidden/>
          </w:rPr>
          <w:instrText xml:space="preserve"> PAGEREF _Toc175413181 \h </w:instrText>
        </w:r>
        <w:r w:rsidR="00446A06">
          <w:rPr>
            <w:noProof/>
            <w:webHidden/>
          </w:rPr>
        </w:r>
        <w:r w:rsidR="00446A06">
          <w:rPr>
            <w:noProof/>
            <w:webHidden/>
          </w:rPr>
          <w:fldChar w:fldCharType="separate"/>
        </w:r>
        <w:r w:rsidR="0088526D">
          <w:rPr>
            <w:noProof/>
            <w:webHidden/>
          </w:rPr>
          <w:t>165</w:t>
        </w:r>
        <w:r w:rsidR="00446A06">
          <w:rPr>
            <w:noProof/>
            <w:webHidden/>
          </w:rPr>
          <w:fldChar w:fldCharType="end"/>
        </w:r>
      </w:hyperlink>
    </w:p>
    <w:p w14:paraId="7E294312" w14:textId="62FBDE28"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82" w:history="1">
        <w:r w:rsidR="00446A06" w:rsidRPr="000863E1">
          <w:rPr>
            <w:rStyle w:val="Hyperlink"/>
            <w:noProof/>
          </w:rPr>
          <w:t>Appendix D – Comparing Definitions of Terrorism: 1988 Schmid and Jongman vs. 2004 Weinberg et. al.</w:t>
        </w:r>
        <w:r w:rsidR="00446A06">
          <w:rPr>
            <w:noProof/>
            <w:webHidden/>
          </w:rPr>
          <w:tab/>
        </w:r>
        <w:r w:rsidR="00446A06">
          <w:rPr>
            <w:noProof/>
            <w:webHidden/>
          </w:rPr>
          <w:fldChar w:fldCharType="begin"/>
        </w:r>
        <w:r w:rsidR="00446A06">
          <w:rPr>
            <w:noProof/>
            <w:webHidden/>
          </w:rPr>
          <w:instrText xml:space="preserve"> PAGEREF _Toc175413182 \h </w:instrText>
        </w:r>
        <w:r w:rsidR="00446A06">
          <w:rPr>
            <w:noProof/>
            <w:webHidden/>
          </w:rPr>
        </w:r>
        <w:r w:rsidR="00446A06">
          <w:rPr>
            <w:noProof/>
            <w:webHidden/>
          </w:rPr>
          <w:fldChar w:fldCharType="separate"/>
        </w:r>
        <w:r w:rsidR="0088526D">
          <w:rPr>
            <w:noProof/>
            <w:webHidden/>
          </w:rPr>
          <w:t>170</w:t>
        </w:r>
        <w:r w:rsidR="00446A06">
          <w:rPr>
            <w:noProof/>
            <w:webHidden/>
          </w:rPr>
          <w:fldChar w:fldCharType="end"/>
        </w:r>
      </w:hyperlink>
    </w:p>
    <w:p w14:paraId="0FFEF9A3" w14:textId="0CF22E6D"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83" w:history="1">
        <w:r w:rsidR="00446A06" w:rsidRPr="000863E1">
          <w:rPr>
            <w:rStyle w:val="Hyperlink"/>
            <w:noProof/>
          </w:rPr>
          <w:t>Appendix E – Recurrence Frequencies of the 28 Definitional Elements Implicit to International Policy Definitions of Terrorism</w:t>
        </w:r>
        <w:r w:rsidR="00446A06">
          <w:rPr>
            <w:noProof/>
            <w:webHidden/>
          </w:rPr>
          <w:tab/>
        </w:r>
        <w:r w:rsidR="00446A06">
          <w:rPr>
            <w:noProof/>
            <w:webHidden/>
          </w:rPr>
          <w:fldChar w:fldCharType="begin"/>
        </w:r>
        <w:r w:rsidR="00446A06">
          <w:rPr>
            <w:noProof/>
            <w:webHidden/>
          </w:rPr>
          <w:instrText xml:space="preserve"> PAGEREF _Toc175413183 \h </w:instrText>
        </w:r>
        <w:r w:rsidR="00446A06">
          <w:rPr>
            <w:noProof/>
            <w:webHidden/>
          </w:rPr>
        </w:r>
        <w:r w:rsidR="00446A06">
          <w:rPr>
            <w:noProof/>
            <w:webHidden/>
          </w:rPr>
          <w:fldChar w:fldCharType="separate"/>
        </w:r>
        <w:r w:rsidR="0088526D">
          <w:rPr>
            <w:noProof/>
            <w:webHidden/>
          </w:rPr>
          <w:t>174</w:t>
        </w:r>
        <w:r w:rsidR="00446A06">
          <w:rPr>
            <w:noProof/>
            <w:webHidden/>
          </w:rPr>
          <w:fldChar w:fldCharType="end"/>
        </w:r>
      </w:hyperlink>
    </w:p>
    <w:p w14:paraId="43BB8B80" w14:textId="09E62669"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84" w:history="1">
        <w:r w:rsidR="00446A06" w:rsidRPr="000863E1">
          <w:rPr>
            <w:rStyle w:val="Hyperlink"/>
            <w:noProof/>
          </w:rPr>
          <w:t>Appendix F – Visual Depiction of the Overlapping Classification of the 28 Identified Definitional Elements of Terrorism</w:t>
        </w:r>
        <w:r w:rsidR="00446A06">
          <w:rPr>
            <w:noProof/>
            <w:webHidden/>
          </w:rPr>
          <w:tab/>
        </w:r>
        <w:r w:rsidR="00446A06">
          <w:rPr>
            <w:noProof/>
            <w:webHidden/>
          </w:rPr>
          <w:fldChar w:fldCharType="begin"/>
        </w:r>
        <w:r w:rsidR="00446A06">
          <w:rPr>
            <w:noProof/>
            <w:webHidden/>
          </w:rPr>
          <w:instrText xml:space="preserve"> PAGEREF _Toc175413184 \h </w:instrText>
        </w:r>
        <w:r w:rsidR="00446A06">
          <w:rPr>
            <w:noProof/>
            <w:webHidden/>
          </w:rPr>
        </w:r>
        <w:r w:rsidR="00446A06">
          <w:rPr>
            <w:noProof/>
            <w:webHidden/>
          </w:rPr>
          <w:fldChar w:fldCharType="separate"/>
        </w:r>
        <w:r w:rsidR="0088526D">
          <w:rPr>
            <w:noProof/>
            <w:webHidden/>
          </w:rPr>
          <w:t>177</w:t>
        </w:r>
        <w:r w:rsidR="00446A06">
          <w:rPr>
            <w:noProof/>
            <w:webHidden/>
          </w:rPr>
          <w:fldChar w:fldCharType="end"/>
        </w:r>
      </w:hyperlink>
    </w:p>
    <w:p w14:paraId="0CE38A90" w14:textId="347BA80B"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85" w:history="1">
        <w:r w:rsidR="00446A06" w:rsidRPr="000863E1">
          <w:rPr>
            <w:rStyle w:val="Hyperlink"/>
            <w:noProof/>
          </w:rPr>
          <w:t>Appendix G – Comparison of Thirty-Four (34) State Practice Definitions of Terrorism with their Counterparts in States’ Domestic Legislation</w:t>
        </w:r>
        <w:r w:rsidR="00446A06">
          <w:rPr>
            <w:noProof/>
            <w:webHidden/>
          </w:rPr>
          <w:tab/>
        </w:r>
        <w:r w:rsidR="00446A06">
          <w:rPr>
            <w:noProof/>
            <w:webHidden/>
          </w:rPr>
          <w:fldChar w:fldCharType="begin"/>
        </w:r>
        <w:r w:rsidR="00446A06">
          <w:rPr>
            <w:noProof/>
            <w:webHidden/>
          </w:rPr>
          <w:instrText xml:space="preserve"> PAGEREF _Toc175413185 \h </w:instrText>
        </w:r>
        <w:r w:rsidR="00446A06">
          <w:rPr>
            <w:noProof/>
            <w:webHidden/>
          </w:rPr>
        </w:r>
        <w:r w:rsidR="00446A06">
          <w:rPr>
            <w:noProof/>
            <w:webHidden/>
          </w:rPr>
          <w:fldChar w:fldCharType="separate"/>
        </w:r>
        <w:r w:rsidR="0088526D">
          <w:rPr>
            <w:noProof/>
            <w:webHidden/>
          </w:rPr>
          <w:t>178</w:t>
        </w:r>
        <w:r w:rsidR="00446A06">
          <w:rPr>
            <w:noProof/>
            <w:webHidden/>
          </w:rPr>
          <w:fldChar w:fldCharType="end"/>
        </w:r>
      </w:hyperlink>
    </w:p>
    <w:p w14:paraId="104780B8" w14:textId="6A259F8E" w:rsidR="00446A06" w:rsidRDefault="00000000">
      <w:pPr>
        <w:pStyle w:val="TOC2"/>
        <w:tabs>
          <w:tab w:val="right" w:leader="dot" w:pos="9350"/>
        </w:tabs>
        <w:rPr>
          <w:rFonts w:asciiTheme="minorHAnsi" w:eastAsiaTheme="minorEastAsia" w:hAnsiTheme="minorHAnsi" w:cstheme="minorBidi"/>
          <w:smallCaps w:val="0"/>
          <w:noProof/>
          <w:kern w:val="2"/>
          <w:sz w:val="24"/>
          <w:szCs w:val="24"/>
          <w14:ligatures w14:val="standardContextual"/>
        </w:rPr>
      </w:pPr>
      <w:hyperlink w:anchor="_Toc175413186" w:history="1">
        <w:r w:rsidR="00446A06" w:rsidRPr="000863E1">
          <w:rPr>
            <w:rStyle w:val="Hyperlink"/>
            <w:noProof/>
          </w:rPr>
          <w:t>Appendix H – Examples of Positive and Negative Bias Indicators in 2,776-Article Sampling Frame (Media Coverage of Terrorism)</w:t>
        </w:r>
        <w:r w:rsidR="00446A06">
          <w:rPr>
            <w:noProof/>
            <w:webHidden/>
          </w:rPr>
          <w:tab/>
        </w:r>
        <w:r w:rsidR="00446A06">
          <w:rPr>
            <w:noProof/>
            <w:webHidden/>
          </w:rPr>
          <w:fldChar w:fldCharType="begin"/>
        </w:r>
        <w:r w:rsidR="00446A06">
          <w:rPr>
            <w:noProof/>
            <w:webHidden/>
          </w:rPr>
          <w:instrText xml:space="preserve"> PAGEREF _Toc175413186 \h </w:instrText>
        </w:r>
        <w:r w:rsidR="00446A06">
          <w:rPr>
            <w:noProof/>
            <w:webHidden/>
          </w:rPr>
        </w:r>
        <w:r w:rsidR="00446A06">
          <w:rPr>
            <w:noProof/>
            <w:webHidden/>
          </w:rPr>
          <w:fldChar w:fldCharType="separate"/>
        </w:r>
        <w:r w:rsidR="0088526D">
          <w:rPr>
            <w:noProof/>
            <w:webHidden/>
          </w:rPr>
          <w:t>182</w:t>
        </w:r>
        <w:r w:rsidR="00446A06">
          <w:rPr>
            <w:noProof/>
            <w:webHidden/>
          </w:rPr>
          <w:fldChar w:fldCharType="end"/>
        </w:r>
      </w:hyperlink>
    </w:p>
    <w:p w14:paraId="2221D47C" w14:textId="4AFC05BA"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87" w:history="1">
        <w:r w:rsidR="00446A06" w:rsidRPr="000863E1">
          <w:rPr>
            <w:rStyle w:val="Hyperlink"/>
            <w:noProof/>
          </w:rPr>
          <w:t>Positive Bias Indicators (Affirming Devices)</w:t>
        </w:r>
        <w:r w:rsidR="00446A06">
          <w:rPr>
            <w:noProof/>
            <w:webHidden/>
          </w:rPr>
          <w:tab/>
        </w:r>
        <w:r w:rsidR="00446A06">
          <w:rPr>
            <w:noProof/>
            <w:webHidden/>
          </w:rPr>
          <w:fldChar w:fldCharType="begin"/>
        </w:r>
        <w:r w:rsidR="00446A06">
          <w:rPr>
            <w:noProof/>
            <w:webHidden/>
          </w:rPr>
          <w:instrText xml:space="preserve"> PAGEREF _Toc175413187 \h </w:instrText>
        </w:r>
        <w:r w:rsidR="00446A06">
          <w:rPr>
            <w:noProof/>
            <w:webHidden/>
          </w:rPr>
        </w:r>
        <w:r w:rsidR="00446A06">
          <w:rPr>
            <w:noProof/>
            <w:webHidden/>
          </w:rPr>
          <w:fldChar w:fldCharType="separate"/>
        </w:r>
        <w:r w:rsidR="0088526D">
          <w:rPr>
            <w:noProof/>
            <w:webHidden/>
          </w:rPr>
          <w:t>182</w:t>
        </w:r>
        <w:r w:rsidR="00446A06">
          <w:rPr>
            <w:noProof/>
            <w:webHidden/>
          </w:rPr>
          <w:fldChar w:fldCharType="end"/>
        </w:r>
      </w:hyperlink>
    </w:p>
    <w:p w14:paraId="06E15106" w14:textId="31E58DAD"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88" w:history="1">
        <w:r w:rsidR="00446A06" w:rsidRPr="000863E1">
          <w:rPr>
            <w:rStyle w:val="Hyperlink"/>
            <w:noProof/>
          </w:rPr>
          <w:t>Factive and Semi-Factive Verbs</w:t>
        </w:r>
        <w:r w:rsidR="00446A06">
          <w:rPr>
            <w:noProof/>
            <w:webHidden/>
          </w:rPr>
          <w:tab/>
        </w:r>
        <w:r w:rsidR="00446A06">
          <w:rPr>
            <w:noProof/>
            <w:webHidden/>
          </w:rPr>
          <w:fldChar w:fldCharType="begin"/>
        </w:r>
        <w:r w:rsidR="00446A06">
          <w:rPr>
            <w:noProof/>
            <w:webHidden/>
          </w:rPr>
          <w:instrText xml:space="preserve"> PAGEREF _Toc175413188 \h </w:instrText>
        </w:r>
        <w:r w:rsidR="00446A06">
          <w:rPr>
            <w:noProof/>
            <w:webHidden/>
          </w:rPr>
        </w:r>
        <w:r w:rsidR="00446A06">
          <w:rPr>
            <w:noProof/>
            <w:webHidden/>
          </w:rPr>
          <w:fldChar w:fldCharType="separate"/>
        </w:r>
        <w:r w:rsidR="0088526D">
          <w:rPr>
            <w:noProof/>
            <w:webHidden/>
          </w:rPr>
          <w:t>183</w:t>
        </w:r>
        <w:r w:rsidR="00446A06">
          <w:rPr>
            <w:noProof/>
            <w:webHidden/>
          </w:rPr>
          <w:fldChar w:fldCharType="end"/>
        </w:r>
      </w:hyperlink>
    </w:p>
    <w:p w14:paraId="0CEDFA98" w14:textId="10D3AD2F"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89" w:history="1">
        <w:r w:rsidR="00446A06" w:rsidRPr="000863E1">
          <w:rPr>
            <w:rStyle w:val="Hyperlink"/>
            <w:noProof/>
          </w:rPr>
          <w:t>High-Commitment Verbs</w:t>
        </w:r>
        <w:r w:rsidR="00446A06">
          <w:rPr>
            <w:noProof/>
            <w:webHidden/>
          </w:rPr>
          <w:tab/>
        </w:r>
        <w:r w:rsidR="00446A06">
          <w:rPr>
            <w:noProof/>
            <w:webHidden/>
          </w:rPr>
          <w:fldChar w:fldCharType="begin"/>
        </w:r>
        <w:r w:rsidR="00446A06">
          <w:rPr>
            <w:noProof/>
            <w:webHidden/>
          </w:rPr>
          <w:instrText xml:space="preserve"> PAGEREF _Toc175413189 \h </w:instrText>
        </w:r>
        <w:r w:rsidR="00446A06">
          <w:rPr>
            <w:noProof/>
            <w:webHidden/>
          </w:rPr>
        </w:r>
        <w:r w:rsidR="00446A06">
          <w:rPr>
            <w:noProof/>
            <w:webHidden/>
          </w:rPr>
          <w:fldChar w:fldCharType="separate"/>
        </w:r>
        <w:r w:rsidR="0088526D">
          <w:rPr>
            <w:noProof/>
            <w:webHidden/>
          </w:rPr>
          <w:t>185</w:t>
        </w:r>
        <w:r w:rsidR="00446A06">
          <w:rPr>
            <w:noProof/>
            <w:webHidden/>
          </w:rPr>
          <w:fldChar w:fldCharType="end"/>
        </w:r>
      </w:hyperlink>
    </w:p>
    <w:p w14:paraId="20B36187" w14:textId="71B83382"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0" w:history="1">
        <w:r w:rsidR="00446A06" w:rsidRPr="000863E1">
          <w:rPr>
            <w:rStyle w:val="Hyperlink"/>
            <w:noProof/>
          </w:rPr>
          <w:t>High Commitment Adjectives</w:t>
        </w:r>
        <w:r w:rsidR="00446A06">
          <w:rPr>
            <w:noProof/>
            <w:webHidden/>
          </w:rPr>
          <w:tab/>
        </w:r>
        <w:r w:rsidR="00446A06">
          <w:rPr>
            <w:noProof/>
            <w:webHidden/>
          </w:rPr>
          <w:fldChar w:fldCharType="begin"/>
        </w:r>
        <w:r w:rsidR="00446A06">
          <w:rPr>
            <w:noProof/>
            <w:webHidden/>
          </w:rPr>
          <w:instrText xml:space="preserve"> PAGEREF _Toc175413190 \h </w:instrText>
        </w:r>
        <w:r w:rsidR="00446A06">
          <w:rPr>
            <w:noProof/>
            <w:webHidden/>
          </w:rPr>
        </w:r>
        <w:r w:rsidR="00446A06">
          <w:rPr>
            <w:noProof/>
            <w:webHidden/>
          </w:rPr>
          <w:fldChar w:fldCharType="separate"/>
        </w:r>
        <w:r w:rsidR="0088526D">
          <w:rPr>
            <w:noProof/>
            <w:webHidden/>
          </w:rPr>
          <w:t>186</w:t>
        </w:r>
        <w:r w:rsidR="00446A06">
          <w:rPr>
            <w:noProof/>
            <w:webHidden/>
          </w:rPr>
          <w:fldChar w:fldCharType="end"/>
        </w:r>
      </w:hyperlink>
    </w:p>
    <w:p w14:paraId="1CB13663" w14:textId="1CE042CC"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1" w:history="1">
        <w:r w:rsidR="00446A06" w:rsidRPr="000863E1">
          <w:rPr>
            <w:rStyle w:val="Hyperlink"/>
            <w:noProof/>
          </w:rPr>
          <w:t>Hyping Adjectives</w:t>
        </w:r>
        <w:r w:rsidR="00446A06">
          <w:rPr>
            <w:noProof/>
            <w:webHidden/>
          </w:rPr>
          <w:tab/>
        </w:r>
        <w:r w:rsidR="00446A06">
          <w:rPr>
            <w:noProof/>
            <w:webHidden/>
          </w:rPr>
          <w:fldChar w:fldCharType="begin"/>
        </w:r>
        <w:r w:rsidR="00446A06">
          <w:rPr>
            <w:noProof/>
            <w:webHidden/>
          </w:rPr>
          <w:instrText xml:space="preserve"> PAGEREF _Toc175413191 \h </w:instrText>
        </w:r>
        <w:r w:rsidR="00446A06">
          <w:rPr>
            <w:noProof/>
            <w:webHidden/>
          </w:rPr>
        </w:r>
        <w:r w:rsidR="00446A06">
          <w:rPr>
            <w:noProof/>
            <w:webHidden/>
          </w:rPr>
          <w:fldChar w:fldCharType="separate"/>
        </w:r>
        <w:r w:rsidR="0088526D">
          <w:rPr>
            <w:noProof/>
            <w:webHidden/>
          </w:rPr>
          <w:t>187</w:t>
        </w:r>
        <w:r w:rsidR="00446A06">
          <w:rPr>
            <w:noProof/>
            <w:webHidden/>
          </w:rPr>
          <w:fldChar w:fldCharType="end"/>
        </w:r>
      </w:hyperlink>
    </w:p>
    <w:p w14:paraId="55802C3C" w14:textId="61688958"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2" w:history="1">
        <w:r w:rsidR="00446A06" w:rsidRPr="000863E1">
          <w:rPr>
            <w:rStyle w:val="Hyperlink"/>
            <w:noProof/>
          </w:rPr>
          <w:t>Consensus of Evidence Adjectives</w:t>
        </w:r>
        <w:r w:rsidR="00446A06">
          <w:rPr>
            <w:noProof/>
            <w:webHidden/>
          </w:rPr>
          <w:tab/>
        </w:r>
        <w:r w:rsidR="00446A06">
          <w:rPr>
            <w:noProof/>
            <w:webHidden/>
          </w:rPr>
          <w:fldChar w:fldCharType="begin"/>
        </w:r>
        <w:r w:rsidR="00446A06">
          <w:rPr>
            <w:noProof/>
            <w:webHidden/>
          </w:rPr>
          <w:instrText xml:space="preserve"> PAGEREF _Toc175413192 \h </w:instrText>
        </w:r>
        <w:r w:rsidR="00446A06">
          <w:rPr>
            <w:noProof/>
            <w:webHidden/>
          </w:rPr>
        </w:r>
        <w:r w:rsidR="00446A06">
          <w:rPr>
            <w:noProof/>
            <w:webHidden/>
          </w:rPr>
          <w:fldChar w:fldCharType="separate"/>
        </w:r>
        <w:r w:rsidR="0088526D">
          <w:rPr>
            <w:noProof/>
            <w:webHidden/>
          </w:rPr>
          <w:t>189</w:t>
        </w:r>
        <w:r w:rsidR="00446A06">
          <w:rPr>
            <w:noProof/>
            <w:webHidden/>
          </w:rPr>
          <w:fldChar w:fldCharType="end"/>
        </w:r>
      </w:hyperlink>
    </w:p>
    <w:p w14:paraId="312DE372" w14:textId="3112C2A8" w:rsidR="00446A06" w:rsidRDefault="00000000">
      <w:pPr>
        <w:pStyle w:val="TOC3"/>
        <w:tabs>
          <w:tab w:val="right" w:leader="dot" w:pos="9350"/>
        </w:tabs>
        <w:rPr>
          <w:rFonts w:asciiTheme="minorHAnsi" w:eastAsiaTheme="minorEastAsia" w:hAnsiTheme="minorHAnsi" w:cstheme="minorBidi"/>
          <w:i w:val="0"/>
          <w:iCs w:val="0"/>
          <w:noProof/>
          <w:kern w:val="2"/>
          <w:sz w:val="24"/>
          <w:szCs w:val="24"/>
          <w14:ligatures w14:val="standardContextual"/>
        </w:rPr>
      </w:pPr>
      <w:hyperlink w:anchor="_Toc175413193" w:history="1">
        <w:r w:rsidR="00446A06" w:rsidRPr="000863E1">
          <w:rPr>
            <w:rStyle w:val="Hyperlink"/>
            <w:noProof/>
          </w:rPr>
          <w:t>Negative Bias Indicators (Doubting Devices)</w:t>
        </w:r>
        <w:r w:rsidR="00446A06">
          <w:rPr>
            <w:noProof/>
            <w:webHidden/>
          </w:rPr>
          <w:tab/>
        </w:r>
        <w:r w:rsidR="00446A06">
          <w:rPr>
            <w:noProof/>
            <w:webHidden/>
          </w:rPr>
          <w:fldChar w:fldCharType="begin"/>
        </w:r>
        <w:r w:rsidR="00446A06">
          <w:rPr>
            <w:noProof/>
            <w:webHidden/>
          </w:rPr>
          <w:instrText xml:space="preserve"> PAGEREF _Toc175413193 \h </w:instrText>
        </w:r>
        <w:r w:rsidR="00446A06">
          <w:rPr>
            <w:noProof/>
            <w:webHidden/>
          </w:rPr>
        </w:r>
        <w:r w:rsidR="00446A06">
          <w:rPr>
            <w:noProof/>
            <w:webHidden/>
          </w:rPr>
          <w:fldChar w:fldCharType="separate"/>
        </w:r>
        <w:r w:rsidR="0088526D">
          <w:rPr>
            <w:noProof/>
            <w:webHidden/>
          </w:rPr>
          <w:t>190</w:t>
        </w:r>
        <w:r w:rsidR="00446A06">
          <w:rPr>
            <w:noProof/>
            <w:webHidden/>
          </w:rPr>
          <w:fldChar w:fldCharType="end"/>
        </w:r>
      </w:hyperlink>
    </w:p>
    <w:p w14:paraId="487B6A99" w14:textId="38F9D4AA"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4" w:history="1">
        <w:r w:rsidR="00446A06" w:rsidRPr="000863E1">
          <w:rPr>
            <w:rStyle w:val="Hyperlink"/>
            <w:noProof/>
          </w:rPr>
          <w:t>Neg-Factive Verbs</w:t>
        </w:r>
        <w:r w:rsidR="00446A06">
          <w:rPr>
            <w:noProof/>
            <w:webHidden/>
          </w:rPr>
          <w:tab/>
        </w:r>
        <w:r w:rsidR="00446A06">
          <w:rPr>
            <w:noProof/>
            <w:webHidden/>
          </w:rPr>
          <w:fldChar w:fldCharType="begin"/>
        </w:r>
        <w:r w:rsidR="00446A06">
          <w:rPr>
            <w:noProof/>
            <w:webHidden/>
          </w:rPr>
          <w:instrText xml:space="preserve"> PAGEREF _Toc175413194 \h </w:instrText>
        </w:r>
        <w:r w:rsidR="00446A06">
          <w:rPr>
            <w:noProof/>
            <w:webHidden/>
          </w:rPr>
        </w:r>
        <w:r w:rsidR="00446A06">
          <w:rPr>
            <w:noProof/>
            <w:webHidden/>
          </w:rPr>
          <w:fldChar w:fldCharType="separate"/>
        </w:r>
        <w:r w:rsidR="0088526D">
          <w:rPr>
            <w:noProof/>
            <w:webHidden/>
          </w:rPr>
          <w:t>191</w:t>
        </w:r>
        <w:r w:rsidR="00446A06">
          <w:rPr>
            <w:noProof/>
            <w:webHidden/>
          </w:rPr>
          <w:fldChar w:fldCharType="end"/>
        </w:r>
      </w:hyperlink>
    </w:p>
    <w:p w14:paraId="41B555C9" w14:textId="02E210B0"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5" w:history="1">
        <w:r w:rsidR="00446A06" w:rsidRPr="000863E1">
          <w:rPr>
            <w:rStyle w:val="Hyperlink"/>
            <w:noProof/>
          </w:rPr>
          <w:t>Low-Commitment Verbs</w:t>
        </w:r>
        <w:r w:rsidR="00446A06">
          <w:rPr>
            <w:noProof/>
            <w:webHidden/>
          </w:rPr>
          <w:tab/>
        </w:r>
        <w:r w:rsidR="00446A06">
          <w:rPr>
            <w:noProof/>
            <w:webHidden/>
          </w:rPr>
          <w:fldChar w:fldCharType="begin"/>
        </w:r>
        <w:r w:rsidR="00446A06">
          <w:rPr>
            <w:noProof/>
            <w:webHidden/>
          </w:rPr>
          <w:instrText xml:space="preserve"> PAGEREF _Toc175413195 \h </w:instrText>
        </w:r>
        <w:r w:rsidR="00446A06">
          <w:rPr>
            <w:noProof/>
            <w:webHidden/>
          </w:rPr>
        </w:r>
        <w:r w:rsidR="00446A06">
          <w:rPr>
            <w:noProof/>
            <w:webHidden/>
          </w:rPr>
          <w:fldChar w:fldCharType="separate"/>
        </w:r>
        <w:r w:rsidR="0088526D">
          <w:rPr>
            <w:noProof/>
            <w:webHidden/>
          </w:rPr>
          <w:t>192</w:t>
        </w:r>
        <w:r w:rsidR="00446A06">
          <w:rPr>
            <w:noProof/>
            <w:webHidden/>
          </w:rPr>
          <w:fldChar w:fldCharType="end"/>
        </w:r>
      </w:hyperlink>
    </w:p>
    <w:p w14:paraId="64A8D091" w14:textId="5EA8A898"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6" w:history="1">
        <w:r w:rsidR="00446A06" w:rsidRPr="000863E1">
          <w:rPr>
            <w:rStyle w:val="Hyperlink"/>
            <w:noProof/>
          </w:rPr>
          <w:t>Low-Commitment Modifiers</w:t>
        </w:r>
        <w:r w:rsidR="00446A06">
          <w:rPr>
            <w:noProof/>
            <w:webHidden/>
          </w:rPr>
          <w:tab/>
        </w:r>
        <w:r w:rsidR="00446A06">
          <w:rPr>
            <w:noProof/>
            <w:webHidden/>
          </w:rPr>
          <w:fldChar w:fldCharType="begin"/>
        </w:r>
        <w:r w:rsidR="00446A06">
          <w:rPr>
            <w:noProof/>
            <w:webHidden/>
          </w:rPr>
          <w:instrText xml:space="preserve"> PAGEREF _Toc175413196 \h </w:instrText>
        </w:r>
        <w:r w:rsidR="00446A06">
          <w:rPr>
            <w:noProof/>
            <w:webHidden/>
          </w:rPr>
        </w:r>
        <w:r w:rsidR="00446A06">
          <w:rPr>
            <w:noProof/>
            <w:webHidden/>
          </w:rPr>
          <w:fldChar w:fldCharType="separate"/>
        </w:r>
        <w:r w:rsidR="0088526D">
          <w:rPr>
            <w:noProof/>
            <w:webHidden/>
          </w:rPr>
          <w:t>193</w:t>
        </w:r>
        <w:r w:rsidR="00446A06">
          <w:rPr>
            <w:noProof/>
            <w:webHidden/>
          </w:rPr>
          <w:fldChar w:fldCharType="end"/>
        </w:r>
      </w:hyperlink>
    </w:p>
    <w:p w14:paraId="3B562EA1" w14:textId="71E13905"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7" w:history="1">
        <w:r w:rsidR="00446A06" w:rsidRPr="000863E1">
          <w:rPr>
            <w:rStyle w:val="Hyperlink"/>
            <w:noProof/>
          </w:rPr>
          <w:t>Argumentative Verbs</w:t>
        </w:r>
        <w:r w:rsidR="00446A06">
          <w:rPr>
            <w:noProof/>
            <w:webHidden/>
          </w:rPr>
          <w:tab/>
        </w:r>
        <w:r w:rsidR="00446A06">
          <w:rPr>
            <w:noProof/>
            <w:webHidden/>
          </w:rPr>
          <w:fldChar w:fldCharType="begin"/>
        </w:r>
        <w:r w:rsidR="00446A06">
          <w:rPr>
            <w:noProof/>
            <w:webHidden/>
          </w:rPr>
          <w:instrText xml:space="preserve"> PAGEREF _Toc175413197 \h </w:instrText>
        </w:r>
        <w:r w:rsidR="00446A06">
          <w:rPr>
            <w:noProof/>
            <w:webHidden/>
          </w:rPr>
        </w:r>
        <w:r w:rsidR="00446A06">
          <w:rPr>
            <w:noProof/>
            <w:webHidden/>
          </w:rPr>
          <w:fldChar w:fldCharType="separate"/>
        </w:r>
        <w:r w:rsidR="0088526D">
          <w:rPr>
            <w:noProof/>
            <w:webHidden/>
          </w:rPr>
          <w:t>194</w:t>
        </w:r>
        <w:r w:rsidR="00446A06">
          <w:rPr>
            <w:noProof/>
            <w:webHidden/>
          </w:rPr>
          <w:fldChar w:fldCharType="end"/>
        </w:r>
      </w:hyperlink>
    </w:p>
    <w:p w14:paraId="7447BC2A" w14:textId="306BBEAB"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8" w:history="1">
        <w:r w:rsidR="00446A06" w:rsidRPr="000863E1">
          <w:rPr>
            <w:rStyle w:val="Hyperlink"/>
            <w:noProof/>
          </w:rPr>
          <w:t>Undermining Adjectives</w:t>
        </w:r>
        <w:r w:rsidR="00446A06">
          <w:rPr>
            <w:noProof/>
            <w:webHidden/>
          </w:rPr>
          <w:tab/>
        </w:r>
        <w:r w:rsidR="00446A06">
          <w:rPr>
            <w:noProof/>
            <w:webHidden/>
          </w:rPr>
          <w:fldChar w:fldCharType="begin"/>
        </w:r>
        <w:r w:rsidR="00446A06">
          <w:rPr>
            <w:noProof/>
            <w:webHidden/>
          </w:rPr>
          <w:instrText xml:space="preserve"> PAGEREF _Toc175413198 \h </w:instrText>
        </w:r>
        <w:r w:rsidR="00446A06">
          <w:rPr>
            <w:noProof/>
            <w:webHidden/>
          </w:rPr>
        </w:r>
        <w:r w:rsidR="00446A06">
          <w:rPr>
            <w:noProof/>
            <w:webHidden/>
          </w:rPr>
          <w:fldChar w:fldCharType="separate"/>
        </w:r>
        <w:r w:rsidR="0088526D">
          <w:rPr>
            <w:noProof/>
            <w:webHidden/>
          </w:rPr>
          <w:t>195</w:t>
        </w:r>
        <w:r w:rsidR="00446A06">
          <w:rPr>
            <w:noProof/>
            <w:webHidden/>
          </w:rPr>
          <w:fldChar w:fldCharType="end"/>
        </w:r>
      </w:hyperlink>
    </w:p>
    <w:p w14:paraId="7F0A83C0" w14:textId="7C371D9E" w:rsidR="00446A06" w:rsidRDefault="00000000">
      <w:pPr>
        <w:pStyle w:val="TOC4"/>
        <w:tabs>
          <w:tab w:val="right" w:leader="dot" w:pos="9350"/>
        </w:tabs>
        <w:rPr>
          <w:rFonts w:asciiTheme="minorHAnsi" w:eastAsiaTheme="minorEastAsia" w:hAnsiTheme="minorHAnsi" w:cstheme="minorBidi"/>
          <w:noProof/>
          <w:kern w:val="2"/>
          <w:sz w:val="24"/>
          <w:szCs w:val="24"/>
          <w14:ligatures w14:val="standardContextual"/>
        </w:rPr>
      </w:pPr>
      <w:hyperlink w:anchor="_Toc175413199" w:history="1">
        <w:r w:rsidR="00446A06" w:rsidRPr="000863E1">
          <w:rPr>
            <w:rStyle w:val="Hyperlink"/>
            <w:noProof/>
          </w:rPr>
          <w:t>Lack of Consensus Adjectives</w:t>
        </w:r>
        <w:r w:rsidR="00446A06">
          <w:rPr>
            <w:noProof/>
            <w:webHidden/>
          </w:rPr>
          <w:tab/>
        </w:r>
        <w:r w:rsidR="00446A06">
          <w:rPr>
            <w:noProof/>
            <w:webHidden/>
          </w:rPr>
          <w:fldChar w:fldCharType="begin"/>
        </w:r>
        <w:r w:rsidR="00446A06">
          <w:rPr>
            <w:noProof/>
            <w:webHidden/>
          </w:rPr>
          <w:instrText xml:space="preserve"> PAGEREF _Toc175413199 \h </w:instrText>
        </w:r>
        <w:r w:rsidR="00446A06">
          <w:rPr>
            <w:noProof/>
            <w:webHidden/>
          </w:rPr>
        </w:r>
        <w:r w:rsidR="00446A06">
          <w:rPr>
            <w:noProof/>
            <w:webHidden/>
          </w:rPr>
          <w:fldChar w:fldCharType="separate"/>
        </w:r>
        <w:r w:rsidR="0088526D">
          <w:rPr>
            <w:noProof/>
            <w:webHidden/>
          </w:rPr>
          <w:t>196</w:t>
        </w:r>
        <w:r w:rsidR="00446A06">
          <w:rPr>
            <w:noProof/>
            <w:webHidden/>
          </w:rPr>
          <w:fldChar w:fldCharType="end"/>
        </w:r>
      </w:hyperlink>
    </w:p>
    <w:p w14:paraId="3B59EFC3" w14:textId="0C391335" w:rsidR="00787123" w:rsidRPr="00880AD8" w:rsidRDefault="00937600" w:rsidP="00880AD8">
      <w:pPr>
        <w:pStyle w:val="BodyA"/>
        <w:spacing w:before="120" w:after="120"/>
        <w:rPr>
          <w:rFonts w:ascii="Times New Roman" w:hAnsi="Times New Roman" w:cs="Times New Roman"/>
          <w:b/>
          <w:bCs/>
          <w:sz w:val="24"/>
          <w:szCs w:val="24"/>
        </w:rPr>
      </w:pPr>
      <w:r w:rsidRPr="00880AD8">
        <w:rPr>
          <w:rFonts w:ascii="Times New Roman" w:hAnsi="Times New Roman" w:cs="Times New Roman"/>
          <w:b/>
          <w:bCs/>
        </w:rPr>
        <w:fldChar w:fldCharType="end"/>
      </w:r>
    </w:p>
    <w:p w14:paraId="44F973FC" w14:textId="77777777" w:rsidR="00446A06" w:rsidRDefault="00446A06">
      <w:pPr>
        <w:spacing w:before="0" w:after="0"/>
        <w:rPr>
          <w:rFonts w:eastAsia="Times New Roman" w:cs="Times New Roman"/>
          <w:b/>
          <w:bCs/>
        </w:rPr>
      </w:pPr>
      <w:bookmarkStart w:id="3" w:name="_Toc175413108"/>
      <w:r>
        <w:br w:type="page"/>
      </w:r>
    </w:p>
    <w:p w14:paraId="1C9AF996" w14:textId="2CD365E9" w:rsidR="00CD6ADE" w:rsidRDefault="00CD6ADE" w:rsidP="00CD6ADE">
      <w:pPr>
        <w:pStyle w:val="DissertationChapterName"/>
      </w:pPr>
      <w:r w:rsidRPr="00260E70">
        <w:lastRenderedPageBreak/>
        <w:t>List of Tables</w:t>
      </w:r>
      <w:bookmarkEnd w:id="3"/>
    </w:p>
    <w:p w14:paraId="45BB1A3D" w14:textId="77777777" w:rsidR="00ED5405" w:rsidRPr="00446A06" w:rsidRDefault="00ED5405" w:rsidP="00ED5405">
      <w:pPr>
        <w:pStyle w:val="DissertationChapterName"/>
        <w:spacing w:before="0"/>
        <w:rPr>
          <w:szCs w:val="22"/>
        </w:rPr>
      </w:pPr>
    </w:p>
    <w:p w14:paraId="45108A67" w14:textId="44EA5713" w:rsidR="00446A06" w:rsidRPr="00446A06" w:rsidRDefault="00ED5405">
      <w:pPr>
        <w:pStyle w:val="TableofFigures"/>
        <w:tabs>
          <w:tab w:val="left" w:pos="1200"/>
          <w:tab w:val="right" w:leader="hyphen" w:pos="9350"/>
        </w:tabs>
        <w:rPr>
          <w:rFonts w:ascii="Times New Roman" w:eastAsiaTheme="minorEastAsia" w:hAnsi="Times New Roman" w:cs="Times New Roman"/>
          <w:caps w:val="0"/>
          <w:noProof/>
          <w:kern w:val="2"/>
          <w:sz w:val="24"/>
          <w:szCs w:val="24"/>
          <w14:ligatures w14:val="standardContextual"/>
        </w:rPr>
      </w:pPr>
      <w:r w:rsidRPr="00446A06">
        <w:rPr>
          <w:rFonts w:ascii="Times New Roman" w:hAnsi="Times New Roman" w:cs="Times New Roman"/>
          <w:b/>
          <w:bCs/>
          <w:caps w:val="0"/>
          <w:sz w:val="22"/>
          <w:szCs w:val="22"/>
        </w:rPr>
        <w:fldChar w:fldCharType="begin"/>
      </w:r>
      <w:r w:rsidRPr="00446A06">
        <w:rPr>
          <w:rFonts w:ascii="Times New Roman" w:hAnsi="Times New Roman" w:cs="Times New Roman"/>
          <w:b/>
          <w:bCs/>
          <w:caps w:val="0"/>
          <w:sz w:val="22"/>
          <w:szCs w:val="22"/>
        </w:rPr>
        <w:instrText xml:space="preserve"> TOC \f F \h \z \t "Dissertation Table Caption" \c </w:instrText>
      </w:r>
      <w:r w:rsidRPr="00446A06">
        <w:rPr>
          <w:rFonts w:ascii="Times New Roman" w:hAnsi="Times New Roman" w:cs="Times New Roman"/>
          <w:b/>
          <w:bCs/>
          <w:caps w:val="0"/>
          <w:sz w:val="22"/>
          <w:szCs w:val="22"/>
        </w:rPr>
        <w:fldChar w:fldCharType="separate"/>
      </w:r>
      <w:hyperlink w:anchor="_Toc175413200" w:history="1">
        <w:r w:rsidR="00446A06" w:rsidRPr="00446A06">
          <w:rPr>
            <w:rStyle w:val="Hyperlink"/>
            <w:rFonts w:ascii="Times New Roman" w:hAnsi="Times New Roman" w:cs="Times New Roman"/>
            <w:noProof/>
          </w:rPr>
          <w:t>Table 6- 1: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Correlation Analysis of Variables</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_Toc175413200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84</w:t>
        </w:r>
        <w:r w:rsidR="00446A06" w:rsidRPr="00446A06">
          <w:rPr>
            <w:rFonts w:ascii="Times New Roman" w:hAnsi="Times New Roman" w:cs="Times New Roman"/>
            <w:noProof/>
            <w:webHidden/>
          </w:rPr>
          <w:fldChar w:fldCharType="end"/>
        </w:r>
      </w:hyperlink>
    </w:p>
    <w:p w14:paraId="269A7D2B" w14:textId="49070047" w:rsidR="00446A06" w:rsidRPr="00446A06" w:rsidRDefault="00000000">
      <w:pPr>
        <w:pStyle w:val="TableofFigures"/>
        <w:tabs>
          <w:tab w:val="left" w:pos="120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1" w:history="1">
        <w:r w:rsidR="00446A06" w:rsidRPr="00446A06">
          <w:rPr>
            <w:rStyle w:val="Hyperlink"/>
            <w:rFonts w:ascii="Times New Roman" w:hAnsi="Times New Roman" w:cs="Times New Roman"/>
            <w:noProof/>
          </w:rPr>
          <w:t>Table 6- 2: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Correlation Analysis of Control Variables</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_Toc175413201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86</w:t>
        </w:r>
        <w:r w:rsidR="00446A06" w:rsidRPr="00446A06">
          <w:rPr>
            <w:rFonts w:ascii="Times New Roman" w:hAnsi="Times New Roman" w:cs="Times New Roman"/>
            <w:noProof/>
            <w:webHidden/>
          </w:rPr>
          <w:fldChar w:fldCharType="end"/>
        </w:r>
      </w:hyperlink>
    </w:p>
    <w:p w14:paraId="0FC095BE" w14:textId="6F2DD35E" w:rsidR="00446A06" w:rsidRPr="00446A06" w:rsidRDefault="00000000">
      <w:pPr>
        <w:pStyle w:val="TableofFigures"/>
        <w:tabs>
          <w:tab w:val="left" w:pos="120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2" w:history="1">
        <w:r w:rsidR="00446A06" w:rsidRPr="00446A06">
          <w:rPr>
            <w:rStyle w:val="Hyperlink"/>
            <w:rFonts w:ascii="Times New Roman" w:hAnsi="Times New Roman" w:cs="Times New Roman"/>
            <w:noProof/>
          </w:rPr>
          <w:t>Table 7- 1: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Occurrence Frequencies of Different Types of Bias in the Media Coverage of Terrorism </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_Toc175413202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101</w:t>
        </w:r>
        <w:r w:rsidR="00446A06" w:rsidRPr="00446A06">
          <w:rPr>
            <w:rFonts w:ascii="Times New Roman" w:hAnsi="Times New Roman" w:cs="Times New Roman"/>
            <w:noProof/>
            <w:webHidden/>
          </w:rPr>
          <w:fldChar w:fldCharType="end"/>
        </w:r>
      </w:hyperlink>
    </w:p>
    <w:p w14:paraId="6A3D598F" w14:textId="04E303DC" w:rsidR="00446A06" w:rsidRPr="00446A06" w:rsidRDefault="00000000">
      <w:pPr>
        <w:pStyle w:val="TableofFigures"/>
        <w:tabs>
          <w:tab w:val="left" w:pos="120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3" w:history="1">
        <w:r w:rsidR="00446A06" w:rsidRPr="00446A06">
          <w:rPr>
            <w:rStyle w:val="Hyperlink"/>
            <w:rFonts w:ascii="Times New Roman" w:hAnsi="Times New Roman" w:cs="Times New Roman"/>
            <w:noProof/>
          </w:rPr>
          <w:t>Table 7- 2: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Co-occurring Types of Bias in the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_Toc175413203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103</w:t>
        </w:r>
        <w:r w:rsidR="00446A06" w:rsidRPr="00446A06">
          <w:rPr>
            <w:rFonts w:ascii="Times New Roman" w:hAnsi="Times New Roman" w:cs="Times New Roman"/>
            <w:noProof/>
            <w:webHidden/>
          </w:rPr>
          <w:fldChar w:fldCharType="end"/>
        </w:r>
      </w:hyperlink>
    </w:p>
    <w:p w14:paraId="4EA1C45A" w14:textId="714F94C8"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4" w:history="1">
        <w:r w:rsidR="00446A06" w:rsidRPr="00446A06">
          <w:rPr>
            <w:rStyle w:val="Hyperlink"/>
            <w:rFonts w:ascii="Times New Roman" w:hAnsi="Times New Roman" w:cs="Times New Roman"/>
            <w:noProof/>
          </w:rPr>
          <w:t>Table 7 – 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Terrorism Content Analysis Frames Present in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_Toc175413204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105</w:t>
        </w:r>
        <w:r w:rsidR="00446A06" w:rsidRPr="00446A06">
          <w:rPr>
            <w:rFonts w:ascii="Times New Roman" w:hAnsi="Times New Roman" w:cs="Times New Roman"/>
            <w:noProof/>
            <w:webHidden/>
          </w:rPr>
          <w:fldChar w:fldCharType="end"/>
        </w:r>
      </w:hyperlink>
    </w:p>
    <w:p w14:paraId="2EF67EC6" w14:textId="7B3719AC" w:rsidR="00446A06" w:rsidRPr="00446A06" w:rsidRDefault="00000000">
      <w:pPr>
        <w:pStyle w:val="TableofFigures"/>
        <w:tabs>
          <w:tab w:val="left" w:pos="120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5" w:history="1">
        <w:r w:rsidR="00446A06" w:rsidRPr="00446A06">
          <w:rPr>
            <w:rStyle w:val="Hyperlink"/>
            <w:rFonts w:ascii="Times New Roman" w:hAnsi="Times New Roman" w:cs="Times New Roman"/>
            <w:noProof/>
          </w:rPr>
          <w:t>Table 7- 4:</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Examples of Frequently Cited Quotations that Frame Terrorism in Terms of Frames A and D</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_Toc175413205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106</w:t>
        </w:r>
        <w:r w:rsidR="00446A06" w:rsidRPr="00446A06">
          <w:rPr>
            <w:rFonts w:ascii="Times New Roman" w:hAnsi="Times New Roman" w:cs="Times New Roman"/>
            <w:noProof/>
            <w:webHidden/>
          </w:rPr>
          <w:fldChar w:fldCharType="end"/>
        </w:r>
      </w:hyperlink>
    </w:p>
    <w:p w14:paraId="416A2FBF" w14:textId="4C1C637A"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6" w:history="1">
        <w:r w:rsidR="00446A06" w:rsidRPr="00446A06">
          <w:rPr>
            <w:rStyle w:val="Hyperlink"/>
            <w:rFonts w:ascii="Times New Roman" w:hAnsi="Times New Roman" w:cs="Times New Roman"/>
            <w:noProof/>
          </w:rPr>
          <w:t xml:space="preserve">Table 7 - 5: </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Deconstruction of the Terrorism Content Analysis Frames with the Highest Recurrence Frequencies</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_Toc175413206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107</w:t>
        </w:r>
        <w:r w:rsidR="00446A06" w:rsidRPr="00446A06">
          <w:rPr>
            <w:rFonts w:ascii="Times New Roman" w:hAnsi="Times New Roman" w:cs="Times New Roman"/>
            <w:noProof/>
            <w:webHidden/>
          </w:rPr>
          <w:fldChar w:fldCharType="end"/>
        </w:r>
      </w:hyperlink>
    </w:p>
    <w:p w14:paraId="21B6869C" w14:textId="268D4590"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7" w:history="1">
        <w:r w:rsidR="00446A06" w:rsidRPr="00446A06">
          <w:rPr>
            <w:rStyle w:val="Hyperlink"/>
            <w:rFonts w:ascii="Times New Roman" w:hAnsi="Times New Roman" w:cs="Times New Roman"/>
            <w:noProof/>
          </w:rPr>
          <w:t>Table A2-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Positive Bias Indicators Derived from Luo, Card, and Jurafsky's 2020 Research on Media Bias in Mainstream News Coverage of Global Warming</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_Toc175413207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163</w:t>
        </w:r>
        <w:r w:rsidR="00446A06" w:rsidRPr="00446A06">
          <w:rPr>
            <w:rFonts w:ascii="Times New Roman" w:hAnsi="Times New Roman" w:cs="Times New Roman"/>
            <w:noProof/>
            <w:webHidden/>
          </w:rPr>
          <w:fldChar w:fldCharType="end"/>
        </w:r>
      </w:hyperlink>
    </w:p>
    <w:p w14:paraId="7256C870" w14:textId="1C5DA885"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8" w:history="1">
        <w:r w:rsidR="00446A06" w:rsidRPr="00446A06">
          <w:rPr>
            <w:rStyle w:val="Hyperlink"/>
            <w:rFonts w:ascii="Times New Roman" w:hAnsi="Times New Roman" w:cs="Times New Roman"/>
            <w:noProof/>
          </w:rPr>
          <w:t>Table A2-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Negative Bias Indicators Derived from Luo, Card, and Jurafsky's 2020 Research on Media Bias in Mainstream News Coverage of Global Warming</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_Toc175413208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164</w:t>
        </w:r>
        <w:r w:rsidR="00446A06" w:rsidRPr="00446A06">
          <w:rPr>
            <w:rFonts w:ascii="Times New Roman" w:hAnsi="Times New Roman" w:cs="Times New Roman"/>
            <w:noProof/>
            <w:webHidden/>
          </w:rPr>
          <w:fldChar w:fldCharType="end"/>
        </w:r>
      </w:hyperlink>
    </w:p>
    <w:p w14:paraId="0654729E" w14:textId="105A23F9"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09" w:history="1">
        <w:r w:rsidR="00446A06" w:rsidRPr="00446A06">
          <w:rPr>
            <w:rStyle w:val="Hyperlink"/>
            <w:rFonts w:ascii="Times New Roman" w:hAnsi="Times New Roman" w:cs="Times New Roman"/>
            <w:noProof/>
          </w:rPr>
          <w:t>Table A3- 1: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Keywords Used to Identify Bias 'Targets' in the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_Toc175413209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165</w:t>
        </w:r>
        <w:r w:rsidR="00446A06" w:rsidRPr="00446A06">
          <w:rPr>
            <w:rFonts w:ascii="Times New Roman" w:hAnsi="Times New Roman" w:cs="Times New Roman"/>
            <w:noProof/>
            <w:webHidden/>
          </w:rPr>
          <w:fldChar w:fldCharType="end"/>
        </w:r>
      </w:hyperlink>
    </w:p>
    <w:p w14:paraId="70BDC9AC" w14:textId="6A026221"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0" w:history="1">
        <w:r w:rsidR="00446A06" w:rsidRPr="00446A06">
          <w:rPr>
            <w:rStyle w:val="Hyperlink"/>
            <w:rFonts w:ascii="Times New Roman" w:hAnsi="Times New Roman" w:cs="Times New Roman"/>
            <w:noProof/>
          </w:rPr>
          <w:t>Table A3- 2: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Sub-Categorization of Positive and Negative Bias in Terms of Luo, Card and Jurafsky’s “Affirming Devices” and “Doubting Devices”</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_Toc175413210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165</w:t>
        </w:r>
        <w:r w:rsidR="00446A06" w:rsidRPr="00446A06">
          <w:rPr>
            <w:rFonts w:ascii="Times New Roman" w:hAnsi="Times New Roman" w:cs="Times New Roman"/>
            <w:noProof/>
            <w:webHidden/>
          </w:rPr>
          <w:fldChar w:fldCharType="end"/>
        </w:r>
      </w:hyperlink>
    </w:p>
    <w:p w14:paraId="3BEEC71E" w14:textId="35371710"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1" w:history="1">
        <w:r w:rsidR="00446A06" w:rsidRPr="00446A06">
          <w:rPr>
            <w:rStyle w:val="Hyperlink"/>
            <w:rFonts w:ascii="Times New Roman" w:hAnsi="Times New Roman" w:cs="Times New Roman"/>
            <w:noProof/>
          </w:rPr>
          <w:t>Table A3- 3: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Search Strings Used to Identify Positive Bias in Connection with Terrorism/Terrorists in the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_Toc175413211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166</w:t>
        </w:r>
        <w:r w:rsidR="00446A06" w:rsidRPr="00446A06">
          <w:rPr>
            <w:rFonts w:ascii="Times New Roman" w:hAnsi="Times New Roman" w:cs="Times New Roman"/>
            <w:noProof/>
            <w:webHidden/>
          </w:rPr>
          <w:fldChar w:fldCharType="end"/>
        </w:r>
      </w:hyperlink>
    </w:p>
    <w:p w14:paraId="525998A6" w14:textId="4DFB64B9"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2" w:history="1">
        <w:r w:rsidR="00446A06" w:rsidRPr="00446A06">
          <w:rPr>
            <w:rStyle w:val="Hyperlink"/>
            <w:rFonts w:ascii="Times New Roman" w:hAnsi="Times New Roman" w:cs="Times New Roman"/>
            <w:noProof/>
          </w:rPr>
          <w:t>Table A3- 4:</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Search Strings Used to Identify Negative Bias in Connection with Terrorism/Terrorists in the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_Toc175413212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167</w:t>
        </w:r>
        <w:r w:rsidR="00446A06" w:rsidRPr="00446A06">
          <w:rPr>
            <w:rFonts w:ascii="Times New Roman" w:hAnsi="Times New Roman" w:cs="Times New Roman"/>
            <w:noProof/>
            <w:webHidden/>
          </w:rPr>
          <w:fldChar w:fldCharType="end"/>
        </w:r>
      </w:hyperlink>
    </w:p>
    <w:p w14:paraId="5241EE79" w14:textId="6D43CF7F"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3" w:history="1">
        <w:r w:rsidR="00446A06" w:rsidRPr="00446A06">
          <w:rPr>
            <w:rStyle w:val="Hyperlink"/>
            <w:rFonts w:ascii="Times New Roman" w:hAnsi="Times New Roman" w:cs="Times New Roman"/>
            <w:noProof/>
          </w:rPr>
          <w:t>Table A3- 5:</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Search Strings Used to Identify Positive Bias in Connection with the State/State Institutions in the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_Toc175413213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168</w:t>
        </w:r>
        <w:r w:rsidR="00446A06" w:rsidRPr="00446A06">
          <w:rPr>
            <w:rFonts w:ascii="Times New Roman" w:hAnsi="Times New Roman" w:cs="Times New Roman"/>
            <w:noProof/>
            <w:webHidden/>
          </w:rPr>
          <w:fldChar w:fldCharType="end"/>
        </w:r>
      </w:hyperlink>
    </w:p>
    <w:p w14:paraId="46666D73" w14:textId="7E4E74C5"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4" w:history="1">
        <w:r w:rsidR="00446A06" w:rsidRPr="00446A06">
          <w:rPr>
            <w:rStyle w:val="Hyperlink"/>
            <w:rFonts w:ascii="Times New Roman" w:hAnsi="Times New Roman" w:cs="Times New Roman"/>
            <w:noProof/>
          </w:rPr>
          <w:t>Table A3- 6:</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Search Strings Used to Identify Negative Bias in Connection with the State/State Institutions in the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_Toc175413214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169</w:t>
        </w:r>
        <w:r w:rsidR="00446A06" w:rsidRPr="00446A06">
          <w:rPr>
            <w:rFonts w:ascii="Times New Roman" w:hAnsi="Times New Roman" w:cs="Times New Roman"/>
            <w:noProof/>
            <w:webHidden/>
          </w:rPr>
          <w:fldChar w:fldCharType="end"/>
        </w:r>
      </w:hyperlink>
    </w:p>
    <w:p w14:paraId="6281B848" w14:textId="692B03D5"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5" w:history="1">
        <w:r w:rsidR="00446A06" w:rsidRPr="00446A06">
          <w:rPr>
            <w:rStyle w:val="Hyperlink"/>
            <w:rFonts w:ascii="Times New Roman" w:hAnsi="Times New Roman" w:cs="Times New Roman"/>
            <w:noProof/>
          </w:rPr>
          <w:t>Table A4- 1: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Twenty-Two (22) Definitional Elements of Terrorism, As Identified by Schmid and Jongman in 1988.</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_Toc175413215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170</w:t>
        </w:r>
        <w:r w:rsidR="00446A06" w:rsidRPr="00446A06">
          <w:rPr>
            <w:rFonts w:ascii="Times New Roman" w:hAnsi="Times New Roman" w:cs="Times New Roman"/>
            <w:noProof/>
            <w:webHidden/>
          </w:rPr>
          <w:fldChar w:fldCharType="end"/>
        </w:r>
      </w:hyperlink>
    </w:p>
    <w:p w14:paraId="25878464" w14:textId="313CBA63"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6" w:history="1">
        <w:r w:rsidR="00446A06" w:rsidRPr="00446A06">
          <w:rPr>
            <w:rStyle w:val="Hyperlink"/>
            <w:rFonts w:ascii="Times New Roman" w:hAnsi="Times New Roman" w:cs="Times New Roman"/>
            <w:noProof/>
          </w:rPr>
          <w:t>Table A4- 2: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The Recurrence Frequencies of Twenty-Two (22) Definitional Elements of Terrorism, As Calculated by 1988 Schmid and Jongman and 2004 Weinberg et. al. Studies.</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_Toc175413216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172</w:t>
        </w:r>
        <w:r w:rsidR="00446A06" w:rsidRPr="00446A06">
          <w:rPr>
            <w:rFonts w:ascii="Times New Roman" w:hAnsi="Times New Roman" w:cs="Times New Roman"/>
            <w:noProof/>
            <w:webHidden/>
          </w:rPr>
          <w:fldChar w:fldCharType="end"/>
        </w:r>
      </w:hyperlink>
    </w:p>
    <w:p w14:paraId="5AEEA8D3" w14:textId="5231C4A8"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7" w:history="1">
        <w:r w:rsidR="00446A06" w:rsidRPr="00446A06">
          <w:rPr>
            <w:rStyle w:val="Hyperlink"/>
            <w:rFonts w:ascii="Times New Roman" w:hAnsi="Times New Roman" w:cs="Times New Roman"/>
            <w:noProof/>
          </w:rPr>
          <w:t>Table A4-3: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Description of Twenty-Two (22) Definitional Elements of Terrorism, Numbered in Relation to</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_Toc175413217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173</w:t>
        </w:r>
        <w:r w:rsidR="00446A06" w:rsidRPr="00446A06">
          <w:rPr>
            <w:rFonts w:ascii="Times New Roman" w:hAnsi="Times New Roman" w:cs="Times New Roman"/>
            <w:noProof/>
            <w:webHidden/>
          </w:rPr>
          <w:fldChar w:fldCharType="end"/>
        </w:r>
      </w:hyperlink>
    </w:p>
    <w:p w14:paraId="10CF7ED9" w14:textId="20E87755" w:rsidR="00446A06" w:rsidRPr="00446A06" w:rsidRDefault="00000000">
      <w:pPr>
        <w:pStyle w:val="TableofFigures"/>
        <w:tabs>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8" w:history="1">
        <w:r w:rsidR="00446A06" w:rsidRPr="00446A06">
          <w:rPr>
            <w:rStyle w:val="Hyperlink"/>
            <w:rFonts w:ascii="Times New Roman" w:hAnsi="Times New Roman" w:cs="Times New Roman"/>
            <w:noProof/>
          </w:rPr>
          <w:t>Recurrence Frequency Analysis.</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_Toc175413218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173</w:t>
        </w:r>
        <w:r w:rsidR="00446A06" w:rsidRPr="00446A06">
          <w:rPr>
            <w:rFonts w:ascii="Times New Roman" w:hAnsi="Times New Roman" w:cs="Times New Roman"/>
            <w:noProof/>
            <w:webHidden/>
          </w:rPr>
          <w:fldChar w:fldCharType="end"/>
        </w:r>
      </w:hyperlink>
    </w:p>
    <w:p w14:paraId="0341F64B" w14:textId="7E1B5CE5"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19" w:history="1">
        <w:r w:rsidR="00446A06" w:rsidRPr="00446A06">
          <w:rPr>
            <w:rStyle w:val="Hyperlink"/>
            <w:rFonts w:ascii="Times New Roman" w:hAnsi="Times New Roman" w:cs="Times New Roman"/>
            <w:noProof/>
          </w:rPr>
          <w:t>Table A5- 1: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Description of Twenty-Eight (28) Definitional Elements Implicit to International Policy Definitions of Terrorism, Numerically Organized in Terms of Relation to ‘Means,’ ‘Mode,’ ‘Target,’ and ‘Objective’ of Terrorist Activity (See Appendix F)</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_Toc175413219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174</w:t>
        </w:r>
        <w:r w:rsidR="00446A06" w:rsidRPr="00446A06">
          <w:rPr>
            <w:rFonts w:ascii="Times New Roman" w:hAnsi="Times New Roman" w:cs="Times New Roman"/>
            <w:noProof/>
            <w:webHidden/>
          </w:rPr>
          <w:fldChar w:fldCharType="end"/>
        </w:r>
      </w:hyperlink>
    </w:p>
    <w:p w14:paraId="14925C36" w14:textId="5883826D"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1" w:anchor="_Toc175413220" w:history="1">
        <w:r w:rsidR="00446A06" w:rsidRPr="00446A06">
          <w:rPr>
            <w:rStyle w:val="Hyperlink"/>
            <w:rFonts w:ascii="Times New Roman" w:hAnsi="Times New Roman" w:cs="Times New Roman"/>
            <w:noProof/>
          </w:rPr>
          <w:t>Table A5- 2: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Recurrence Frequencies of Twenty-Eight (28) Definitional Elements Calculated for 192 International Policy Definitions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_Toc175413220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176</w:t>
        </w:r>
        <w:r w:rsidR="00446A06" w:rsidRPr="00446A06">
          <w:rPr>
            <w:rFonts w:ascii="Times New Roman" w:hAnsi="Times New Roman" w:cs="Times New Roman"/>
            <w:noProof/>
            <w:webHidden/>
          </w:rPr>
          <w:fldChar w:fldCharType="end"/>
        </w:r>
      </w:hyperlink>
    </w:p>
    <w:p w14:paraId="4DE8499A" w14:textId="5D518657"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21" w:history="1">
        <w:r w:rsidR="00446A06" w:rsidRPr="00446A06">
          <w:rPr>
            <w:rStyle w:val="Hyperlink"/>
            <w:rFonts w:ascii="Times New Roman" w:hAnsi="Times New Roman" w:cs="Times New Roman"/>
            <w:noProof/>
          </w:rPr>
          <w:t>Table A7- 1: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Amalgamated Legend of Definitional Element Codes</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_Toc175413221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178</w:t>
        </w:r>
        <w:r w:rsidR="00446A06" w:rsidRPr="00446A06">
          <w:rPr>
            <w:rFonts w:ascii="Times New Roman" w:hAnsi="Times New Roman" w:cs="Times New Roman"/>
            <w:noProof/>
            <w:webHidden/>
          </w:rPr>
          <w:fldChar w:fldCharType="end"/>
        </w:r>
      </w:hyperlink>
    </w:p>
    <w:p w14:paraId="635C7C73" w14:textId="3EB0DFD7"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2" w:anchor="_Toc175413222" w:history="1">
        <w:r w:rsidR="00446A06" w:rsidRPr="00446A06">
          <w:rPr>
            <w:rStyle w:val="Hyperlink"/>
            <w:rFonts w:ascii="Times New Roman" w:hAnsi="Times New Roman" w:cs="Times New Roman"/>
            <w:noProof/>
          </w:rPr>
          <w:t>Table A7- 2: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Thirty-Four (34) Definitions of Terrorism Implicit to State Conduct Deconstructed on the Basis of the Twenty-Eight (28) Definitional Elements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_Toc175413222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179</w:t>
        </w:r>
        <w:r w:rsidR="00446A06" w:rsidRPr="00446A06">
          <w:rPr>
            <w:rFonts w:ascii="Times New Roman" w:hAnsi="Times New Roman" w:cs="Times New Roman"/>
            <w:noProof/>
            <w:webHidden/>
          </w:rPr>
          <w:fldChar w:fldCharType="end"/>
        </w:r>
      </w:hyperlink>
    </w:p>
    <w:p w14:paraId="6E1F2A01" w14:textId="573CB4BE"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3" w:anchor="_Toc175413223" w:history="1">
        <w:r w:rsidR="00446A06" w:rsidRPr="00446A06">
          <w:rPr>
            <w:rStyle w:val="Hyperlink"/>
            <w:rFonts w:ascii="Times New Roman" w:hAnsi="Times New Roman" w:cs="Times New Roman"/>
            <w:noProof/>
          </w:rPr>
          <w:t>Table A7- 3: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Definitional Elements Employed in Official Country Statements Deconstructed by Case, by Country</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_Toc175413223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180</w:t>
        </w:r>
        <w:r w:rsidR="00446A06" w:rsidRPr="00446A06">
          <w:rPr>
            <w:rFonts w:ascii="Times New Roman" w:hAnsi="Times New Roman" w:cs="Times New Roman"/>
            <w:noProof/>
            <w:webHidden/>
          </w:rPr>
          <w:fldChar w:fldCharType="end"/>
        </w:r>
      </w:hyperlink>
    </w:p>
    <w:p w14:paraId="3C9B6D96" w14:textId="3A0EE9BF"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24" w:history="1">
        <w:r w:rsidR="00446A06" w:rsidRPr="00446A06">
          <w:rPr>
            <w:rStyle w:val="Hyperlink"/>
            <w:rFonts w:ascii="Times New Roman" w:hAnsi="Times New Roman" w:cs="Times New Roman"/>
            <w:noProof/>
          </w:rPr>
          <w:t>Table A7- 4:</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Summary Comparison of Definitional Element Recurrence Frequencies Across State Conduct and Legislative Policy Definitions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_Toc175413224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181</w:t>
        </w:r>
        <w:r w:rsidR="00446A06" w:rsidRPr="00446A06">
          <w:rPr>
            <w:rFonts w:ascii="Times New Roman" w:hAnsi="Times New Roman" w:cs="Times New Roman"/>
            <w:noProof/>
            <w:webHidden/>
          </w:rPr>
          <w:fldChar w:fldCharType="end"/>
        </w:r>
      </w:hyperlink>
    </w:p>
    <w:p w14:paraId="31C7EBD5" w14:textId="0F522EB2"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25" w:history="1">
        <w:r w:rsidR="00446A06" w:rsidRPr="00446A06">
          <w:rPr>
            <w:rStyle w:val="Hyperlink"/>
            <w:rFonts w:ascii="Times New Roman" w:hAnsi="Times New Roman" w:cs="Times New Roman"/>
            <w:noProof/>
          </w:rPr>
          <w:t>Table A8- 1: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List of Specific Words Operationalized as Positive Bias Indicators, Sorted by Type</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_Toc175413225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182</w:t>
        </w:r>
        <w:r w:rsidR="00446A06" w:rsidRPr="00446A06">
          <w:rPr>
            <w:rFonts w:ascii="Times New Roman" w:hAnsi="Times New Roman" w:cs="Times New Roman"/>
            <w:noProof/>
            <w:webHidden/>
          </w:rPr>
          <w:fldChar w:fldCharType="end"/>
        </w:r>
      </w:hyperlink>
    </w:p>
    <w:p w14:paraId="5DAF2A23" w14:textId="55B4B968"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26" w:history="1">
        <w:r w:rsidR="00446A06" w:rsidRPr="00446A06">
          <w:rPr>
            <w:rStyle w:val="Hyperlink"/>
            <w:rFonts w:ascii="Times New Roman" w:hAnsi="Times New Roman" w:cs="Times New Roman"/>
            <w:noProof/>
          </w:rPr>
          <w:t>Table A8- 2: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Factive and Semi-Factive Verb Positive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_Toc175413226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184</w:t>
        </w:r>
        <w:r w:rsidR="00446A06" w:rsidRPr="00446A06">
          <w:rPr>
            <w:rFonts w:ascii="Times New Roman" w:hAnsi="Times New Roman" w:cs="Times New Roman"/>
            <w:noProof/>
            <w:webHidden/>
          </w:rPr>
          <w:fldChar w:fldCharType="end"/>
        </w:r>
      </w:hyperlink>
    </w:p>
    <w:p w14:paraId="23F05FCD" w14:textId="6A988300"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27" w:history="1">
        <w:r w:rsidR="00446A06" w:rsidRPr="00446A06">
          <w:rPr>
            <w:rStyle w:val="Hyperlink"/>
            <w:rFonts w:ascii="Times New Roman" w:hAnsi="Times New Roman" w:cs="Times New Roman"/>
            <w:noProof/>
          </w:rPr>
          <w:t>Table A8- 3: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High-Commitment Verb Positive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_Toc175413227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185</w:t>
        </w:r>
        <w:r w:rsidR="00446A06" w:rsidRPr="00446A06">
          <w:rPr>
            <w:rFonts w:ascii="Times New Roman" w:hAnsi="Times New Roman" w:cs="Times New Roman"/>
            <w:noProof/>
            <w:webHidden/>
          </w:rPr>
          <w:fldChar w:fldCharType="end"/>
        </w:r>
      </w:hyperlink>
    </w:p>
    <w:p w14:paraId="57980234" w14:textId="63E77BB3"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28" w:history="1">
        <w:r w:rsidR="00446A06" w:rsidRPr="00446A06">
          <w:rPr>
            <w:rStyle w:val="Hyperlink"/>
            <w:rFonts w:ascii="Times New Roman" w:hAnsi="Times New Roman" w:cs="Times New Roman"/>
            <w:noProof/>
          </w:rPr>
          <w:t>Table A8- 4:</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 of High Commitment Adjective Positive Bias Indicator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_Toc175413228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186</w:t>
        </w:r>
        <w:r w:rsidR="00446A06" w:rsidRPr="00446A06">
          <w:rPr>
            <w:rFonts w:ascii="Times New Roman" w:hAnsi="Times New Roman" w:cs="Times New Roman"/>
            <w:noProof/>
            <w:webHidden/>
          </w:rPr>
          <w:fldChar w:fldCharType="end"/>
        </w:r>
      </w:hyperlink>
    </w:p>
    <w:p w14:paraId="7D9970B6" w14:textId="7A2688DE"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29" w:history="1">
        <w:r w:rsidR="00446A06" w:rsidRPr="00446A06">
          <w:rPr>
            <w:rStyle w:val="Hyperlink"/>
            <w:rFonts w:ascii="Times New Roman" w:hAnsi="Times New Roman" w:cs="Times New Roman"/>
            <w:noProof/>
          </w:rPr>
          <w:t>Table A8- 5:</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Hyping Adjective Positive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_Toc175413229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188</w:t>
        </w:r>
        <w:r w:rsidR="00446A06" w:rsidRPr="00446A06">
          <w:rPr>
            <w:rFonts w:ascii="Times New Roman" w:hAnsi="Times New Roman" w:cs="Times New Roman"/>
            <w:noProof/>
            <w:webHidden/>
          </w:rPr>
          <w:fldChar w:fldCharType="end"/>
        </w:r>
      </w:hyperlink>
    </w:p>
    <w:p w14:paraId="0285DE92" w14:textId="2808639F"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0" w:history="1">
        <w:r w:rsidR="00446A06" w:rsidRPr="00446A06">
          <w:rPr>
            <w:rStyle w:val="Hyperlink"/>
            <w:rFonts w:ascii="Times New Roman" w:hAnsi="Times New Roman" w:cs="Times New Roman"/>
            <w:noProof/>
          </w:rPr>
          <w:t>Table A8- 6:</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High Commitment Adjective Positive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_Toc175413230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189</w:t>
        </w:r>
        <w:r w:rsidR="00446A06" w:rsidRPr="00446A06">
          <w:rPr>
            <w:rFonts w:ascii="Times New Roman" w:hAnsi="Times New Roman" w:cs="Times New Roman"/>
            <w:noProof/>
            <w:webHidden/>
          </w:rPr>
          <w:fldChar w:fldCharType="end"/>
        </w:r>
      </w:hyperlink>
    </w:p>
    <w:p w14:paraId="64B8429B" w14:textId="63A0F2D5"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1" w:history="1">
        <w:r w:rsidR="00446A06" w:rsidRPr="00446A06">
          <w:rPr>
            <w:rStyle w:val="Hyperlink"/>
            <w:rFonts w:ascii="Times New Roman" w:hAnsi="Times New Roman" w:cs="Times New Roman"/>
            <w:noProof/>
          </w:rPr>
          <w:t>Table A8- 7:</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List of Specific Words Operationalized as Negative Bias Indicators, Sorted by Type</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_Toc175413231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190</w:t>
        </w:r>
        <w:r w:rsidR="00446A06" w:rsidRPr="00446A06">
          <w:rPr>
            <w:rFonts w:ascii="Times New Roman" w:hAnsi="Times New Roman" w:cs="Times New Roman"/>
            <w:noProof/>
            <w:webHidden/>
          </w:rPr>
          <w:fldChar w:fldCharType="end"/>
        </w:r>
      </w:hyperlink>
    </w:p>
    <w:p w14:paraId="0BE01DAA" w14:textId="3EFFAB12"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2" w:history="1">
        <w:r w:rsidR="00446A06" w:rsidRPr="00446A06">
          <w:rPr>
            <w:rStyle w:val="Hyperlink"/>
            <w:rFonts w:ascii="Times New Roman" w:hAnsi="Times New Roman" w:cs="Times New Roman"/>
            <w:noProof/>
          </w:rPr>
          <w:t>Table A8- 8:</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Neg-Factive Verb Negative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_Toc175413232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191</w:t>
        </w:r>
        <w:r w:rsidR="00446A06" w:rsidRPr="00446A06">
          <w:rPr>
            <w:rFonts w:ascii="Times New Roman" w:hAnsi="Times New Roman" w:cs="Times New Roman"/>
            <w:noProof/>
            <w:webHidden/>
          </w:rPr>
          <w:fldChar w:fldCharType="end"/>
        </w:r>
      </w:hyperlink>
    </w:p>
    <w:p w14:paraId="2FDEB5B6" w14:textId="08D678D3"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3" w:history="1">
        <w:r w:rsidR="00446A06" w:rsidRPr="00446A06">
          <w:rPr>
            <w:rStyle w:val="Hyperlink"/>
            <w:rFonts w:ascii="Times New Roman" w:hAnsi="Times New Roman" w:cs="Times New Roman"/>
            <w:noProof/>
          </w:rPr>
          <w:t>Table A8- 9:</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Low-Commitment Verb Negative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_Toc175413233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192</w:t>
        </w:r>
        <w:r w:rsidR="00446A06" w:rsidRPr="00446A06">
          <w:rPr>
            <w:rFonts w:ascii="Times New Roman" w:hAnsi="Times New Roman" w:cs="Times New Roman"/>
            <w:noProof/>
            <w:webHidden/>
          </w:rPr>
          <w:fldChar w:fldCharType="end"/>
        </w:r>
      </w:hyperlink>
    </w:p>
    <w:p w14:paraId="0DEDCE61" w14:textId="5B655BE7"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4" w:history="1">
        <w:r w:rsidR="00446A06" w:rsidRPr="00446A06">
          <w:rPr>
            <w:rStyle w:val="Hyperlink"/>
            <w:rFonts w:ascii="Times New Roman" w:hAnsi="Times New Roman" w:cs="Times New Roman"/>
            <w:noProof/>
          </w:rPr>
          <w:t>Table A8- 10:</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Low-Commitment Modifier Negative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_Toc175413234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193</w:t>
        </w:r>
        <w:r w:rsidR="00446A06" w:rsidRPr="00446A06">
          <w:rPr>
            <w:rFonts w:ascii="Times New Roman" w:hAnsi="Times New Roman" w:cs="Times New Roman"/>
            <w:noProof/>
            <w:webHidden/>
          </w:rPr>
          <w:fldChar w:fldCharType="end"/>
        </w:r>
      </w:hyperlink>
    </w:p>
    <w:p w14:paraId="771308BF" w14:textId="0581B35F"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5" w:history="1">
        <w:r w:rsidR="00446A06" w:rsidRPr="00446A06">
          <w:rPr>
            <w:rStyle w:val="Hyperlink"/>
            <w:rFonts w:ascii="Times New Roman" w:hAnsi="Times New Roman" w:cs="Times New Roman"/>
            <w:noProof/>
          </w:rPr>
          <w:t>Table A8- 11: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Argumentative Verb Negative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_Toc175413235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194</w:t>
        </w:r>
        <w:r w:rsidR="00446A06" w:rsidRPr="00446A06">
          <w:rPr>
            <w:rFonts w:ascii="Times New Roman" w:hAnsi="Times New Roman" w:cs="Times New Roman"/>
            <w:noProof/>
            <w:webHidden/>
          </w:rPr>
          <w:fldChar w:fldCharType="end"/>
        </w:r>
      </w:hyperlink>
    </w:p>
    <w:p w14:paraId="3043795B" w14:textId="16DEFDA7"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6" w:history="1">
        <w:r w:rsidR="00446A06" w:rsidRPr="00446A06">
          <w:rPr>
            <w:rStyle w:val="Hyperlink"/>
            <w:rFonts w:ascii="Times New Roman" w:hAnsi="Times New Roman" w:cs="Times New Roman"/>
            <w:noProof/>
          </w:rPr>
          <w:t>Table A8- 12: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Undermining Adjective Negative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_Toc175413236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195</w:t>
        </w:r>
        <w:r w:rsidR="00446A06" w:rsidRPr="00446A06">
          <w:rPr>
            <w:rFonts w:ascii="Times New Roman" w:hAnsi="Times New Roman" w:cs="Times New Roman"/>
            <w:noProof/>
            <w:webHidden/>
          </w:rPr>
          <w:fldChar w:fldCharType="end"/>
        </w:r>
      </w:hyperlink>
    </w:p>
    <w:p w14:paraId="2793562D" w14:textId="69046256"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7" w:history="1">
        <w:r w:rsidR="00446A06" w:rsidRPr="00446A06">
          <w:rPr>
            <w:rStyle w:val="Hyperlink"/>
            <w:rFonts w:ascii="Times New Roman" w:hAnsi="Times New Roman" w:cs="Times New Roman"/>
            <w:noProof/>
          </w:rPr>
          <w:t>Table A8- 13: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Examples of Lack of Consensus Adjective Negative Bias Indicators in Context, Taken From 2,776 Article Sampling Frame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_Toc175413237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196</w:t>
        </w:r>
        <w:r w:rsidR="00446A06" w:rsidRPr="00446A06">
          <w:rPr>
            <w:rFonts w:ascii="Times New Roman" w:hAnsi="Times New Roman" w:cs="Times New Roman"/>
            <w:noProof/>
            <w:webHidden/>
          </w:rPr>
          <w:fldChar w:fldCharType="end"/>
        </w:r>
      </w:hyperlink>
    </w:p>
    <w:p w14:paraId="7FB1CC54" w14:textId="5A5DC613" w:rsidR="00ED5405" w:rsidRPr="00880AD8" w:rsidRDefault="00ED5405" w:rsidP="00ED5405">
      <w:pPr>
        <w:pStyle w:val="DissertationChapterName"/>
        <w:spacing w:before="0"/>
        <w:jc w:val="left"/>
        <w:rPr>
          <w:szCs w:val="22"/>
        </w:rPr>
      </w:pPr>
      <w:r w:rsidRPr="00446A06">
        <w:rPr>
          <w:rFonts w:eastAsiaTheme="minorHAnsi"/>
          <w:b w:val="0"/>
          <w:bCs w:val="0"/>
          <w:caps/>
          <w:szCs w:val="22"/>
        </w:rPr>
        <w:fldChar w:fldCharType="end"/>
      </w:r>
      <w:r w:rsidRPr="00880AD8">
        <w:rPr>
          <w:szCs w:val="22"/>
        </w:rPr>
        <w:br w:type="page"/>
      </w:r>
    </w:p>
    <w:p w14:paraId="6AD6F546" w14:textId="35EA7C5D" w:rsidR="000C6C2E" w:rsidRPr="00B36494" w:rsidRDefault="000C6C2E" w:rsidP="000C6C2E">
      <w:pPr>
        <w:pStyle w:val="DissertationChapterName"/>
      </w:pPr>
      <w:bookmarkStart w:id="4" w:name="_Toc175413109"/>
      <w:r w:rsidRPr="00B36494">
        <w:lastRenderedPageBreak/>
        <w:t>List of Figures</w:t>
      </w:r>
      <w:bookmarkEnd w:id="4"/>
    </w:p>
    <w:p w14:paraId="538C6CB9" w14:textId="77777777" w:rsidR="000C6C2E" w:rsidRPr="00446A06" w:rsidRDefault="000C6C2E" w:rsidP="000C6C2E">
      <w:pPr>
        <w:pStyle w:val="DissertationChapterName"/>
        <w:rPr>
          <w:szCs w:val="22"/>
        </w:rPr>
      </w:pPr>
    </w:p>
    <w:p w14:paraId="34598DEB" w14:textId="18E2DD05" w:rsidR="00446A06" w:rsidRPr="00446A06" w:rsidRDefault="000C6C2E">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r w:rsidRPr="00446A06">
        <w:rPr>
          <w:rFonts w:ascii="Times New Roman" w:hAnsi="Times New Roman" w:cs="Times New Roman"/>
          <w:b/>
          <w:bCs/>
          <w:sz w:val="22"/>
          <w:szCs w:val="22"/>
        </w:rPr>
        <w:fldChar w:fldCharType="begin"/>
      </w:r>
      <w:r w:rsidRPr="00446A06">
        <w:rPr>
          <w:rFonts w:ascii="Times New Roman" w:hAnsi="Times New Roman" w:cs="Times New Roman"/>
          <w:b/>
          <w:bCs/>
          <w:sz w:val="22"/>
          <w:szCs w:val="22"/>
        </w:rPr>
        <w:instrText xml:space="preserve"> TOC \h \z \t "Dissertation Figure Caption,1" \c "Figure" </w:instrText>
      </w:r>
      <w:r w:rsidRPr="00446A06">
        <w:rPr>
          <w:rFonts w:ascii="Times New Roman" w:hAnsi="Times New Roman" w:cs="Times New Roman"/>
          <w:b/>
          <w:bCs/>
          <w:sz w:val="22"/>
          <w:szCs w:val="22"/>
        </w:rPr>
        <w:fldChar w:fldCharType="separate"/>
      </w:r>
      <w:hyperlink w:anchor="_Toc175413238" w:history="1">
        <w:r w:rsidR="00446A06" w:rsidRPr="00446A06">
          <w:rPr>
            <w:rStyle w:val="Hyperlink"/>
            <w:rFonts w:ascii="Times New Roman" w:hAnsi="Times New Roman" w:cs="Times New Roman"/>
            <w:noProof/>
          </w:rPr>
          <w:t>Figure 6- 1: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SLR Analysis of </w:t>
        </w:r>
        <m:oMath>
          <m:r>
            <w:rPr>
              <w:rStyle w:val="Hyperlink"/>
              <w:rFonts w:ascii="Cambria Math" w:hAnsi="Cambria Math" w:cs="Times New Roman"/>
              <w:noProof/>
            </w:rPr>
            <m:t>I</m:t>
          </m:r>
          <m:r>
            <m:rPr>
              <m:sty m:val="p"/>
            </m:rPr>
            <w:rPr>
              <w:rStyle w:val="Hyperlink"/>
              <w:rFonts w:ascii="Cambria Math" w:hAnsi="Cambria Math" w:cs="Times New Roman"/>
              <w:noProof/>
            </w:rPr>
            <m:t>0</m:t>
          </m:r>
        </m:oMath>
        <w:r w:rsidR="00446A06" w:rsidRPr="00446A06">
          <w:rPr>
            <w:rStyle w:val="Hyperlink"/>
            <w:rFonts w:ascii="Times New Roman" w:hAnsi="Times New Roman" w:cs="Times New Roman"/>
            <w:noProof/>
          </w:rPr>
          <w:t xml:space="preserve"> v. </w:t>
        </w:r>
        <m:oMath>
          <m:r>
            <w:rPr>
              <w:rStyle w:val="Hyperlink"/>
              <w:rFonts w:ascii="Cambria Math" w:hAnsi="Cambria Math" w:cs="Times New Roman"/>
              <w:noProof/>
            </w:rPr>
            <m:t>D</m:t>
          </m:r>
          <m:r>
            <m:rPr>
              <m:sty m:val="p"/>
            </m:rPr>
            <w:rPr>
              <w:rStyle w:val="Hyperlink"/>
              <w:rFonts w:ascii="Cambria Math" w:hAnsi="Cambria Math" w:cs="Times New Roman"/>
              <w:noProof/>
            </w:rPr>
            <m:t>0</m:t>
          </m:r>
        </m:oMath>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_Toc175413238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85</w:t>
        </w:r>
        <w:r w:rsidR="00446A06" w:rsidRPr="00446A06">
          <w:rPr>
            <w:rFonts w:ascii="Times New Roman" w:hAnsi="Times New Roman" w:cs="Times New Roman"/>
            <w:noProof/>
            <w:webHidden/>
          </w:rPr>
          <w:fldChar w:fldCharType="end"/>
        </w:r>
      </w:hyperlink>
    </w:p>
    <w:p w14:paraId="6AA64842" w14:textId="5C886A8C"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39" w:history="1">
        <w:r w:rsidR="00446A06" w:rsidRPr="00446A06">
          <w:rPr>
            <w:rStyle w:val="Hyperlink"/>
            <w:rFonts w:ascii="Times New Roman" w:hAnsi="Times New Roman" w:cs="Times New Roman"/>
            <w:noProof/>
          </w:rPr>
          <w:t>Figure 6- 2: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SLR Analysis of </w:t>
        </w:r>
        <m:oMath>
          <m:r>
            <w:rPr>
              <w:rStyle w:val="Hyperlink"/>
              <w:rFonts w:ascii="Cambria Math" w:hAnsi="Cambria Math" w:cs="Times New Roman"/>
              <w:noProof/>
            </w:rPr>
            <m:t>I</m:t>
          </m:r>
          <m:r>
            <m:rPr>
              <m:sty m:val="p"/>
            </m:rPr>
            <w:rPr>
              <w:rStyle w:val="Hyperlink"/>
              <w:rFonts w:ascii="Cambria Math" w:hAnsi="Cambria Math" w:cs="Times New Roman"/>
              <w:noProof/>
            </w:rPr>
            <m:t>1</m:t>
          </m:r>
        </m:oMath>
        <w:r w:rsidR="00446A06" w:rsidRPr="00446A06">
          <w:rPr>
            <w:rStyle w:val="Hyperlink"/>
            <w:rFonts w:ascii="Times New Roman" w:hAnsi="Times New Roman" w:cs="Times New Roman"/>
            <w:noProof/>
          </w:rPr>
          <w:t xml:space="preserve"> v. </w:t>
        </w:r>
        <m:oMath>
          <m:r>
            <w:rPr>
              <w:rStyle w:val="Hyperlink"/>
              <w:rFonts w:ascii="Cambria Math" w:hAnsi="Cambria Math" w:cs="Times New Roman"/>
              <w:noProof/>
            </w:rPr>
            <m:t>D</m:t>
          </m:r>
          <m:r>
            <m:rPr>
              <m:sty m:val="p"/>
            </m:rPr>
            <w:rPr>
              <w:rStyle w:val="Hyperlink"/>
              <w:rFonts w:ascii="Cambria Math" w:hAnsi="Cambria Math" w:cs="Times New Roman"/>
              <w:noProof/>
            </w:rPr>
            <m:t>0</m:t>
          </m:r>
        </m:oMath>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_Toc175413239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85</w:t>
        </w:r>
        <w:r w:rsidR="00446A06" w:rsidRPr="00446A06">
          <w:rPr>
            <w:rFonts w:ascii="Times New Roman" w:hAnsi="Times New Roman" w:cs="Times New Roman"/>
            <w:noProof/>
            <w:webHidden/>
          </w:rPr>
          <w:fldChar w:fldCharType="end"/>
        </w:r>
      </w:hyperlink>
    </w:p>
    <w:p w14:paraId="082F0EA8" w14:textId="73F2ACE6"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40" w:history="1">
        <w:r w:rsidR="00446A06" w:rsidRPr="00446A06">
          <w:rPr>
            <w:rStyle w:val="Hyperlink"/>
            <w:rFonts w:ascii="Times New Roman" w:hAnsi="Times New Roman" w:cs="Times New Roman"/>
            <w:noProof/>
          </w:rPr>
          <w:t>Figure 6- 3: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SLR Analysis of </w:t>
        </w:r>
        <m:oMath>
          <m:r>
            <w:rPr>
              <w:rStyle w:val="Hyperlink"/>
              <w:rFonts w:ascii="Cambria Math" w:hAnsi="Cambria Math" w:cs="Times New Roman"/>
              <w:noProof/>
            </w:rPr>
            <m:t>I</m:t>
          </m:r>
          <m:r>
            <m:rPr>
              <m:sty m:val="p"/>
            </m:rPr>
            <w:rPr>
              <w:rStyle w:val="Hyperlink"/>
              <w:rFonts w:ascii="Cambria Math" w:hAnsi="Cambria Math" w:cs="Times New Roman"/>
              <w:noProof/>
            </w:rPr>
            <m:t>2</m:t>
          </m:r>
        </m:oMath>
        <w:r w:rsidR="00446A06" w:rsidRPr="00446A06">
          <w:rPr>
            <w:rStyle w:val="Hyperlink"/>
            <w:rFonts w:ascii="Times New Roman" w:hAnsi="Times New Roman" w:cs="Times New Roman"/>
            <w:noProof/>
          </w:rPr>
          <w:t xml:space="preserve"> v. </w:t>
        </w:r>
        <m:oMath>
          <m:r>
            <w:rPr>
              <w:rStyle w:val="Hyperlink"/>
              <w:rFonts w:ascii="Cambria Math" w:hAnsi="Cambria Math" w:cs="Times New Roman"/>
              <w:noProof/>
            </w:rPr>
            <m:t>D</m:t>
          </m:r>
          <m:r>
            <m:rPr>
              <m:sty m:val="p"/>
            </m:rPr>
            <w:rPr>
              <w:rStyle w:val="Hyperlink"/>
              <w:rFonts w:ascii="Cambria Math" w:hAnsi="Cambria Math" w:cs="Times New Roman"/>
              <w:noProof/>
            </w:rPr>
            <m:t>0</m:t>
          </m:r>
        </m:oMath>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_Toc175413240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86</w:t>
        </w:r>
        <w:r w:rsidR="00446A06" w:rsidRPr="00446A06">
          <w:rPr>
            <w:rFonts w:ascii="Times New Roman" w:hAnsi="Times New Roman" w:cs="Times New Roman"/>
            <w:noProof/>
            <w:webHidden/>
          </w:rPr>
          <w:fldChar w:fldCharType="end"/>
        </w:r>
      </w:hyperlink>
    </w:p>
    <w:p w14:paraId="1051EE1E" w14:textId="0997D944"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41" w:history="1">
        <w:r w:rsidR="00446A06" w:rsidRPr="00446A06">
          <w:rPr>
            <w:rStyle w:val="Hyperlink"/>
            <w:rFonts w:ascii="Times New Roman" w:hAnsi="Times New Roman" w:cs="Times New Roman"/>
            <w:noProof/>
          </w:rPr>
          <w:t>Figure 7- 1: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Relative Frequencies of 28 Definitional Elements in the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_Toc175413241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92</w:t>
        </w:r>
        <w:r w:rsidR="00446A06" w:rsidRPr="00446A06">
          <w:rPr>
            <w:rFonts w:ascii="Times New Roman" w:hAnsi="Times New Roman" w:cs="Times New Roman"/>
            <w:noProof/>
            <w:webHidden/>
          </w:rPr>
          <w:fldChar w:fldCharType="end"/>
        </w:r>
      </w:hyperlink>
    </w:p>
    <w:p w14:paraId="3228B962" w14:textId="65097018"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4" w:anchor="_Toc175413242" w:history="1">
        <w:r w:rsidR="00446A06" w:rsidRPr="00446A06">
          <w:rPr>
            <w:rStyle w:val="Hyperlink"/>
            <w:rFonts w:ascii="Times New Roman" w:hAnsi="Times New Roman" w:cs="Times New Roman"/>
            <w:noProof/>
          </w:rPr>
          <w:t>Figure 7- 2: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Comparing the Composition of the De Minimis Definitions of Terrorism Implicit to Policy and Media Coverage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_Toc175413242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93</w:t>
        </w:r>
        <w:r w:rsidR="00446A06" w:rsidRPr="00446A06">
          <w:rPr>
            <w:rFonts w:ascii="Times New Roman" w:hAnsi="Times New Roman" w:cs="Times New Roman"/>
            <w:noProof/>
            <w:webHidden/>
          </w:rPr>
          <w:fldChar w:fldCharType="end"/>
        </w:r>
      </w:hyperlink>
    </w:p>
    <w:p w14:paraId="5F5CBF30" w14:textId="3EFAE448"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5" w:anchor="_Toc175413243" w:history="1">
        <w:r w:rsidR="00446A06" w:rsidRPr="00446A06">
          <w:rPr>
            <w:rStyle w:val="Hyperlink"/>
            <w:rFonts w:ascii="Times New Roman" w:hAnsi="Times New Roman" w:cs="Times New Roman"/>
            <w:noProof/>
          </w:rPr>
          <w:t>Figure 7- 3: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Recurrence Frequencies of 28 Definitional Elements that Co-occur in Public Figures’ Statements about Terrorism and State’s Domestic Legislation on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_Toc175413243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114</w:t>
        </w:r>
        <w:r w:rsidR="00446A06" w:rsidRPr="00446A06">
          <w:rPr>
            <w:rFonts w:ascii="Times New Roman" w:hAnsi="Times New Roman" w:cs="Times New Roman"/>
            <w:noProof/>
            <w:webHidden/>
          </w:rPr>
          <w:fldChar w:fldCharType="end"/>
        </w:r>
      </w:hyperlink>
    </w:p>
    <w:p w14:paraId="041F856F" w14:textId="3FD051DA"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6" w:anchor="_Toc175413244" w:history="1">
        <w:r w:rsidR="00446A06" w:rsidRPr="00446A06">
          <w:rPr>
            <w:rStyle w:val="Hyperlink"/>
            <w:rFonts w:ascii="Times New Roman" w:hAnsi="Times New Roman" w:cs="Times New Roman"/>
            <w:noProof/>
          </w:rPr>
          <w:t>Figure A1- 1: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March 30, 2020 Email to Reuters Archival Staff</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_Toc175413244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157</w:t>
        </w:r>
        <w:r w:rsidR="00446A06" w:rsidRPr="00446A06">
          <w:rPr>
            <w:rFonts w:ascii="Times New Roman" w:hAnsi="Times New Roman" w:cs="Times New Roman"/>
            <w:noProof/>
            <w:webHidden/>
          </w:rPr>
          <w:fldChar w:fldCharType="end"/>
        </w:r>
      </w:hyperlink>
    </w:p>
    <w:p w14:paraId="484EA381" w14:textId="0EBE16F5"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7" w:anchor="_Toc175413245" w:history="1">
        <w:r w:rsidR="00446A06" w:rsidRPr="00446A06">
          <w:rPr>
            <w:rStyle w:val="Hyperlink"/>
            <w:rFonts w:ascii="Times New Roman" w:hAnsi="Times New Roman" w:cs="Times New Roman"/>
            <w:noProof/>
          </w:rPr>
          <w:t>Figure A1- 2:</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March 31, 2020 Email Response from Reuters Archivist</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_Toc175413245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158</w:t>
        </w:r>
        <w:r w:rsidR="00446A06" w:rsidRPr="00446A06">
          <w:rPr>
            <w:rFonts w:ascii="Times New Roman" w:hAnsi="Times New Roman" w:cs="Times New Roman"/>
            <w:noProof/>
            <w:webHidden/>
          </w:rPr>
          <w:fldChar w:fldCharType="end"/>
        </w:r>
      </w:hyperlink>
    </w:p>
    <w:p w14:paraId="0BE35DD7" w14:textId="26AD9873"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8" w:anchor="_Toc175413246" w:history="1">
        <w:r w:rsidR="00446A06" w:rsidRPr="00446A06">
          <w:rPr>
            <w:rStyle w:val="Hyperlink"/>
            <w:rFonts w:ascii="Times New Roman" w:hAnsi="Times New Roman" w:cs="Times New Roman"/>
            <w:noProof/>
          </w:rPr>
          <w:t>Figure A1- 3:</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April 5, 2020 Email Response to Reuters Archivist</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_Toc175413246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159</w:t>
        </w:r>
        <w:r w:rsidR="00446A06" w:rsidRPr="00446A06">
          <w:rPr>
            <w:rFonts w:ascii="Times New Roman" w:hAnsi="Times New Roman" w:cs="Times New Roman"/>
            <w:noProof/>
            <w:webHidden/>
          </w:rPr>
          <w:fldChar w:fldCharType="end"/>
        </w:r>
      </w:hyperlink>
    </w:p>
    <w:p w14:paraId="2C93A9A5" w14:textId="5A69E6F1"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19" w:anchor="_Toc175413247" w:history="1">
        <w:r w:rsidR="00446A06" w:rsidRPr="00446A06">
          <w:rPr>
            <w:rStyle w:val="Hyperlink"/>
            <w:rFonts w:ascii="Times New Roman" w:hAnsi="Times New Roman" w:cs="Times New Roman"/>
            <w:noProof/>
          </w:rPr>
          <w:t>Figure A1- 4:</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April 7, 2020 Email Response from Reuters Archivist</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_Toc175413247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159</w:t>
        </w:r>
        <w:r w:rsidR="00446A06" w:rsidRPr="00446A06">
          <w:rPr>
            <w:rFonts w:ascii="Times New Roman" w:hAnsi="Times New Roman" w:cs="Times New Roman"/>
            <w:noProof/>
            <w:webHidden/>
          </w:rPr>
          <w:fldChar w:fldCharType="end"/>
        </w:r>
      </w:hyperlink>
    </w:p>
    <w:p w14:paraId="37DFDCAF" w14:textId="087D083E"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20" w:anchor="_Toc175413248" w:history="1">
        <w:r w:rsidR="00446A06" w:rsidRPr="00446A06">
          <w:rPr>
            <w:rStyle w:val="Hyperlink"/>
            <w:rFonts w:ascii="Times New Roman" w:hAnsi="Times New Roman" w:cs="Times New Roman"/>
            <w:noProof/>
          </w:rPr>
          <w:t>Figure A1- 5:</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March 29, 2020 Email to Associated Press Archival Staff</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_Toc175413248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160</w:t>
        </w:r>
        <w:r w:rsidR="00446A06" w:rsidRPr="00446A06">
          <w:rPr>
            <w:rFonts w:ascii="Times New Roman" w:hAnsi="Times New Roman" w:cs="Times New Roman"/>
            <w:noProof/>
            <w:webHidden/>
          </w:rPr>
          <w:fldChar w:fldCharType="end"/>
        </w:r>
      </w:hyperlink>
    </w:p>
    <w:p w14:paraId="2221F2D4" w14:textId="274A1A3E"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21" w:anchor="_Toc175413249" w:history="1">
        <w:r w:rsidR="00446A06" w:rsidRPr="00446A06">
          <w:rPr>
            <w:rStyle w:val="Hyperlink"/>
            <w:rFonts w:ascii="Times New Roman" w:hAnsi="Times New Roman" w:cs="Times New Roman"/>
            <w:noProof/>
          </w:rPr>
          <w:t>Figure A1- 6:</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April 2, 2020 Email Response from Archivist at the Associated Press Corporate Archives (New York).</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_Toc175413249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161</w:t>
        </w:r>
        <w:r w:rsidR="00446A06" w:rsidRPr="00446A06">
          <w:rPr>
            <w:rFonts w:ascii="Times New Roman" w:hAnsi="Times New Roman" w:cs="Times New Roman"/>
            <w:noProof/>
            <w:webHidden/>
          </w:rPr>
          <w:fldChar w:fldCharType="end"/>
        </w:r>
      </w:hyperlink>
    </w:p>
    <w:p w14:paraId="0B6D6CE9" w14:textId="2CDBE21E"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22" w:anchor="_Toc175413250" w:history="1">
        <w:r w:rsidR="00446A06" w:rsidRPr="00446A06">
          <w:rPr>
            <w:rStyle w:val="Hyperlink"/>
            <w:rFonts w:ascii="Times New Roman" w:hAnsi="Times New Roman" w:cs="Times New Roman"/>
            <w:noProof/>
          </w:rPr>
          <w:t>Figure A1- 7:</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Attachment Included with April 2, 2020 Email Response from Archivist at the Associated Press Corporate Archives (New York)</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_Toc175413250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162</w:t>
        </w:r>
        <w:r w:rsidR="00446A06" w:rsidRPr="00446A06">
          <w:rPr>
            <w:rFonts w:ascii="Times New Roman" w:hAnsi="Times New Roman" w:cs="Times New Roman"/>
            <w:noProof/>
            <w:webHidden/>
          </w:rPr>
          <w:fldChar w:fldCharType="end"/>
        </w:r>
      </w:hyperlink>
    </w:p>
    <w:p w14:paraId="7FF7DB77" w14:textId="2EBCDD14"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w:anchor="_Toc175413251" w:history="1">
        <w:r w:rsidR="00446A06" w:rsidRPr="00446A06">
          <w:rPr>
            <w:rStyle w:val="Hyperlink"/>
            <w:rFonts w:ascii="Times New Roman" w:hAnsi="Times New Roman" w:cs="Times New Roman"/>
            <w:noProof/>
          </w:rPr>
          <w:t>Figure A4-1: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The Recurrence Frequencies of Twenty-Two (22) Definitional Elements of Terrorism, As Calculated by 1988 Schmid and Jongman and 2004 Weinberg et. al. Studies.</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_Toc175413251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171</w:t>
        </w:r>
        <w:r w:rsidR="00446A06" w:rsidRPr="00446A06">
          <w:rPr>
            <w:rFonts w:ascii="Times New Roman" w:hAnsi="Times New Roman" w:cs="Times New Roman"/>
            <w:noProof/>
            <w:webHidden/>
          </w:rPr>
          <w:fldChar w:fldCharType="end"/>
        </w:r>
      </w:hyperlink>
    </w:p>
    <w:p w14:paraId="62AB669B" w14:textId="4A146A2D"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23" w:anchor="_Toc175413252" w:history="1">
        <w:r w:rsidR="00446A06" w:rsidRPr="00446A06">
          <w:rPr>
            <w:rStyle w:val="Hyperlink"/>
            <w:rFonts w:ascii="Times New Roman" w:hAnsi="Times New Roman" w:cs="Times New Roman"/>
            <w:noProof/>
          </w:rPr>
          <w:t>Figure A5- 1: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Recurrence Frequencies of Twenty-Eight (28) Definitional Elements Calculated for 192 International Policy Definitions of Terrorism</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_Toc175413252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175</w:t>
        </w:r>
        <w:r w:rsidR="00446A06" w:rsidRPr="00446A06">
          <w:rPr>
            <w:rFonts w:ascii="Times New Roman" w:hAnsi="Times New Roman" w:cs="Times New Roman"/>
            <w:noProof/>
            <w:webHidden/>
          </w:rPr>
          <w:fldChar w:fldCharType="end"/>
        </w:r>
      </w:hyperlink>
    </w:p>
    <w:p w14:paraId="648C243E" w14:textId="2C9B2EA5" w:rsidR="00446A06" w:rsidRPr="00446A06" w:rsidRDefault="00000000">
      <w:pPr>
        <w:pStyle w:val="TableofFigures"/>
        <w:tabs>
          <w:tab w:val="left" w:pos="1440"/>
          <w:tab w:val="right" w:leader="hyphen" w:pos="9350"/>
        </w:tabs>
        <w:rPr>
          <w:rFonts w:ascii="Times New Roman" w:eastAsiaTheme="minorEastAsia" w:hAnsi="Times New Roman" w:cs="Times New Roman"/>
          <w:caps w:val="0"/>
          <w:noProof/>
          <w:kern w:val="2"/>
          <w:sz w:val="24"/>
          <w:szCs w:val="24"/>
          <w14:ligatures w14:val="standardContextual"/>
        </w:rPr>
      </w:pPr>
      <w:hyperlink r:id="rId24" w:anchor="_Toc175413253" w:history="1">
        <w:r w:rsidR="00446A06" w:rsidRPr="00446A06">
          <w:rPr>
            <w:rStyle w:val="Hyperlink"/>
            <w:rFonts w:ascii="Times New Roman" w:hAnsi="Times New Roman" w:cs="Times New Roman"/>
            <w:noProof/>
          </w:rPr>
          <w:t>Figure A6- 1:</w:t>
        </w:r>
        <w:r w:rsidR="00446A06" w:rsidRPr="00446A06">
          <w:rPr>
            <w:rFonts w:ascii="Times New Roman" w:eastAsiaTheme="minorEastAsia" w:hAnsi="Times New Roman" w:cs="Times New Roman"/>
            <w:caps w:val="0"/>
            <w:noProof/>
            <w:kern w:val="2"/>
            <w:sz w:val="24"/>
            <w:szCs w:val="24"/>
            <w14:ligatures w14:val="standardContextual"/>
          </w:rPr>
          <w:tab/>
        </w:r>
        <w:r w:rsidR="00446A06" w:rsidRPr="00446A06">
          <w:rPr>
            <w:rStyle w:val="Hyperlink"/>
            <w:rFonts w:ascii="Times New Roman" w:hAnsi="Times New Roman" w:cs="Times New Roman"/>
            <w:noProof/>
          </w:rPr>
          <w:t xml:space="preserve"> Venn Diagram Visually Depicting How Twenty-Eight (28) Definitional Elements of Terrorism Manifest in the Context of Perpetrated Terrorist Activity</w:t>
        </w:r>
        <w:r w:rsidR="00446A06" w:rsidRPr="00446A06">
          <w:rPr>
            <w:rFonts w:ascii="Times New Roman" w:hAnsi="Times New Roman" w:cs="Times New Roman"/>
            <w:noProof/>
            <w:webHidden/>
          </w:rPr>
          <w:tab/>
        </w:r>
        <w:r w:rsidR="00446A06" w:rsidRPr="00446A06">
          <w:rPr>
            <w:rFonts w:ascii="Times New Roman" w:hAnsi="Times New Roman" w:cs="Times New Roman"/>
            <w:noProof/>
            <w:webHidden/>
          </w:rPr>
          <w:fldChar w:fldCharType="begin"/>
        </w:r>
        <w:r w:rsidR="00446A06" w:rsidRPr="00446A06">
          <w:rPr>
            <w:rFonts w:ascii="Times New Roman" w:hAnsi="Times New Roman" w:cs="Times New Roman"/>
            <w:noProof/>
            <w:webHidden/>
          </w:rPr>
          <w:instrText xml:space="preserve"> PAGEREF _Toc175413253 \h </w:instrText>
        </w:r>
        <w:r w:rsidR="00446A06" w:rsidRPr="00446A06">
          <w:rPr>
            <w:rFonts w:ascii="Times New Roman" w:hAnsi="Times New Roman" w:cs="Times New Roman"/>
            <w:noProof/>
            <w:webHidden/>
          </w:rPr>
        </w:r>
        <w:r w:rsidR="00446A06" w:rsidRPr="00446A06">
          <w:rPr>
            <w:rFonts w:ascii="Times New Roman" w:hAnsi="Times New Roman" w:cs="Times New Roman"/>
            <w:noProof/>
            <w:webHidden/>
          </w:rPr>
          <w:fldChar w:fldCharType="separate"/>
        </w:r>
        <w:r w:rsidR="0088526D">
          <w:rPr>
            <w:rFonts w:ascii="Times New Roman" w:hAnsi="Times New Roman" w:cs="Times New Roman"/>
            <w:noProof/>
            <w:webHidden/>
          </w:rPr>
          <w:t>177</w:t>
        </w:r>
        <w:r w:rsidR="00446A06" w:rsidRPr="00446A06">
          <w:rPr>
            <w:rFonts w:ascii="Times New Roman" w:hAnsi="Times New Roman" w:cs="Times New Roman"/>
            <w:noProof/>
            <w:webHidden/>
          </w:rPr>
          <w:fldChar w:fldCharType="end"/>
        </w:r>
      </w:hyperlink>
    </w:p>
    <w:p w14:paraId="3EE83512" w14:textId="6F5759DA" w:rsidR="000C6C2E" w:rsidRPr="00446A06" w:rsidRDefault="000C6C2E" w:rsidP="000C6C2E">
      <w:pPr>
        <w:rPr>
          <w:rFonts w:cs="Times New Roman"/>
          <w:b/>
          <w:bCs/>
        </w:rPr>
      </w:pPr>
      <w:r w:rsidRPr="00446A06">
        <w:rPr>
          <w:rFonts w:cs="Times New Roman"/>
          <w:b/>
          <w:bCs/>
          <w:szCs w:val="22"/>
        </w:rPr>
        <w:fldChar w:fldCharType="end"/>
      </w:r>
    </w:p>
    <w:p w14:paraId="3E575CC4" w14:textId="3533D498" w:rsidR="0028762A" w:rsidRPr="00ED5405" w:rsidRDefault="000C6C2E">
      <w:pPr>
        <w:rPr>
          <w:rFonts w:eastAsiaTheme="minorEastAsia" w:cs="Times New Roman"/>
          <w:b/>
          <w:bCs/>
        </w:rPr>
      </w:pPr>
      <w:r w:rsidRPr="00ED5405">
        <w:rPr>
          <w:rFonts w:cs="Times New Roman"/>
        </w:rPr>
        <w:br w:type="page"/>
      </w:r>
    </w:p>
    <w:p w14:paraId="3B283A7A" w14:textId="717C510A" w:rsidR="00815C24" w:rsidRDefault="00815C24" w:rsidP="0028762A">
      <w:pPr>
        <w:pStyle w:val="DissertationChapterName"/>
        <w:rPr>
          <w:rFonts w:eastAsiaTheme="minorEastAsia"/>
        </w:rPr>
      </w:pPr>
      <w:bookmarkStart w:id="5" w:name="_Toc175413110"/>
      <w:r w:rsidRPr="005164F5">
        <w:rPr>
          <w:rFonts w:eastAsiaTheme="minorEastAsia"/>
        </w:rPr>
        <w:lastRenderedPageBreak/>
        <w:t>List of Symbols/Nomenclature</w:t>
      </w:r>
      <w:bookmarkEnd w:id="5"/>
    </w:p>
    <w:p w14:paraId="0E819283" w14:textId="78005BFB" w:rsidR="004A6F95" w:rsidRPr="004A6F95" w:rsidRDefault="004A6F95" w:rsidP="004A6F95">
      <w:pPr>
        <w:spacing w:after="0"/>
        <w:rPr>
          <w:rFonts w:eastAsiaTheme="minorEastAsia" w:cs="Times New Roman"/>
          <w:b/>
          <w:bCs/>
        </w:rPr>
      </w:pPr>
    </w:p>
    <w:p w14:paraId="0100CD1F" w14:textId="63F3794E" w:rsidR="00815C24" w:rsidRDefault="00000000" w:rsidP="00815C24">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CV</m:t>
            </m:r>
          </m:e>
          <m:sub>
            <m:r>
              <w:rPr>
                <w:rFonts w:ascii="Cambria Math" w:eastAsiaTheme="minorEastAsia" w:hAnsi="Cambria Math" w:cs="Times New Roman"/>
              </w:rPr>
              <m:t>1</m:t>
            </m:r>
          </m:sub>
        </m:sSub>
      </m:oMath>
      <w:r w:rsidR="00815C24">
        <w:rPr>
          <w:rFonts w:eastAsiaTheme="minorEastAsia" w:cs="Times New Roman"/>
        </w:rPr>
        <w:tab/>
      </w:r>
      <w:r w:rsidR="00815C24">
        <w:rPr>
          <w:rFonts w:eastAsiaTheme="minorEastAsia" w:cs="Times New Roman"/>
        </w:rPr>
        <w:tab/>
      </w:r>
      <w:r w:rsidR="00815C24">
        <w:rPr>
          <w:rFonts w:eastAsiaTheme="minorEastAsia" w:cs="Times New Roman"/>
        </w:rPr>
        <w:tab/>
        <w:t>Terrorism</w:t>
      </w:r>
    </w:p>
    <w:p w14:paraId="16C9CAB2" w14:textId="77777777" w:rsidR="00815C24" w:rsidRPr="005164F5" w:rsidRDefault="00815C24" w:rsidP="00815C24">
      <w:pPr>
        <w:ind w:left="2880"/>
        <w:rPr>
          <w:rFonts w:eastAsiaTheme="minorEastAsia" w:cs="Times New Roman"/>
        </w:rPr>
      </w:pPr>
      <w:r>
        <w:rPr>
          <w:rFonts w:eastAsiaTheme="minorEastAsia" w:cs="Times New Roman"/>
        </w:rPr>
        <w:t xml:space="preserve">The number of terrorist attacks perpetrated each calendar year between January 1, 2012 and December 31, 2018 (inclusive). The values for </w:t>
      </w:r>
      <m:oMath>
        <m:sSub>
          <m:sSubPr>
            <m:ctrlPr>
              <w:rPr>
                <w:rFonts w:ascii="Cambria Math" w:eastAsiaTheme="minorEastAsia" w:hAnsi="Cambria Math" w:cs="Times New Roman"/>
                <w:i/>
              </w:rPr>
            </m:ctrlPr>
          </m:sSubPr>
          <m:e>
            <m:r>
              <w:rPr>
                <w:rFonts w:ascii="Cambria Math" w:eastAsiaTheme="minorEastAsia" w:hAnsi="Cambria Math" w:cs="Times New Roman"/>
              </w:rPr>
              <m:t>CV</m:t>
            </m:r>
          </m:e>
          <m:sub>
            <m:r>
              <w:rPr>
                <w:rFonts w:ascii="Cambria Math" w:eastAsiaTheme="minorEastAsia" w:hAnsi="Cambria Math" w:cs="Times New Roman"/>
              </w:rPr>
              <m:t>1</m:t>
            </m:r>
          </m:sub>
        </m:sSub>
      </m:oMath>
      <w:r>
        <w:rPr>
          <w:rFonts w:eastAsiaTheme="minorEastAsia" w:cs="Times New Roman"/>
        </w:rPr>
        <w:t xml:space="preserve"> are taken directly from </w:t>
      </w:r>
      <w:r w:rsidRPr="00B04143">
        <w:rPr>
          <w:rFonts w:cs="Times New Roman"/>
          <w:bCs/>
          <w:color w:val="000000" w:themeColor="text1"/>
        </w:rPr>
        <w:t xml:space="preserve">the </w:t>
      </w:r>
      <w:r w:rsidRPr="00B04143">
        <w:rPr>
          <w:rFonts w:eastAsia="Times New Roman" w:cs="Times New Roman"/>
          <w:color w:val="000000" w:themeColor="text1"/>
          <w:shd w:val="clear" w:color="auto" w:fill="FFFFFF"/>
        </w:rPr>
        <w:t>Global Terrorism Database (GTD), which defines a terrorist attack as “</w:t>
      </w:r>
      <w:r w:rsidRPr="00B04143">
        <w:rPr>
          <w:rFonts w:eastAsia="Times New Roman" w:cs="Times New Roman"/>
          <w:color w:val="000000" w:themeColor="text1"/>
          <w:bdr w:val="none" w:sz="0" w:space="0" w:color="auto" w:frame="1"/>
        </w:rPr>
        <w:t>the threatened or actual use of illegal force and violence by a non‐state actor to attain a political, economic, religious, or social goal through fear, coercion, or intimidation</w:t>
      </w:r>
      <w:r>
        <w:rPr>
          <w:rFonts w:eastAsia="Times New Roman" w:cs="Times New Roman"/>
          <w:color w:val="000000" w:themeColor="text1"/>
          <w:bdr w:val="none" w:sz="0" w:space="0" w:color="auto" w:frame="1"/>
        </w:rPr>
        <w:t>.</w:t>
      </w:r>
      <w:r w:rsidRPr="00B04143">
        <w:rPr>
          <w:rFonts w:eastAsia="Times New Roman" w:cs="Times New Roman"/>
          <w:color w:val="000000" w:themeColor="text1"/>
          <w:bdr w:val="none" w:sz="0" w:space="0" w:color="auto" w:frame="1"/>
        </w:rPr>
        <w:t>”</w:t>
      </w:r>
    </w:p>
    <w:p w14:paraId="5671DD7D" w14:textId="77777777" w:rsidR="00815C24" w:rsidRDefault="00000000" w:rsidP="00815C24">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CV</m:t>
            </m:r>
          </m:e>
          <m:sub>
            <m:r>
              <w:rPr>
                <w:rFonts w:ascii="Cambria Math" w:eastAsiaTheme="minorEastAsia" w:hAnsi="Cambria Math" w:cs="Times New Roman"/>
              </w:rPr>
              <m:t>2</m:t>
            </m:r>
          </m:sub>
        </m:sSub>
      </m:oMath>
      <w:r w:rsidR="00815C24">
        <w:rPr>
          <w:rFonts w:eastAsiaTheme="minorEastAsia" w:cs="Times New Roman"/>
        </w:rPr>
        <w:tab/>
      </w:r>
      <w:r w:rsidR="00815C24">
        <w:rPr>
          <w:rFonts w:eastAsiaTheme="minorEastAsia" w:cs="Times New Roman"/>
        </w:rPr>
        <w:tab/>
      </w:r>
      <w:r w:rsidR="00815C24">
        <w:rPr>
          <w:rFonts w:eastAsiaTheme="minorEastAsia" w:cs="Times New Roman"/>
        </w:rPr>
        <w:tab/>
        <w:t>Capability</w:t>
      </w:r>
    </w:p>
    <w:p w14:paraId="694AED0C" w14:textId="77777777" w:rsidR="00815C24" w:rsidRPr="005164F5" w:rsidRDefault="00815C24" w:rsidP="00815C24">
      <w:pPr>
        <w:rPr>
          <w:rFonts w:eastAsiaTheme="minorEastAsia" w:cs="Times New Roman"/>
        </w:rPr>
      </w:pP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The annual value of the total United Nations budget. </w:t>
      </w:r>
    </w:p>
    <w:p w14:paraId="7A74C56A" w14:textId="77777777" w:rsidR="00815C24" w:rsidRDefault="00000000" w:rsidP="00815C24">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CV</m:t>
            </m:r>
          </m:e>
          <m:sub>
            <m:r>
              <w:rPr>
                <w:rFonts w:ascii="Cambria Math" w:eastAsiaTheme="minorEastAsia" w:hAnsi="Cambria Math" w:cs="Times New Roman"/>
              </w:rPr>
              <m:t>3</m:t>
            </m:r>
          </m:sub>
        </m:sSub>
      </m:oMath>
      <w:r w:rsidR="00815C24">
        <w:rPr>
          <w:rFonts w:eastAsiaTheme="minorEastAsia" w:cs="Times New Roman"/>
        </w:rPr>
        <w:tab/>
      </w:r>
      <w:r w:rsidR="00815C24">
        <w:rPr>
          <w:rFonts w:eastAsiaTheme="minorEastAsia" w:cs="Times New Roman"/>
        </w:rPr>
        <w:tab/>
      </w:r>
      <w:r w:rsidR="00815C24">
        <w:rPr>
          <w:rFonts w:eastAsiaTheme="minorEastAsia" w:cs="Times New Roman"/>
        </w:rPr>
        <w:tab/>
        <w:t>Global Population</w:t>
      </w:r>
    </w:p>
    <w:p w14:paraId="6CC66E76" w14:textId="77777777" w:rsidR="00815C24" w:rsidRPr="002942F7" w:rsidRDefault="00815C24" w:rsidP="00815C24">
      <w:pPr>
        <w:ind w:left="2880"/>
        <w:rPr>
          <w:rFonts w:cs="Times New Roman"/>
          <w:bCs/>
          <w:color w:val="FF0000"/>
          <w:highlight w:val="green"/>
        </w:rPr>
      </w:pPr>
      <w:r>
        <w:rPr>
          <w:rFonts w:cs="Times New Roman"/>
          <w:bCs/>
          <w:color w:val="000000" w:themeColor="text1"/>
        </w:rPr>
        <w:t xml:space="preserve">The total number of people in the world, based on </w:t>
      </w:r>
      <w:r w:rsidRPr="002942F7">
        <w:rPr>
          <w:rFonts w:cs="Times New Roman"/>
          <w:bCs/>
          <w:color w:val="000000" w:themeColor="text1"/>
        </w:rPr>
        <w:t>op</w:t>
      </w:r>
      <w:r w:rsidRPr="00B04143">
        <w:rPr>
          <w:rFonts w:cs="Times New Roman"/>
          <w:bCs/>
          <w:color w:val="000000" w:themeColor="text1"/>
        </w:rPr>
        <w:t>en-source data taken from the United Nations Department of Economic and Social Affairs.</w:t>
      </w:r>
    </w:p>
    <w:p w14:paraId="1388A7EB" w14:textId="77777777" w:rsidR="00815C24" w:rsidRDefault="00000000" w:rsidP="00815C24">
      <w:pPr>
        <w:rPr>
          <w:rFonts w:eastAsiaTheme="minorEastAsia"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CV</m:t>
            </m:r>
          </m:e>
          <m:sub>
            <m:r>
              <w:rPr>
                <w:rFonts w:ascii="Cambria Math" w:eastAsiaTheme="minorEastAsia" w:hAnsi="Cambria Math" w:cs="Times New Roman"/>
              </w:rPr>
              <m:t>4</m:t>
            </m:r>
          </m:sub>
        </m:sSub>
      </m:oMath>
      <w:r w:rsidR="00815C24">
        <w:rPr>
          <w:rFonts w:eastAsiaTheme="minorEastAsia" w:cs="Times New Roman"/>
        </w:rPr>
        <w:tab/>
      </w:r>
      <w:r w:rsidR="00815C24">
        <w:rPr>
          <w:rFonts w:eastAsiaTheme="minorEastAsia" w:cs="Times New Roman"/>
        </w:rPr>
        <w:tab/>
      </w:r>
      <w:r w:rsidR="00815C24">
        <w:rPr>
          <w:rFonts w:eastAsiaTheme="minorEastAsia" w:cs="Times New Roman"/>
        </w:rPr>
        <w:tab/>
        <w:t>Income</w:t>
      </w:r>
    </w:p>
    <w:p w14:paraId="7C9EB05E" w14:textId="77777777" w:rsidR="00815C24" w:rsidRPr="002942F7" w:rsidRDefault="00815C24" w:rsidP="00815C24">
      <w:pPr>
        <w:ind w:left="2880"/>
        <w:rPr>
          <w:rFonts w:cs="Times New Roman"/>
          <w:bCs/>
          <w:color w:val="FF0000"/>
          <w:highlight w:val="green"/>
        </w:rPr>
      </w:pPr>
      <w:r>
        <w:rPr>
          <w:rFonts w:cs="Times New Roman"/>
          <w:bCs/>
          <w:color w:val="000000" w:themeColor="text1"/>
        </w:rPr>
        <w:t>Annual g</w:t>
      </w:r>
      <w:r w:rsidRPr="00B04143">
        <w:rPr>
          <w:rFonts w:cs="Times New Roman"/>
          <w:bCs/>
          <w:color w:val="000000" w:themeColor="text1"/>
        </w:rPr>
        <w:t>ross world product (GWP) statistics taken from the International Monetary Fund’s World Economic Outlook database.</w:t>
      </w:r>
      <w:r w:rsidRPr="00B04143">
        <w:rPr>
          <w:rFonts w:cs="Times New Roman"/>
          <w:bCs/>
          <w:color w:val="FF0000"/>
          <w:highlight w:val="green"/>
        </w:rPr>
        <w:t xml:space="preserve"> </w:t>
      </w:r>
    </w:p>
    <w:p w14:paraId="6EE109B8" w14:textId="454AAF2F" w:rsidR="00815C24" w:rsidRPr="008B54AD" w:rsidRDefault="00000000" w:rsidP="00815C24">
      <w:pPr>
        <w:ind w:left="2160" w:hanging="2160"/>
        <w:rPr>
          <w:rFonts w:cs="Times New Roman"/>
        </w:rPr>
      </w:pPr>
      <m:oMath>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0</m:t>
            </m:r>
          </m:sub>
        </m:sSub>
      </m:oMath>
      <w:r w:rsidR="00815C24" w:rsidRPr="00A73EF4">
        <w:rPr>
          <w:rFonts w:cs="Times New Roman"/>
          <w:i/>
          <w:iCs/>
        </w:rPr>
        <w:t xml:space="preserve"> </w:t>
      </w:r>
      <w:r w:rsidR="00815C24">
        <w:rPr>
          <w:rFonts w:cs="Times New Roman"/>
          <w:i/>
          <w:iCs/>
        </w:rPr>
        <w:tab/>
      </w:r>
      <w:r w:rsidR="00815C24" w:rsidRPr="008B54AD">
        <w:rPr>
          <w:rFonts w:cs="Times New Roman"/>
        </w:rPr>
        <w:t>International (state) legitimacy. Or, the legitimacy of the state as an international institution.</w:t>
      </w:r>
    </w:p>
    <w:p w14:paraId="4A3ED68C" w14:textId="4BB4E2DF" w:rsidR="00815C24" w:rsidRDefault="00815C24" w:rsidP="00815C24">
      <w:pPr>
        <w:ind w:left="2880"/>
        <w:rPr>
          <w:rFonts w:cs="Times New Roman"/>
          <w:color w:val="000000" w:themeColor="text1"/>
        </w:rPr>
      </w:pPr>
      <w:r w:rsidRPr="008B54AD">
        <w:rPr>
          <w:rFonts w:cs="Times New Roman"/>
        </w:rPr>
        <w:t>To calculate</w:t>
      </w:r>
      <w:r w:rsidR="00125059">
        <w:rPr>
          <w:rFonts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8B54AD">
        <w:rPr>
          <w:rFonts w:cs="Times New Roman"/>
        </w:rPr>
        <w:t xml:space="preserve">, I rely on David Beetham’s </w:t>
      </w:r>
      <w:r w:rsidRPr="008B54AD">
        <w:rPr>
          <w:rFonts w:cs="Times New Roman"/>
          <w:color w:val="000000" w:themeColor="text1"/>
        </w:rPr>
        <w:t xml:space="preserve">proposal for a tripartite understanding of legitimacy as necessarily involving three equally weighted elements: </w:t>
      </w:r>
      <w:r w:rsidRPr="008B54AD">
        <w:rPr>
          <w:rFonts w:cs="Times New Roman"/>
          <w:i/>
          <w:iCs/>
          <w:color w:val="000000" w:themeColor="text1"/>
        </w:rPr>
        <w:t>legality</w:t>
      </w:r>
      <w:r w:rsidRPr="008B54AD">
        <w:rPr>
          <w:rFonts w:cs="Times New Roman"/>
          <w:color w:val="000000" w:themeColor="text1"/>
        </w:rPr>
        <w:t xml:space="preserve">, </w:t>
      </w:r>
      <w:r w:rsidRPr="008B54AD">
        <w:rPr>
          <w:rFonts w:cs="Times New Roman"/>
          <w:i/>
          <w:iCs/>
          <w:color w:val="000000" w:themeColor="text1"/>
        </w:rPr>
        <w:t>justification</w:t>
      </w:r>
      <w:r w:rsidRPr="008B54AD">
        <w:rPr>
          <w:rFonts w:cs="Times New Roman"/>
          <w:color w:val="000000" w:themeColor="text1"/>
        </w:rPr>
        <w:t xml:space="preserve">, and </w:t>
      </w:r>
      <w:r w:rsidRPr="008B54AD">
        <w:rPr>
          <w:rFonts w:cs="Times New Roman"/>
          <w:i/>
          <w:iCs/>
          <w:color w:val="000000" w:themeColor="text1"/>
        </w:rPr>
        <w:t>consent.</w:t>
      </w:r>
      <w:r w:rsidRPr="008B54AD">
        <w:rPr>
          <w:rFonts w:cs="Times New Roman"/>
          <w:color w:val="000000" w:themeColor="text1"/>
        </w:rPr>
        <w:t xml:space="preserve"> </w:t>
      </w:r>
      <w:r w:rsidR="005B34A9" w:rsidRPr="00AF463B">
        <w:rPr>
          <w:rFonts w:cs="Times New Roman"/>
          <w:color w:val="000000" w:themeColor="text1"/>
        </w:rPr>
        <w:t xml:space="preserve">I quantify </w:t>
      </w:r>
      <w:r w:rsidR="005B34A9" w:rsidRPr="00AF463B">
        <w:rPr>
          <w:rFonts w:cs="Times New Roman"/>
          <w:i/>
          <w:iCs/>
          <w:color w:val="000000" w:themeColor="text1"/>
        </w:rPr>
        <w:t>legality</w:t>
      </w:r>
      <w:r w:rsidR="005B34A9" w:rsidRPr="00AF463B">
        <w:rPr>
          <w:rFonts w:cs="Times New Roman"/>
          <w:color w:val="000000" w:themeColor="text1"/>
        </w:rPr>
        <w:t xml:space="preserve"> based on the measurement of </w:t>
      </w:r>
      <m:oMath>
        <m:r>
          <w:rPr>
            <w:rFonts w:ascii="Cambria Math" w:hAnsi="Cambria Math" w:cs="Times New Roman"/>
            <w:color w:val="000000" w:themeColor="text1"/>
          </w:rPr>
          <m:t>P1</m:t>
        </m:r>
      </m:oMath>
      <w:r w:rsidR="005B34A9" w:rsidRPr="00AF463B">
        <w:rPr>
          <w:rFonts w:cs="Times New Roman"/>
          <w:color w:val="000000" w:themeColor="text1"/>
        </w:rPr>
        <w:t xml:space="preserve">: State Legitimacy established by the Fragile States Index (FSI). </w:t>
      </w:r>
      <w:r w:rsidR="005B34A9">
        <w:rPr>
          <w:rFonts w:cs="Times New Roman"/>
          <w:color w:val="000000" w:themeColor="text1"/>
        </w:rPr>
        <w:t>I quantify</w:t>
      </w:r>
      <w:r w:rsidR="005B34A9" w:rsidRPr="00AF463B">
        <w:rPr>
          <w:rFonts w:cs="Times New Roman"/>
          <w:color w:val="000000" w:themeColor="text1"/>
        </w:rPr>
        <w:t xml:space="preserve"> </w:t>
      </w:r>
      <w:r w:rsidR="005B34A9" w:rsidRPr="00AF463B">
        <w:rPr>
          <w:rFonts w:cs="Times New Roman"/>
          <w:i/>
          <w:iCs/>
          <w:color w:val="000000" w:themeColor="text1"/>
        </w:rPr>
        <w:t>justification</w:t>
      </w:r>
      <w:r w:rsidR="005B34A9" w:rsidRPr="00AF463B">
        <w:rPr>
          <w:rFonts w:cs="Times New Roman"/>
          <w:color w:val="000000" w:themeColor="text1"/>
        </w:rPr>
        <w:t xml:space="preserve"> </w:t>
      </w:r>
      <w:r w:rsidR="005B34A9">
        <w:rPr>
          <w:rFonts w:cs="Times New Roman"/>
          <w:color w:val="000000" w:themeColor="text1"/>
        </w:rPr>
        <w:t xml:space="preserve">based on the Rule of Law Index’s measurement of the extent to which </w:t>
      </w:r>
      <w:r w:rsidR="005B34A9" w:rsidRPr="00411513">
        <w:rPr>
          <w:rFonts w:cs="Times New Roman"/>
        </w:rPr>
        <w:t>country practice adheres to the rule of law</w:t>
      </w:r>
      <w:r w:rsidR="005B34A9">
        <w:rPr>
          <w:rFonts w:cs="Times New Roman"/>
        </w:rPr>
        <w:t xml:space="preserve"> (</w:t>
      </w:r>
      <m:oMath>
        <m:r>
          <w:rPr>
            <w:rFonts w:ascii="Cambria Math" w:hAnsi="Cambria Math" w:cs="Times New Roman"/>
          </w:rPr>
          <m:t>l</m:t>
        </m:r>
      </m:oMath>
      <w:r w:rsidR="005B34A9">
        <w:rPr>
          <w:rFonts w:cs="Times New Roman"/>
        </w:rPr>
        <w:t xml:space="preserve">). </w:t>
      </w:r>
      <w:r w:rsidRPr="008B54AD">
        <w:rPr>
          <w:rFonts w:cs="Times New Roman"/>
          <w:color w:val="000000" w:themeColor="text1"/>
        </w:rPr>
        <w:t xml:space="preserve">I quantify </w:t>
      </w:r>
      <w:r w:rsidRPr="008B54AD">
        <w:rPr>
          <w:rFonts w:cs="Times New Roman"/>
          <w:i/>
          <w:iCs/>
          <w:color w:val="000000" w:themeColor="text1"/>
        </w:rPr>
        <w:t>consent</w:t>
      </w:r>
      <w:r w:rsidRPr="008B54AD">
        <w:rPr>
          <w:rFonts w:cs="Times New Roman"/>
          <w:color w:val="000000" w:themeColor="text1"/>
        </w:rPr>
        <w:t xml:space="preserve"> based on the percentage of United Nations member states that have representatives present at each substantive vote conducted by the General Assembly in each year of my sampling frame.</w:t>
      </w:r>
    </w:p>
    <w:p w14:paraId="67B998B1" w14:textId="77777777" w:rsidR="00815C24" w:rsidRDefault="00815C24" w:rsidP="00815C24">
      <w:pPr>
        <w:ind w:left="2880"/>
        <w:rPr>
          <w:rFonts w:cs="Times New Roman"/>
        </w:rPr>
      </w:pPr>
      <w:r>
        <w:rPr>
          <w:rFonts w:cs="Times New Roman"/>
        </w:rPr>
        <w:t>Expressed as an equation, my calculation of international (state) legitimacy constitutes</w:t>
      </w:r>
    </w:p>
    <w:p w14:paraId="5623A45A" w14:textId="77777777" w:rsidR="00815C24" w:rsidRPr="004E1921" w:rsidRDefault="00000000" w:rsidP="00815C24">
      <w:pPr>
        <w:ind w:firstLine="720"/>
        <w:rPr>
          <w:rFonts w:eastAsiaTheme="minorEastAsia" w:cs="Times New Roman"/>
        </w:rPr>
      </w:pPr>
      <m:oMathPara>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r>
            <w:rPr>
              <w:rFonts w:ascii="STIX Two Math" w:hAnsi="STIX Two Math" w:cs="STIX Two Math"/>
            </w:rPr>
            <m:t>=(</m:t>
          </m:r>
          <m:r>
            <w:rPr>
              <w:rFonts w:ascii="Cambria Math" w:hAnsi="Cambria Math" w:cs="STIX Two Math"/>
            </w:rPr>
            <m:t>l×</m:t>
          </m:r>
          <m:r>
            <m:rPr>
              <m:sty m:val="p"/>
            </m:rPr>
            <w:rPr>
              <w:rFonts w:ascii="Cambria Math" w:hAnsi="Cambria Math" w:cs="STIX Two Math"/>
            </w:rPr>
            <m:t>100</m:t>
          </m:r>
          <m:r>
            <w:rPr>
              <w:rFonts w:ascii="STIX Two Math" w:hAnsi="STIX Two Math" w:cs="STIX Two Math"/>
            </w:rPr>
            <m:t>)+(</m:t>
          </m:r>
          <m:r>
            <w:rPr>
              <w:rFonts w:ascii="Cambria Math" w:hAnsi="Cambria Math" w:cs="STIX Two Math"/>
            </w:rPr>
            <m:t>P1×</m:t>
          </m:r>
          <m:r>
            <m:rPr>
              <m:sty m:val="p"/>
            </m:rPr>
            <w:rPr>
              <w:rFonts w:ascii="Cambria Math" w:hAnsi="Cambria Math" w:cs="STIX Two Math"/>
            </w:rPr>
            <m:t>10</m:t>
          </m:r>
          <m:r>
            <w:rPr>
              <w:rFonts w:ascii="STIX Two Math" w:hAnsi="STIX Two Math" w:cs="STIX Two Math"/>
            </w:rPr>
            <m:t>)+</m:t>
          </m:r>
          <m:acc>
            <m:accPr>
              <m:chr m:val="̅"/>
              <m:ctrlPr>
                <w:rPr>
                  <w:rFonts w:ascii="Cambria Math" w:hAnsi="Cambria Math" w:cs="STIX Two Math"/>
                  <w:i/>
                </w:rPr>
              </m:ctrlPr>
            </m:accPr>
            <m:e>
              <m:r>
                <w:rPr>
                  <w:rFonts w:ascii="Cambria Math" w:hAnsi="Cambria Math" w:cs="STIX Two Math"/>
                </w:rPr>
                <m:t>m</m:t>
              </m:r>
            </m:e>
          </m:acc>
        </m:oMath>
      </m:oMathPara>
    </w:p>
    <w:p w14:paraId="717DF3AD" w14:textId="17E228DE" w:rsidR="005B34A9" w:rsidRPr="005B34A9" w:rsidRDefault="005B34A9" w:rsidP="004E1921">
      <w:pPr>
        <w:ind w:left="4320" w:hanging="720"/>
        <w:rPr>
          <w:rFonts w:eastAsiaTheme="minorEastAsia" w:cs="Times New Roman"/>
        </w:rPr>
      </w:pPr>
      <m:oMath>
        <m:r>
          <w:rPr>
            <w:rFonts w:ascii="Cambria Math" w:eastAsiaTheme="minorEastAsia" w:hAnsi="Cambria Math" w:cs="Times New Roman"/>
          </w:rPr>
          <m:t>l</m:t>
        </m:r>
      </m:oMath>
      <w:r>
        <w:rPr>
          <w:rFonts w:eastAsiaTheme="minorEastAsia" w:cs="Times New Roman"/>
        </w:rPr>
        <w:t>:</w:t>
      </w:r>
      <w:r>
        <w:rPr>
          <w:rFonts w:eastAsiaTheme="minorEastAsia" w:cs="Times New Roman"/>
        </w:rPr>
        <w:tab/>
      </w:r>
      <w:r w:rsidRPr="00411513">
        <w:rPr>
          <w:rFonts w:cs="Times New Roman"/>
        </w:rPr>
        <w:t xml:space="preserve">The </w:t>
      </w:r>
      <w:r>
        <w:rPr>
          <w:rFonts w:cs="Times New Roman"/>
        </w:rPr>
        <w:t>Rule of Law Index’s</w:t>
      </w:r>
      <w:r w:rsidRPr="00411513">
        <w:rPr>
          <w:rFonts w:cs="Times New Roman"/>
        </w:rPr>
        <w:t xml:space="preserve"> measure</w:t>
      </w:r>
      <w:r>
        <w:rPr>
          <w:rFonts w:cs="Times New Roman"/>
        </w:rPr>
        <w:t>ment of</w:t>
      </w:r>
      <w:r w:rsidRPr="00411513">
        <w:rPr>
          <w:rFonts w:cs="Times New Roman"/>
        </w:rPr>
        <w:t xml:space="preserve"> the extent to which country practice adheres to the rule of law</w:t>
      </w:r>
      <w:r>
        <w:rPr>
          <w:rFonts w:cs="Times New Roman"/>
        </w:rPr>
        <w:t>.</w:t>
      </w:r>
    </w:p>
    <w:p w14:paraId="2F72A48B" w14:textId="7570551B" w:rsidR="004E1921" w:rsidRDefault="004E1921" w:rsidP="004E1921">
      <w:pPr>
        <w:ind w:left="4320" w:hanging="720"/>
        <w:rPr>
          <w:rFonts w:eastAsiaTheme="minorEastAsia" w:cs="Times New Roman"/>
        </w:rPr>
      </w:pPr>
      <m:oMath>
        <m:r>
          <w:rPr>
            <w:rFonts w:ascii="Cambria Math" w:eastAsiaTheme="minorEastAsia" w:hAnsi="Cambria Math" w:cs="Times New Roman"/>
          </w:rPr>
          <m:t>P1</m:t>
        </m:r>
      </m:oMath>
      <w:r>
        <w:rPr>
          <w:rFonts w:eastAsiaTheme="minorEastAsia" w:cs="Times New Roman"/>
        </w:rPr>
        <w:t>:</w:t>
      </w:r>
      <w:r>
        <w:rPr>
          <w:rFonts w:eastAsiaTheme="minorEastAsia" w:cs="Times New Roman"/>
        </w:rPr>
        <w:tab/>
        <w:t>The measurement of State Legitimacy established by the Fragile States Index (FSI).</w:t>
      </w:r>
    </w:p>
    <w:p w14:paraId="3064F9AC" w14:textId="64D6AF14" w:rsidR="00815C24" w:rsidRPr="007A14CE" w:rsidRDefault="00000000" w:rsidP="007A14CE">
      <w:pPr>
        <w:ind w:left="4320" w:hanging="720"/>
        <w:rPr>
          <w:rFonts w:cs="Times New Roman"/>
        </w:rPr>
      </w:pPr>
      <m:oMath>
        <m:acc>
          <m:accPr>
            <m:chr m:val="̅"/>
            <m:ctrlPr>
              <w:rPr>
                <w:rFonts w:ascii="Cambria Math" w:hAnsi="Cambria Math" w:cs="STIX Two Math"/>
                <w:i/>
              </w:rPr>
            </m:ctrlPr>
          </m:accPr>
          <m:e>
            <m:r>
              <w:rPr>
                <w:rFonts w:ascii="Cambria Math" w:hAnsi="Cambria Math" w:cs="STIX Two Math"/>
              </w:rPr>
              <m:t>m</m:t>
            </m:r>
          </m:e>
        </m:acc>
      </m:oMath>
      <w:r w:rsidR="004E1921">
        <w:rPr>
          <w:rFonts w:eastAsiaTheme="minorEastAsia" w:cs="Times New Roman"/>
        </w:rPr>
        <w:t>:</w:t>
      </w:r>
      <w:r w:rsidR="004E1921">
        <w:rPr>
          <w:rFonts w:eastAsiaTheme="minorEastAsia" w:cs="Times New Roman"/>
        </w:rPr>
        <w:tab/>
      </w:r>
      <w:r w:rsidR="005B34A9">
        <w:rPr>
          <w:rFonts w:eastAsiaTheme="minorEastAsia" w:cs="Times New Roman"/>
        </w:rPr>
        <w:t>The mean (average) percentage of United Nations member states that had representatives present at substantive votes conducted by the United Nations General Assembly in a given calendar year.</w:t>
      </w:r>
    </w:p>
    <w:p w14:paraId="2CCB0152" w14:textId="77777777" w:rsidR="00815C24" w:rsidRPr="005164F5" w:rsidRDefault="00815C24" w:rsidP="00815C24">
      <w:pPr>
        <w:rPr>
          <w:rFonts w:eastAsiaTheme="minorEastAsia" w:cs="Times New Roman"/>
        </w:rPr>
      </w:pPr>
      <m:oMath>
        <m:r>
          <w:rPr>
            <w:rFonts w:ascii="Cambria Math" w:eastAsiaTheme="minorEastAsia" w:hAnsi="Cambria Math" w:cs="Times New Roman"/>
          </w:rPr>
          <m:t>df</m:t>
        </m:r>
      </m:oMath>
      <w:r w:rsidRPr="005164F5">
        <w:rPr>
          <w:rFonts w:eastAsiaTheme="minorEastAsia" w:cs="Times New Roman"/>
        </w:rPr>
        <w:tab/>
      </w:r>
      <w:r>
        <w:rPr>
          <w:rFonts w:eastAsiaTheme="minorEastAsia" w:cs="Times New Roman"/>
        </w:rPr>
        <w:tab/>
      </w:r>
      <w:r>
        <w:rPr>
          <w:rFonts w:eastAsiaTheme="minorEastAsia" w:cs="Times New Roman"/>
        </w:rPr>
        <w:tab/>
      </w:r>
      <w:r w:rsidRPr="005164F5">
        <w:rPr>
          <w:rFonts w:eastAsiaTheme="minorEastAsia" w:cs="Times New Roman"/>
        </w:rPr>
        <w:t>Degrees of freedom</w:t>
      </w:r>
    </w:p>
    <w:p w14:paraId="02FE655C" w14:textId="77777777" w:rsidR="00815C24" w:rsidRPr="005164F5" w:rsidRDefault="00815C24" w:rsidP="00815C24">
      <w:pPr>
        <w:rPr>
          <w:rFonts w:eastAsiaTheme="minorEastAsia" w:cs="Times New Roman"/>
        </w:rPr>
      </w:pPr>
      <m:oMath>
        <m:r>
          <w:rPr>
            <w:rFonts w:ascii="Cambria Math" w:eastAsiaTheme="minorEastAsia" w:hAnsi="Cambria Math" w:cs="Times New Roman"/>
          </w:rPr>
          <w:lastRenderedPageBreak/>
          <m:t>F</m:t>
        </m:r>
      </m:oMath>
      <w:r>
        <w:rPr>
          <w:rFonts w:eastAsiaTheme="minorEastAsia" w:cs="Times New Roman"/>
        </w:rPr>
        <w:tab/>
      </w:r>
      <w:r>
        <w:rPr>
          <w:rFonts w:eastAsiaTheme="minorEastAsia" w:cs="Times New Roman"/>
        </w:rPr>
        <w:tab/>
      </w:r>
      <w:r>
        <w:rPr>
          <w:rFonts w:eastAsiaTheme="minorEastAsia" w:cs="Times New Roman"/>
        </w:rPr>
        <w:tab/>
        <w:t>Goodness of fit (of a regression equation)</w:t>
      </w:r>
    </w:p>
    <w:p w14:paraId="7483213B" w14:textId="77777777" w:rsidR="00815C24" w:rsidRPr="005164F5" w:rsidRDefault="00815C24" w:rsidP="00815C24">
      <w:pPr>
        <w:rPr>
          <w:rFonts w:cs="Times New Roman"/>
        </w:rPr>
      </w:pPr>
      <m:oMath>
        <m:r>
          <w:rPr>
            <w:rFonts w:ascii="Cambria Math" w:hAnsi="Cambria Math" w:cs="Times New Roman"/>
          </w:rPr>
          <m:t>H</m:t>
        </m:r>
      </m:oMath>
      <w:r w:rsidRPr="005164F5">
        <w:rPr>
          <w:rFonts w:cs="Times New Roman"/>
        </w:rPr>
        <w:tab/>
      </w:r>
      <w:r>
        <w:rPr>
          <w:rFonts w:cs="Times New Roman"/>
        </w:rPr>
        <w:tab/>
      </w:r>
      <w:r>
        <w:rPr>
          <w:rFonts w:cs="Times New Roman"/>
        </w:rPr>
        <w:tab/>
      </w:r>
      <w:r w:rsidRPr="005164F5">
        <w:rPr>
          <w:rFonts w:cs="Times New Roman"/>
        </w:rPr>
        <w:t>Hypothesis</w:t>
      </w:r>
    </w:p>
    <w:p w14:paraId="659ED815" w14:textId="77777777" w:rsidR="00815C24" w:rsidRPr="005164F5" w:rsidRDefault="00000000" w:rsidP="00815C24">
      <w:pPr>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815C24" w:rsidRPr="005164F5">
        <w:rPr>
          <w:rFonts w:cs="Times New Roman"/>
        </w:rPr>
        <w:tab/>
      </w:r>
      <w:r w:rsidR="00815C24">
        <w:rPr>
          <w:rFonts w:cs="Times New Roman"/>
        </w:rPr>
        <w:tab/>
      </w:r>
      <w:r w:rsidR="00815C24">
        <w:rPr>
          <w:rFonts w:cs="Times New Roman"/>
        </w:rPr>
        <w:tab/>
      </w:r>
      <w:r w:rsidR="00815C24" w:rsidRPr="00F33522">
        <w:rPr>
          <w:rFonts w:cs="Times New Roman"/>
        </w:rPr>
        <w:t>Terrorism ‘succeeds’ by negatively affecting state legitimacy</w:t>
      </w:r>
      <w:r w:rsidR="00815C24">
        <w:rPr>
          <w:rFonts w:cs="Times New Roman"/>
        </w:rPr>
        <w:t>.</w:t>
      </w:r>
    </w:p>
    <w:p w14:paraId="19D493F1" w14:textId="77777777" w:rsidR="00815C24" w:rsidRPr="005164F5" w:rsidRDefault="00000000" w:rsidP="00815C24">
      <w:pPr>
        <w:ind w:left="2160" w:hanging="2160"/>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oMath>
      <w:r w:rsidR="00815C24" w:rsidRPr="005164F5">
        <w:rPr>
          <w:rFonts w:cs="Times New Roman"/>
        </w:rPr>
        <w:tab/>
      </w:r>
      <w:r w:rsidR="00815C24" w:rsidRPr="00F33522">
        <w:rPr>
          <w:rFonts w:cs="Times New Roman"/>
        </w:rPr>
        <w:t xml:space="preserve">Terrorism negatively affects state legitimacy because media coverage of terrorism frames the threat that terrorism poses in a way that confers status on and amplifies its legitimacy claims and demands for authority, territoriality and/or statehood. </w:t>
      </w:r>
    </w:p>
    <w:p w14:paraId="0B3C5720" w14:textId="6E0700FE" w:rsidR="00815C24" w:rsidRPr="008B54AD" w:rsidRDefault="00000000" w:rsidP="00826D18">
      <w:pPr>
        <w:spacing w:after="240"/>
        <w:ind w:left="2160" w:hanging="2160"/>
        <w:rPr>
          <w:rFonts w:cs="Times New Roman"/>
        </w:rPr>
      </w:pP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0</m:t>
            </m:r>
          </m:sub>
        </m:sSub>
      </m:oMath>
      <w:r w:rsidR="00815C24" w:rsidRPr="00A73EF4">
        <w:rPr>
          <w:rFonts w:cs="Times New Roman"/>
          <w:i/>
          <w:iCs/>
        </w:rPr>
        <w:t xml:space="preserve">: </w:t>
      </w:r>
      <w:r w:rsidR="00826D18">
        <w:rPr>
          <w:rFonts w:cs="Times New Roman"/>
          <w:i/>
          <w:iCs/>
        </w:rPr>
        <w:tab/>
      </w:r>
      <w:r w:rsidR="00815C24" w:rsidRPr="008B54AD">
        <w:rPr>
          <w:rFonts w:cs="Times New Roman"/>
          <w:color w:val="000000" w:themeColor="text1"/>
        </w:rPr>
        <w:t>An aggregate measure of media coverage of terrorism comprised of three subsets:</w:t>
      </w:r>
    </w:p>
    <w:p w14:paraId="24E7208C" w14:textId="29FC9A13" w:rsidR="00815C24" w:rsidRPr="008B54AD" w:rsidRDefault="00000000" w:rsidP="00826D18">
      <w:pPr>
        <w:spacing w:after="240"/>
        <w:ind w:left="1440" w:firstLine="720"/>
        <w:rPr>
          <w:rFonts w:cs="Times New Roman"/>
        </w:rPr>
      </w:pP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1</m:t>
            </m:r>
          </m:sub>
        </m:sSub>
      </m:oMath>
      <w:r w:rsidR="00815C24" w:rsidRPr="00A73EF4">
        <w:rPr>
          <w:rFonts w:cs="Times New Roman"/>
          <w:i/>
          <w:iCs/>
        </w:rPr>
        <w:t>:</w:t>
      </w:r>
      <w:r w:rsidR="00815C24" w:rsidRPr="008B54AD">
        <w:rPr>
          <w:rFonts w:cs="Times New Roman"/>
          <w:b/>
          <w:bCs/>
        </w:rPr>
        <w:t xml:space="preserve"> </w:t>
      </w:r>
      <w:r w:rsidR="00815C24">
        <w:rPr>
          <w:rFonts w:cs="Times New Roman"/>
          <w:b/>
          <w:bCs/>
        </w:rPr>
        <w:tab/>
      </w:r>
      <w:r w:rsidR="00815C24" w:rsidRPr="008B54AD">
        <w:rPr>
          <w:rFonts w:cs="Times New Roman"/>
        </w:rPr>
        <w:t xml:space="preserve">Media coverage of terrorism produced by </w:t>
      </w:r>
      <w:r w:rsidR="00815C24" w:rsidRPr="008B54AD">
        <w:rPr>
          <w:rFonts w:cs="Times New Roman"/>
          <w:i/>
          <w:iCs/>
        </w:rPr>
        <w:t>Reuters</w:t>
      </w:r>
      <w:r w:rsidR="00815C24" w:rsidRPr="008B54AD">
        <w:rPr>
          <w:rFonts w:cs="Times New Roman"/>
        </w:rPr>
        <w:t xml:space="preserve">. </w:t>
      </w:r>
    </w:p>
    <w:p w14:paraId="51D85DFF" w14:textId="6B7AB64B" w:rsidR="00815C24" w:rsidRPr="008B54AD" w:rsidRDefault="00815C24" w:rsidP="00826D18">
      <w:pPr>
        <w:spacing w:after="240"/>
        <w:ind w:left="3600"/>
        <w:rPr>
          <w:rFonts w:cs="Times New Roman"/>
        </w:rPr>
      </w:pPr>
      <w:r w:rsidRPr="008B54AD">
        <w:rPr>
          <w:rFonts w:cs="Times New Roman"/>
        </w:rPr>
        <w:t>To calculate</w:t>
      </w:r>
      <w:r w:rsidR="0012505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8B54AD">
        <w:rPr>
          <w:rFonts w:cs="Times New Roman"/>
        </w:rPr>
        <w:t xml:space="preserve">, I used the Dow Jones Factiva Service (DJFS) to conduct keyword searches for “terror,” “terrorist,” “terrorists,” and “terrorism,” on its records of media coverage produced by </w:t>
      </w:r>
      <w:r w:rsidRPr="008B54AD">
        <w:rPr>
          <w:rFonts w:cs="Times New Roman"/>
          <w:i/>
          <w:iCs/>
        </w:rPr>
        <w:t xml:space="preserve">Reuters </w:t>
      </w:r>
      <w:r w:rsidRPr="008B54AD">
        <w:rPr>
          <w:rFonts w:cs="Times New Roman"/>
        </w:rPr>
        <w:t xml:space="preserve">between </w:t>
      </w:r>
      <w:r>
        <w:rPr>
          <w:rFonts w:cs="Times New Roman"/>
        </w:rPr>
        <w:t xml:space="preserve">January 1, </w:t>
      </w:r>
      <w:r w:rsidRPr="008B54AD">
        <w:rPr>
          <w:rFonts w:cs="Times New Roman"/>
        </w:rPr>
        <w:t xml:space="preserve">2012 and </w:t>
      </w:r>
      <w:r>
        <w:rPr>
          <w:rFonts w:cs="Times New Roman"/>
        </w:rPr>
        <w:t xml:space="preserve">December 31, </w:t>
      </w:r>
      <w:r w:rsidRPr="008B54AD">
        <w:rPr>
          <w:rFonts w:cs="Times New Roman"/>
        </w:rPr>
        <w:t>2018</w:t>
      </w:r>
      <w:r>
        <w:rPr>
          <w:rFonts w:cs="Times New Roman"/>
        </w:rPr>
        <w:t xml:space="preserve"> (inclusive)</w:t>
      </w:r>
      <w:r w:rsidRPr="008B54AD">
        <w:rPr>
          <w:rFonts w:cs="Times New Roman"/>
        </w:rPr>
        <w:t xml:space="preserve">. I then enumerated the number of </w:t>
      </w:r>
      <w:r w:rsidR="00F74D09">
        <w:rPr>
          <w:rFonts w:cs="Times New Roman"/>
        </w:rPr>
        <w:t>media</w:t>
      </w:r>
      <w:r w:rsidRPr="008B54AD">
        <w:rPr>
          <w:rFonts w:cs="Times New Roman"/>
        </w:rPr>
        <w:t xml:space="preserve"> bulletins containing at least one of these keywords published on each day of my sampling frame, and calculated the frequency of </w:t>
      </w:r>
      <w:r w:rsidRPr="008B54AD">
        <w:rPr>
          <w:rFonts w:cs="Times New Roman"/>
          <w:i/>
          <w:iCs/>
        </w:rPr>
        <w:t>Reuters’</w:t>
      </w:r>
      <w:r w:rsidRPr="008B54AD">
        <w:rPr>
          <w:rFonts w:cs="Times New Roman"/>
        </w:rPr>
        <w:t xml:space="preserve"> media coverage of terrorism by comparing the resulting statistic to the total number of </w:t>
      </w:r>
      <w:r w:rsidR="00F74D09">
        <w:rPr>
          <w:rFonts w:cs="Times New Roman"/>
        </w:rPr>
        <w:t>media</w:t>
      </w:r>
      <w:r w:rsidRPr="008B54AD">
        <w:rPr>
          <w:rFonts w:cs="Times New Roman"/>
        </w:rPr>
        <w:t xml:space="preserve"> bulletins produced by </w:t>
      </w:r>
      <w:r w:rsidRPr="008B54AD">
        <w:rPr>
          <w:rFonts w:cs="Times New Roman"/>
          <w:i/>
          <w:iCs/>
        </w:rPr>
        <w:t>Reuters</w:t>
      </w:r>
      <w:r w:rsidRPr="008B54AD">
        <w:rPr>
          <w:rFonts w:cs="Times New Roman"/>
        </w:rPr>
        <w:t xml:space="preserve"> each day.</w:t>
      </w:r>
    </w:p>
    <w:p w14:paraId="749ACFE2" w14:textId="6FB62E56" w:rsidR="00815C24" w:rsidRPr="008B54AD" w:rsidRDefault="00000000" w:rsidP="00826D18">
      <w:pPr>
        <w:spacing w:after="240"/>
        <w:ind w:left="2160"/>
        <w:rPr>
          <w:rFonts w:cs="Times New Roman"/>
        </w:rPr>
      </w:pP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2</m:t>
            </m:r>
          </m:sub>
        </m:sSub>
      </m:oMath>
      <w:r w:rsidR="00815C24" w:rsidRPr="00A73EF4">
        <w:rPr>
          <w:rFonts w:cs="Times New Roman"/>
          <w:i/>
          <w:iCs/>
        </w:rPr>
        <w:t>:</w:t>
      </w:r>
      <w:r w:rsidR="00815C24" w:rsidRPr="008B54AD">
        <w:rPr>
          <w:rFonts w:cs="Times New Roman"/>
        </w:rPr>
        <w:t xml:space="preserve"> </w:t>
      </w:r>
      <w:r w:rsidR="00815C24">
        <w:rPr>
          <w:rFonts w:cs="Times New Roman"/>
        </w:rPr>
        <w:tab/>
      </w:r>
      <w:r w:rsidR="00815C24" w:rsidRPr="008B54AD">
        <w:rPr>
          <w:rFonts w:cs="Times New Roman"/>
        </w:rPr>
        <w:t xml:space="preserve">Media coverage of terrorism produced by the </w:t>
      </w:r>
      <w:r w:rsidR="00815C24" w:rsidRPr="008B54AD">
        <w:rPr>
          <w:rFonts w:cs="Times New Roman"/>
          <w:i/>
          <w:iCs/>
        </w:rPr>
        <w:t>Associated Press</w:t>
      </w:r>
      <w:r w:rsidR="00815C24" w:rsidRPr="008B54AD">
        <w:rPr>
          <w:rFonts w:cs="Times New Roman"/>
        </w:rPr>
        <w:t xml:space="preserve"> (AP).</w:t>
      </w:r>
    </w:p>
    <w:p w14:paraId="7225FF8B" w14:textId="0D1F96FB" w:rsidR="00815C24" w:rsidRPr="008B54AD" w:rsidRDefault="00815C24" w:rsidP="00826D18">
      <w:pPr>
        <w:spacing w:after="240"/>
        <w:ind w:left="3600"/>
        <w:rPr>
          <w:rFonts w:cs="Times New Roman"/>
        </w:rPr>
      </w:pPr>
      <w:r w:rsidRPr="008B54AD">
        <w:rPr>
          <w:rFonts w:cs="Times New Roman"/>
        </w:rPr>
        <w:t>To calculate</w:t>
      </w:r>
      <w:r w:rsidR="0012505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8B54AD">
        <w:rPr>
          <w:rFonts w:cs="Times New Roman"/>
        </w:rPr>
        <w:t>, I conduct</w:t>
      </w:r>
      <w:r>
        <w:rPr>
          <w:rFonts w:cs="Times New Roman"/>
        </w:rPr>
        <w:t>ed</w:t>
      </w:r>
      <w:r w:rsidRPr="008B54AD">
        <w:rPr>
          <w:rFonts w:cs="Times New Roman"/>
        </w:rPr>
        <w:t xml:space="preserve"> keyword searches for “terror,” “terrorist,” “terrorists,” and “terrorism,” on </w:t>
      </w:r>
      <w:r>
        <w:rPr>
          <w:rFonts w:cs="Times New Roman"/>
        </w:rPr>
        <w:t xml:space="preserve">the </w:t>
      </w:r>
      <w:proofErr w:type="spellStart"/>
      <w:r>
        <w:rPr>
          <w:rFonts w:cs="Times New Roman"/>
        </w:rPr>
        <w:t>NexisUni</w:t>
      </w:r>
      <w:proofErr w:type="spellEnd"/>
      <w:r>
        <w:rPr>
          <w:rFonts w:cs="Times New Roman"/>
        </w:rPr>
        <w:t xml:space="preserve"> database’s</w:t>
      </w:r>
      <w:r w:rsidRPr="008B54AD">
        <w:rPr>
          <w:rFonts w:cs="Times New Roman"/>
        </w:rPr>
        <w:t xml:space="preserve"> records of media coverage produced by the </w:t>
      </w:r>
      <w:r w:rsidRPr="008B54AD">
        <w:rPr>
          <w:rFonts w:cs="Times New Roman"/>
          <w:i/>
          <w:iCs/>
        </w:rPr>
        <w:t xml:space="preserve">AP </w:t>
      </w:r>
      <w:r w:rsidRPr="008B54AD">
        <w:rPr>
          <w:rFonts w:cs="Times New Roman"/>
        </w:rPr>
        <w:t xml:space="preserve">between </w:t>
      </w:r>
      <w:r>
        <w:rPr>
          <w:rFonts w:cs="Times New Roman"/>
        </w:rPr>
        <w:t xml:space="preserve">January 1, </w:t>
      </w:r>
      <w:r w:rsidRPr="008B54AD">
        <w:rPr>
          <w:rFonts w:cs="Times New Roman"/>
        </w:rPr>
        <w:t xml:space="preserve">2012 and </w:t>
      </w:r>
      <w:r>
        <w:rPr>
          <w:rFonts w:cs="Times New Roman"/>
        </w:rPr>
        <w:t xml:space="preserve">December 31, </w:t>
      </w:r>
      <w:r w:rsidRPr="008B54AD">
        <w:rPr>
          <w:rFonts w:cs="Times New Roman"/>
        </w:rPr>
        <w:t>2018</w:t>
      </w:r>
      <w:r>
        <w:rPr>
          <w:rFonts w:cs="Times New Roman"/>
        </w:rPr>
        <w:t xml:space="preserve"> (inclusive)</w:t>
      </w:r>
      <w:r w:rsidRPr="008B54AD">
        <w:rPr>
          <w:rFonts w:cs="Times New Roman"/>
        </w:rPr>
        <w:t xml:space="preserve">. I then enumerated the number of </w:t>
      </w:r>
      <w:r w:rsidR="00F74D09">
        <w:rPr>
          <w:rFonts w:cs="Times New Roman"/>
        </w:rPr>
        <w:t>media</w:t>
      </w:r>
      <w:r w:rsidRPr="008B54AD">
        <w:rPr>
          <w:rFonts w:cs="Times New Roman"/>
        </w:rPr>
        <w:t xml:space="preserve"> bulletins containing at least one of these keywords published on each day of my sampling frame, and calculated the frequency of the </w:t>
      </w:r>
      <w:r w:rsidRPr="008B54AD">
        <w:rPr>
          <w:rFonts w:cs="Times New Roman"/>
          <w:i/>
          <w:iCs/>
        </w:rPr>
        <w:t>AP</w:t>
      </w:r>
      <w:r w:rsidRPr="008B54AD">
        <w:rPr>
          <w:rFonts w:cs="Times New Roman"/>
        </w:rPr>
        <w:t xml:space="preserve">’s media coverage of terrorism by comparing the resulting statistic to the total number of </w:t>
      </w:r>
      <w:r w:rsidR="00F74D09">
        <w:rPr>
          <w:rFonts w:cs="Times New Roman"/>
        </w:rPr>
        <w:t>media</w:t>
      </w:r>
      <w:r w:rsidRPr="008B54AD">
        <w:rPr>
          <w:rFonts w:cs="Times New Roman"/>
        </w:rPr>
        <w:t xml:space="preserve"> bulletins produced by the </w:t>
      </w:r>
      <w:r w:rsidRPr="008B54AD">
        <w:rPr>
          <w:rFonts w:cs="Times New Roman"/>
          <w:i/>
          <w:iCs/>
        </w:rPr>
        <w:t xml:space="preserve">AP </w:t>
      </w:r>
      <w:r w:rsidRPr="008B54AD">
        <w:rPr>
          <w:rFonts w:cs="Times New Roman"/>
        </w:rPr>
        <w:t>each day.</w:t>
      </w:r>
    </w:p>
    <w:p w14:paraId="36C96DCF" w14:textId="3A6BF3A2" w:rsidR="00815C24" w:rsidRPr="008B54AD" w:rsidRDefault="00000000" w:rsidP="00826D18">
      <w:pPr>
        <w:spacing w:after="240"/>
        <w:ind w:left="2160"/>
        <w:rPr>
          <w:rFonts w:cs="Times New Roman"/>
        </w:rPr>
      </w:pP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3</m:t>
            </m:r>
          </m:sub>
        </m:sSub>
      </m:oMath>
      <w:r w:rsidR="00815C24" w:rsidRPr="00A73EF4">
        <w:rPr>
          <w:rFonts w:cs="Times New Roman"/>
          <w:i/>
          <w:iCs/>
        </w:rPr>
        <w:t>:</w:t>
      </w:r>
      <w:r w:rsidR="00815C24" w:rsidRPr="008B54AD">
        <w:rPr>
          <w:rFonts w:cs="Times New Roman"/>
        </w:rPr>
        <w:t xml:space="preserve"> </w:t>
      </w:r>
      <w:r w:rsidR="00815C24">
        <w:rPr>
          <w:rFonts w:cs="Times New Roman"/>
        </w:rPr>
        <w:tab/>
      </w:r>
      <w:r w:rsidR="00815C24" w:rsidRPr="008B54AD">
        <w:rPr>
          <w:rFonts w:cs="Times New Roman"/>
        </w:rPr>
        <w:t xml:space="preserve">Media coverage of terrorism produced by </w:t>
      </w:r>
      <w:proofErr w:type="spellStart"/>
      <w:r w:rsidR="00815C24" w:rsidRPr="008B54AD">
        <w:rPr>
          <w:rFonts w:cs="Times New Roman"/>
          <w:i/>
          <w:iCs/>
        </w:rPr>
        <w:t>Agence</w:t>
      </w:r>
      <w:proofErr w:type="spellEnd"/>
      <w:r w:rsidR="00815C24" w:rsidRPr="008B54AD">
        <w:rPr>
          <w:rFonts w:cs="Times New Roman"/>
          <w:i/>
          <w:iCs/>
        </w:rPr>
        <w:t xml:space="preserve"> France-Presse</w:t>
      </w:r>
      <w:r w:rsidR="00815C24" w:rsidRPr="008B54AD">
        <w:rPr>
          <w:rFonts w:cs="Times New Roman"/>
        </w:rPr>
        <w:t xml:space="preserve"> (AFP).</w:t>
      </w:r>
    </w:p>
    <w:p w14:paraId="688670D8" w14:textId="5BECEF46" w:rsidR="00815C24" w:rsidRPr="008B54AD" w:rsidRDefault="00815C24" w:rsidP="00826D18">
      <w:pPr>
        <w:spacing w:after="240"/>
        <w:ind w:left="3600"/>
        <w:rPr>
          <w:rFonts w:cs="Times New Roman"/>
        </w:rPr>
      </w:pPr>
      <w:r w:rsidRPr="008B54AD">
        <w:rPr>
          <w:rFonts w:cs="Times New Roman"/>
        </w:rPr>
        <w:t>To calculate</w:t>
      </w:r>
      <w:r w:rsidR="0012505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8B54AD">
        <w:rPr>
          <w:rFonts w:cs="Times New Roman"/>
        </w:rPr>
        <w:t xml:space="preserve">, I </w:t>
      </w:r>
      <w:r>
        <w:rPr>
          <w:rFonts w:cs="Times New Roman"/>
        </w:rPr>
        <w:t>conducted</w:t>
      </w:r>
      <w:r w:rsidRPr="008B54AD">
        <w:rPr>
          <w:rFonts w:cs="Times New Roman"/>
        </w:rPr>
        <w:t xml:space="preserve"> keyword searches for “terror,” “terrorist,” “terrorists,” and “terrorism,” on </w:t>
      </w:r>
      <w:r>
        <w:rPr>
          <w:rFonts w:cs="Times New Roman"/>
        </w:rPr>
        <w:t xml:space="preserve">the </w:t>
      </w:r>
      <w:proofErr w:type="spellStart"/>
      <w:r>
        <w:rPr>
          <w:rFonts w:cs="Times New Roman"/>
        </w:rPr>
        <w:t>NesixUni</w:t>
      </w:r>
      <w:proofErr w:type="spellEnd"/>
      <w:r>
        <w:rPr>
          <w:rFonts w:cs="Times New Roman"/>
        </w:rPr>
        <w:t xml:space="preserve"> database’s</w:t>
      </w:r>
      <w:r w:rsidRPr="008B54AD">
        <w:rPr>
          <w:rFonts w:cs="Times New Roman"/>
        </w:rPr>
        <w:t xml:space="preserve"> records of English-language media coverage produced by </w:t>
      </w:r>
      <w:r w:rsidRPr="008B54AD">
        <w:rPr>
          <w:rFonts w:cs="Times New Roman"/>
          <w:i/>
          <w:iCs/>
        </w:rPr>
        <w:t xml:space="preserve">AFP </w:t>
      </w:r>
      <w:r w:rsidRPr="008B54AD">
        <w:rPr>
          <w:rFonts w:cs="Times New Roman"/>
        </w:rPr>
        <w:t xml:space="preserve">between </w:t>
      </w:r>
      <w:r>
        <w:rPr>
          <w:rFonts w:cs="Times New Roman"/>
        </w:rPr>
        <w:t xml:space="preserve">January 1, </w:t>
      </w:r>
      <w:r w:rsidRPr="008B54AD">
        <w:rPr>
          <w:rFonts w:cs="Times New Roman"/>
        </w:rPr>
        <w:t xml:space="preserve">2012 and </w:t>
      </w:r>
      <w:r>
        <w:rPr>
          <w:rFonts w:cs="Times New Roman"/>
        </w:rPr>
        <w:t xml:space="preserve">December 31, </w:t>
      </w:r>
      <w:r w:rsidRPr="008B54AD">
        <w:rPr>
          <w:rFonts w:cs="Times New Roman"/>
        </w:rPr>
        <w:t>2018</w:t>
      </w:r>
      <w:r>
        <w:rPr>
          <w:rFonts w:cs="Times New Roman"/>
        </w:rPr>
        <w:t xml:space="preserve"> (inclusive)</w:t>
      </w:r>
      <w:r w:rsidRPr="008B54AD">
        <w:rPr>
          <w:rFonts w:cs="Times New Roman"/>
        </w:rPr>
        <w:t xml:space="preserve">. I then enumerated the number of </w:t>
      </w:r>
      <w:r w:rsidR="00F74D09">
        <w:rPr>
          <w:rFonts w:cs="Times New Roman"/>
        </w:rPr>
        <w:t>media</w:t>
      </w:r>
      <w:r w:rsidRPr="008B54AD">
        <w:rPr>
          <w:rFonts w:cs="Times New Roman"/>
        </w:rPr>
        <w:t xml:space="preserve"> bulletins containing at least one of these keywords published on each day of my sampling frame, and calculated the frequency of </w:t>
      </w:r>
      <w:r w:rsidRPr="008B54AD">
        <w:rPr>
          <w:rFonts w:cs="Times New Roman"/>
          <w:i/>
          <w:iCs/>
        </w:rPr>
        <w:t>AFP</w:t>
      </w:r>
      <w:r w:rsidRPr="008B54AD">
        <w:rPr>
          <w:rFonts w:cs="Times New Roman"/>
        </w:rPr>
        <w:t xml:space="preserve">’s English-language media coverage of terrorism by comparing the resulting statistic to the total number of English-language </w:t>
      </w:r>
      <w:r w:rsidR="00F74D09">
        <w:rPr>
          <w:rFonts w:cs="Times New Roman"/>
        </w:rPr>
        <w:t>media</w:t>
      </w:r>
      <w:r w:rsidRPr="008B54AD">
        <w:rPr>
          <w:rFonts w:cs="Times New Roman"/>
        </w:rPr>
        <w:t xml:space="preserve"> bulletins produced by </w:t>
      </w:r>
      <w:r w:rsidRPr="008B54AD">
        <w:rPr>
          <w:rFonts w:cs="Times New Roman"/>
          <w:i/>
          <w:iCs/>
        </w:rPr>
        <w:t>AFP</w:t>
      </w:r>
      <w:r w:rsidRPr="008B54AD">
        <w:rPr>
          <w:rFonts w:cs="Times New Roman"/>
        </w:rPr>
        <w:t xml:space="preserve"> each day.</w:t>
      </w:r>
    </w:p>
    <w:p w14:paraId="1A355055" w14:textId="77777777" w:rsidR="00815C24" w:rsidRPr="004D05F0" w:rsidRDefault="00815C24" w:rsidP="00815C24">
      <w:pPr>
        <w:ind w:left="2160" w:hanging="2160"/>
        <w:rPr>
          <w:rFonts w:eastAsiaTheme="minorEastAsia" w:cs="Times New Roman"/>
        </w:rPr>
      </w:pPr>
      <m:oMath>
        <m:r>
          <w:rPr>
            <w:rFonts w:ascii="Cambria Math" w:eastAsiaTheme="minorEastAsia" w:hAnsi="Cambria Math" w:cs="Times New Roman"/>
          </w:rPr>
          <w:lastRenderedPageBreak/>
          <m:t xml:space="preserve">Max. </m:t>
        </m:r>
        <m:sSup>
          <m:sSupPr>
            <m:ctrlPr>
              <w:rPr>
                <w:rFonts w:ascii="Cambria Math" w:eastAsiaTheme="minorEastAsia" w:hAnsi="Cambria Math" w:cs="Times New Roman"/>
                <w:i/>
              </w:rPr>
            </m:ctrlPr>
          </m:sSupPr>
          <m:e>
            <m:r>
              <w:rPr>
                <w:rFonts w:ascii="Cambria Math" w:eastAsiaTheme="minorEastAsia" w:hAnsi="Cambria Math" w:cs="Times New Roman"/>
              </w:rPr>
              <m:t>χ</m:t>
            </m:r>
          </m:e>
          <m:sup>
            <m:r>
              <w:rPr>
                <w:rFonts w:ascii="Cambria Math" w:eastAsiaTheme="minorEastAsia" w:hAnsi="Cambria Math" w:cs="Times New Roman"/>
              </w:rPr>
              <m:t>2</m:t>
            </m:r>
          </m:sup>
        </m:sSup>
      </m:oMath>
      <w:r>
        <w:rPr>
          <w:rFonts w:eastAsiaTheme="minorEastAsia" w:cs="Times New Roman"/>
        </w:rPr>
        <w:tab/>
        <w:t>The highest deviation between observed and expected occurrences of a single word/phrase across a body of text.</w:t>
      </w:r>
    </w:p>
    <w:p w14:paraId="0A579171" w14:textId="77777777" w:rsidR="00815C24" w:rsidRPr="005164F5" w:rsidRDefault="00815C24" w:rsidP="00815C24">
      <w:pPr>
        <w:rPr>
          <w:rFonts w:eastAsiaTheme="minorEastAsia" w:cs="Times New Roman"/>
        </w:rPr>
      </w:pPr>
      <m:oMath>
        <m:r>
          <w:rPr>
            <w:rFonts w:ascii="Cambria Math" w:eastAsiaTheme="minorEastAsia" w:hAnsi="Cambria Math" w:cs="Times New Roman"/>
          </w:rPr>
          <m:t>N</m:t>
        </m:r>
      </m:oMath>
      <w:r>
        <w:rPr>
          <w:rFonts w:eastAsiaTheme="minorEastAsia" w:cs="Times New Roman"/>
        </w:rPr>
        <w:tab/>
      </w:r>
      <w:r>
        <w:rPr>
          <w:rFonts w:eastAsiaTheme="minorEastAsia" w:cs="Times New Roman"/>
        </w:rPr>
        <w:tab/>
      </w:r>
      <w:r>
        <w:rPr>
          <w:rFonts w:eastAsiaTheme="minorEastAsia" w:cs="Times New Roman"/>
        </w:rPr>
        <w:tab/>
        <w:t>Population</w:t>
      </w:r>
    </w:p>
    <w:p w14:paraId="5C73573E" w14:textId="77777777" w:rsidR="00815C24" w:rsidRPr="005164F5" w:rsidRDefault="00815C24" w:rsidP="00815C24">
      <w:pPr>
        <w:rPr>
          <w:rFonts w:eastAsiaTheme="minorEastAsia" w:cs="Times New Roman"/>
        </w:rPr>
      </w:pPr>
      <m:oMath>
        <m:r>
          <w:rPr>
            <w:rFonts w:ascii="Cambria Math" w:eastAsiaTheme="minorEastAsia" w:hAnsi="Cambria Math" w:cs="Times New Roman"/>
          </w:rPr>
          <m:t>n</m:t>
        </m:r>
      </m:oMath>
      <w:r>
        <w:rPr>
          <w:rFonts w:eastAsiaTheme="minorEastAsia" w:cs="Times New Roman"/>
        </w:rPr>
        <w:tab/>
      </w:r>
      <w:r>
        <w:rPr>
          <w:rFonts w:eastAsiaTheme="minorEastAsia" w:cs="Times New Roman"/>
        </w:rPr>
        <w:tab/>
      </w:r>
      <w:r>
        <w:rPr>
          <w:rFonts w:eastAsiaTheme="minorEastAsia" w:cs="Times New Roman"/>
        </w:rPr>
        <w:tab/>
        <w:t>Sample</w:t>
      </w:r>
    </w:p>
    <w:p w14:paraId="4FE6D265" w14:textId="77777777" w:rsidR="00815C24" w:rsidRPr="001B4699" w:rsidRDefault="00815C24" w:rsidP="00815C24">
      <w:pPr>
        <w:rPr>
          <w:rFonts w:eastAsiaTheme="minorEastAsia" w:cs="Times New Roman"/>
        </w:rPr>
      </w:pPr>
      <m:oMath>
        <m:r>
          <w:rPr>
            <w:rFonts w:ascii="Cambria Math" w:eastAsiaTheme="minorEastAsia" w:hAnsi="Cambria Math" w:cs="Times New Roman"/>
          </w:rPr>
          <m:t>p</m:t>
        </m:r>
      </m:oMath>
      <w:r>
        <w:rPr>
          <w:rFonts w:eastAsiaTheme="minorEastAsia" w:cs="Times New Roman"/>
        </w:rPr>
        <w:t xml:space="preserve">; </w:t>
      </w:r>
      <w:r w:rsidRPr="001B4699">
        <w:rPr>
          <w:rFonts w:eastAsiaTheme="minorEastAsia" w:cs="Times New Roman"/>
          <w:i/>
          <w:iCs/>
        </w:rPr>
        <w:t>p-value</w:t>
      </w:r>
      <w:r>
        <w:rPr>
          <w:rFonts w:eastAsiaTheme="minorEastAsia" w:cs="Times New Roman"/>
        </w:rPr>
        <w:tab/>
      </w:r>
      <w:r>
        <w:rPr>
          <w:rFonts w:eastAsiaTheme="minorEastAsia" w:cs="Times New Roman"/>
        </w:rPr>
        <w:tab/>
        <w:t>Probability</w:t>
      </w:r>
    </w:p>
    <w:p w14:paraId="6522439B" w14:textId="77777777" w:rsidR="00815C24" w:rsidRPr="005164F5" w:rsidRDefault="00815C24" w:rsidP="00815C24">
      <w:pPr>
        <w:rPr>
          <w:rFonts w:eastAsiaTheme="minorEastAsia" w:cs="Times New Roman"/>
        </w:rPr>
      </w:pPr>
      <m:oMath>
        <m:r>
          <w:rPr>
            <w:rFonts w:ascii="Cambria Math" w:eastAsiaTheme="minorEastAsia" w:hAnsi="Cambria Math" w:cs="Times New Roman"/>
          </w:rPr>
          <m:t>p=n.s.</m:t>
        </m:r>
      </m:oMath>
      <w:r>
        <w:rPr>
          <w:rFonts w:eastAsiaTheme="minorEastAsia" w:cs="Times New Roman"/>
        </w:rPr>
        <w:tab/>
      </w:r>
      <w:r>
        <w:rPr>
          <w:rFonts w:eastAsiaTheme="minorEastAsia" w:cs="Times New Roman"/>
        </w:rPr>
        <w:tab/>
        <w:t>Probability is too high to reject the null hypothesis</w:t>
      </w:r>
    </w:p>
    <w:p w14:paraId="6E88861F" w14:textId="77777777" w:rsidR="00815C24" w:rsidRPr="005164F5" w:rsidRDefault="00000000" w:rsidP="00815C24">
      <w:pPr>
        <w:rPr>
          <w:rFonts w:eastAsiaTheme="minorEastAsia" w:cs="Times New Roman"/>
        </w:rPr>
      </w:pPr>
      <m:oMath>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oMath>
      <w:r w:rsidR="00815C24">
        <w:rPr>
          <w:rFonts w:eastAsiaTheme="minorEastAsia" w:cs="Times New Roman"/>
        </w:rPr>
        <w:tab/>
      </w:r>
      <w:r w:rsidR="00815C24">
        <w:rPr>
          <w:rFonts w:eastAsiaTheme="minorEastAsia" w:cs="Times New Roman"/>
        </w:rPr>
        <w:tab/>
      </w:r>
      <w:r w:rsidR="00815C24">
        <w:rPr>
          <w:rFonts w:eastAsiaTheme="minorEastAsia" w:cs="Times New Roman"/>
        </w:rPr>
        <w:tab/>
        <w:t>Coefficient of determination</w:t>
      </w:r>
    </w:p>
    <w:p w14:paraId="068E33EC" w14:textId="77777777" w:rsidR="00815C24" w:rsidRPr="005164F5" w:rsidRDefault="00815C24" w:rsidP="00815C24">
      <w:pPr>
        <w:rPr>
          <w:rFonts w:cs="Times New Roman"/>
        </w:rPr>
      </w:pPr>
      <m:oMath>
        <m:r>
          <w:rPr>
            <w:rFonts w:ascii="Cambria Math" w:hAnsi="Cambria Math" w:cs="Times New Roman"/>
          </w:rPr>
          <m:t>RQ</m:t>
        </m:r>
      </m:oMath>
      <w:r w:rsidRPr="005164F5">
        <w:rPr>
          <w:rFonts w:cs="Times New Roman"/>
        </w:rPr>
        <w:tab/>
      </w:r>
      <w:r>
        <w:rPr>
          <w:rFonts w:cs="Times New Roman"/>
        </w:rPr>
        <w:tab/>
      </w:r>
      <w:r>
        <w:rPr>
          <w:rFonts w:cs="Times New Roman"/>
        </w:rPr>
        <w:tab/>
      </w:r>
      <w:r w:rsidRPr="005164F5">
        <w:rPr>
          <w:rFonts w:cs="Times New Roman"/>
        </w:rPr>
        <w:t>Research Question</w:t>
      </w:r>
    </w:p>
    <w:p w14:paraId="186AA480" w14:textId="77777777" w:rsidR="00815C24" w:rsidRPr="005164F5" w:rsidRDefault="00000000" w:rsidP="00815C24">
      <w:pPr>
        <w:rPr>
          <w:rFonts w:cs="Times New Roman"/>
        </w:rPr>
      </w:pPr>
      <m:oMath>
        <m:sSub>
          <m:sSubPr>
            <m:ctrlPr>
              <w:rPr>
                <w:rFonts w:ascii="Cambria Math" w:hAnsi="Cambria Math" w:cs="Times New Roman"/>
                <w:i/>
              </w:rPr>
            </m:ctrlPr>
          </m:sSubPr>
          <m:e>
            <m:r>
              <w:rPr>
                <w:rFonts w:ascii="Cambria Math" w:hAnsi="Cambria Math" w:cs="Times New Roman"/>
              </w:rPr>
              <m:t>RQ</m:t>
            </m:r>
          </m:e>
          <m:sub>
            <m:r>
              <w:rPr>
                <w:rFonts w:ascii="Cambria Math" w:hAnsi="Cambria Math" w:cs="Times New Roman"/>
              </w:rPr>
              <m:t>1</m:t>
            </m:r>
          </m:sub>
        </m:sSub>
      </m:oMath>
      <w:r w:rsidR="00815C24" w:rsidRPr="005164F5">
        <w:rPr>
          <w:rFonts w:cs="Times New Roman"/>
        </w:rPr>
        <w:tab/>
      </w:r>
      <w:r w:rsidR="00815C24">
        <w:rPr>
          <w:rFonts w:cs="Times New Roman"/>
        </w:rPr>
        <w:tab/>
      </w:r>
      <w:r w:rsidR="00815C24">
        <w:rPr>
          <w:rFonts w:cs="Times New Roman"/>
        </w:rPr>
        <w:tab/>
      </w:r>
      <w:r w:rsidR="00815C24" w:rsidRPr="00F33522">
        <w:rPr>
          <w:rFonts w:cs="Times New Roman"/>
        </w:rPr>
        <w:t>Does media coverage of terrorism affect international (state) legitimacy?</w:t>
      </w:r>
    </w:p>
    <w:p w14:paraId="4E358C14" w14:textId="77777777" w:rsidR="00815C24" w:rsidRPr="005164F5" w:rsidRDefault="00000000" w:rsidP="00815C24">
      <w:pPr>
        <w:ind w:left="2160" w:hanging="2160"/>
        <w:rPr>
          <w:rFonts w:cs="Times New Roman"/>
        </w:rPr>
      </w:pPr>
      <m:oMath>
        <m:sSub>
          <m:sSubPr>
            <m:ctrlPr>
              <w:rPr>
                <w:rFonts w:ascii="Cambria Math" w:hAnsi="Cambria Math" w:cs="Times New Roman"/>
                <w:i/>
              </w:rPr>
            </m:ctrlPr>
          </m:sSubPr>
          <m:e>
            <m:r>
              <w:rPr>
                <w:rFonts w:ascii="Cambria Math" w:hAnsi="Cambria Math" w:cs="Times New Roman"/>
              </w:rPr>
              <m:t>RQ</m:t>
            </m:r>
          </m:e>
          <m:sub>
            <m:r>
              <w:rPr>
                <w:rFonts w:ascii="Cambria Math" w:hAnsi="Cambria Math" w:cs="Times New Roman"/>
              </w:rPr>
              <m:t>2</m:t>
            </m:r>
          </m:sub>
        </m:sSub>
      </m:oMath>
      <w:r w:rsidR="00815C24" w:rsidRPr="005164F5">
        <w:rPr>
          <w:rFonts w:cs="Times New Roman"/>
        </w:rPr>
        <w:tab/>
      </w:r>
      <w:r w:rsidR="00815C24" w:rsidRPr="00F33522">
        <w:rPr>
          <w:rFonts w:cs="Times New Roman"/>
        </w:rPr>
        <w:t>How does media coverage of terrorism affect international (state) legitimacy?</w:t>
      </w:r>
    </w:p>
    <w:p w14:paraId="774BC357" w14:textId="77777777" w:rsidR="00815C24" w:rsidRPr="005164F5" w:rsidRDefault="00815C24" w:rsidP="00815C24">
      <w:pPr>
        <w:rPr>
          <w:rFonts w:eastAsiaTheme="minorEastAsia" w:cs="Times New Roman"/>
        </w:rPr>
      </w:pPr>
      <m:oMath>
        <m:r>
          <w:rPr>
            <w:rFonts w:ascii="Cambria Math" w:eastAsiaTheme="minorEastAsia" w:hAnsi="Cambria Math" w:cs="Times New Roman"/>
          </w:rPr>
          <m:t>s</m:t>
        </m:r>
      </m:oMath>
      <w:r w:rsidRPr="005164F5">
        <w:rPr>
          <w:rFonts w:eastAsiaTheme="minorEastAsia" w:cs="Times New Roman"/>
        </w:rPr>
        <w:tab/>
      </w:r>
      <w:r>
        <w:rPr>
          <w:rFonts w:eastAsiaTheme="minorEastAsia" w:cs="Times New Roman"/>
        </w:rPr>
        <w:tab/>
      </w:r>
      <w:r>
        <w:rPr>
          <w:rFonts w:eastAsiaTheme="minorEastAsia" w:cs="Times New Roman"/>
        </w:rPr>
        <w:tab/>
      </w:r>
      <w:r w:rsidRPr="005164F5">
        <w:rPr>
          <w:rFonts w:eastAsiaTheme="minorEastAsia" w:cs="Times New Roman"/>
        </w:rPr>
        <w:t>Standard Deviation</w:t>
      </w:r>
    </w:p>
    <w:p w14:paraId="3091C5E9" w14:textId="77777777" w:rsidR="00815C24" w:rsidRPr="005164F5" w:rsidRDefault="00815C24" w:rsidP="00815C24">
      <w:pPr>
        <w:rPr>
          <w:rFonts w:eastAsiaTheme="minorEastAsia" w:cs="Times New Roman"/>
        </w:rPr>
      </w:pPr>
      <m:oMath>
        <m:r>
          <w:rPr>
            <w:rFonts w:ascii="Cambria Math" w:eastAsiaTheme="minorEastAsia" w:hAnsi="Cambria Math" w:cs="Times New Roman"/>
          </w:rPr>
          <m:t>SLR</m:t>
        </m:r>
      </m:oMath>
      <w:r w:rsidRPr="005164F5">
        <w:rPr>
          <w:rFonts w:eastAsiaTheme="minorEastAsia" w:cs="Times New Roman"/>
        </w:rPr>
        <w:tab/>
      </w:r>
      <w:r>
        <w:rPr>
          <w:rFonts w:eastAsiaTheme="minorEastAsia" w:cs="Times New Roman"/>
        </w:rPr>
        <w:tab/>
      </w:r>
      <w:r>
        <w:rPr>
          <w:rFonts w:eastAsiaTheme="minorEastAsia" w:cs="Times New Roman"/>
        </w:rPr>
        <w:tab/>
      </w:r>
      <w:r w:rsidRPr="005164F5">
        <w:rPr>
          <w:rFonts w:eastAsiaTheme="minorEastAsia" w:cs="Times New Roman"/>
        </w:rPr>
        <w:t>Simple Linear Regression</w:t>
      </w:r>
    </w:p>
    <w:p w14:paraId="6362454C" w14:textId="77777777" w:rsidR="00815C24" w:rsidRPr="007F1B51" w:rsidRDefault="00815C24" w:rsidP="00815C24">
      <w:pPr>
        <w:rPr>
          <w:rFonts w:cs="Times New Roman"/>
        </w:rPr>
      </w:pPr>
      <m:oMath>
        <m:r>
          <w:rPr>
            <w:rFonts w:ascii="Cambria Math" w:hAnsi="Cambria Math" w:cs="Times New Roman"/>
          </w:rPr>
          <m:t>ρ</m:t>
        </m:r>
      </m:oMath>
      <w:r w:rsidRPr="005164F5">
        <w:rPr>
          <w:rFonts w:cs="Times New Roman"/>
        </w:rPr>
        <w:tab/>
      </w:r>
      <w:r>
        <w:rPr>
          <w:rFonts w:cs="Times New Roman"/>
        </w:rPr>
        <w:tab/>
      </w:r>
      <w:r>
        <w:rPr>
          <w:rFonts w:cs="Times New Roman"/>
        </w:rPr>
        <w:tab/>
      </w:r>
      <w:r w:rsidRPr="005164F5">
        <w:rPr>
          <w:rFonts w:cs="Times New Roman"/>
        </w:rPr>
        <w:t>Spearman correlation coefficient</w:t>
      </w:r>
    </w:p>
    <w:p w14:paraId="4C0963A7" w14:textId="77777777" w:rsidR="00815C24" w:rsidRDefault="00815C24" w:rsidP="00815C24">
      <w:pPr>
        <w:rPr>
          <w:rFonts w:eastAsiaTheme="minorEastAsia" w:cs="Times New Roman"/>
          <w:b/>
          <w:bCs/>
        </w:rPr>
      </w:pPr>
      <w:r>
        <w:rPr>
          <w:rFonts w:eastAsiaTheme="minorEastAsia" w:cs="Times New Roman"/>
          <w:b/>
          <w:bCs/>
        </w:rPr>
        <w:br w:type="page"/>
      </w:r>
    </w:p>
    <w:p w14:paraId="1F40DEDA" w14:textId="77777777" w:rsidR="00815C24" w:rsidRDefault="00815C24" w:rsidP="00546721">
      <w:pPr>
        <w:pStyle w:val="DissertationChapterName"/>
        <w:rPr>
          <w:rFonts w:eastAsiaTheme="minorEastAsia"/>
        </w:rPr>
      </w:pPr>
      <w:bookmarkStart w:id="6" w:name="_Toc175413111"/>
      <w:r w:rsidRPr="005164F5">
        <w:rPr>
          <w:rFonts w:eastAsiaTheme="minorEastAsia"/>
        </w:rPr>
        <w:lastRenderedPageBreak/>
        <w:t>List of Abbreviations</w:t>
      </w:r>
      <w:bookmarkEnd w:id="6"/>
    </w:p>
    <w:p w14:paraId="436499E1" w14:textId="77777777" w:rsidR="00815C24" w:rsidRPr="005164F5" w:rsidRDefault="00815C24" w:rsidP="00815C24">
      <w:pPr>
        <w:jc w:val="center"/>
        <w:rPr>
          <w:rFonts w:eastAsiaTheme="minorEastAsia" w:cs="Times New Roman"/>
          <w:b/>
          <w:bCs/>
        </w:rPr>
      </w:pPr>
    </w:p>
    <w:p w14:paraId="16B21B3A" w14:textId="77777777" w:rsidR="00815C24" w:rsidRPr="005164F5" w:rsidRDefault="00815C24" w:rsidP="00815C24">
      <w:pPr>
        <w:rPr>
          <w:rFonts w:eastAsiaTheme="minorEastAsia" w:cs="Times New Roman"/>
        </w:rPr>
      </w:pPr>
      <w:r w:rsidRPr="005164F5">
        <w:rPr>
          <w:rFonts w:eastAsiaTheme="minorEastAsia" w:cs="Times New Roman"/>
        </w:rPr>
        <w:t>ACM</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Association for Computing Machinery</w:t>
      </w:r>
    </w:p>
    <w:p w14:paraId="49CB453B" w14:textId="77777777" w:rsidR="00815C24" w:rsidRPr="005164F5" w:rsidRDefault="00815C24" w:rsidP="00815C24">
      <w:pPr>
        <w:rPr>
          <w:rFonts w:cs="Times New Roman"/>
        </w:rPr>
      </w:pPr>
      <w:r w:rsidRPr="005164F5">
        <w:rPr>
          <w:rFonts w:cs="Times New Roman"/>
        </w:rPr>
        <w:t>AFP</w:t>
      </w:r>
      <w:r w:rsidRPr="005164F5">
        <w:rPr>
          <w:rFonts w:cs="Times New Roman"/>
        </w:rPr>
        <w:tab/>
      </w:r>
      <w:r w:rsidRPr="005164F5">
        <w:rPr>
          <w:rFonts w:cs="Times New Roman"/>
        </w:rPr>
        <w:tab/>
      </w:r>
      <w:r w:rsidRPr="005164F5">
        <w:rPr>
          <w:rFonts w:cs="Times New Roman"/>
        </w:rPr>
        <w:tab/>
      </w:r>
      <w:proofErr w:type="spellStart"/>
      <w:r w:rsidRPr="005164F5">
        <w:rPr>
          <w:rFonts w:cs="Times New Roman"/>
        </w:rPr>
        <w:t>Agence</w:t>
      </w:r>
      <w:proofErr w:type="spellEnd"/>
      <w:r w:rsidRPr="005164F5">
        <w:rPr>
          <w:rFonts w:cs="Times New Roman"/>
        </w:rPr>
        <w:t xml:space="preserve"> France-Presse</w:t>
      </w:r>
    </w:p>
    <w:p w14:paraId="162BB503" w14:textId="77777777" w:rsidR="00815C24" w:rsidRPr="005164F5" w:rsidRDefault="00815C24" w:rsidP="00815C24">
      <w:pPr>
        <w:rPr>
          <w:rFonts w:cs="Times New Roman"/>
        </w:rPr>
      </w:pPr>
      <w:r w:rsidRPr="005164F5">
        <w:rPr>
          <w:rFonts w:cs="Times New Roman"/>
        </w:rPr>
        <w:t>AP</w:t>
      </w:r>
      <w:r w:rsidRPr="005164F5">
        <w:rPr>
          <w:rFonts w:cs="Times New Roman"/>
        </w:rPr>
        <w:tab/>
      </w:r>
      <w:r w:rsidRPr="005164F5">
        <w:rPr>
          <w:rFonts w:cs="Times New Roman"/>
        </w:rPr>
        <w:tab/>
      </w:r>
      <w:r w:rsidRPr="005164F5">
        <w:rPr>
          <w:rFonts w:cs="Times New Roman"/>
        </w:rPr>
        <w:tab/>
        <w:t>Associated Press</w:t>
      </w:r>
    </w:p>
    <w:p w14:paraId="25CBFFFE" w14:textId="77777777" w:rsidR="00815C24" w:rsidRPr="005164F5" w:rsidRDefault="00815C24" w:rsidP="00815C24">
      <w:pPr>
        <w:rPr>
          <w:rFonts w:eastAsiaTheme="minorEastAsia" w:cs="Times New Roman"/>
        </w:rPr>
      </w:pPr>
      <w:r w:rsidRPr="005164F5">
        <w:rPr>
          <w:rFonts w:eastAsiaTheme="minorEastAsia" w:cs="Times New Roman"/>
        </w:rPr>
        <w:t>BOAC</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British Overseas Airways Corporation</w:t>
      </w:r>
    </w:p>
    <w:p w14:paraId="1E288D31" w14:textId="77777777" w:rsidR="00815C24" w:rsidRPr="005164F5" w:rsidRDefault="00815C24" w:rsidP="00815C24">
      <w:pPr>
        <w:rPr>
          <w:rFonts w:cs="Times New Roman"/>
        </w:rPr>
      </w:pPr>
      <w:r w:rsidRPr="005164F5">
        <w:rPr>
          <w:rFonts w:cs="Times New Roman"/>
        </w:rPr>
        <w:t>CDA</w:t>
      </w:r>
      <w:r w:rsidRPr="005164F5">
        <w:rPr>
          <w:rFonts w:cs="Times New Roman"/>
        </w:rPr>
        <w:tab/>
      </w:r>
      <w:r w:rsidRPr="005164F5">
        <w:rPr>
          <w:rFonts w:cs="Times New Roman"/>
        </w:rPr>
        <w:tab/>
      </w:r>
      <w:r w:rsidRPr="005164F5">
        <w:rPr>
          <w:rFonts w:cs="Times New Roman"/>
        </w:rPr>
        <w:tab/>
        <w:t>Critical Discourse Analysis</w:t>
      </w:r>
    </w:p>
    <w:p w14:paraId="14BD4315" w14:textId="77777777" w:rsidR="00815C24" w:rsidRPr="005164F5" w:rsidRDefault="00815C24" w:rsidP="00815C24">
      <w:pPr>
        <w:rPr>
          <w:rFonts w:eastAsiaTheme="minorEastAsia" w:cs="Times New Roman"/>
        </w:rPr>
      </w:pPr>
      <w:r w:rsidRPr="005164F5">
        <w:rPr>
          <w:rFonts w:eastAsiaTheme="minorEastAsia" w:cs="Times New Roman"/>
        </w:rPr>
        <w:t>CIAO</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Columbia International Affairs Online</w:t>
      </w:r>
    </w:p>
    <w:p w14:paraId="3BC32B89" w14:textId="77777777" w:rsidR="00815C24" w:rsidRPr="005164F5" w:rsidRDefault="00815C24" w:rsidP="00815C24">
      <w:pPr>
        <w:ind w:left="2160" w:hanging="2160"/>
        <w:rPr>
          <w:rFonts w:cs="Times New Roman"/>
          <w:shd w:val="clear" w:color="auto" w:fill="FFFFFF"/>
        </w:rPr>
      </w:pPr>
      <w:r w:rsidRPr="005164F5">
        <w:rPr>
          <w:rFonts w:eastAsiaTheme="minorEastAsia" w:cs="Times New Roman"/>
        </w:rPr>
        <w:t>DCAF</w:t>
      </w:r>
      <w:r w:rsidRPr="005164F5">
        <w:rPr>
          <w:rFonts w:eastAsiaTheme="minorEastAsia" w:cs="Times New Roman"/>
        </w:rPr>
        <w:tab/>
        <w:t xml:space="preserve">Geneva Centre for Security Sector Governance, formerly the </w:t>
      </w:r>
      <w:r w:rsidRPr="005164F5">
        <w:rPr>
          <w:rFonts w:cs="Times New Roman"/>
          <w:shd w:val="clear" w:color="auto" w:fill="FFFFFF"/>
        </w:rPr>
        <w:t>Geneva Centre for the Democratic Control of Armed Forces</w:t>
      </w:r>
    </w:p>
    <w:p w14:paraId="4969F55E" w14:textId="77777777" w:rsidR="00815C24" w:rsidRPr="005164F5" w:rsidRDefault="00815C24" w:rsidP="00815C24">
      <w:pPr>
        <w:rPr>
          <w:rFonts w:cs="Times New Roman"/>
        </w:rPr>
      </w:pPr>
      <w:r w:rsidRPr="005164F5">
        <w:rPr>
          <w:rFonts w:cs="Times New Roman"/>
        </w:rPr>
        <w:t>DJFS</w:t>
      </w:r>
      <w:r w:rsidRPr="005164F5">
        <w:rPr>
          <w:rFonts w:cs="Times New Roman"/>
        </w:rPr>
        <w:tab/>
      </w:r>
      <w:r w:rsidRPr="005164F5">
        <w:rPr>
          <w:rFonts w:cs="Times New Roman"/>
        </w:rPr>
        <w:tab/>
      </w:r>
      <w:r w:rsidRPr="005164F5">
        <w:rPr>
          <w:rFonts w:cs="Times New Roman"/>
        </w:rPr>
        <w:tab/>
        <w:t>Dow Jones Factiva Service</w:t>
      </w:r>
    </w:p>
    <w:p w14:paraId="00F705BF" w14:textId="77777777" w:rsidR="00815C24" w:rsidRPr="005164F5" w:rsidRDefault="00815C24" w:rsidP="00815C24">
      <w:pPr>
        <w:rPr>
          <w:rFonts w:eastAsiaTheme="minorEastAsia" w:cs="Times New Roman"/>
        </w:rPr>
      </w:pPr>
      <w:r w:rsidRPr="005164F5">
        <w:rPr>
          <w:rFonts w:eastAsiaTheme="minorEastAsia" w:cs="Times New Roman"/>
        </w:rPr>
        <w:t>EHI</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Ethnic Heterogeneity Index</w:t>
      </w:r>
    </w:p>
    <w:p w14:paraId="1FA427C3" w14:textId="77777777" w:rsidR="00815C24" w:rsidRPr="005164F5" w:rsidRDefault="00815C24" w:rsidP="00815C24">
      <w:pPr>
        <w:rPr>
          <w:rFonts w:cs="Times New Roman"/>
        </w:rPr>
      </w:pPr>
      <w:r w:rsidRPr="005164F5">
        <w:rPr>
          <w:rFonts w:eastAsiaTheme="minorEastAsia" w:cs="Times New Roman"/>
        </w:rPr>
        <w:t>EUT</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Expected Utility Theory</w:t>
      </w:r>
      <w:r w:rsidRPr="005164F5">
        <w:rPr>
          <w:rFonts w:cs="Times New Roman"/>
        </w:rPr>
        <w:t xml:space="preserve"> </w:t>
      </w:r>
    </w:p>
    <w:p w14:paraId="7796203B" w14:textId="77777777" w:rsidR="00815C24" w:rsidRPr="005164F5" w:rsidRDefault="00815C24" w:rsidP="00815C24">
      <w:pPr>
        <w:rPr>
          <w:rFonts w:cs="Times New Roman"/>
        </w:rPr>
      </w:pPr>
      <w:r w:rsidRPr="005164F5">
        <w:rPr>
          <w:rFonts w:cs="Times New Roman"/>
        </w:rPr>
        <w:t>FSI</w:t>
      </w:r>
      <w:r w:rsidRPr="005164F5">
        <w:rPr>
          <w:rFonts w:cs="Times New Roman"/>
        </w:rPr>
        <w:tab/>
      </w:r>
      <w:r w:rsidRPr="005164F5">
        <w:rPr>
          <w:rFonts w:cs="Times New Roman"/>
        </w:rPr>
        <w:tab/>
      </w:r>
      <w:r w:rsidRPr="005164F5">
        <w:rPr>
          <w:rFonts w:cs="Times New Roman"/>
        </w:rPr>
        <w:tab/>
        <w:t>Fragile States Index</w:t>
      </w:r>
    </w:p>
    <w:p w14:paraId="555F6C35" w14:textId="77777777" w:rsidR="00815C24" w:rsidRPr="005164F5" w:rsidRDefault="00815C24" w:rsidP="00815C24">
      <w:pPr>
        <w:rPr>
          <w:rFonts w:cs="Times New Roman"/>
        </w:rPr>
      </w:pPr>
      <w:r w:rsidRPr="005164F5">
        <w:rPr>
          <w:rFonts w:cs="Times New Roman"/>
        </w:rPr>
        <w:t>GTD</w:t>
      </w:r>
      <w:r w:rsidRPr="005164F5">
        <w:rPr>
          <w:rFonts w:cs="Times New Roman"/>
        </w:rPr>
        <w:tab/>
      </w:r>
      <w:r w:rsidRPr="005164F5">
        <w:rPr>
          <w:rFonts w:cs="Times New Roman"/>
        </w:rPr>
        <w:tab/>
      </w:r>
      <w:r w:rsidRPr="005164F5">
        <w:rPr>
          <w:rFonts w:cs="Times New Roman"/>
        </w:rPr>
        <w:tab/>
        <w:t>Global Terrorism Database</w:t>
      </w:r>
    </w:p>
    <w:p w14:paraId="48C71DB9" w14:textId="77777777" w:rsidR="00815C24" w:rsidRPr="005164F5" w:rsidRDefault="00815C24" w:rsidP="00815C24">
      <w:pPr>
        <w:rPr>
          <w:rFonts w:eastAsiaTheme="minorEastAsia" w:cs="Times New Roman"/>
        </w:rPr>
      </w:pPr>
      <w:r w:rsidRPr="005164F5">
        <w:rPr>
          <w:rFonts w:eastAsiaTheme="minorEastAsia" w:cs="Times New Roman"/>
        </w:rPr>
        <w:t>GWP</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Gross World Product</w:t>
      </w:r>
    </w:p>
    <w:p w14:paraId="19CC0E56" w14:textId="77777777" w:rsidR="00815C24" w:rsidRPr="005164F5" w:rsidRDefault="00815C24" w:rsidP="00815C24">
      <w:pPr>
        <w:rPr>
          <w:rFonts w:eastAsiaTheme="minorEastAsia" w:cs="Times New Roman"/>
        </w:rPr>
      </w:pPr>
      <w:r w:rsidRPr="005164F5">
        <w:rPr>
          <w:rFonts w:eastAsiaTheme="minorEastAsia" w:cs="Times New Roman"/>
        </w:rPr>
        <w:t>GWSD</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Global Warming Stance Dataset</w:t>
      </w:r>
    </w:p>
    <w:p w14:paraId="444EC1B3" w14:textId="77777777" w:rsidR="00815C24" w:rsidRPr="005164F5" w:rsidRDefault="00815C24" w:rsidP="00815C24">
      <w:pPr>
        <w:rPr>
          <w:rFonts w:eastAsiaTheme="minorEastAsia" w:cs="Times New Roman"/>
        </w:rPr>
      </w:pPr>
      <w:r w:rsidRPr="005164F5">
        <w:rPr>
          <w:rFonts w:eastAsiaTheme="minorEastAsia" w:cs="Times New Roman"/>
        </w:rPr>
        <w:t>IMF</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International Monetary Fund</w:t>
      </w:r>
    </w:p>
    <w:p w14:paraId="1C69BC4F" w14:textId="77777777" w:rsidR="00815C24" w:rsidRPr="005164F5" w:rsidRDefault="00815C24" w:rsidP="00815C24">
      <w:pPr>
        <w:rPr>
          <w:rFonts w:eastAsiaTheme="minorEastAsia" w:cs="Times New Roman"/>
        </w:rPr>
      </w:pPr>
      <w:r w:rsidRPr="005164F5">
        <w:rPr>
          <w:rFonts w:eastAsiaTheme="minorEastAsia" w:cs="Times New Roman"/>
        </w:rPr>
        <w:t>IPTC</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International Press Telecommunications Council</w:t>
      </w:r>
    </w:p>
    <w:p w14:paraId="1F69D2BB" w14:textId="77777777" w:rsidR="00815C24" w:rsidRPr="005164F5" w:rsidRDefault="00815C24" w:rsidP="00815C24">
      <w:pPr>
        <w:rPr>
          <w:rFonts w:cs="Times New Roman"/>
        </w:rPr>
      </w:pPr>
      <w:r w:rsidRPr="005164F5">
        <w:rPr>
          <w:rFonts w:cs="Times New Roman"/>
        </w:rPr>
        <w:t>IR</w:t>
      </w:r>
      <w:r w:rsidRPr="005164F5">
        <w:rPr>
          <w:rFonts w:cs="Times New Roman"/>
        </w:rPr>
        <w:tab/>
      </w:r>
      <w:r w:rsidRPr="005164F5">
        <w:rPr>
          <w:rFonts w:cs="Times New Roman"/>
        </w:rPr>
        <w:tab/>
      </w:r>
      <w:r w:rsidRPr="005164F5">
        <w:rPr>
          <w:rFonts w:cs="Times New Roman"/>
        </w:rPr>
        <w:tab/>
        <w:t>International Relations</w:t>
      </w:r>
    </w:p>
    <w:p w14:paraId="39C613F8" w14:textId="77777777" w:rsidR="00815C24" w:rsidRPr="005164F5" w:rsidRDefault="00815C24" w:rsidP="00815C24">
      <w:pPr>
        <w:rPr>
          <w:rFonts w:eastAsiaTheme="minorEastAsia" w:cs="Times New Roman"/>
        </w:rPr>
      </w:pPr>
      <w:r w:rsidRPr="005164F5">
        <w:rPr>
          <w:rFonts w:eastAsiaTheme="minorEastAsia" w:cs="Times New Roman"/>
        </w:rPr>
        <w:t>IRA</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Provisional Irish Republican Army</w:t>
      </w:r>
    </w:p>
    <w:p w14:paraId="7EF8E83B" w14:textId="77777777" w:rsidR="00815C24" w:rsidRPr="005164F5" w:rsidRDefault="00815C24" w:rsidP="00815C24">
      <w:pPr>
        <w:rPr>
          <w:rFonts w:eastAsiaTheme="minorEastAsia" w:cs="Times New Roman"/>
        </w:rPr>
      </w:pPr>
      <w:r w:rsidRPr="005164F5">
        <w:rPr>
          <w:rFonts w:eastAsiaTheme="minorEastAsia" w:cs="Times New Roman"/>
        </w:rPr>
        <w:t>ISIL</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Islamic State in Iraq and the Levant</w:t>
      </w:r>
    </w:p>
    <w:p w14:paraId="2DF22927" w14:textId="77777777" w:rsidR="00815C24" w:rsidRPr="005164F5" w:rsidRDefault="00815C24" w:rsidP="00815C24">
      <w:pPr>
        <w:rPr>
          <w:rFonts w:eastAsiaTheme="minorEastAsia" w:cs="Times New Roman"/>
        </w:rPr>
      </w:pPr>
      <w:r w:rsidRPr="005164F5">
        <w:rPr>
          <w:rFonts w:eastAsiaTheme="minorEastAsia" w:cs="Times New Roman"/>
        </w:rPr>
        <w:t>ITERATE</w:t>
      </w:r>
      <w:r w:rsidRPr="005164F5">
        <w:rPr>
          <w:rFonts w:eastAsiaTheme="minorEastAsia" w:cs="Times New Roman"/>
        </w:rPr>
        <w:tab/>
      </w:r>
      <w:r w:rsidRPr="005164F5">
        <w:rPr>
          <w:rFonts w:eastAsiaTheme="minorEastAsia" w:cs="Times New Roman"/>
        </w:rPr>
        <w:tab/>
        <w:t>International Terrorism: Attributes of Terrorist Events project</w:t>
      </w:r>
    </w:p>
    <w:p w14:paraId="3E21919D" w14:textId="77777777" w:rsidR="00815C24" w:rsidRPr="005164F5" w:rsidRDefault="00815C24" w:rsidP="00815C24">
      <w:pPr>
        <w:rPr>
          <w:rFonts w:cs="Times New Roman"/>
        </w:rPr>
      </w:pPr>
      <w:r w:rsidRPr="005164F5">
        <w:rPr>
          <w:rFonts w:cs="Times New Roman"/>
        </w:rPr>
        <w:t>MVA</w:t>
      </w:r>
      <w:r w:rsidRPr="005164F5">
        <w:rPr>
          <w:rFonts w:cs="Times New Roman"/>
        </w:rPr>
        <w:tab/>
      </w:r>
      <w:r w:rsidRPr="005164F5">
        <w:rPr>
          <w:rFonts w:cs="Times New Roman"/>
        </w:rPr>
        <w:tab/>
      </w:r>
      <w:r w:rsidRPr="005164F5">
        <w:rPr>
          <w:rFonts w:cs="Times New Roman"/>
        </w:rPr>
        <w:tab/>
        <w:t>Multivariate Data Analysis</w:t>
      </w:r>
    </w:p>
    <w:p w14:paraId="28DC02B6" w14:textId="598BA35E" w:rsidR="00815C24" w:rsidRPr="005164F5" w:rsidRDefault="00815C24" w:rsidP="00815C24">
      <w:pPr>
        <w:rPr>
          <w:rFonts w:cs="Times New Roman"/>
        </w:rPr>
      </w:pPr>
      <w:r w:rsidRPr="005164F5">
        <w:rPr>
          <w:rFonts w:cs="Times New Roman"/>
        </w:rPr>
        <w:t>MVDA</w:t>
      </w:r>
      <w:r w:rsidRPr="005164F5">
        <w:rPr>
          <w:rFonts w:cs="Times New Roman"/>
        </w:rPr>
        <w:tab/>
      </w:r>
      <w:r w:rsidRPr="005164F5">
        <w:rPr>
          <w:rFonts w:cs="Times New Roman"/>
        </w:rPr>
        <w:tab/>
      </w:r>
      <w:r w:rsidR="00826D18">
        <w:rPr>
          <w:rFonts w:cs="Times New Roman"/>
        </w:rPr>
        <w:tab/>
      </w:r>
      <w:r w:rsidRPr="005164F5">
        <w:rPr>
          <w:rFonts w:cs="Times New Roman"/>
        </w:rPr>
        <w:t>Multivariable Data Analysis</w:t>
      </w:r>
    </w:p>
    <w:p w14:paraId="1B60CF52" w14:textId="77777777" w:rsidR="00815C24" w:rsidRPr="005164F5" w:rsidRDefault="00815C24" w:rsidP="00815C24">
      <w:pPr>
        <w:rPr>
          <w:rFonts w:eastAsiaTheme="minorEastAsia" w:cs="Times New Roman"/>
        </w:rPr>
      </w:pPr>
      <w:r w:rsidRPr="005164F5">
        <w:rPr>
          <w:rFonts w:eastAsiaTheme="minorEastAsia" w:cs="Times New Roman"/>
        </w:rPr>
        <w:t>NHL</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National Hockey League</w:t>
      </w:r>
    </w:p>
    <w:p w14:paraId="6BFE300A" w14:textId="77777777" w:rsidR="00815C24" w:rsidRPr="005164F5" w:rsidRDefault="00815C24" w:rsidP="00815C24">
      <w:pPr>
        <w:rPr>
          <w:rFonts w:eastAsiaTheme="minorEastAsia" w:cs="Times New Roman"/>
        </w:rPr>
      </w:pPr>
      <w:r w:rsidRPr="005164F5">
        <w:rPr>
          <w:rFonts w:eastAsiaTheme="minorEastAsia" w:cs="Times New Roman"/>
        </w:rPr>
        <w:t>PFLP</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Popular Front for the Liberation of Palestine</w:t>
      </w:r>
    </w:p>
    <w:p w14:paraId="1185D2C4" w14:textId="77777777" w:rsidR="00815C24" w:rsidRPr="005164F5" w:rsidRDefault="00815C24" w:rsidP="00815C24">
      <w:pPr>
        <w:rPr>
          <w:rFonts w:eastAsiaTheme="minorEastAsia" w:cs="Times New Roman"/>
        </w:rPr>
      </w:pPr>
      <w:r w:rsidRPr="005164F5">
        <w:rPr>
          <w:rFonts w:eastAsiaTheme="minorEastAsia" w:cs="Times New Roman"/>
        </w:rPr>
        <w:t>PLO</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Palestinian Liberation Organization</w:t>
      </w:r>
    </w:p>
    <w:p w14:paraId="55F368AB" w14:textId="77777777" w:rsidR="00815C24" w:rsidRPr="005164F5" w:rsidRDefault="00815C24" w:rsidP="00815C24">
      <w:pPr>
        <w:rPr>
          <w:rFonts w:eastAsiaTheme="minorEastAsia" w:cs="Times New Roman"/>
        </w:rPr>
      </w:pPr>
      <w:r w:rsidRPr="005164F5">
        <w:rPr>
          <w:rFonts w:eastAsiaTheme="minorEastAsia" w:cs="Times New Roman"/>
        </w:rPr>
        <w:t>RUSI</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Royal United Services Institute</w:t>
      </w:r>
    </w:p>
    <w:p w14:paraId="76033C30" w14:textId="77777777" w:rsidR="00815C24" w:rsidRPr="005164F5" w:rsidRDefault="00815C24" w:rsidP="00815C24">
      <w:pPr>
        <w:rPr>
          <w:rFonts w:eastAsiaTheme="minorEastAsia" w:cs="Times New Roman"/>
        </w:rPr>
      </w:pPr>
      <w:r w:rsidRPr="005164F5">
        <w:rPr>
          <w:rFonts w:eastAsiaTheme="minorEastAsia" w:cs="Times New Roman"/>
        </w:rPr>
        <w:t>SARF</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Social Amplification of Risk Framework</w:t>
      </w:r>
    </w:p>
    <w:p w14:paraId="7528F5FF" w14:textId="77777777" w:rsidR="00815C24" w:rsidRPr="005164F5" w:rsidRDefault="00815C24" w:rsidP="00815C24">
      <w:pPr>
        <w:rPr>
          <w:rFonts w:eastAsiaTheme="minorEastAsia" w:cs="Times New Roman"/>
        </w:rPr>
      </w:pPr>
      <w:r w:rsidRPr="005164F5">
        <w:rPr>
          <w:rFonts w:eastAsiaTheme="minorEastAsia" w:cs="Times New Roman"/>
        </w:rPr>
        <w:t>SIGMOD</w:t>
      </w:r>
      <w:r w:rsidRPr="005164F5">
        <w:rPr>
          <w:rFonts w:eastAsiaTheme="minorEastAsia" w:cs="Times New Roman"/>
        </w:rPr>
        <w:tab/>
      </w:r>
      <w:r w:rsidRPr="005164F5">
        <w:rPr>
          <w:rFonts w:eastAsiaTheme="minorEastAsia" w:cs="Times New Roman"/>
        </w:rPr>
        <w:tab/>
        <w:t>Special Interest Group on Management of Data</w:t>
      </w:r>
    </w:p>
    <w:p w14:paraId="3F721B84" w14:textId="77777777" w:rsidR="00815C24" w:rsidRPr="005164F5" w:rsidRDefault="00815C24" w:rsidP="00815C24">
      <w:pPr>
        <w:ind w:left="2160" w:hanging="2160"/>
        <w:rPr>
          <w:rFonts w:cs="Times New Roman"/>
        </w:rPr>
      </w:pPr>
      <w:r w:rsidRPr="005164F5">
        <w:rPr>
          <w:rFonts w:cs="Times New Roman"/>
        </w:rPr>
        <w:t>START</w:t>
      </w:r>
      <w:r w:rsidRPr="005164F5">
        <w:rPr>
          <w:rFonts w:cs="Times New Roman"/>
        </w:rPr>
        <w:tab/>
        <w:t>National Consortium for the Study of Terrorism and Responses to Terrorism</w:t>
      </w:r>
    </w:p>
    <w:p w14:paraId="179675BD" w14:textId="77777777" w:rsidR="00815C24" w:rsidRPr="005164F5" w:rsidRDefault="00815C24" w:rsidP="00815C24">
      <w:pPr>
        <w:rPr>
          <w:rFonts w:cs="Times New Roman"/>
        </w:rPr>
      </w:pPr>
      <w:r w:rsidRPr="005164F5">
        <w:rPr>
          <w:rFonts w:cs="Times New Roman"/>
        </w:rPr>
        <w:t>TSA</w:t>
      </w:r>
      <w:r w:rsidRPr="005164F5">
        <w:rPr>
          <w:rFonts w:cs="Times New Roman"/>
        </w:rPr>
        <w:tab/>
      </w:r>
      <w:r w:rsidRPr="005164F5">
        <w:rPr>
          <w:rFonts w:cs="Times New Roman"/>
        </w:rPr>
        <w:tab/>
      </w:r>
      <w:r w:rsidRPr="005164F5">
        <w:rPr>
          <w:rFonts w:cs="Times New Roman"/>
        </w:rPr>
        <w:tab/>
        <w:t>Transportation Security Administration</w:t>
      </w:r>
    </w:p>
    <w:p w14:paraId="022FA4E3" w14:textId="77777777" w:rsidR="00815C24" w:rsidRPr="005164F5" w:rsidRDefault="00815C24" w:rsidP="00815C24">
      <w:pPr>
        <w:rPr>
          <w:rFonts w:eastAsiaTheme="minorEastAsia" w:cs="Times New Roman"/>
        </w:rPr>
      </w:pPr>
      <w:r w:rsidRPr="005164F5">
        <w:rPr>
          <w:rFonts w:eastAsiaTheme="minorEastAsia" w:cs="Times New Roman"/>
        </w:rPr>
        <w:t>TWA</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Trans World Airlines</w:t>
      </w:r>
    </w:p>
    <w:p w14:paraId="78D5480B" w14:textId="77777777" w:rsidR="00815C24" w:rsidRPr="005164F5" w:rsidRDefault="00815C24" w:rsidP="00815C24">
      <w:pPr>
        <w:rPr>
          <w:rFonts w:eastAsiaTheme="minorEastAsia" w:cs="Times New Roman"/>
        </w:rPr>
      </w:pPr>
      <w:r w:rsidRPr="005164F5">
        <w:rPr>
          <w:rFonts w:eastAsiaTheme="minorEastAsia" w:cs="Times New Roman"/>
        </w:rPr>
        <w:t>UN</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United Nations</w:t>
      </w:r>
    </w:p>
    <w:p w14:paraId="2939B4F4" w14:textId="77777777" w:rsidR="00815C24" w:rsidRPr="005164F5" w:rsidRDefault="00815C24" w:rsidP="00815C24">
      <w:pPr>
        <w:rPr>
          <w:rFonts w:eastAsiaTheme="minorEastAsia" w:cs="Times New Roman"/>
        </w:rPr>
      </w:pPr>
      <w:r w:rsidRPr="005164F5">
        <w:rPr>
          <w:rFonts w:eastAsiaTheme="minorEastAsia" w:cs="Times New Roman"/>
        </w:rPr>
        <w:lastRenderedPageBreak/>
        <w:t>UNDP</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United Nations Development Program</w:t>
      </w:r>
    </w:p>
    <w:p w14:paraId="25DFAEDD" w14:textId="77777777" w:rsidR="00815C24" w:rsidRPr="005164F5" w:rsidRDefault="00815C24" w:rsidP="00815C24">
      <w:pPr>
        <w:rPr>
          <w:rFonts w:eastAsiaTheme="minorEastAsia" w:cs="Times New Roman"/>
        </w:rPr>
      </w:pPr>
      <w:r w:rsidRPr="005164F5">
        <w:rPr>
          <w:rFonts w:eastAsiaTheme="minorEastAsia" w:cs="Times New Roman"/>
        </w:rPr>
        <w:t>UNESCO</w:t>
      </w:r>
      <w:r w:rsidRPr="005164F5">
        <w:rPr>
          <w:rFonts w:eastAsiaTheme="minorEastAsia" w:cs="Times New Roman"/>
        </w:rPr>
        <w:tab/>
      </w:r>
      <w:r w:rsidRPr="005164F5">
        <w:rPr>
          <w:rFonts w:eastAsiaTheme="minorEastAsia" w:cs="Times New Roman"/>
        </w:rPr>
        <w:tab/>
        <w:t>United Nations Educational, Scientific and Cultural Organization</w:t>
      </w:r>
    </w:p>
    <w:p w14:paraId="11440CEF" w14:textId="77777777" w:rsidR="00815C24" w:rsidRPr="005164F5" w:rsidRDefault="00815C24" w:rsidP="00815C24">
      <w:pPr>
        <w:rPr>
          <w:rFonts w:eastAsiaTheme="minorEastAsia" w:cs="Times New Roman"/>
        </w:rPr>
      </w:pPr>
      <w:r w:rsidRPr="005164F5">
        <w:rPr>
          <w:rFonts w:eastAsiaTheme="minorEastAsia" w:cs="Times New Roman"/>
        </w:rPr>
        <w:t>UNGA</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United Nations General Assembly</w:t>
      </w:r>
    </w:p>
    <w:p w14:paraId="7AB0EC96" w14:textId="77777777" w:rsidR="00815C24" w:rsidRPr="005164F5" w:rsidRDefault="00815C24" w:rsidP="00815C24">
      <w:pPr>
        <w:rPr>
          <w:rFonts w:eastAsiaTheme="minorEastAsia" w:cs="Times New Roman"/>
        </w:rPr>
      </w:pPr>
      <w:r w:rsidRPr="005164F5">
        <w:rPr>
          <w:rFonts w:eastAsiaTheme="minorEastAsia" w:cs="Times New Roman"/>
        </w:rPr>
        <w:t>UNODC</w:t>
      </w:r>
      <w:r w:rsidRPr="005164F5">
        <w:rPr>
          <w:rFonts w:eastAsiaTheme="minorEastAsia" w:cs="Times New Roman"/>
        </w:rPr>
        <w:tab/>
      </w:r>
      <w:r w:rsidRPr="005164F5">
        <w:rPr>
          <w:rFonts w:eastAsiaTheme="minorEastAsia" w:cs="Times New Roman"/>
        </w:rPr>
        <w:tab/>
        <w:t>United Nations Office of Drugs and Crime</w:t>
      </w:r>
    </w:p>
    <w:p w14:paraId="7071266F" w14:textId="77777777" w:rsidR="00815C24" w:rsidRPr="005164F5" w:rsidRDefault="00815C24" w:rsidP="00815C24">
      <w:pPr>
        <w:rPr>
          <w:rFonts w:eastAsiaTheme="minorEastAsia" w:cs="Times New Roman"/>
        </w:rPr>
      </w:pPr>
      <w:r w:rsidRPr="005164F5">
        <w:rPr>
          <w:rFonts w:eastAsiaTheme="minorEastAsia" w:cs="Times New Roman"/>
        </w:rPr>
        <w:t>UNSC</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United Nations Security Council</w:t>
      </w:r>
    </w:p>
    <w:p w14:paraId="3FDC588D" w14:textId="77777777" w:rsidR="00815C24" w:rsidRPr="005164F5" w:rsidRDefault="00815C24" w:rsidP="00815C24">
      <w:pPr>
        <w:rPr>
          <w:rFonts w:eastAsiaTheme="minorEastAsia" w:cs="Times New Roman"/>
        </w:rPr>
      </w:pPr>
      <w:r w:rsidRPr="005164F5">
        <w:rPr>
          <w:rFonts w:eastAsiaTheme="minorEastAsia" w:cs="Times New Roman"/>
        </w:rPr>
        <w:t>US</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United States</w:t>
      </w:r>
    </w:p>
    <w:p w14:paraId="033DE62E" w14:textId="77777777" w:rsidR="00815C24" w:rsidRPr="005164F5" w:rsidRDefault="00815C24" w:rsidP="00815C24">
      <w:pPr>
        <w:rPr>
          <w:rFonts w:eastAsiaTheme="minorEastAsia" w:cs="Times New Roman"/>
        </w:rPr>
      </w:pPr>
      <w:r w:rsidRPr="005164F5">
        <w:rPr>
          <w:rFonts w:eastAsiaTheme="minorEastAsia" w:cs="Times New Roman"/>
        </w:rPr>
        <w:t>USSR</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Union of Soviet Socialist Republics</w:t>
      </w:r>
    </w:p>
    <w:p w14:paraId="78B414BA" w14:textId="77777777" w:rsidR="00815C24" w:rsidRPr="005164F5" w:rsidRDefault="00815C24" w:rsidP="00815C24">
      <w:pPr>
        <w:rPr>
          <w:rFonts w:eastAsiaTheme="minorEastAsia" w:cs="Times New Roman"/>
        </w:rPr>
      </w:pPr>
      <w:r w:rsidRPr="005164F5">
        <w:rPr>
          <w:rFonts w:eastAsiaTheme="minorEastAsia" w:cs="Times New Roman"/>
        </w:rPr>
        <w:t>VNM</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von Neumann-Morgenstern rationality</w:t>
      </w:r>
    </w:p>
    <w:p w14:paraId="2F8C0F3F" w14:textId="5D34D435" w:rsidR="00815C24" w:rsidRPr="005164F5" w:rsidRDefault="00815C24" w:rsidP="00815C24">
      <w:pPr>
        <w:rPr>
          <w:rFonts w:eastAsiaTheme="minorEastAsia" w:cs="Times New Roman"/>
        </w:rPr>
      </w:pPr>
      <w:r w:rsidRPr="005164F5">
        <w:rPr>
          <w:rFonts w:eastAsiaTheme="minorEastAsia" w:cs="Times New Roman"/>
        </w:rPr>
        <w:t>VNSA</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 xml:space="preserve">Violent </w:t>
      </w:r>
      <w:r>
        <w:rPr>
          <w:rFonts w:eastAsiaTheme="minorEastAsia" w:cs="Times New Roman"/>
        </w:rPr>
        <w:t>N</w:t>
      </w:r>
      <w:r w:rsidRPr="005164F5">
        <w:rPr>
          <w:rFonts w:eastAsiaTheme="minorEastAsia" w:cs="Times New Roman"/>
        </w:rPr>
        <w:t>on-</w:t>
      </w:r>
      <w:r w:rsidR="00E33E4E">
        <w:rPr>
          <w:rFonts w:eastAsiaTheme="minorEastAsia" w:cs="Times New Roman"/>
        </w:rPr>
        <w:t>s</w:t>
      </w:r>
      <w:r w:rsidRPr="005164F5">
        <w:rPr>
          <w:rFonts w:eastAsiaTheme="minorEastAsia" w:cs="Times New Roman"/>
        </w:rPr>
        <w:t>tate actor</w:t>
      </w:r>
    </w:p>
    <w:p w14:paraId="2B31AF0B" w14:textId="77777777" w:rsidR="00815C24" w:rsidRPr="005164F5" w:rsidRDefault="00815C24" w:rsidP="00815C24">
      <w:pPr>
        <w:rPr>
          <w:rFonts w:eastAsiaTheme="minorEastAsia" w:cs="Times New Roman"/>
        </w:rPr>
      </w:pPr>
      <w:r w:rsidRPr="005164F5">
        <w:rPr>
          <w:rFonts w:eastAsiaTheme="minorEastAsia" w:cs="Times New Roman"/>
        </w:rPr>
        <w:t>WEO</w:t>
      </w:r>
      <w:r w:rsidRPr="005164F5">
        <w:rPr>
          <w:rFonts w:eastAsiaTheme="minorEastAsia" w:cs="Times New Roman"/>
        </w:rPr>
        <w:tab/>
      </w:r>
      <w:r w:rsidRPr="005164F5">
        <w:rPr>
          <w:rFonts w:eastAsiaTheme="minorEastAsia" w:cs="Times New Roman"/>
        </w:rPr>
        <w:tab/>
      </w:r>
      <w:r w:rsidRPr="005164F5">
        <w:rPr>
          <w:rFonts w:eastAsiaTheme="minorEastAsia" w:cs="Times New Roman"/>
        </w:rPr>
        <w:tab/>
        <w:t>World Economic Outlook database</w:t>
      </w:r>
    </w:p>
    <w:p w14:paraId="2C14F397" w14:textId="77777777" w:rsidR="00815C24" w:rsidRPr="007F1B51" w:rsidRDefault="00815C24" w:rsidP="00815C24">
      <w:pPr>
        <w:rPr>
          <w:rFonts w:cs="Times New Roman"/>
        </w:rPr>
      </w:pPr>
      <w:r w:rsidRPr="005164F5">
        <w:rPr>
          <w:rFonts w:cs="Times New Roman"/>
        </w:rPr>
        <w:t>WVS</w:t>
      </w:r>
      <w:r w:rsidRPr="005164F5">
        <w:rPr>
          <w:rFonts w:cs="Times New Roman"/>
        </w:rPr>
        <w:tab/>
      </w:r>
      <w:r w:rsidRPr="005164F5">
        <w:rPr>
          <w:rFonts w:cs="Times New Roman"/>
        </w:rPr>
        <w:tab/>
      </w:r>
      <w:r w:rsidRPr="005164F5">
        <w:rPr>
          <w:rFonts w:cs="Times New Roman"/>
        </w:rPr>
        <w:tab/>
        <w:t>World Values Survey</w:t>
      </w:r>
    </w:p>
    <w:p w14:paraId="35BD4A0D" w14:textId="77777777" w:rsidR="00815C24" w:rsidRDefault="00815C24" w:rsidP="00546721">
      <w:pPr>
        <w:pStyle w:val="DissertationChapterName"/>
      </w:pPr>
      <w:r>
        <w:br w:type="page"/>
      </w:r>
      <w:bookmarkStart w:id="7" w:name="_Toc175413112"/>
      <w:r w:rsidRPr="00AF463B">
        <w:lastRenderedPageBreak/>
        <w:t>Glossary of Terms</w:t>
      </w:r>
      <w:bookmarkEnd w:id="7"/>
    </w:p>
    <w:p w14:paraId="3A6AEE9A" w14:textId="77777777" w:rsidR="00815C24" w:rsidRPr="00AF463B" w:rsidRDefault="00815C24" w:rsidP="00815C24">
      <w:pPr>
        <w:jc w:val="center"/>
        <w:rPr>
          <w:rFonts w:cs="Times New Roman"/>
          <w:b/>
          <w:bCs/>
        </w:rPr>
      </w:pPr>
    </w:p>
    <w:p w14:paraId="39CEB4C8" w14:textId="2E50F529" w:rsidR="00815C24" w:rsidRPr="00AF463B" w:rsidRDefault="00815C24" w:rsidP="00826D18">
      <w:pPr>
        <w:ind w:left="3600" w:hanging="3600"/>
        <w:rPr>
          <w:rFonts w:cs="Times New Roman"/>
        </w:rPr>
      </w:pPr>
      <w:r w:rsidRPr="00AF463B">
        <w:rPr>
          <w:rFonts w:cs="Times New Roman"/>
          <w:i/>
          <w:iCs/>
        </w:rPr>
        <w:t>Media Coverage:</w:t>
      </w:r>
      <w:r w:rsidRPr="00AF463B">
        <w:rPr>
          <w:rFonts w:cs="Times New Roman"/>
        </w:rPr>
        <w:t xml:space="preserve"> </w:t>
      </w:r>
      <w:r w:rsidR="00826D18">
        <w:rPr>
          <w:rFonts w:cs="Times New Roman"/>
        </w:rPr>
        <w:tab/>
      </w:r>
      <w:r w:rsidRPr="00AF463B">
        <w:rPr>
          <w:rFonts w:cs="Times New Roman"/>
          <w:color w:val="000000" w:themeColor="text1"/>
        </w:rPr>
        <w:t>News stories produced, framed, and disseminated to the international public by the journalists, editors and publishers that constitute the international news media.</w:t>
      </w:r>
    </w:p>
    <w:p w14:paraId="49FA3140" w14:textId="2C6C0845" w:rsidR="00815C24" w:rsidRPr="00AF463B" w:rsidRDefault="00815C24" w:rsidP="00826D18">
      <w:pPr>
        <w:pStyle w:val="NormalWeb"/>
        <w:spacing w:before="0" w:beforeAutospacing="0" w:after="120" w:afterAutospacing="0"/>
        <w:ind w:left="3600" w:hanging="3600"/>
      </w:pPr>
      <w:r w:rsidRPr="00AF463B">
        <w:rPr>
          <w:i/>
          <w:iCs/>
        </w:rPr>
        <w:t>News Bulletin:</w:t>
      </w:r>
      <w:r w:rsidRPr="00AF463B">
        <w:t xml:space="preserve"> </w:t>
      </w:r>
      <w:r w:rsidRPr="00AF463B">
        <w:tab/>
        <w:t xml:space="preserve">A concise and focused report or announcement designed to furnish audiences with the most recent and significant information on unfolding events, developments, or stories. News bulletins are pivotal in distributing up-to-the-minute information to the public, and are a prevalent component of the media landscape, offering a swift and easily accessible means for individuals to stay abreast of global affairs. In (written) print and online news, </w:t>
      </w:r>
      <w:r w:rsidR="00F74D09">
        <w:t>media</w:t>
      </w:r>
      <w:r w:rsidRPr="00AF463B">
        <w:t xml:space="preserve"> bulletins are typically generated and circulated by major news agencies and newswires.</w:t>
      </w:r>
    </w:p>
    <w:p w14:paraId="1E4040DD" w14:textId="21E8C2F6" w:rsidR="00815C24" w:rsidRPr="00AF463B" w:rsidRDefault="00815C24" w:rsidP="00815C24">
      <w:pPr>
        <w:ind w:left="3600" w:hanging="3600"/>
        <w:rPr>
          <w:rFonts w:cs="Times New Roman"/>
          <w:b/>
          <w:bCs/>
        </w:rPr>
      </w:pPr>
      <w:r w:rsidRPr="00AF463B">
        <w:rPr>
          <w:rFonts w:cs="Times New Roman"/>
          <w:i/>
          <w:iCs/>
        </w:rPr>
        <w:t>Media Coverage of Terrorism:</w:t>
      </w:r>
      <w:r w:rsidRPr="00AF463B">
        <w:rPr>
          <w:rFonts w:cs="Times New Roman"/>
          <w:b/>
          <w:bCs/>
        </w:rPr>
        <w:t xml:space="preserve"> </w:t>
      </w:r>
      <w:r w:rsidRPr="00AF463B">
        <w:rPr>
          <w:rFonts w:cs="Times New Roman"/>
          <w:b/>
          <w:bCs/>
        </w:rPr>
        <w:tab/>
      </w:r>
      <w:r w:rsidRPr="00AF463B">
        <w:rPr>
          <w:rFonts w:cs="Times New Roman"/>
        </w:rPr>
        <w:t>In the context of this dissertation</w:t>
      </w:r>
      <w:r w:rsidR="00A573EE">
        <w:rPr>
          <w:rFonts w:cs="Times New Roman"/>
        </w:rPr>
        <w:t xml:space="preserve">, </w:t>
      </w:r>
      <w:r w:rsidRPr="00AF463B">
        <w:rPr>
          <w:rFonts w:cs="Times New Roman"/>
        </w:rPr>
        <w:t xml:space="preserve">media coverage of terrorism </w:t>
      </w:r>
      <w:r w:rsidR="00542581">
        <w:rPr>
          <w:rFonts w:cs="Times New Roman"/>
        </w:rPr>
        <w:t xml:space="preserve">consists of </w:t>
      </w:r>
      <w:r w:rsidR="00F74D09">
        <w:rPr>
          <w:rFonts w:cs="Times New Roman"/>
        </w:rPr>
        <w:t>media</w:t>
      </w:r>
      <w:r w:rsidRPr="00AF463B">
        <w:rPr>
          <w:rFonts w:cs="Times New Roman"/>
        </w:rPr>
        <w:t xml:space="preserve"> bulletins about terrorists and terrorism</w:t>
      </w:r>
      <w:r w:rsidR="000D4834">
        <w:rPr>
          <w:rFonts w:cs="Times New Roman"/>
        </w:rPr>
        <w:t xml:space="preserve">, published by the </w:t>
      </w:r>
      <w:r w:rsidR="000D4834" w:rsidRPr="000D4834">
        <w:rPr>
          <w:rFonts w:cs="Times New Roman"/>
          <w:i/>
          <w:iCs/>
        </w:rPr>
        <w:t>Associated Press</w:t>
      </w:r>
      <w:r w:rsidR="000D4834">
        <w:rPr>
          <w:rFonts w:cs="Times New Roman"/>
        </w:rPr>
        <w:t xml:space="preserve"> (AP), </w:t>
      </w:r>
      <w:proofErr w:type="spellStart"/>
      <w:r w:rsidR="000D4834" w:rsidRPr="000D4834">
        <w:rPr>
          <w:rFonts w:cs="Times New Roman"/>
          <w:i/>
          <w:iCs/>
        </w:rPr>
        <w:t>Agence</w:t>
      </w:r>
      <w:proofErr w:type="spellEnd"/>
      <w:r w:rsidR="000D4834" w:rsidRPr="000D4834">
        <w:rPr>
          <w:rFonts w:cs="Times New Roman"/>
          <w:i/>
          <w:iCs/>
        </w:rPr>
        <w:t xml:space="preserve"> France-Presse</w:t>
      </w:r>
      <w:r w:rsidR="000D4834">
        <w:rPr>
          <w:rFonts w:cs="Times New Roman"/>
        </w:rPr>
        <w:t xml:space="preserve"> (AFP) and Reuters between January 1, 2012 and December 31, 2018 (inclusive),</w:t>
      </w:r>
      <w:r w:rsidRPr="00AF463B">
        <w:rPr>
          <w:rFonts w:cs="Times New Roman"/>
        </w:rPr>
        <w:t xml:space="preserve"> that I identify by conducting keyword searches for the following terms: “terror,” “terrorist,” “terrorists,” and “terrorism.”</w:t>
      </w:r>
    </w:p>
    <w:p w14:paraId="698432E6" w14:textId="77777777" w:rsidR="004547A8" w:rsidRDefault="00815C24" w:rsidP="004547A8">
      <w:r w:rsidRPr="00AF463B">
        <w:rPr>
          <w:i/>
          <w:iCs/>
        </w:rPr>
        <w:t>Terrorism:</w:t>
      </w:r>
      <w:r w:rsidRPr="00AF463B">
        <w:rPr>
          <w:b/>
          <w:bCs/>
        </w:rPr>
        <w:t xml:space="preserve"> </w:t>
      </w:r>
      <w:r w:rsidRPr="00AF463B">
        <w:rPr>
          <w:b/>
          <w:bCs/>
        </w:rPr>
        <w:tab/>
      </w:r>
      <w:r w:rsidR="004547A8">
        <w:rPr>
          <w:b/>
          <w:bCs/>
        </w:rPr>
        <w:tab/>
      </w:r>
      <w:r w:rsidR="004547A8">
        <w:rPr>
          <w:b/>
          <w:bCs/>
        </w:rPr>
        <w:tab/>
      </w:r>
      <w:r w:rsidR="004547A8">
        <w:rPr>
          <w:b/>
          <w:bCs/>
        </w:rPr>
        <w:tab/>
      </w:r>
      <w:r w:rsidRPr="00AF463B">
        <w:t xml:space="preserve">The intentional </w:t>
      </w:r>
      <w:r w:rsidR="00542581" w:rsidRPr="00AF463B">
        <w:t>threatening or</w:t>
      </w:r>
      <w:r w:rsidRPr="00AF463B">
        <w:t xml:space="preserve"> taking of criminal action designed </w:t>
      </w:r>
    </w:p>
    <w:p w14:paraId="2205253F" w14:textId="4F9385E3" w:rsidR="00815C24" w:rsidRPr="00AF463B" w:rsidRDefault="00815C24" w:rsidP="004547A8">
      <w:pPr>
        <w:ind w:left="3600"/>
      </w:pPr>
      <w:r w:rsidRPr="00AF463B">
        <w:t>to influence a state, an international organization, or another decision-making body’s taking of action or failure to take action by intimidating the general population. (Such actions include, but are not limited to, perpetrating homicide, actions that result in serious physical injury to persons, and the damage or destruction of property.)</w:t>
      </w:r>
    </w:p>
    <w:p w14:paraId="3A7295E3" w14:textId="77777777" w:rsidR="00815C24" w:rsidRPr="00AF463B" w:rsidRDefault="00815C24" w:rsidP="00815C24">
      <w:pPr>
        <w:ind w:left="3600" w:hanging="3600"/>
        <w:rPr>
          <w:rFonts w:cs="Times New Roman"/>
          <w:b/>
          <w:bCs/>
        </w:rPr>
      </w:pPr>
      <w:r w:rsidRPr="00AF463B">
        <w:rPr>
          <w:rFonts w:cs="Times New Roman"/>
          <w:i/>
          <w:iCs/>
        </w:rPr>
        <w:t>International (State) Legitimacy:</w:t>
      </w:r>
      <w:r w:rsidRPr="00AF463B">
        <w:rPr>
          <w:rFonts w:cs="Times New Roman"/>
          <w:b/>
          <w:bCs/>
        </w:rPr>
        <w:t xml:space="preserve"> </w:t>
      </w:r>
      <w:r w:rsidRPr="00AF463B">
        <w:rPr>
          <w:rFonts w:cs="Times New Roman"/>
          <w:b/>
          <w:bCs/>
        </w:rPr>
        <w:tab/>
      </w:r>
      <w:r w:rsidRPr="00AF463B">
        <w:rPr>
          <w:rFonts w:cs="Times New Roman"/>
        </w:rPr>
        <w:t xml:space="preserve">The extent that the state – as an international institution – is considered to have the “right to rule” in the context of the international system, predicated on perceptions of </w:t>
      </w:r>
      <w:r w:rsidRPr="00AF463B">
        <w:rPr>
          <w:rFonts w:cs="Times New Roman"/>
          <w:i/>
          <w:iCs/>
        </w:rPr>
        <w:t>legality</w:t>
      </w:r>
      <w:r w:rsidRPr="00AF463B">
        <w:rPr>
          <w:rFonts w:cs="Times New Roman"/>
        </w:rPr>
        <w:t xml:space="preserve">, </w:t>
      </w:r>
      <w:r w:rsidRPr="00AF463B">
        <w:rPr>
          <w:rFonts w:cs="Times New Roman"/>
          <w:i/>
          <w:iCs/>
        </w:rPr>
        <w:t>justification</w:t>
      </w:r>
      <w:r w:rsidRPr="00AF463B">
        <w:rPr>
          <w:rFonts w:cs="Times New Roman"/>
        </w:rPr>
        <w:t xml:space="preserve">, and the </w:t>
      </w:r>
      <w:r w:rsidRPr="00AF463B">
        <w:rPr>
          <w:rFonts w:cs="Times New Roman"/>
          <w:i/>
          <w:iCs/>
        </w:rPr>
        <w:t>consent</w:t>
      </w:r>
      <w:r w:rsidRPr="00AF463B">
        <w:rPr>
          <w:rFonts w:cs="Times New Roman"/>
        </w:rPr>
        <w:t xml:space="preserve"> of its governed. In other words, the extent to which the state is considered the primary actor of import in the conduct of international relations. International (state) legitimacy thus necessarily involves the inference of assumptions underlying state decision-making on the basis of actions that the state has undertaken (and conversely, refrained from taking).</w:t>
      </w:r>
    </w:p>
    <w:p w14:paraId="58ED018D" w14:textId="77777777" w:rsidR="00815C24" w:rsidRPr="00AF463B" w:rsidRDefault="00815C24" w:rsidP="00815C24">
      <w:pPr>
        <w:ind w:left="5040" w:hanging="1440"/>
        <w:rPr>
          <w:rFonts w:cs="Times New Roman"/>
          <w:b/>
          <w:bCs/>
        </w:rPr>
      </w:pPr>
      <w:r w:rsidRPr="00AF463B">
        <w:rPr>
          <w:rFonts w:cs="Times New Roman"/>
          <w:i/>
          <w:iCs/>
        </w:rPr>
        <w:t>Legality:</w:t>
      </w:r>
      <w:r w:rsidRPr="00AF463B">
        <w:rPr>
          <w:rFonts w:cs="Times New Roman"/>
          <w:color w:val="000000" w:themeColor="text1"/>
        </w:rPr>
        <w:t xml:space="preserve"> </w:t>
      </w:r>
      <w:r w:rsidRPr="00AF463B">
        <w:rPr>
          <w:rFonts w:cs="Times New Roman"/>
          <w:color w:val="000000" w:themeColor="text1"/>
        </w:rPr>
        <w:tab/>
        <w:t>Recognition of the validity of rules (that the legitimate entity supports or endeavors to impose on its subordinates)</w:t>
      </w:r>
    </w:p>
    <w:p w14:paraId="17616121" w14:textId="77777777" w:rsidR="00815C24" w:rsidRPr="00AF463B" w:rsidRDefault="00815C24" w:rsidP="00815C24">
      <w:pPr>
        <w:ind w:left="5040" w:hanging="1440"/>
        <w:rPr>
          <w:rFonts w:cs="Times New Roman"/>
          <w:b/>
          <w:bCs/>
        </w:rPr>
      </w:pPr>
      <w:r w:rsidRPr="00AF463B">
        <w:rPr>
          <w:rFonts w:cs="Times New Roman"/>
          <w:i/>
          <w:iCs/>
        </w:rPr>
        <w:t>Justification:</w:t>
      </w:r>
      <w:r w:rsidRPr="00AF463B">
        <w:rPr>
          <w:rFonts w:cs="Times New Roman"/>
          <w:i/>
          <w:iCs/>
          <w:color w:val="000000" w:themeColor="text1"/>
        </w:rPr>
        <w:t xml:space="preserve"> </w:t>
      </w:r>
      <w:r w:rsidRPr="00AF463B">
        <w:rPr>
          <w:rFonts w:cs="Times New Roman"/>
          <w:i/>
          <w:iCs/>
          <w:color w:val="000000" w:themeColor="text1"/>
        </w:rPr>
        <w:tab/>
      </w:r>
      <w:r w:rsidRPr="00AF463B">
        <w:rPr>
          <w:rFonts w:cs="Times New Roman"/>
          <w:color w:val="000000" w:themeColor="text1"/>
        </w:rPr>
        <w:t>The “generalized perception of the assumption that the actions of an entity are desirable, proper, or appropriate within some socially constructed system of norms, values, beliefs, and definitions.”</w:t>
      </w:r>
    </w:p>
    <w:p w14:paraId="0DD7FFD7" w14:textId="77777777" w:rsidR="00815C24" w:rsidRPr="00AF463B" w:rsidRDefault="00815C24" w:rsidP="00815C24">
      <w:pPr>
        <w:ind w:left="5040" w:hanging="1440"/>
        <w:rPr>
          <w:rFonts w:cs="Times New Roman"/>
          <w:color w:val="000000" w:themeColor="text1"/>
        </w:rPr>
      </w:pPr>
      <w:r w:rsidRPr="00AF463B">
        <w:rPr>
          <w:rFonts w:cs="Times New Roman"/>
          <w:i/>
          <w:iCs/>
        </w:rPr>
        <w:lastRenderedPageBreak/>
        <w:t>Consent:</w:t>
      </w:r>
      <w:r w:rsidRPr="00AF463B">
        <w:rPr>
          <w:rFonts w:cs="Times New Roman"/>
          <w:i/>
          <w:iCs/>
          <w:color w:val="000000" w:themeColor="text1"/>
        </w:rPr>
        <w:t xml:space="preserve"> </w:t>
      </w:r>
      <w:r w:rsidRPr="00AF463B">
        <w:rPr>
          <w:rFonts w:cs="Times New Roman"/>
          <w:i/>
          <w:iCs/>
          <w:color w:val="000000" w:themeColor="text1"/>
        </w:rPr>
        <w:tab/>
      </w:r>
      <w:r w:rsidRPr="00AF463B">
        <w:rPr>
          <w:rFonts w:cs="Times New Roman"/>
          <w:color w:val="000000" w:themeColor="text1"/>
        </w:rPr>
        <w:t>Subordinate (constituent) actions that indicate constituents’ acceptance of their dominant’s “right to rule.” In other words, “the extent to which [constituents’ acceptance of its governors’ “right to rule” is] confirmed in practices demonstrating compliance.”</w:t>
      </w:r>
    </w:p>
    <w:p w14:paraId="327E8E35" w14:textId="57E30E76" w:rsidR="00815C24" w:rsidRPr="00AF463B" w:rsidRDefault="00815C24" w:rsidP="00826D18">
      <w:pPr>
        <w:ind w:left="3600" w:hanging="3600"/>
        <w:rPr>
          <w:rFonts w:cs="Times New Roman"/>
          <w:b/>
          <w:bCs/>
        </w:rPr>
      </w:pPr>
      <w:r w:rsidRPr="00AF463B">
        <w:rPr>
          <w:rFonts w:cs="Times New Roman"/>
          <w:i/>
          <w:iCs/>
        </w:rPr>
        <w:t>Domestic Legitimacy:</w:t>
      </w:r>
      <w:r w:rsidRPr="00AF463B">
        <w:rPr>
          <w:rFonts w:cs="Times New Roman"/>
          <w:b/>
          <w:bCs/>
        </w:rPr>
        <w:t xml:space="preserve"> </w:t>
      </w:r>
      <w:r w:rsidRPr="00AF463B">
        <w:rPr>
          <w:rFonts w:cs="Times New Roman"/>
          <w:b/>
          <w:bCs/>
        </w:rPr>
        <w:tab/>
      </w:r>
      <w:r w:rsidRPr="00AF463B">
        <w:rPr>
          <w:rFonts w:cs="Times New Roman"/>
          <w:color w:val="000000" w:themeColor="text1"/>
        </w:rPr>
        <w:t xml:space="preserve">The authority that state actors exercise within the territory over which </w:t>
      </w:r>
      <w:r w:rsidR="000D4834">
        <w:rPr>
          <w:rFonts w:cs="Times New Roman"/>
          <w:color w:val="000000" w:themeColor="text1"/>
        </w:rPr>
        <w:t xml:space="preserve">each state claims </w:t>
      </w:r>
      <w:r w:rsidRPr="00AF463B">
        <w:rPr>
          <w:rFonts w:cs="Times New Roman"/>
          <w:color w:val="000000" w:themeColor="text1"/>
        </w:rPr>
        <w:t>sovereignty</w:t>
      </w:r>
      <w:r w:rsidR="000D4834">
        <w:rPr>
          <w:rFonts w:cs="Times New Roman"/>
          <w:color w:val="000000" w:themeColor="text1"/>
        </w:rPr>
        <w:t>.</w:t>
      </w:r>
    </w:p>
    <w:p w14:paraId="0D416F6A" w14:textId="0D0C1D35" w:rsidR="00815C24" w:rsidRPr="00AF463B" w:rsidRDefault="00815C24" w:rsidP="00826D18">
      <w:pPr>
        <w:ind w:left="3600" w:hanging="3600"/>
      </w:pPr>
      <w:r w:rsidRPr="00AF463B">
        <w:rPr>
          <w:i/>
          <w:iCs/>
        </w:rPr>
        <w:t>Constituents:</w:t>
      </w:r>
      <w:r w:rsidR="00826D18">
        <w:rPr>
          <w:i/>
          <w:iCs/>
        </w:rPr>
        <w:tab/>
      </w:r>
      <w:r w:rsidRPr="00AF463B">
        <w:t xml:space="preserve">Actors that are subject to the </w:t>
      </w:r>
      <w:r w:rsidR="00542581">
        <w:t xml:space="preserve">legal and/or political </w:t>
      </w:r>
      <w:r w:rsidRPr="00AF463B">
        <w:t>authority of the regime (or institution) in question.</w:t>
      </w:r>
    </w:p>
    <w:p w14:paraId="225BDB80" w14:textId="20DB731E" w:rsidR="00815C24" w:rsidRPr="00AF463B" w:rsidRDefault="00815C24" w:rsidP="00826D18">
      <w:pPr>
        <w:ind w:left="3600" w:hanging="3600"/>
        <w:rPr>
          <w:rFonts w:cs="Times New Roman"/>
        </w:rPr>
      </w:pPr>
      <w:r w:rsidRPr="00AF463B">
        <w:rPr>
          <w:rFonts w:cs="Times New Roman"/>
          <w:i/>
          <w:iCs/>
        </w:rPr>
        <w:t>Post-Modern Warfare:</w:t>
      </w:r>
      <w:r w:rsidRPr="00AF463B">
        <w:rPr>
          <w:rFonts w:cs="Times New Roman"/>
          <w:i/>
          <w:iCs/>
          <w:color w:val="000000" w:themeColor="text1"/>
        </w:rPr>
        <w:t xml:space="preserve"> </w:t>
      </w:r>
      <w:r w:rsidRPr="00AF463B">
        <w:rPr>
          <w:rFonts w:cs="Times New Roman"/>
          <w:i/>
          <w:iCs/>
          <w:color w:val="000000" w:themeColor="text1"/>
        </w:rPr>
        <w:tab/>
      </w:r>
      <w:r w:rsidR="00542581">
        <w:rPr>
          <w:rFonts w:cs="Times New Roman"/>
        </w:rPr>
        <w:t>D</w:t>
      </w:r>
      <w:r w:rsidRPr="00AF463B">
        <w:rPr>
          <w:rFonts w:cs="Times New Roman"/>
        </w:rPr>
        <w:t xml:space="preserve">ecentralized warfare characterized by a mixture of conventional and asymmetrical conflict that is motivated largely based on “identity politics,” and does not limit participation to states. To that end, post-modern warfare is </w:t>
      </w:r>
      <w:r w:rsidRPr="00AF463B">
        <w:rPr>
          <w:rFonts w:cs="Times New Roman"/>
          <w:color w:val="000000" w:themeColor="text1"/>
        </w:rPr>
        <w:t>a macro-level process that affects the evolving character of the international system and the conduct of international relations.</w:t>
      </w:r>
    </w:p>
    <w:p w14:paraId="39007480" w14:textId="7468D162" w:rsidR="00815C24" w:rsidRPr="00AF463B" w:rsidRDefault="00000000" w:rsidP="00826D18">
      <w:pPr>
        <w:ind w:left="3600" w:hanging="3600"/>
        <w:rPr>
          <w:rFonts w:cs="Times New Roman"/>
        </w:rPr>
      </w:pP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0</m:t>
            </m:r>
          </m:sub>
        </m:sSub>
      </m:oMath>
      <w:r w:rsidR="00815C24" w:rsidRPr="00AF463B">
        <w:rPr>
          <w:rFonts w:cs="Times New Roman"/>
          <w:i/>
          <w:iCs/>
        </w:rPr>
        <w:t xml:space="preserve">: </w:t>
      </w:r>
      <w:r w:rsidR="00826D18">
        <w:rPr>
          <w:rFonts w:cs="Times New Roman"/>
          <w:i/>
          <w:iCs/>
        </w:rPr>
        <w:tab/>
      </w:r>
      <w:r w:rsidR="00815C24" w:rsidRPr="00AF463B">
        <w:rPr>
          <w:rFonts w:cs="Times New Roman"/>
          <w:color w:val="000000" w:themeColor="text1"/>
        </w:rPr>
        <w:t>An aggregate measure of media coverage of terrorism comprised of three subsets:</w:t>
      </w:r>
    </w:p>
    <w:p w14:paraId="6182126A" w14:textId="30D8C512" w:rsidR="00815C24" w:rsidRPr="00AF463B" w:rsidRDefault="00000000" w:rsidP="00826D18">
      <w:pPr>
        <w:ind w:left="2880" w:firstLine="720"/>
        <w:rPr>
          <w:rFonts w:cs="Times New Roman"/>
        </w:rPr>
      </w:pP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1</m:t>
            </m:r>
          </m:sub>
        </m:sSub>
      </m:oMath>
      <w:r w:rsidR="00815C24" w:rsidRPr="00AF463B">
        <w:rPr>
          <w:rFonts w:cs="Times New Roman"/>
          <w:i/>
          <w:iCs/>
        </w:rPr>
        <w:t>:</w:t>
      </w:r>
      <w:r w:rsidR="00815C24" w:rsidRPr="00AF463B">
        <w:rPr>
          <w:rFonts w:cs="Times New Roman"/>
          <w:b/>
          <w:bCs/>
        </w:rPr>
        <w:t xml:space="preserve"> </w:t>
      </w:r>
      <w:r w:rsidR="00815C24" w:rsidRPr="00AF463B">
        <w:rPr>
          <w:rFonts w:cs="Times New Roman"/>
          <w:b/>
          <w:bCs/>
        </w:rPr>
        <w:tab/>
      </w:r>
      <w:r w:rsidR="00815C24" w:rsidRPr="00AF463B">
        <w:rPr>
          <w:rFonts w:cs="Times New Roman"/>
        </w:rPr>
        <w:t xml:space="preserve">Media coverage of terrorism produced by </w:t>
      </w:r>
      <w:r w:rsidR="00815C24" w:rsidRPr="00AF463B">
        <w:rPr>
          <w:rFonts w:cs="Times New Roman"/>
          <w:i/>
          <w:iCs/>
        </w:rPr>
        <w:t>Reuters</w:t>
      </w:r>
      <w:r w:rsidR="00815C24" w:rsidRPr="00AF463B">
        <w:rPr>
          <w:rFonts w:cs="Times New Roman"/>
        </w:rPr>
        <w:t xml:space="preserve">. </w:t>
      </w:r>
    </w:p>
    <w:p w14:paraId="56094406" w14:textId="47A889F7" w:rsidR="00815C24" w:rsidRPr="00AF463B" w:rsidRDefault="00815C24" w:rsidP="00826D18">
      <w:pPr>
        <w:ind w:left="4320"/>
        <w:rPr>
          <w:rFonts w:cs="Times New Roman"/>
        </w:rPr>
      </w:pPr>
      <w:r w:rsidRPr="00AF463B">
        <w:rPr>
          <w:rFonts w:cs="Times New Roman"/>
        </w:rPr>
        <w:t>To calculate</w:t>
      </w:r>
      <w:r w:rsidR="005B34A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AF463B">
        <w:rPr>
          <w:rFonts w:cs="Times New Roman"/>
        </w:rPr>
        <w:t xml:space="preserve">, I used the Dow Jones Factiva Service (DJFS) to conduct keyword searches for “terror,” “terrorist,” “terrorists,” and “terrorism,” on its records of media coverage produced by </w:t>
      </w:r>
      <w:r w:rsidRPr="00AF463B">
        <w:rPr>
          <w:rFonts w:cs="Times New Roman"/>
          <w:i/>
          <w:iCs/>
        </w:rPr>
        <w:t xml:space="preserve">Reuters </w:t>
      </w:r>
      <w:r w:rsidRPr="00AF463B">
        <w:rPr>
          <w:rFonts w:cs="Times New Roman"/>
        </w:rPr>
        <w:t xml:space="preserve">between 2012 and 2018. I then enumerated the number of </w:t>
      </w:r>
      <w:r w:rsidR="00F74D09">
        <w:rPr>
          <w:rFonts w:cs="Times New Roman"/>
        </w:rPr>
        <w:t>media</w:t>
      </w:r>
      <w:r w:rsidRPr="00AF463B">
        <w:rPr>
          <w:rFonts w:cs="Times New Roman"/>
        </w:rPr>
        <w:t xml:space="preserve"> bulletins containing at least one of these keywords published on each day of my sampling </w:t>
      </w:r>
      <w:r w:rsidR="00542581" w:rsidRPr="00AF463B">
        <w:rPr>
          <w:rFonts w:cs="Times New Roman"/>
        </w:rPr>
        <w:t>frame and</w:t>
      </w:r>
      <w:r w:rsidRPr="00AF463B">
        <w:rPr>
          <w:rFonts w:cs="Times New Roman"/>
        </w:rPr>
        <w:t xml:space="preserve"> calculated the frequency of </w:t>
      </w:r>
      <w:r w:rsidRPr="00AF463B">
        <w:rPr>
          <w:rFonts w:cs="Times New Roman"/>
          <w:i/>
          <w:iCs/>
        </w:rPr>
        <w:t>Reuters’</w:t>
      </w:r>
      <w:r w:rsidRPr="00AF463B">
        <w:rPr>
          <w:rFonts w:cs="Times New Roman"/>
        </w:rPr>
        <w:t xml:space="preserve"> media coverage of terrorism by comparing the resulting statistic to the total number of </w:t>
      </w:r>
      <w:r w:rsidR="00F74D09">
        <w:rPr>
          <w:rFonts w:cs="Times New Roman"/>
        </w:rPr>
        <w:t>media</w:t>
      </w:r>
      <w:r w:rsidRPr="00AF463B">
        <w:rPr>
          <w:rFonts w:cs="Times New Roman"/>
        </w:rPr>
        <w:t xml:space="preserve"> bulletins produced by </w:t>
      </w:r>
      <w:r w:rsidRPr="00AF463B">
        <w:rPr>
          <w:rFonts w:cs="Times New Roman"/>
          <w:i/>
          <w:iCs/>
        </w:rPr>
        <w:t>Reuters</w:t>
      </w:r>
      <w:r w:rsidRPr="00AF463B">
        <w:rPr>
          <w:rFonts w:cs="Times New Roman"/>
        </w:rPr>
        <w:t xml:space="preserve"> each day.</w:t>
      </w:r>
    </w:p>
    <w:p w14:paraId="3C837A03" w14:textId="77AD59D5" w:rsidR="00815C24" w:rsidRPr="00AF463B" w:rsidRDefault="00000000" w:rsidP="00826D18">
      <w:pPr>
        <w:ind w:left="4320" w:hanging="720"/>
        <w:rPr>
          <w:rFonts w:cs="Times New Roman"/>
        </w:rPr>
      </w:pP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2</m:t>
            </m:r>
          </m:sub>
        </m:sSub>
      </m:oMath>
      <w:r w:rsidR="00815C24" w:rsidRPr="00AF463B">
        <w:rPr>
          <w:rFonts w:cs="Times New Roman"/>
          <w:i/>
          <w:iCs/>
        </w:rPr>
        <w:t>:</w:t>
      </w:r>
      <w:r w:rsidR="00815C24" w:rsidRPr="00AF463B">
        <w:rPr>
          <w:rFonts w:cs="Times New Roman"/>
        </w:rPr>
        <w:t xml:space="preserve"> </w:t>
      </w:r>
      <w:r w:rsidR="00815C24" w:rsidRPr="00AF463B">
        <w:rPr>
          <w:rFonts w:cs="Times New Roman"/>
        </w:rPr>
        <w:tab/>
        <w:t xml:space="preserve">Media coverage of terrorism produced by the </w:t>
      </w:r>
      <w:r w:rsidR="00815C24" w:rsidRPr="00AF463B">
        <w:rPr>
          <w:rFonts w:cs="Times New Roman"/>
          <w:i/>
          <w:iCs/>
        </w:rPr>
        <w:t>Associated Press</w:t>
      </w:r>
      <w:r w:rsidR="00815C24" w:rsidRPr="00AF463B">
        <w:rPr>
          <w:rFonts w:cs="Times New Roman"/>
        </w:rPr>
        <w:t xml:space="preserve"> (AP).</w:t>
      </w:r>
    </w:p>
    <w:p w14:paraId="1AECAB25" w14:textId="491EBE52" w:rsidR="00826D18" w:rsidRDefault="00815C24" w:rsidP="00826D18">
      <w:pPr>
        <w:ind w:left="5040"/>
        <w:rPr>
          <w:rFonts w:cs="Times New Roman"/>
        </w:rPr>
      </w:pPr>
      <w:r w:rsidRPr="00AF463B">
        <w:rPr>
          <w:rFonts w:cs="Times New Roman"/>
        </w:rPr>
        <w:t>To calculate</w:t>
      </w:r>
      <w:r w:rsidR="005B34A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AF463B">
        <w:rPr>
          <w:rFonts w:cs="Times New Roman"/>
        </w:rPr>
        <w:t xml:space="preserve">, I conducted keyword searches for “terror,” “terrorist,” “terrorists,” and “terrorism,” on the NexisUni database’s records of media coverage produced by the </w:t>
      </w:r>
      <w:r w:rsidRPr="00AF463B">
        <w:rPr>
          <w:rFonts w:cs="Times New Roman"/>
          <w:i/>
          <w:iCs/>
        </w:rPr>
        <w:t xml:space="preserve">AP </w:t>
      </w:r>
      <w:r w:rsidRPr="00AF463B">
        <w:rPr>
          <w:rFonts w:cs="Times New Roman"/>
        </w:rPr>
        <w:t xml:space="preserve">between 2012 and 2018. I then enumerated the number of </w:t>
      </w:r>
      <w:r w:rsidR="00F74D09">
        <w:rPr>
          <w:rFonts w:cs="Times New Roman"/>
        </w:rPr>
        <w:t>media</w:t>
      </w:r>
      <w:r w:rsidRPr="00AF463B">
        <w:rPr>
          <w:rFonts w:cs="Times New Roman"/>
        </w:rPr>
        <w:t xml:space="preserve"> bulletins containing at least one of these keywords published on each day of my sampling </w:t>
      </w:r>
      <w:r w:rsidR="00542581" w:rsidRPr="00AF463B">
        <w:rPr>
          <w:rFonts w:cs="Times New Roman"/>
        </w:rPr>
        <w:t>frame and</w:t>
      </w:r>
      <w:r w:rsidRPr="00AF463B">
        <w:rPr>
          <w:rFonts w:cs="Times New Roman"/>
        </w:rPr>
        <w:t xml:space="preserve"> calculated the frequency of the </w:t>
      </w:r>
      <w:r w:rsidRPr="00AF463B">
        <w:rPr>
          <w:rFonts w:cs="Times New Roman"/>
          <w:i/>
          <w:iCs/>
        </w:rPr>
        <w:t>AP</w:t>
      </w:r>
      <w:r w:rsidRPr="00AF463B">
        <w:rPr>
          <w:rFonts w:cs="Times New Roman"/>
        </w:rPr>
        <w:t xml:space="preserve">’s media coverage of terrorism by comparing the resulting statistic to the total number of </w:t>
      </w:r>
      <w:r w:rsidR="00F74D09">
        <w:rPr>
          <w:rFonts w:cs="Times New Roman"/>
        </w:rPr>
        <w:t>media</w:t>
      </w:r>
      <w:r w:rsidRPr="00AF463B">
        <w:rPr>
          <w:rFonts w:cs="Times New Roman"/>
        </w:rPr>
        <w:t xml:space="preserve"> bulletins produced by the </w:t>
      </w:r>
      <w:r w:rsidRPr="00AF463B">
        <w:rPr>
          <w:rFonts w:cs="Times New Roman"/>
          <w:i/>
          <w:iCs/>
        </w:rPr>
        <w:t xml:space="preserve">AP </w:t>
      </w:r>
      <w:r w:rsidRPr="00AF463B">
        <w:rPr>
          <w:rFonts w:cs="Times New Roman"/>
        </w:rPr>
        <w:t>each day.</w:t>
      </w:r>
    </w:p>
    <w:p w14:paraId="3B782821" w14:textId="77777777" w:rsidR="00826D18" w:rsidRDefault="00826D18">
      <w:pPr>
        <w:spacing w:before="0" w:after="0"/>
        <w:rPr>
          <w:rFonts w:cs="Times New Roman"/>
        </w:rPr>
      </w:pPr>
      <w:r>
        <w:rPr>
          <w:rFonts w:cs="Times New Roman"/>
        </w:rPr>
        <w:br w:type="page"/>
      </w:r>
    </w:p>
    <w:p w14:paraId="740D9BCB" w14:textId="77777777" w:rsidR="00815C24" w:rsidRPr="00AF463B" w:rsidRDefault="00815C24" w:rsidP="00826D18">
      <w:pPr>
        <w:ind w:left="5040"/>
        <w:rPr>
          <w:rFonts w:cs="Times New Roman"/>
        </w:rPr>
      </w:pPr>
    </w:p>
    <w:p w14:paraId="046E6D0E" w14:textId="17ABFD57" w:rsidR="00815C24" w:rsidRPr="00AF463B" w:rsidRDefault="00000000" w:rsidP="00826D18">
      <w:pPr>
        <w:ind w:left="4320" w:hanging="720"/>
        <w:rPr>
          <w:rFonts w:cs="Times New Roman"/>
        </w:rPr>
      </w:pPr>
      <m:oMath>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3</m:t>
            </m:r>
          </m:sub>
        </m:sSub>
      </m:oMath>
      <w:r w:rsidR="00815C24" w:rsidRPr="00AF463B">
        <w:rPr>
          <w:rFonts w:cs="Times New Roman"/>
          <w:i/>
          <w:iCs/>
        </w:rPr>
        <w:t>:</w:t>
      </w:r>
      <w:r w:rsidR="00815C24" w:rsidRPr="00AF463B">
        <w:rPr>
          <w:rFonts w:cs="Times New Roman"/>
        </w:rPr>
        <w:t xml:space="preserve"> </w:t>
      </w:r>
      <w:r w:rsidR="00815C24" w:rsidRPr="00AF463B">
        <w:rPr>
          <w:rFonts w:cs="Times New Roman"/>
        </w:rPr>
        <w:tab/>
        <w:t xml:space="preserve">Media coverage of terrorism produced by </w:t>
      </w:r>
      <w:proofErr w:type="spellStart"/>
      <w:r w:rsidR="00815C24" w:rsidRPr="00AF463B">
        <w:rPr>
          <w:rFonts w:cs="Times New Roman"/>
          <w:i/>
          <w:iCs/>
        </w:rPr>
        <w:t>Agence</w:t>
      </w:r>
      <w:proofErr w:type="spellEnd"/>
      <w:r w:rsidR="00815C24" w:rsidRPr="00AF463B">
        <w:rPr>
          <w:rFonts w:cs="Times New Roman"/>
          <w:i/>
          <w:iCs/>
        </w:rPr>
        <w:t xml:space="preserve"> France-Presse</w:t>
      </w:r>
      <w:r w:rsidR="00815C24" w:rsidRPr="00AF463B">
        <w:rPr>
          <w:rFonts w:cs="Times New Roman"/>
        </w:rPr>
        <w:t xml:space="preserve"> (AFP).</w:t>
      </w:r>
    </w:p>
    <w:p w14:paraId="1B5A77EC" w14:textId="5E68CE57" w:rsidR="00815C24" w:rsidRPr="00AF463B" w:rsidRDefault="00815C24" w:rsidP="00826D18">
      <w:pPr>
        <w:ind w:left="5040"/>
        <w:rPr>
          <w:rFonts w:cs="Times New Roman"/>
        </w:rPr>
      </w:pPr>
      <w:r w:rsidRPr="00AF463B">
        <w:rPr>
          <w:rFonts w:cs="Times New Roman"/>
        </w:rPr>
        <w:t>To calculate</w:t>
      </w:r>
      <w:r w:rsidR="005B34A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AF463B">
        <w:rPr>
          <w:rFonts w:cs="Times New Roman"/>
        </w:rPr>
        <w:t xml:space="preserve">, I conducted keyword searches for “terror,” “terrorist,” “terrorists,” and “terrorism,” on the NesixUni database’s records of English-language media coverage produced by </w:t>
      </w:r>
      <w:r w:rsidRPr="00AF463B">
        <w:rPr>
          <w:rFonts w:cs="Times New Roman"/>
          <w:i/>
          <w:iCs/>
        </w:rPr>
        <w:t xml:space="preserve">AFP </w:t>
      </w:r>
      <w:r w:rsidRPr="00AF463B">
        <w:rPr>
          <w:rFonts w:cs="Times New Roman"/>
        </w:rPr>
        <w:t xml:space="preserve">between 2012 and 2018. I then enumerated the number of </w:t>
      </w:r>
      <w:r w:rsidR="00F74D09">
        <w:rPr>
          <w:rFonts w:cs="Times New Roman"/>
        </w:rPr>
        <w:t>media</w:t>
      </w:r>
      <w:r w:rsidRPr="00AF463B">
        <w:rPr>
          <w:rFonts w:cs="Times New Roman"/>
        </w:rPr>
        <w:t xml:space="preserve"> bulletins containing at least one of these keywords published on each day of my sampling </w:t>
      </w:r>
      <w:r w:rsidR="00542581" w:rsidRPr="00AF463B">
        <w:rPr>
          <w:rFonts w:cs="Times New Roman"/>
        </w:rPr>
        <w:t>frame and</w:t>
      </w:r>
      <w:r w:rsidRPr="00AF463B">
        <w:rPr>
          <w:rFonts w:cs="Times New Roman"/>
        </w:rPr>
        <w:t xml:space="preserve"> calculated the frequency of </w:t>
      </w:r>
      <w:r w:rsidRPr="00AF463B">
        <w:rPr>
          <w:rFonts w:cs="Times New Roman"/>
          <w:i/>
          <w:iCs/>
        </w:rPr>
        <w:t>AFP</w:t>
      </w:r>
      <w:r w:rsidRPr="00AF463B">
        <w:rPr>
          <w:rFonts w:cs="Times New Roman"/>
        </w:rPr>
        <w:t xml:space="preserve">’s English-language media coverage of terrorism by comparing the resulting statistic to the total number of English-language </w:t>
      </w:r>
      <w:r w:rsidR="00F74D09">
        <w:rPr>
          <w:rFonts w:cs="Times New Roman"/>
        </w:rPr>
        <w:t>media</w:t>
      </w:r>
      <w:r w:rsidRPr="00AF463B">
        <w:rPr>
          <w:rFonts w:cs="Times New Roman"/>
        </w:rPr>
        <w:t xml:space="preserve"> bulletins produced by </w:t>
      </w:r>
      <w:r w:rsidRPr="00AF463B">
        <w:rPr>
          <w:rFonts w:cs="Times New Roman"/>
          <w:i/>
          <w:iCs/>
        </w:rPr>
        <w:t>AFP</w:t>
      </w:r>
      <w:r w:rsidRPr="00AF463B">
        <w:rPr>
          <w:rFonts w:cs="Times New Roman"/>
        </w:rPr>
        <w:t xml:space="preserve"> each day.</w:t>
      </w:r>
    </w:p>
    <w:p w14:paraId="78B7574C" w14:textId="7C73EA1C" w:rsidR="00815C24" w:rsidRPr="00AF463B" w:rsidRDefault="00000000" w:rsidP="00826D18">
      <w:pPr>
        <w:ind w:left="3600" w:hanging="3600"/>
        <w:rPr>
          <w:rFonts w:cs="Times New Roman"/>
        </w:rPr>
      </w:pPr>
      <m:oMath>
        <m:sSub>
          <m:sSubPr>
            <m:ctrlPr>
              <w:rPr>
                <w:rFonts w:ascii="Cambria Math" w:hAnsi="Cambria Math" w:cs="Times New Roman"/>
                <w:i/>
                <w:iCs/>
              </w:rPr>
            </m:ctrlPr>
          </m:sSubPr>
          <m:e>
            <m:r>
              <w:rPr>
                <w:rFonts w:ascii="Cambria Math" w:hAnsi="Cambria Math" w:cs="Times New Roman"/>
              </w:rPr>
              <m:t>D</m:t>
            </m:r>
          </m:e>
          <m:sub>
            <m:r>
              <w:rPr>
                <w:rFonts w:ascii="Cambria Math" w:hAnsi="Cambria Math" w:cs="Times New Roman"/>
              </w:rPr>
              <m:t>0</m:t>
            </m:r>
          </m:sub>
        </m:sSub>
      </m:oMath>
      <w:r w:rsidR="00815C24" w:rsidRPr="00AF463B">
        <w:rPr>
          <w:rFonts w:cs="Times New Roman"/>
          <w:i/>
          <w:iCs/>
        </w:rPr>
        <w:t xml:space="preserve">: </w:t>
      </w:r>
      <w:r w:rsidR="00826D18">
        <w:rPr>
          <w:rFonts w:cs="Times New Roman"/>
          <w:i/>
          <w:iCs/>
        </w:rPr>
        <w:tab/>
      </w:r>
      <w:r w:rsidR="00815C24" w:rsidRPr="00AF463B">
        <w:rPr>
          <w:rFonts w:cs="Times New Roman"/>
        </w:rPr>
        <w:t xml:space="preserve">International (state) legitimacy. </w:t>
      </w:r>
      <w:r w:rsidR="00542581" w:rsidRPr="00AF463B">
        <w:rPr>
          <w:rFonts w:cs="Times New Roman"/>
        </w:rPr>
        <w:t>Or</w:t>
      </w:r>
      <w:r w:rsidR="00815C24" w:rsidRPr="00AF463B">
        <w:rPr>
          <w:rFonts w:cs="Times New Roman"/>
        </w:rPr>
        <w:t xml:space="preserve"> the legitimacy of the state as an international institution.</w:t>
      </w:r>
    </w:p>
    <w:p w14:paraId="2C9CF226" w14:textId="147E23A5" w:rsidR="00815C24" w:rsidRPr="005B34A9" w:rsidRDefault="00815C24" w:rsidP="00826D18">
      <w:pPr>
        <w:ind w:left="4320"/>
        <w:rPr>
          <w:rFonts w:cs="Times New Roman"/>
          <w:color w:val="000000" w:themeColor="text1"/>
        </w:rPr>
      </w:pPr>
      <w:r w:rsidRPr="00AF463B">
        <w:rPr>
          <w:rFonts w:cs="Times New Roman"/>
        </w:rPr>
        <w:t>To calculate</w:t>
      </w:r>
      <w:r w:rsidR="005B34A9">
        <w:rPr>
          <w:rFonts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AF463B">
        <w:rPr>
          <w:rFonts w:cs="Times New Roman"/>
        </w:rPr>
        <w:t xml:space="preserve">, I rely on David Beetham’s </w:t>
      </w:r>
      <w:r w:rsidRPr="00AF463B">
        <w:rPr>
          <w:rFonts w:cs="Times New Roman"/>
          <w:color w:val="000000" w:themeColor="text1"/>
        </w:rPr>
        <w:t xml:space="preserve">proposal for a tripartite understanding of legitimacy as necessarily involving three equally weighted elements: </w:t>
      </w:r>
      <w:r w:rsidRPr="00AF463B">
        <w:rPr>
          <w:rFonts w:cs="Times New Roman"/>
          <w:i/>
          <w:iCs/>
          <w:color w:val="000000" w:themeColor="text1"/>
        </w:rPr>
        <w:t>legality</w:t>
      </w:r>
      <w:r w:rsidRPr="00AF463B">
        <w:rPr>
          <w:rFonts w:cs="Times New Roman"/>
          <w:color w:val="000000" w:themeColor="text1"/>
        </w:rPr>
        <w:t xml:space="preserve">, </w:t>
      </w:r>
      <w:r w:rsidRPr="00AF463B">
        <w:rPr>
          <w:rFonts w:cs="Times New Roman"/>
          <w:i/>
          <w:iCs/>
          <w:color w:val="000000" w:themeColor="text1"/>
        </w:rPr>
        <w:t>justification</w:t>
      </w:r>
      <w:r w:rsidRPr="00AF463B">
        <w:rPr>
          <w:rFonts w:cs="Times New Roman"/>
          <w:color w:val="000000" w:themeColor="text1"/>
        </w:rPr>
        <w:t xml:space="preserve">, and </w:t>
      </w:r>
      <w:r w:rsidRPr="00AF463B">
        <w:rPr>
          <w:rFonts w:cs="Times New Roman"/>
          <w:i/>
          <w:iCs/>
          <w:color w:val="000000" w:themeColor="text1"/>
        </w:rPr>
        <w:t>consent.</w:t>
      </w:r>
      <w:r w:rsidRPr="00AF463B">
        <w:rPr>
          <w:rFonts w:cs="Times New Roman"/>
          <w:color w:val="000000" w:themeColor="text1"/>
        </w:rPr>
        <w:t xml:space="preserve"> I quantify </w:t>
      </w:r>
      <w:r w:rsidRPr="00AF463B">
        <w:rPr>
          <w:rFonts w:cs="Times New Roman"/>
          <w:i/>
          <w:iCs/>
          <w:color w:val="000000" w:themeColor="text1"/>
        </w:rPr>
        <w:t>legality</w:t>
      </w:r>
      <w:r w:rsidRPr="00AF463B">
        <w:rPr>
          <w:rFonts w:cs="Times New Roman"/>
          <w:color w:val="000000" w:themeColor="text1"/>
        </w:rPr>
        <w:t xml:space="preserve"> based on the measurement of </w:t>
      </w:r>
      <m:oMath>
        <m:r>
          <w:rPr>
            <w:rFonts w:ascii="Cambria Math" w:hAnsi="Cambria Math" w:cs="Times New Roman"/>
            <w:color w:val="000000" w:themeColor="text1"/>
          </w:rPr>
          <m:t>P1</m:t>
        </m:r>
      </m:oMath>
      <w:r w:rsidRPr="00AF463B">
        <w:rPr>
          <w:rFonts w:cs="Times New Roman"/>
          <w:color w:val="000000" w:themeColor="text1"/>
        </w:rPr>
        <w:t xml:space="preserve">: State Legitimacy established by the Fragile States Index (FSI). </w:t>
      </w:r>
      <w:r w:rsidR="005B34A9">
        <w:rPr>
          <w:rFonts w:cs="Times New Roman"/>
          <w:color w:val="000000" w:themeColor="text1"/>
        </w:rPr>
        <w:t>I quantify</w:t>
      </w:r>
      <w:r w:rsidR="005B34A9" w:rsidRPr="00AF463B">
        <w:rPr>
          <w:rFonts w:cs="Times New Roman"/>
          <w:color w:val="000000" w:themeColor="text1"/>
        </w:rPr>
        <w:t xml:space="preserve"> </w:t>
      </w:r>
      <w:r w:rsidR="005B34A9" w:rsidRPr="00AF463B">
        <w:rPr>
          <w:rFonts w:cs="Times New Roman"/>
          <w:i/>
          <w:iCs/>
          <w:color w:val="000000" w:themeColor="text1"/>
        </w:rPr>
        <w:t>justification</w:t>
      </w:r>
      <w:r w:rsidR="005B34A9" w:rsidRPr="00AF463B">
        <w:rPr>
          <w:rFonts w:cs="Times New Roman"/>
          <w:color w:val="000000" w:themeColor="text1"/>
        </w:rPr>
        <w:t xml:space="preserve"> </w:t>
      </w:r>
      <w:r w:rsidR="005B34A9">
        <w:rPr>
          <w:rFonts w:cs="Times New Roman"/>
          <w:color w:val="000000" w:themeColor="text1"/>
        </w:rPr>
        <w:t xml:space="preserve">based on the Rule of Law Index’s measurement of the extent to which </w:t>
      </w:r>
      <w:r w:rsidR="005B34A9" w:rsidRPr="00411513">
        <w:rPr>
          <w:rFonts w:cs="Times New Roman"/>
        </w:rPr>
        <w:t>country practice adheres to the rule of law</w:t>
      </w:r>
      <w:r w:rsidR="005B34A9">
        <w:rPr>
          <w:rFonts w:cs="Times New Roman"/>
        </w:rPr>
        <w:t xml:space="preserve"> (</w:t>
      </w:r>
      <m:oMath>
        <m:r>
          <w:rPr>
            <w:rFonts w:ascii="Cambria Math" w:hAnsi="Cambria Math" w:cs="Times New Roman"/>
          </w:rPr>
          <m:t>l</m:t>
        </m:r>
      </m:oMath>
      <w:r w:rsidR="005B34A9">
        <w:rPr>
          <w:rFonts w:cs="Times New Roman"/>
        </w:rPr>
        <w:t xml:space="preserve">). </w:t>
      </w:r>
      <w:r w:rsidRPr="00AF463B">
        <w:rPr>
          <w:rFonts w:cs="Times New Roman"/>
          <w:color w:val="000000" w:themeColor="text1"/>
        </w:rPr>
        <w:t xml:space="preserve">I quantify </w:t>
      </w:r>
      <w:r w:rsidRPr="00AF463B">
        <w:rPr>
          <w:rFonts w:cs="Times New Roman"/>
          <w:i/>
          <w:iCs/>
          <w:color w:val="000000" w:themeColor="text1"/>
        </w:rPr>
        <w:t>consent</w:t>
      </w:r>
      <w:r w:rsidRPr="00AF463B">
        <w:rPr>
          <w:rFonts w:cs="Times New Roman"/>
          <w:color w:val="000000" w:themeColor="text1"/>
        </w:rPr>
        <w:t xml:space="preserve"> based on the percentage of United Nations member states that have representatives present at each substantive vote conducted by the General Assembly in each year of my sampling frame.</w:t>
      </w:r>
    </w:p>
    <w:p w14:paraId="1C02793E" w14:textId="514AE727"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News Cycle:</w:t>
      </w:r>
      <w:r w:rsidR="00826D18">
        <w:rPr>
          <w:rFonts w:eastAsia="Times New Roman" w:cs="Times New Roman"/>
          <w:i/>
          <w:iCs/>
          <w:color w:val="0F0F0F"/>
        </w:rPr>
        <w:tab/>
      </w:r>
      <w:r w:rsidRPr="00AF463B">
        <w:rPr>
          <w:rFonts w:eastAsia="Times New Roman" w:cs="Times New Roman"/>
          <w:color w:val="0F0F0F"/>
        </w:rPr>
        <w:t>The number of days it takes for media coverage of terrorism to return to average after a notable increase.</w:t>
      </w:r>
    </w:p>
    <w:p w14:paraId="25F20668" w14:textId="04FBE02D"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 xml:space="preserve">High Coverage Dates: </w:t>
      </w:r>
      <w:r w:rsidRPr="00AF463B">
        <w:rPr>
          <w:rFonts w:eastAsia="Times New Roman" w:cs="Times New Roman"/>
          <w:i/>
          <w:iCs/>
          <w:color w:val="0F0F0F"/>
        </w:rPr>
        <w:tab/>
      </w:r>
      <w:r w:rsidRPr="00AF463B">
        <w:rPr>
          <w:rFonts w:eastAsia="Times New Roman" w:cs="Times New Roman"/>
          <w:color w:val="0F0F0F"/>
        </w:rPr>
        <w:t>Days when the three international news agencies produced a larger volume of coverage relative to the amount of terrorism internationally reported on the immediately preceding days.</w:t>
      </w:r>
    </w:p>
    <w:p w14:paraId="50EC972D" w14:textId="0F85B597"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 xml:space="preserve">Low Coverage Dates: </w:t>
      </w:r>
      <w:r w:rsidRPr="00AF463B">
        <w:rPr>
          <w:rFonts w:eastAsia="Times New Roman" w:cs="Times New Roman"/>
          <w:i/>
          <w:iCs/>
          <w:color w:val="0F0F0F"/>
        </w:rPr>
        <w:tab/>
      </w:r>
      <w:r w:rsidRPr="00AF463B">
        <w:rPr>
          <w:rFonts w:eastAsia="Times New Roman" w:cs="Times New Roman"/>
          <w:color w:val="0F0F0F"/>
        </w:rPr>
        <w:t>Days when the three international news agencies generated smaller volumes of coverage compared to the amount of terrorism perpetrated internationally on the immediately preceding days.</w:t>
      </w:r>
    </w:p>
    <w:p w14:paraId="1F70798F" w14:textId="5406160F"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Affirming Devices:</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Words or phrases used to frame a concept that indicate and reinforce the quality of evidence supporting an implicit claim made in the text about that concept.</w:t>
      </w:r>
    </w:p>
    <w:p w14:paraId="5487D378" w14:textId="77777777" w:rsidR="00826D18" w:rsidRDefault="00826D18">
      <w:pPr>
        <w:spacing w:before="0" w:after="0"/>
        <w:rPr>
          <w:rFonts w:eastAsia="Times New Roman" w:cs="Times New Roman"/>
          <w:i/>
          <w:iCs/>
          <w:color w:val="0F0F0F"/>
        </w:rPr>
      </w:pPr>
      <w:r>
        <w:rPr>
          <w:rFonts w:eastAsia="Times New Roman" w:cs="Times New Roman"/>
          <w:i/>
          <w:iCs/>
          <w:color w:val="0F0F0F"/>
        </w:rPr>
        <w:br w:type="page"/>
      </w:r>
    </w:p>
    <w:p w14:paraId="38F41F1E" w14:textId="0BA859C0"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lastRenderedPageBreak/>
        <w:t>Factive and Semi-Factive Predicates:</w:t>
      </w:r>
      <w:r w:rsidRPr="00AF463B">
        <w:rPr>
          <w:rFonts w:eastAsia="Times New Roman" w:cs="Times New Roman"/>
          <w:color w:val="0F0F0F"/>
        </w:rPr>
        <w:t xml:space="preserve"> </w:t>
      </w:r>
      <w:r w:rsidRPr="00AF463B">
        <w:rPr>
          <w:rFonts w:eastAsia="Times New Roman" w:cs="Times New Roman"/>
          <w:color w:val="0F0F0F"/>
        </w:rPr>
        <w:tab/>
        <w:t>Verbs that presuppose the truth or reality of the content of their complement. Factive verbs imply that the information provided is true or corresponds to reality, often conveying surprise or unexpectedness.</w:t>
      </w:r>
    </w:p>
    <w:p w14:paraId="085A9645" w14:textId="126BE765"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t xml:space="preserve">High-Commitment Verbs: </w:t>
      </w:r>
      <w:r w:rsidRPr="00AF463B">
        <w:rPr>
          <w:rFonts w:eastAsia="Times New Roman" w:cs="Times New Roman"/>
          <w:i/>
          <w:iCs/>
          <w:color w:val="0F0F0F"/>
        </w:rPr>
        <w:tab/>
      </w:r>
      <w:r w:rsidRPr="00AF463B">
        <w:rPr>
          <w:rFonts w:eastAsia="Times New Roman" w:cs="Times New Roman"/>
          <w:color w:val="0F0F0F"/>
        </w:rPr>
        <w:t>Verbs expressing strong certainty, decisiveness, or a firm commitment, leaving little room for interpretation or doubt. They convey a strong commitment to a particular course of action or statement.</w:t>
      </w:r>
    </w:p>
    <w:p w14:paraId="16439CC7" w14:textId="4C25EFF0"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t>High Commitment Adjectives:</w:t>
      </w:r>
      <w:r w:rsidRPr="00AF463B">
        <w:rPr>
          <w:rFonts w:eastAsia="Times New Roman" w:cs="Times New Roman"/>
          <w:color w:val="0F0F0F"/>
        </w:rPr>
        <w:t xml:space="preserve"> </w:t>
      </w:r>
      <w:r w:rsidRPr="00AF463B">
        <w:rPr>
          <w:rFonts w:eastAsia="Times New Roman" w:cs="Times New Roman"/>
          <w:color w:val="0F0F0F"/>
        </w:rPr>
        <w:tab/>
        <w:t>Adjectives conveying a strong sense of certainty, intensity, or emphasis associated with the qualities of the nouns they describe, expressing a clear and unwavering quality.</w:t>
      </w:r>
    </w:p>
    <w:p w14:paraId="3AE22B40" w14:textId="18E6F912"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t>Hyping Adjectives:</w:t>
      </w:r>
      <w:r w:rsidR="00826D18">
        <w:rPr>
          <w:rFonts w:eastAsia="Times New Roman" w:cs="Times New Roman"/>
          <w:color w:val="0F0F0F"/>
        </w:rPr>
        <w:tab/>
      </w:r>
      <w:r w:rsidRPr="00AF463B">
        <w:rPr>
          <w:rFonts w:eastAsia="Times New Roman" w:cs="Times New Roman"/>
          <w:color w:val="0F0F0F"/>
        </w:rPr>
        <w:t>Descriptive words used to enhance, promote, and exaggerate the positive qualities or significance of something, involving subjective language and persuasion to create a favorable impression.</w:t>
      </w:r>
    </w:p>
    <w:p w14:paraId="11A20F7E" w14:textId="356C3C06"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t>Quantity Indicators:</w:t>
      </w:r>
      <w:r w:rsidRPr="00AF463B">
        <w:rPr>
          <w:rFonts w:eastAsia="Times New Roman" w:cs="Times New Roman"/>
          <w:color w:val="0F0F0F"/>
        </w:rPr>
        <w:t xml:space="preserve"> </w:t>
      </w:r>
      <w:r w:rsidRPr="00AF463B">
        <w:rPr>
          <w:rFonts w:eastAsia="Times New Roman" w:cs="Times New Roman"/>
          <w:color w:val="0F0F0F"/>
        </w:rPr>
        <w:tab/>
        <w:t>Words or expressions providing information about the quantity or amount of something, crucial for conveying precise information about amounts, sizes, or degrees.</w:t>
      </w:r>
    </w:p>
    <w:p w14:paraId="11391511" w14:textId="6E85095A"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t>Evidence of Consensus Modifiers:</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 xml:space="preserve">Words or phrases indicating supporting information suggesting widespread agreement or shared belief, such as </w:t>
      </w:r>
      <w:r w:rsidR="009042DE">
        <w:rPr>
          <w:rFonts w:eastAsia="Times New Roman" w:cs="Times New Roman"/>
          <w:color w:val="0F0F0F"/>
        </w:rPr>
        <w:t>“</w:t>
      </w:r>
      <w:r w:rsidRPr="00AF463B">
        <w:rPr>
          <w:rFonts w:eastAsia="Times New Roman" w:cs="Times New Roman"/>
          <w:color w:val="0F0F0F"/>
        </w:rPr>
        <w:t>widely accepted,</w:t>
      </w:r>
      <w:r w:rsidR="009042DE">
        <w:rPr>
          <w:rFonts w:eastAsia="Times New Roman" w:cs="Times New Roman"/>
          <w:color w:val="0F0F0F"/>
        </w:rPr>
        <w:t>”</w:t>
      </w:r>
      <w:r w:rsidRPr="00AF463B">
        <w:rPr>
          <w:rFonts w:eastAsia="Times New Roman" w:cs="Times New Roman"/>
          <w:color w:val="0F0F0F"/>
        </w:rPr>
        <w:t xml:space="preserve"> </w:t>
      </w:r>
      <w:r w:rsidR="009042DE">
        <w:rPr>
          <w:rFonts w:eastAsia="Times New Roman" w:cs="Times New Roman"/>
          <w:color w:val="0F0F0F"/>
        </w:rPr>
        <w:t>“</w:t>
      </w:r>
      <w:r w:rsidRPr="00AF463B">
        <w:rPr>
          <w:rFonts w:eastAsia="Times New Roman" w:cs="Times New Roman"/>
          <w:color w:val="0F0F0F"/>
        </w:rPr>
        <w:t>commonly agreed upon,</w:t>
      </w:r>
      <w:r w:rsidR="009042DE">
        <w:rPr>
          <w:rFonts w:eastAsia="Times New Roman" w:cs="Times New Roman"/>
          <w:color w:val="0F0F0F"/>
        </w:rPr>
        <w:t>”</w:t>
      </w:r>
      <w:r w:rsidRPr="00AF463B">
        <w:rPr>
          <w:rFonts w:eastAsia="Times New Roman" w:cs="Times New Roman"/>
          <w:color w:val="0F0F0F"/>
        </w:rPr>
        <w:t xml:space="preserve"> or </w:t>
      </w:r>
      <w:r w:rsidR="009042DE">
        <w:rPr>
          <w:rFonts w:eastAsia="Times New Roman" w:cs="Times New Roman"/>
          <w:color w:val="0F0F0F"/>
        </w:rPr>
        <w:t>“</w:t>
      </w:r>
      <w:r w:rsidRPr="00AF463B">
        <w:rPr>
          <w:rFonts w:eastAsia="Times New Roman" w:cs="Times New Roman"/>
          <w:color w:val="0F0F0F"/>
        </w:rPr>
        <w:t>broadly acknowledged.</w:t>
      </w:r>
      <w:r w:rsidR="009042DE">
        <w:rPr>
          <w:rFonts w:eastAsia="Times New Roman" w:cs="Times New Roman"/>
          <w:color w:val="0F0F0F"/>
        </w:rPr>
        <w:t>”</w:t>
      </w:r>
    </w:p>
    <w:p w14:paraId="55E9DACE" w14:textId="7736105A"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Doubting Devices:</w:t>
      </w:r>
      <w:r w:rsidRPr="00AF463B">
        <w:rPr>
          <w:rFonts w:eastAsia="Times New Roman" w:cs="Times New Roman"/>
          <w:color w:val="0F0F0F"/>
        </w:rPr>
        <w:t xml:space="preserve"> </w:t>
      </w:r>
      <w:r w:rsidRPr="00AF463B">
        <w:rPr>
          <w:rFonts w:eastAsia="Times New Roman" w:cs="Times New Roman"/>
          <w:color w:val="0F0F0F"/>
        </w:rPr>
        <w:tab/>
        <w:t>Words or phrases reinforcing frames of debate and controversy, implicitly questioning the veracity of information and opinions presented in relation to a concept.</w:t>
      </w:r>
    </w:p>
    <w:p w14:paraId="1E3D3EC3" w14:textId="77777777" w:rsidR="00826D18" w:rsidRDefault="00826D18">
      <w:pPr>
        <w:spacing w:before="0" w:after="0"/>
        <w:rPr>
          <w:rFonts w:eastAsia="Times New Roman" w:cs="Times New Roman"/>
          <w:i/>
          <w:iCs/>
          <w:color w:val="0F0F0F"/>
        </w:rPr>
      </w:pPr>
      <w:r>
        <w:rPr>
          <w:rFonts w:eastAsia="Times New Roman" w:cs="Times New Roman"/>
          <w:i/>
          <w:iCs/>
          <w:color w:val="0F0F0F"/>
        </w:rPr>
        <w:br w:type="page"/>
      </w:r>
    </w:p>
    <w:p w14:paraId="077C026E" w14:textId="79C88FB0"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lastRenderedPageBreak/>
        <w:t>Neg-Factive Verbs:</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Verbs typically involving negation that presuppose the truth of a negative proposition, conveying surprise, disappointment, or unexpectedness.</w:t>
      </w:r>
    </w:p>
    <w:p w14:paraId="3B75F786" w14:textId="537BE242"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t>Low Commitment Verbs:</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 xml:space="preserve">Verbs conveying uncertainty, tentativeness, or a lack of strong commitment, leaving room for </w:t>
      </w:r>
      <w:r w:rsidR="00542581" w:rsidRPr="00AF463B">
        <w:rPr>
          <w:rFonts w:eastAsia="Times New Roman" w:cs="Times New Roman"/>
          <w:color w:val="0F0F0F"/>
        </w:rPr>
        <w:t>flexibility,</w:t>
      </w:r>
      <w:r w:rsidRPr="00AF463B">
        <w:rPr>
          <w:rFonts w:eastAsia="Times New Roman" w:cs="Times New Roman"/>
          <w:color w:val="0F0F0F"/>
        </w:rPr>
        <w:t xml:space="preserve"> and avoiding firm commitments.</w:t>
      </w:r>
    </w:p>
    <w:p w14:paraId="37A5A70C" w14:textId="32C89867" w:rsidR="00815C24" w:rsidRPr="00AF463B" w:rsidRDefault="00815C24" w:rsidP="00826D18">
      <w:pPr>
        <w:ind w:left="6480" w:hanging="3600"/>
        <w:rPr>
          <w:rFonts w:eastAsia="Times New Roman" w:cs="Times New Roman"/>
          <w:color w:val="0F0F0F"/>
        </w:rPr>
      </w:pPr>
      <w:r w:rsidRPr="00AF463B">
        <w:rPr>
          <w:rFonts w:eastAsia="Times New Roman" w:cs="Times New Roman"/>
          <w:i/>
          <w:iCs/>
          <w:color w:val="0F0F0F"/>
        </w:rPr>
        <w:t>Argumentative Verbs:</w:t>
      </w:r>
      <w:r w:rsidRPr="00AF463B">
        <w:rPr>
          <w:rFonts w:eastAsia="Times New Roman" w:cs="Times New Roman"/>
          <w:color w:val="0F0F0F"/>
        </w:rPr>
        <w:t xml:space="preserve"> </w:t>
      </w:r>
      <w:r w:rsidRPr="00AF463B">
        <w:rPr>
          <w:rFonts w:eastAsia="Times New Roman" w:cs="Times New Roman"/>
          <w:color w:val="0F0F0F"/>
        </w:rPr>
        <w:tab/>
        <w:t>Verbs playing a crucial role in expressing a specific position, presenting evidence, or challenging opposing viewpoints in the context of an argument.</w:t>
      </w:r>
    </w:p>
    <w:p w14:paraId="69064941" w14:textId="060A5CBD" w:rsidR="00815C24" w:rsidRPr="00AF463B" w:rsidRDefault="00815C24" w:rsidP="00826D18">
      <w:pPr>
        <w:ind w:left="6480" w:hanging="4320"/>
        <w:rPr>
          <w:rFonts w:eastAsia="Times New Roman" w:cs="Times New Roman"/>
          <w:color w:val="0F0F0F"/>
        </w:rPr>
      </w:pPr>
      <w:r w:rsidRPr="00AF463B">
        <w:rPr>
          <w:rFonts w:eastAsia="Times New Roman" w:cs="Times New Roman"/>
          <w:i/>
          <w:iCs/>
          <w:color w:val="0F0F0F"/>
        </w:rPr>
        <w:t>Low Commitment Adjectives:</w:t>
      </w:r>
      <w:r w:rsidRPr="00AF463B">
        <w:rPr>
          <w:rFonts w:eastAsia="Times New Roman" w:cs="Times New Roman"/>
          <w:color w:val="0F0F0F"/>
        </w:rPr>
        <w:t xml:space="preserve"> </w:t>
      </w:r>
      <w:r w:rsidRPr="00AF463B">
        <w:rPr>
          <w:rFonts w:eastAsia="Times New Roman" w:cs="Times New Roman"/>
          <w:color w:val="0F0F0F"/>
        </w:rPr>
        <w:tab/>
        <w:t>Adjectives conveying flexibility, uncertainty, or a lack of strong commitment, leaving room for interpretation, avoiding absolute statements, or expressing a tentative attitude.</w:t>
      </w:r>
    </w:p>
    <w:p w14:paraId="313530E9" w14:textId="5501CABC" w:rsidR="00815C24" w:rsidRPr="00AF463B" w:rsidRDefault="00815C24" w:rsidP="00826D18">
      <w:pPr>
        <w:ind w:left="6480" w:hanging="4320"/>
        <w:rPr>
          <w:rFonts w:eastAsia="Times New Roman" w:cs="Times New Roman"/>
          <w:color w:val="0F0F0F"/>
        </w:rPr>
      </w:pPr>
      <w:r w:rsidRPr="00AF463B">
        <w:rPr>
          <w:rFonts w:eastAsia="Times New Roman" w:cs="Times New Roman"/>
          <w:i/>
          <w:iCs/>
          <w:color w:val="0F0F0F"/>
        </w:rPr>
        <w:t xml:space="preserve">Undermining Adjectives: </w:t>
      </w:r>
      <w:r w:rsidRPr="00AF463B">
        <w:rPr>
          <w:rFonts w:eastAsia="Times New Roman" w:cs="Times New Roman"/>
          <w:i/>
          <w:iCs/>
          <w:color w:val="0F0F0F"/>
        </w:rPr>
        <w:tab/>
      </w:r>
      <w:r w:rsidRPr="00AF463B">
        <w:rPr>
          <w:rFonts w:eastAsia="Times New Roman" w:cs="Times New Roman"/>
          <w:color w:val="0F0F0F"/>
        </w:rPr>
        <w:t>Descriptive words that weaken or erode the support, power, or effectiveness of something, diminishing the positive qualities or significance of a noun.</w:t>
      </w:r>
    </w:p>
    <w:p w14:paraId="60A21C81" w14:textId="7AB1A159" w:rsidR="00815C24" w:rsidRPr="00AF463B" w:rsidRDefault="00815C24" w:rsidP="00826D18">
      <w:pPr>
        <w:ind w:left="6480" w:hanging="4320"/>
        <w:rPr>
          <w:rFonts w:eastAsia="Times New Roman" w:cs="Times New Roman"/>
          <w:color w:val="0F0F0F"/>
        </w:rPr>
      </w:pPr>
      <w:r w:rsidRPr="00AF463B">
        <w:rPr>
          <w:rFonts w:eastAsia="Times New Roman" w:cs="Times New Roman"/>
          <w:i/>
          <w:iCs/>
          <w:color w:val="0F0F0F"/>
        </w:rPr>
        <w:t xml:space="preserve">Lack of Consensus Adjectives: </w:t>
      </w:r>
      <w:r w:rsidRPr="00AF463B">
        <w:rPr>
          <w:rFonts w:eastAsia="Times New Roman" w:cs="Times New Roman"/>
          <w:i/>
          <w:iCs/>
          <w:color w:val="0F0F0F"/>
        </w:rPr>
        <w:tab/>
      </w:r>
      <w:r w:rsidRPr="00AF463B">
        <w:rPr>
          <w:rFonts w:eastAsia="Times New Roman" w:cs="Times New Roman"/>
          <w:color w:val="0F0F0F"/>
        </w:rPr>
        <w:t>Adjectives conveying a sense of disagreement, dispute, or controversy, suggesting an absence of clear consensus among individuals or groups.</w:t>
      </w:r>
    </w:p>
    <w:p w14:paraId="462C741A" w14:textId="1DE6E726"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Multivariate Data Analysis:</w:t>
      </w:r>
      <w:r w:rsidRPr="00AF463B">
        <w:rPr>
          <w:rFonts w:eastAsia="Times New Roman" w:cs="Times New Roman"/>
          <w:color w:val="0F0F0F"/>
        </w:rPr>
        <w:t xml:space="preserve"> </w:t>
      </w:r>
      <w:r w:rsidRPr="00AF463B">
        <w:rPr>
          <w:rFonts w:eastAsia="Times New Roman" w:cs="Times New Roman"/>
          <w:color w:val="0F0F0F"/>
        </w:rPr>
        <w:tab/>
        <w:t>A statistical technique for analyzing data involving observations on more than one variable, providing insights into relationships between multiple variables.</w:t>
      </w:r>
    </w:p>
    <w:p w14:paraId="326EF139" w14:textId="38909609"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Multivariable Data Analysis:</w:t>
      </w:r>
      <w:r w:rsidRPr="00AF463B">
        <w:rPr>
          <w:rFonts w:eastAsia="Times New Roman" w:cs="Times New Roman"/>
          <w:color w:val="0F0F0F"/>
        </w:rPr>
        <w:t xml:space="preserve"> </w:t>
      </w:r>
      <w:r w:rsidRPr="00AF463B">
        <w:rPr>
          <w:rFonts w:eastAsia="Times New Roman" w:cs="Times New Roman"/>
          <w:color w:val="0F0F0F"/>
        </w:rPr>
        <w:tab/>
        <w:t>Examination and interpretation of datasets involving three or more variables, allowing for a comprehensive understanding of complex relationships.</w:t>
      </w:r>
    </w:p>
    <w:p w14:paraId="6528E123" w14:textId="739956BC"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Bivariate Analysis:</w:t>
      </w:r>
      <w:r w:rsidRPr="00AF463B">
        <w:rPr>
          <w:rFonts w:eastAsia="Times New Roman" w:cs="Times New Roman"/>
          <w:color w:val="0F0F0F"/>
        </w:rPr>
        <w:t xml:space="preserve"> </w:t>
      </w:r>
      <w:r w:rsidRPr="00AF463B">
        <w:rPr>
          <w:rFonts w:eastAsia="Times New Roman" w:cs="Times New Roman"/>
          <w:color w:val="0F0F0F"/>
        </w:rPr>
        <w:tab/>
        <w:t>A statistical method analyzing relationships between two variables, focusing on associations, correlations, or dependencies between them.</w:t>
      </w:r>
    </w:p>
    <w:p w14:paraId="6C51D5DA" w14:textId="759B59FC"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Machine Learning:</w:t>
      </w:r>
      <w:r w:rsidRPr="00AF463B">
        <w:rPr>
          <w:rFonts w:eastAsia="Times New Roman" w:cs="Times New Roman"/>
          <w:color w:val="0F0F0F"/>
        </w:rPr>
        <w:t xml:space="preserve"> </w:t>
      </w:r>
      <w:r w:rsidRPr="00AF463B">
        <w:rPr>
          <w:rFonts w:eastAsia="Times New Roman" w:cs="Times New Roman"/>
          <w:color w:val="0F0F0F"/>
        </w:rPr>
        <w:tab/>
        <w:t>A subfield of artificial intelligence developing algorithms allowing computers to learn and make predictions based on data.</w:t>
      </w:r>
    </w:p>
    <w:p w14:paraId="1A85F9BE" w14:textId="187F636F"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lastRenderedPageBreak/>
        <w:t>Independent Variable:</w:t>
      </w:r>
      <w:r w:rsidRPr="00AF463B">
        <w:rPr>
          <w:rFonts w:eastAsia="Times New Roman" w:cs="Times New Roman"/>
          <w:color w:val="0F0F0F"/>
        </w:rPr>
        <w:t xml:space="preserve"> </w:t>
      </w:r>
      <w:r w:rsidRPr="00AF463B">
        <w:rPr>
          <w:rFonts w:eastAsia="Times New Roman" w:cs="Times New Roman"/>
          <w:color w:val="0F0F0F"/>
        </w:rPr>
        <w:tab/>
        <w:t>A variable presumed to cause some change in the dependent variable.</w:t>
      </w:r>
    </w:p>
    <w:p w14:paraId="20CAB715" w14:textId="65CAE91E"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Dependent Variable:</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The variable the study is trying to explain, assumed to depend on the independent variable(s).</w:t>
      </w:r>
    </w:p>
    <w:p w14:paraId="1BDE57EE" w14:textId="56FB72B5"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Control Variable:</w:t>
      </w:r>
      <w:r w:rsidRPr="00AF463B">
        <w:rPr>
          <w:rFonts w:eastAsia="Times New Roman" w:cs="Times New Roman"/>
          <w:color w:val="0F0F0F"/>
        </w:rPr>
        <w:t xml:space="preserve"> </w:t>
      </w:r>
      <w:r w:rsidRPr="00AF463B">
        <w:rPr>
          <w:rFonts w:eastAsia="Times New Roman" w:cs="Times New Roman"/>
          <w:color w:val="0F0F0F"/>
        </w:rPr>
        <w:tab/>
        <w:t>A variable not of primary interest but measured to infer relationships between main variables.</w:t>
      </w:r>
    </w:p>
    <w:p w14:paraId="3BDFFAE3" w14:textId="05008E64"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Sampling Frame:</w:t>
      </w:r>
      <w:r w:rsidRPr="00AF463B">
        <w:rPr>
          <w:rFonts w:eastAsia="Times New Roman" w:cs="Times New Roman"/>
          <w:color w:val="0F0F0F"/>
        </w:rPr>
        <w:t xml:space="preserve"> </w:t>
      </w:r>
      <w:r w:rsidRPr="00AF463B">
        <w:rPr>
          <w:rFonts w:eastAsia="Times New Roman" w:cs="Times New Roman"/>
          <w:color w:val="0F0F0F"/>
        </w:rPr>
        <w:tab/>
        <w:t>A list of units composing a population from which a sample is selected.</w:t>
      </w:r>
    </w:p>
    <w:p w14:paraId="1AA89D80" w14:textId="19CD3F99" w:rsidR="00815C24" w:rsidRPr="00AF463B" w:rsidRDefault="00815C24" w:rsidP="00815C24">
      <w:pPr>
        <w:rPr>
          <w:rFonts w:eastAsia="Times New Roman" w:cs="Times New Roman"/>
          <w:color w:val="0F0F0F"/>
        </w:rPr>
      </w:pPr>
      <w:r w:rsidRPr="00AF463B">
        <w:rPr>
          <w:rFonts w:eastAsia="Times New Roman" w:cs="Times New Roman"/>
          <w:i/>
          <w:iCs/>
          <w:color w:val="0F0F0F"/>
        </w:rPr>
        <w:t>Variance:</w:t>
      </w:r>
      <w:r w:rsidRPr="00AF463B">
        <w:rPr>
          <w:rFonts w:eastAsia="Times New Roman" w:cs="Times New Roman"/>
          <w:color w:val="0F0F0F"/>
        </w:rPr>
        <w:t xml:space="preserve"> </w:t>
      </w:r>
      <w:r w:rsidRPr="00AF463B">
        <w:rPr>
          <w:rFonts w:eastAsia="Times New Roman" w:cs="Times New Roman"/>
          <w:color w:val="0F0F0F"/>
        </w:rPr>
        <w:tab/>
      </w:r>
      <w:r w:rsidR="00826D18">
        <w:rPr>
          <w:rFonts w:eastAsia="Times New Roman" w:cs="Times New Roman"/>
          <w:color w:val="0F0F0F"/>
        </w:rPr>
        <w:tab/>
      </w:r>
      <w:r w:rsidR="00826D18">
        <w:rPr>
          <w:rFonts w:eastAsia="Times New Roman" w:cs="Times New Roman"/>
          <w:color w:val="0F0F0F"/>
        </w:rPr>
        <w:tab/>
      </w:r>
      <w:r w:rsidR="00826D18">
        <w:rPr>
          <w:rFonts w:eastAsia="Times New Roman" w:cs="Times New Roman"/>
          <w:color w:val="0F0F0F"/>
        </w:rPr>
        <w:tab/>
      </w:r>
      <w:r w:rsidRPr="00AF463B">
        <w:rPr>
          <w:rFonts w:eastAsia="Times New Roman" w:cs="Times New Roman"/>
          <w:color w:val="0F0F0F"/>
        </w:rPr>
        <w:t>The extent to which scores in a dataset deviate from the mean.</w:t>
      </w:r>
    </w:p>
    <w:p w14:paraId="51AEF278" w14:textId="3E4936EF" w:rsidR="00815C24" w:rsidRPr="00AF463B" w:rsidRDefault="00815C24" w:rsidP="00815C24">
      <w:pPr>
        <w:rPr>
          <w:rFonts w:eastAsia="Times New Roman" w:cs="Times New Roman"/>
          <w:color w:val="0F0F0F"/>
        </w:rPr>
      </w:pPr>
      <w:r w:rsidRPr="00AF463B">
        <w:rPr>
          <w:rFonts w:eastAsia="Times New Roman" w:cs="Times New Roman"/>
          <w:i/>
          <w:iCs/>
          <w:color w:val="0F0F0F"/>
        </w:rPr>
        <w:t>Covariation:</w:t>
      </w:r>
      <w:r w:rsidRPr="00AF463B">
        <w:rPr>
          <w:rFonts w:eastAsia="Times New Roman" w:cs="Times New Roman"/>
          <w:color w:val="0F0F0F"/>
        </w:rPr>
        <w:t xml:space="preserve"> </w:t>
      </w:r>
      <w:r w:rsidRPr="00AF463B">
        <w:rPr>
          <w:rFonts w:eastAsia="Times New Roman" w:cs="Times New Roman"/>
          <w:color w:val="0F0F0F"/>
        </w:rPr>
        <w:tab/>
      </w:r>
      <w:r w:rsidR="00826D18">
        <w:rPr>
          <w:rFonts w:eastAsia="Times New Roman" w:cs="Times New Roman"/>
          <w:color w:val="0F0F0F"/>
        </w:rPr>
        <w:tab/>
      </w:r>
      <w:r w:rsidR="00826D18">
        <w:rPr>
          <w:rFonts w:eastAsia="Times New Roman" w:cs="Times New Roman"/>
          <w:color w:val="0F0F0F"/>
        </w:rPr>
        <w:tab/>
      </w:r>
      <w:r w:rsidR="00826D18">
        <w:rPr>
          <w:rFonts w:eastAsia="Times New Roman" w:cs="Times New Roman"/>
          <w:color w:val="0F0F0F"/>
        </w:rPr>
        <w:tab/>
      </w:r>
      <w:r w:rsidRPr="00AF463B">
        <w:rPr>
          <w:rFonts w:eastAsia="Times New Roman" w:cs="Times New Roman"/>
          <w:color w:val="0F0F0F"/>
        </w:rPr>
        <w:t>Variables changing together in a systematic, directional manner.</w:t>
      </w:r>
    </w:p>
    <w:p w14:paraId="3F98BD8F" w14:textId="494384C4" w:rsidR="00815C24" w:rsidRPr="00AF463B" w:rsidRDefault="00815C24" w:rsidP="00815C24">
      <w:pPr>
        <w:rPr>
          <w:rFonts w:eastAsia="Times New Roman" w:cs="Times New Roman"/>
          <w:color w:val="0F0F0F"/>
        </w:rPr>
      </w:pPr>
      <w:r w:rsidRPr="00AF463B">
        <w:rPr>
          <w:rFonts w:eastAsia="Times New Roman" w:cs="Times New Roman"/>
          <w:i/>
          <w:iCs/>
          <w:color w:val="0F0F0F"/>
        </w:rPr>
        <w:t>Magnitude of Relations:</w:t>
      </w:r>
      <w:r w:rsidRPr="00AF463B">
        <w:rPr>
          <w:rFonts w:eastAsia="Times New Roman" w:cs="Times New Roman"/>
          <w:color w:val="0F0F0F"/>
        </w:rPr>
        <w:t xml:space="preserve"> </w:t>
      </w:r>
      <w:r w:rsidRPr="00AF463B">
        <w:rPr>
          <w:rFonts w:eastAsia="Times New Roman" w:cs="Times New Roman"/>
          <w:color w:val="0F0F0F"/>
        </w:rPr>
        <w:tab/>
      </w:r>
      <w:r w:rsidR="00826D18">
        <w:rPr>
          <w:rFonts w:eastAsia="Times New Roman" w:cs="Times New Roman"/>
          <w:color w:val="0F0F0F"/>
        </w:rPr>
        <w:tab/>
      </w:r>
      <w:r w:rsidRPr="00AF463B">
        <w:rPr>
          <w:rFonts w:eastAsia="Times New Roman" w:cs="Times New Roman"/>
          <w:color w:val="0F0F0F"/>
        </w:rPr>
        <w:t>The extent to which variables negatively or positively covary.</w:t>
      </w:r>
    </w:p>
    <w:p w14:paraId="61ACFA3A" w14:textId="17A8FECC"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Frequency:</w:t>
      </w:r>
      <w:r w:rsidRPr="00AF463B">
        <w:rPr>
          <w:rFonts w:eastAsia="Times New Roman" w:cs="Times New Roman"/>
          <w:color w:val="0F0F0F"/>
        </w:rPr>
        <w:t xml:space="preserve"> </w:t>
      </w:r>
      <w:r w:rsidRPr="00AF463B">
        <w:rPr>
          <w:rFonts w:eastAsia="Times New Roman" w:cs="Times New Roman"/>
          <w:color w:val="0F0F0F"/>
        </w:rPr>
        <w:tab/>
        <w:t>The rate or occurrence of something within a specific time period.</w:t>
      </w:r>
    </w:p>
    <w:p w14:paraId="440876C2" w14:textId="5F134130" w:rsidR="00815C24" w:rsidRPr="00AF463B" w:rsidRDefault="00815C24" w:rsidP="00815C24">
      <w:pPr>
        <w:rPr>
          <w:rFonts w:eastAsia="Times New Roman" w:cs="Times New Roman"/>
          <w:color w:val="0F0F0F"/>
        </w:rPr>
      </w:pPr>
      <w:r w:rsidRPr="00AF463B">
        <w:rPr>
          <w:rFonts w:eastAsia="Times New Roman" w:cs="Times New Roman"/>
          <w:i/>
          <w:iCs/>
          <w:color w:val="0F0F0F"/>
        </w:rPr>
        <w:t>Statistical Mean:</w:t>
      </w:r>
      <w:r w:rsidRPr="00AF463B">
        <w:rPr>
          <w:rFonts w:eastAsia="Times New Roman" w:cs="Times New Roman"/>
          <w:color w:val="0F0F0F"/>
        </w:rPr>
        <w:t xml:space="preserve"> </w:t>
      </w:r>
      <w:r w:rsidRPr="00AF463B">
        <w:rPr>
          <w:rFonts w:eastAsia="Times New Roman" w:cs="Times New Roman"/>
          <w:color w:val="0F0F0F"/>
        </w:rPr>
        <w:tab/>
      </w:r>
      <w:r w:rsidR="00826D18">
        <w:rPr>
          <w:rFonts w:eastAsia="Times New Roman" w:cs="Times New Roman"/>
          <w:color w:val="0F0F0F"/>
        </w:rPr>
        <w:tab/>
      </w:r>
      <w:r w:rsidR="00826D18">
        <w:rPr>
          <w:rFonts w:eastAsia="Times New Roman" w:cs="Times New Roman"/>
          <w:color w:val="0F0F0F"/>
        </w:rPr>
        <w:tab/>
      </w:r>
      <w:r w:rsidRPr="00AF463B">
        <w:rPr>
          <w:rFonts w:eastAsia="Times New Roman" w:cs="Times New Roman"/>
          <w:color w:val="0F0F0F"/>
        </w:rPr>
        <w:t>The average of scores in a dataset.</w:t>
      </w:r>
    </w:p>
    <w:p w14:paraId="13C0DBB4" w14:textId="772B9C2C"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Standard Deviation:</w:t>
      </w:r>
      <w:r w:rsidRPr="00AF463B">
        <w:rPr>
          <w:rFonts w:eastAsia="Times New Roman" w:cs="Times New Roman"/>
          <w:color w:val="0F0F0F"/>
        </w:rPr>
        <w:t xml:space="preserve"> </w:t>
      </w:r>
      <w:r w:rsidRPr="00AF463B">
        <w:rPr>
          <w:rFonts w:eastAsia="Times New Roman" w:cs="Times New Roman"/>
          <w:color w:val="0F0F0F"/>
        </w:rPr>
        <w:tab/>
        <w:t>Indicates the average amount a set of values deviates from their mean.</w:t>
      </w:r>
    </w:p>
    <w:p w14:paraId="68B93918" w14:textId="54A1E49A" w:rsidR="00815C24" w:rsidRPr="00AF463B" w:rsidRDefault="0077210F" w:rsidP="00826D18">
      <w:pPr>
        <w:ind w:left="3600" w:hanging="3600"/>
        <w:rPr>
          <w:rFonts w:eastAsia="Times New Roman" w:cs="Times New Roman"/>
          <w:color w:val="0F0F0F"/>
        </w:rPr>
      </w:pPr>
      <w:r w:rsidRPr="00FD40EF">
        <w:rPr>
          <w:rFonts w:eastAsia="Times New Roman" w:cs="Times New Roman"/>
          <w:i/>
          <w:iCs/>
          <w:color w:val="0F0F0F"/>
        </w:rPr>
        <w:t>t</w:t>
      </w:r>
      <w:r w:rsidR="00815C24" w:rsidRPr="00FD40EF">
        <w:rPr>
          <w:rFonts w:eastAsia="Times New Roman" w:cs="Times New Roman"/>
          <w:i/>
          <w:iCs/>
          <w:color w:val="0F0F0F"/>
        </w:rPr>
        <w:t>-Score:</w:t>
      </w:r>
      <w:r w:rsidR="00815C24" w:rsidRPr="00FD40EF">
        <w:rPr>
          <w:rFonts w:eastAsia="Times New Roman" w:cs="Times New Roman"/>
          <w:color w:val="0F0F0F"/>
        </w:rPr>
        <w:t xml:space="preserve"> </w:t>
      </w:r>
      <w:r w:rsidR="00826D18">
        <w:rPr>
          <w:rFonts w:eastAsia="Times New Roman" w:cs="Times New Roman"/>
          <w:color w:val="0F0F0F"/>
        </w:rPr>
        <w:tab/>
      </w:r>
      <w:r w:rsidR="00815C24" w:rsidRPr="00FD40EF">
        <w:rPr>
          <w:rFonts w:eastAsia="Times New Roman" w:cs="Times New Roman"/>
          <w:color w:val="0F0F0F"/>
        </w:rPr>
        <w:t>Describes the extent to which a specific data point differs from the mean</w:t>
      </w:r>
      <w:r w:rsidRPr="00FD40EF">
        <w:rPr>
          <w:rFonts w:eastAsia="Times New Roman" w:cs="Times New Roman"/>
          <w:color w:val="0F0F0F"/>
        </w:rPr>
        <w:t xml:space="preserve"> of </w:t>
      </w:r>
      <w:r w:rsidR="00FD40EF" w:rsidRPr="00FD40EF">
        <w:rPr>
          <w:rFonts w:eastAsia="Times New Roman" w:cs="Times New Roman"/>
          <w:color w:val="0F0F0F"/>
        </w:rPr>
        <w:t xml:space="preserve">the </w:t>
      </w:r>
      <w:r w:rsidRPr="00FD40EF">
        <w:rPr>
          <w:rFonts w:eastAsia="Times New Roman" w:cs="Times New Roman"/>
          <w:color w:val="0F0F0F"/>
        </w:rPr>
        <w:t>sample</w:t>
      </w:r>
      <w:r w:rsidR="00815C24" w:rsidRPr="00FD40EF">
        <w:rPr>
          <w:rFonts w:eastAsia="Times New Roman" w:cs="Times New Roman"/>
          <w:color w:val="0F0F0F"/>
        </w:rPr>
        <w:t>.</w:t>
      </w:r>
    </w:p>
    <w:p w14:paraId="60EC2639" w14:textId="300A4B20"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Correlation:</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A statistical technique showing the strength and direction of the relationship between two variables.</w:t>
      </w:r>
    </w:p>
    <w:p w14:paraId="5E833F6F" w14:textId="60662132" w:rsidR="00815C24" w:rsidRPr="00AF463B" w:rsidRDefault="00815C24" w:rsidP="00815C24">
      <w:pPr>
        <w:rPr>
          <w:rFonts w:eastAsia="Times New Roman" w:cs="Times New Roman"/>
          <w:color w:val="0F0F0F"/>
        </w:rPr>
      </w:pPr>
      <w:r w:rsidRPr="00AF463B">
        <w:rPr>
          <w:rFonts w:eastAsia="Times New Roman" w:cs="Times New Roman"/>
          <w:i/>
          <w:iCs/>
          <w:color w:val="0F0F0F"/>
        </w:rPr>
        <w:t>Spurious Relations:</w:t>
      </w:r>
      <w:r w:rsidRPr="00AF463B">
        <w:rPr>
          <w:rFonts w:eastAsia="Times New Roman" w:cs="Times New Roman"/>
          <w:color w:val="0F0F0F"/>
        </w:rPr>
        <w:t xml:space="preserve"> </w:t>
      </w:r>
      <w:r w:rsidRPr="00AF463B">
        <w:rPr>
          <w:rFonts w:eastAsia="Times New Roman" w:cs="Times New Roman"/>
          <w:color w:val="0F0F0F"/>
        </w:rPr>
        <w:tab/>
      </w:r>
      <w:r w:rsidR="00826D18">
        <w:rPr>
          <w:rFonts w:eastAsia="Times New Roman" w:cs="Times New Roman"/>
          <w:color w:val="0F0F0F"/>
        </w:rPr>
        <w:tab/>
      </w:r>
      <w:r w:rsidR="00826D18">
        <w:rPr>
          <w:rFonts w:eastAsia="Times New Roman" w:cs="Times New Roman"/>
          <w:color w:val="0F0F0F"/>
        </w:rPr>
        <w:tab/>
      </w:r>
      <w:r w:rsidRPr="00AF463B">
        <w:rPr>
          <w:rFonts w:eastAsia="Times New Roman" w:cs="Times New Roman"/>
          <w:color w:val="0F0F0F"/>
        </w:rPr>
        <w:t>Coincidental statistical correlation caused by a third variable.</w:t>
      </w:r>
    </w:p>
    <w:p w14:paraId="6C256049" w14:textId="650A8A3D"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Spearman Correlation (</w:t>
      </w:r>
      <m:oMath>
        <m:r>
          <w:rPr>
            <w:rFonts w:ascii="Cambria Math" w:eastAsia="Times New Roman" w:hAnsi="Cambria Math" w:cs="Times New Roman"/>
            <w:i/>
            <w:iCs/>
          </w:rPr>
          <w:sym w:font="Symbol" w:char="F072"/>
        </m:r>
      </m:oMath>
      <w:r w:rsidRPr="00AF463B">
        <w:rPr>
          <w:rFonts w:eastAsia="Times New Roman" w:cs="Times New Roman"/>
          <w:i/>
          <w:iCs/>
          <w:color w:val="0F0F0F"/>
        </w:rPr>
        <w:t>):</w:t>
      </w:r>
      <w:r w:rsidRPr="00AF463B">
        <w:rPr>
          <w:rFonts w:eastAsia="Times New Roman" w:cs="Times New Roman"/>
          <w:color w:val="0F0F0F"/>
        </w:rPr>
        <w:t xml:space="preserve"> </w:t>
      </w:r>
      <w:r w:rsidRPr="00AF463B">
        <w:rPr>
          <w:rFonts w:eastAsia="Times New Roman" w:cs="Times New Roman"/>
          <w:color w:val="0F0F0F"/>
        </w:rPr>
        <w:tab/>
      </w:r>
      <w:r w:rsidRPr="00AF463B">
        <w:rPr>
          <w:rFonts w:cs="Times New Roman"/>
        </w:rPr>
        <w:t xml:space="preserve">A measure of relationship between two variables that considers the rank of the scores and not their absolute value; </w:t>
      </w:r>
      <w:r w:rsidRPr="00AF463B">
        <w:rPr>
          <w:rFonts w:cs="Times New Roman"/>
          <w:bCs/>
          <w:u w:val="single"/>
        </w:rPr>
        <w:t>used when one or both variables is ordinal.</w:t>
      </w:r>
    </w:p>
    <w:p w14:paraId="70EBBDFD" w14:textId="2EA46D79" w:rsidR="00815C24" w:rsidRPr="00AF463B" w:rsidRDefault="00815C24" w:rsidP="00815C24">
      <w:pPr>
        <w:ind w:firstLine="720"/>
        <w:rPr>
          <w:rFonts w:eastAsia="Times New Roman" w:cs="Times New Roman"/>
          <w:color w:val="0F0F0F"/>
        </w:rPr>
      </w:pPr>
      <w:r w:rsidRPr="00AF463B">
        <w:rPr>
          <w:rFonts w:eastAsia="Times New Roman" w:cs="Times New Roman"/>
          <w:i/>
          <w:iCs/>
          <w:color w:val="0F0F0F"/>
        </w:rPr>
        <w:t>Ordinal Variable:</w:t>
      </w:r>
      <w:r w:rsidRPr="00AF463B">
        <w:rPr>
          <w:rFonts w:eastAsia="Times New Roman" w:cs="Times New Roman"/>
          <w:color w:val="0F0F0F"/>
        </w:rPr>
        <w:t xml:space="preserve"> </w:t>
      </w:r>
      <w:r w:rsidRPr="00AF463B">
        <w:rPr>
          <w:rFonts w:eastAsia="Times New Roman" w:cs="Times New Roman"/>
          <w:color w:val="0F0F0F"/>
        </w:rPr>
        <w:tab/>
      </w:r>
      <w:r w:rsidR="00826D18">
        <w:rPr>
          <w:rFonts w:eastAsia="Times New Roman" w:cs="Times New Roman"/>
          <w:color w:val="0F0F0F"/>
        </w:rPr>
        <w:tab/>
      </w:r>
      <w:r w:rsidRPr="00AF463B">
        <w:rPr>
          <w:rFonts w:eastAsia="Times New Roman" w:cs="Times New Roman"/>
          <w:color w:val="0F0F0F"/>
        </w:rPr>
        <w:t>Values represent categories with an intrinsic relation.</w:t>
      </w:r>
    </w:p>
    <w:p w14:paraId="1EE47B4A" w14:textId="77777777" w:rsidR="00815C24" w:rsidRPr="00AF463B" w:rsidRDefault="00815C24" w:rsidP="00815C24">
      <w:pPr>
        <w:ind w:left="3600" w:hanging="3600"/>
        <w:rPr>
          <w:rFonts w:eastAsia="Times New Roman" w:cs="Times New Roman"/>
          <w:color w:val="0F0F0F"/>
        </w:rPr>
      </w:pPr>
      <w:r w:rsidRPr="00AF463B">
        <w:rPr>
          <w:rFonts w:eastAsia="Times New Roman" w:cs="Times New Roman"/>
          <w:i/>
          <w:iCs/>
          <w:color w:val="0F0F0F"/>
        </w:rPr>
        <w:t>Coefficient of Determination (</w:t>
      </w:r>
      <m:oMath>
        <m:r>
          <w:rPr>
            <w:rFonts w:ascii="Cambria Math" w:eastAsia="Times New Roman" w:hAnsi="Cambria Math" w:cs="Times New Roman"/>
            <w:color w:val="0F0F0F"/>
          </w:rPr>
          <m:t>r²</m:t>
        </m:r>
      </m:oMath>
      <w:r w:rsidRPr="00AF463B">
        <w:rPr>
          <w:rFonts w:eastAsia="Times New Roman" w:cs="Times New Roman"/>
          <w:i/>
          <w:iCs/>
          <w:color w:val="0F0F0F"/>
        </w:rPr>
        <w:t>):</w:t>
      </w:r>
      <w:r w:rsidRPr="00AF463B">
        <w:rPr>
          <w:rFonts w:eastAsia="Times New Roman" w:cs="Times New Roman"/>
          <w:color w:val="0F0F0F"/>
        </w:rPr>
        <w:t xml:space="preserve"> </w:t>
      </w:r>
      <w:r w:rsidRPr="00AF463B">
        <w:rPr>
          <w:rFonts w:eastAsia="Times New Roman" w:cs="Times New Roman"/>
          <w:color w:val="0F0F0F"/>
        </w:rPr>
        <w:tab/>
        <w:t>Represents the percentage of variance in the dependent variable explained by changes in the independent variable.</w:t>
      </w:r>
    </w:p>
    <w:p w14:paraId="3E5A7A68" w14:textId="3EA3D80E"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Degrees of Freedom (</w:t>
      </w:r>
      <m:oMath>
        <m:r>
          <w:rPr>
            <w:rFonts w:ascii="Cambria Math" w:eastAsia="Times New Roman" w:hAnsi="Cambria Math" w:cs="Times New Roman"/>
            <w:color w:val="0F0F0F"/>
          </w:rPr>
          <m:t>df</m:t>
        </m:r>
      </m:oMath>
      <w:r w:rsidRPr="00AF463B">
        <w:rPr>
          <w:rFonts w:eastAsia="Times New Roman" w:cs="Times New Roman"/>
          <w:i/>
          <w:iCs/>
          <w:color w:val="0F0F0F"/>
        </w:rPr>
        <w:t>):</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The number of independent pieces of information used to calculate a statistic.</w:t>
      </w:r>
    </w:p>
    <w:p w14:paraId="3016CE49" w14:textId="09746109"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P-Value:</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A measure indicating the probability of obtaining results as extreme as or more extreme than observed results under the assumption of the null hypothesis.</w:t>
      </w:r>
    </w:p>
    <w:p w14:paraId="75F48C93" w14:textId="284B732F"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Null Hypothesis (</w:t>
      </w:r>
      <m:oMath>
        <m:sSup>
          <m:sSupPr>
            <m:ctrlPr>
              <w:rPr>
                <w:rFonts w:ascii="Cambria Math" w:eastAsia="Times New Roman" w:hAnsi="Cambria Math" w:cs="Times New Roman"/>
                <w:i/>
                <w:iCs/>
                <w:color w:val="0F0F0F"/>
              </w:rPr>
            </m:ctrlPr>
          </m:sSupPr>
          <m:e>
            <m:r>
              <w:rPr>
                <w:rFonts w:ascii="Cambria Math" w:eastAsia="Times New Roman" w:hAnsi="Cambria Math" w:cs="Times New Roman"/>
                <w:color w:val="0F0F0F"/>
              </w:rPr>
              <m:t>H</m:t>
            </m:r>
          </m:e>
          <m:sup>
            <m:r>
              <w:rPr>
                <w:rFonts w:ascii="Cambria Math" w:eastAsia="Times New Roman" w:hAnsi="Cambria Math" w:cs="Times New Roman"/>
                <w:color w:val="0F0F0F"/>
              </w:rPr>
              <m:t>0</m:t>
            </m:r>
          </m:sup>
        </m:sSup>
      </m:oMath>
      <w:r w:rsidRPr="00AF463B">
        <w:rPr>
          <w:rFonts w:eastAsia="Times New Roman" w:cs="Times New Roman"/>
          <w:i/>
          <w:iCs/>
          <w:color w:val="0F0F0F"/>
        </w:rPr>
        <w:t>):</w:t>
      </w:r>
      <w:r w:rsidRPr="00AF463B">
        <w:rPr>
          <w:rFonts w:eastAsia="Times New Roman" w:cs="Times New Roman"/>
          <w:color w:val="0F0F0F"/>
        </w:rPr>
        <w:t xml:space="preserve"> </w:t>
      </w:r>
      <w:r w:rsidRPr="00AF463B">
        <w:rPr>
          <w:rFonts w:eastAsia="Times New Roman" w:cs="Times New Roman"/>
          <w:color w:val="0F0F0F"/>
        </w:rPr>
        <w:tab/>
        <w:t>A statement of no effect or difference, the hypothesis being tested.</w:t>
      </w:r>
    </w:p>
    <w:p w14:paraId="41C1DD3C" w14:textId="65B8D389" w:rsidR="00815C24" w:rsidRPr="00AF463B" w:rsidRDefault="00815C24" w:rsidP="00826D18">
      <w:pPr>
        <w:ind w:left="3600" w:hanging="3600"/>
        <w:rPr>
          <w:rFonts w:eastAsia="Times New Roman" w:cs="Times New Roman"/>
          <w:color w:val="0F0F0F"/>
        </w:rPr>
      </w:pPr>
      <w:r w:rsidRPr="00AF463B">
        <w:rPr>
          <w:rFonts w:eastAsia="Times New Roman" w:cs="Times New Roman"/>
          <w:i/>
          <w:iCs/>
          <w:color w:val="0F0F0F"/>
        </w:rPr>
        <w:t>Statistical Significance:</w:t>
      </w:r>
      <w:r w:rsidRPr="00AF463B">
        <w:rPr>
          <w:rFonts w:eastAsia="Times New Roman" w:cs="Times New Roman"/>
          <w:color w:val="0F0F0F"/>
        </w:rPr>
        <w:t xml:space="preserve"> </w:t>
      </w:r>
      <w:r w:rsidR="00826D18">
        <w:rPr>
          <w:rFonts w:eastAsia="Times New Roman" w:cs="Times New Roman"/>
          <w:color w:val="0F0F0F"/>
        </w:rPr>
        <w:tab/>
      </w:r>
      <w:r w:rsidRPr="00AF463B">
        <w:rPr>
          <w:rFonts w:eastAsia="Times New Roman" w:cs="Times New Roman"/>
          <w:color w:val="0F0F0F"/>
        </w:rPr>
        <w:t>Determines the likelihood that observed differences in data occur by chance.</w:t>
      </w:r>
    </w:p>
    <w:p w14:paraId="6B6AC5BF" w14:textId="77777777" w:rsidR="00826D18" w:rsidRDefault="00826D18">
      <w:pPr>
        <w:spacing w:before="0" w:after="0"/>
        <w:rPr>
          <w:rFonts w:cs="Times New Roman"/>
          <w:i/>
          <w:iCs/>
          <w:color w:val="0F0F0F"/>
        </w:rPr>
      </w:pPr>
      <w:r>
        <w:rPr>
          <w:rFonts w:cs="Times New Roman"/>
          <w:i/>
          <w:iCs/>
          <w:color w:val="0F0F0F"/>
        </w:rPr>
        <w:br w:type="page"/>
      </w:r>
    </w:p>
    <w:p w14:paraId="45512E1F" w14:textId="2E9D8101" w:rsidR="00815C24" w:rsidRPr="00AF463B" w:rsidRDefault="00815C24" w:rsidP="00826D18">
      <w:pPr>
        <w:ind w:left="4320" w:hanging="3600"/>
        <w:rPr>
          <w:rFonts w:eastAsia="Times New Roman" w:cs="Times New Roman"/>
          <w:color w:val="0F0F0F"/>
        </w:rPr>
      </w:pPr>
      <w:r w:rsidRPr="00AF463B">
        <w:rPr>
          <w:rFonts w:cs="Times New Roman"/>
          <w:i/>
          <w:iCs/>
          <w:color w:val="0F0F0F"/>
        </w:rPr>
        <w:lastRenderedPageBreak/>
        <w:t>Not Statistically Significant:</w:t>
      </w:r>
      <w:r w:rsidRPr="00AF463B">
        <w:rPr>
          <w:rFonts w:cs="Times New Roman"/>
          <w:color w:val="0F0F0F"/>
        </w:rPr>
        <w:t xml:space="preserve"> </w:t>
      </w:r>
      <w:r w:rsidRPr="00AF463B">
        <w:rPr>
          <w:rFonts w:cs="Times New Roman"/>
          <w:color w:val="0F0F0F"/>
        </w:rPr>
        <w:tab/>
        <w:t>A term used in statistical analysis to describe a result that does not provide enough evidence to reject the null hypothesis. In simpler terms, if a finding is not statistically significant, it means that the observed effect or difference in the data is likely to have occurred by chance. It's important to note that "not statistically significant" does not imply that the effect or difference is nonexistent or unimportant; it simply indicates that the evidence in the data is insufficient to support a claim of statistical significance.</w:t>
      </w:r>
    </w:p>
    <w:p w14:paraId="5663479B" w14:textId="151EEA87" w:rsidR="00815C24" w:rsidRPr="00AF463B" w:rsidRDefault="00815C24" w:rsidP="00826D18">
      <w:pPr>
        <w:ind w:left="3600" w:hanging="3600"/>
        <w:rPr>
          <w:rFonts w:cs="Times New Roman"/>
        </w:rPr>
      </w:pPr>
      <w:r w:rsidRPr="00AF463B">
        <w:rPr>
          <w:rFonts w:eastAsia="Times New Roman" w:cs="Times New Roman"/>
          <w:i/>
          <w:iCs/>
          <w:color w:val="0F0F0F"/>
        </w:rPr>
        <w:t>Simple Linear Regression:</w:t>
      </w:r>
      <w:r w:rsidRPr="00AF463B">
        <w:rPr>
          <w:rFonts w:eastAsia="Times New Roman" w:cs="Times New Roman"/>
          <w:color w:val="0F0F0F"/>
        </w:rPr>
        <w:t xml:space="preserve"> </w:t>
      </w:r>
      <w:r w:rsidRPr="00AF463B">
        <w:rPr>
          <w:rFonts w:eastAsia="Times New Roman" w:cs="Times New Roman"/>
          <w:color w:val="0F0F0F"/>
        </w:rPr>
        <w:tab/>
        <w:t>A</w:t>
      </w:r>
      <w:r w:rsidRPr="00AF463B">
        <w:rPr>
          <w:rFonts w:cs="Times New Roman"/>
        </w:rPr>
        <w:t xml:space="preserve"> correlation that treats both variables involved as equal; at least one variable is considered independent (predictor, </w:t>
      </w:r>
      <m:oMath>
        <m:r>
          <w:rPr>
            <w:rFonts w:ascii="Cambria Math" w:hAnsi="Cambria Math" w:cs="Times New Roman"/>
          </w:rPr>
          <m:t>χ</m:t>
        </m:r>
      </m:oMath>
      <w:r w:rsidRPr="00AF463B">
        <w:rPr>
          <w:rFonts w:cs="Times New Roman"/>
        </w:rPr>
        <w:t xml:space="preserve">) and the other is the dependent variable (outcome, </w:t>
      </w:r>
      <m:oMath>
        <m:r>
          <m:rPr>
            <m:sty m:val="p"/>
          </m:rPr>
          <w:rPr>
            <w:rFonts w:ascii="Cambria Math" w:hAnsi="Cambria Math" w:cs="Times New Roman"/>
          </w:rPr>
          <m:t>Υ</m:t>
        </m:r>
      </m:oMath>
      <w:r w:rsidRPr="00AF463B">
        <w:rPr>
          <w:rFonts w:cs="Times New Roman"/>
        </w:rPr>
        <w:t xml:space="preserve">). The dependent variable should be quantitative. Linear regression relies on two assumptions: </w:t>
      </w:r>
    </w:p>
    <w:p w14:paraId="39BEF82D" w14:textId="77777777" w:rsidR="00815C24" w:rsidRPr="00AF463B" w:rsidRDefault="00815C24" w:rsidP="00815C24">
      <w:pPr>
        <w:pStyle w:val="ListParagraph"/>
        <w:numPr>
          <w:ilvl w:val="0"/>
          <w:numId w:val="28"/>
        </w:numPr>
        <w:rPr>
          <w:rFonts w:cs="Times New Roman"/>
        </w:rPr>
      </w:pPr>
      <w:r w:rsidRPr="00AF463B">
        <w:rPr>
          <w:rFonts w:cs="Times New Roman"/>
        </w:rPr>
        <w:t xml:space="preserve">the relation between the dependent variable and each independent variable is linear, </w:t>
      </w:r>
    </w:p>
    <w:p w14:paraId="6E439B47" w14:textId="77777777" w:rsidR="00815C24" w:rsidRPr="00AF463B" w:rsidRDefault="00815C24" w:rsidP="00815C24">
      <w:pPr>
        <w:pStyle w:val="ListParagraph"/>
        <w:numPr>
          <w:ilvl w:val="0"/>
          <w:numId w:val="28"/>
        </w:numPr>
        <w:rPr>
          <w:rFonts w:cs="Times New Roman"/>
          <w:b/>
          <w:bCs/>
        </w:rPr>
      </w:pPr>
      <w:r w:rsidRPr="00AF463B">
        <w:rPr>
          <w:rFonts w:cs="Times New Roman"/>
        </w:rPr>
        <w:t>the distribution of the dependent variable is normal.</w:t>
      </w:r>
    </w:p>
    <w:p w14:paraId="021BDE98" w14:textId="0DD2CB6E" w:rsidR="00815C24" w:rsidRPr="00A573EE" w:rsidRDefault="00815C24" w:rsidP="00826D18">
      <w:pPr>
        <w:spacing w:after="0"/>
        <w:ind w:left="3600" w:hanging="3600"/>
        <w:rPr>
          <w:rFonts w:cs="Times New Roman"/>
          <w:color w:val="0F0F0F"/>
        </w:rPr>
      </w:pPr>
      <w:r w:rsidRPr="00AF463B">
        <w:rPr>
          <w:rFonts w:eastAsia="Times New Roman" w:cs="Times New Roman"/>
          <w:i/>
          <w:iCs/>
          <w:color w:val="0F0F0F"/>
        </w:rPr>
        <w:t>Regression Equation:</w:t>
      </w:r>
      <w:r w:rsidRPr="00AF463B">
        <w:rPr>
          <w:rFonts w:eastAsia="Times New Roman" w:cs="Times New Roman"/>
          <w:color w:val="0F0F0F"/>
        </w:rPr>
        <w:t xml:space="preserve"> </w:t>
      </w:r>
      <w:r w:rsidR="00826D18">
        <w:rPr>
          <w:rFonts w:eastAsia="Times New Roman" w:cs="Times New Roman"/>
          <w:color w:val="0F0F0F"/>
        </w:rPr>
        <w:tab/>
      </w:r>
      <w:r w:rsidRPr="00AF463B">
        <w:rPr>
          <w:rFonts w:cs="Times New Roman"/>
          <w:color w:val="0F0F0F"/>
        </w:rPr>
        <w:t>A mathematical model that represents the relationship between a dependent variable and one or more independent variables. In simple terms, it expresses how changes in the independent variables are associated with changes in the dependent variable.</w:t>
      </w:r>
      <w:r>
        <w:rPr>
          <w:rFonts w:cs="Times New Roman"/>
          <w:b/>
          <w:bCs/>
        </w:rPr>
        <w:br w:type="page"/>
      </w:r>
    </w:p>
    <w:p w14:paraId="3AD0279C" w14:textId="77777777" w:rsidR="00DB77D7" w:rsidRDefault="00DB77D7" w:rsidP="0039518C">
      <w:pPr>
        <w:pStyle w:val="DissertationChapterName"/>
        <w:sectPr w:rsidR="00DB77D7" w:rsidSect="00870D5B">
          <w:headerReference w:type="default" r:id="rId25"/>
          <w:headerReference w:type="first" r:id="rId26"/>
          <w:pgSz w:w="12240" w:h="15840"/>
          <w:pgMar w:top="1440" w:right="1440" w:bottom="1440" w:left="1440" w:header="708" w:footer="708" w:gutter="0"/>
          <w:pgNumType w:fmt="lowerRoman" w:start="2"/>
          <w:cols w:space="708"/>
          <w:titlePg/>
          <w:docGrid w:linePitch="360"/>
        </w:sectPr>
      </w:pPr>
    </w:p>
    <w:p w14:paraId="22AE754B" w14:textId="6239BA7E" w:rsidR="007C75DE" w:rsidRDefault="00B7303E" w:rsidP="0039518C">
      <w:pPr>
        <w:pStyle w:val="DissertationChapterName"/>
      </w:pPr>
      <w:bookmarkStart w:id="8" w:name="_Toc175413113"/>
      <w:r w:rsidRPr="00EF2000">
        <w:lastRenderedPageBreak/>
        <w:t>Chapter 1 – Introduction</w:t>
      </w:r>
      <w:bookmarkEnd w:id="8"/>
    </w:p>
    <w:p w14:paraId="62331B19" w14:textId="77777777" w:rsidR="002C7062" w:rsidRPr="00EF2000" w:rsidRDefault="002C7062" w:rsidP="002C7062">
      <w:pPr>
        <w:jc w:val="center"/>
        <w:rPr>
          <w:rFonts w:cs="Times New Roman"/>
        </w:rPr>
      </w:pPr>
    </w:p>
    <w:p w14:paraId="799DF732" w14:textId="77777777" w:rsidR="00D665EF" w:rsidRPr="00EF2000" w:rsidRDefault="007C75DE" w:rsidP="0039518C">
      <w:pPr>
        <w:pStyle w:val="DissertationQuotation"/>
      </w:pPr>
      <w:r w:rsidRPr="00EF2000">
        <w:t>“… a plane that appears to be cruising at slightly lower-than-normal altitude over New York City… it appears to have crashed into… it hit directly in the middle of one of the World Trade Center towers… It was teetering back and forth, wingtip to wingtip, and it looks like it crashed into, probably twenty stories from the top of the World Trade Center, maybe the 80</w:t>
      </w:r>
      <w:r w:rsidRPr="00EF2000">
        <w:rPr>
          <w:vertAlign w:val="superscript"/>
        </w:rPr>
        <w:t>th</w:t>
      </w:r>
      <w:r w:rsidRPr="00EF2000">
        <w:t xml:space="preserve"> to 85</w:t>
      </w:r>
      <w:r w:rsidRPr="00EF2000">
        <w:rPr>
          <w:vertAlign w:val="superscript"/>
        </w:rPr>
        <w:t>th</w:t>
      </w:r>
      <w:r w:rsidRPr="00EF2000">
        <w:t xml:space="preserve"> floor. There is smoke billowing out of the World Trade Center…  I can see flames coming out of the side of the building.”</w:t>
      </w:r>
    </w:p>
    <w:p w14:paraId="32489781" w14:textId="36187DA5" w:rsidR="00D665EF" w:rsidRPr="00A448D2" w:rsidRDefault="007C75DE" w:rsidP="0039518C">
      <w:pPr>
        <w:pStyle w:val="DissertationQuotationAuthor"/>
      </w:pPr>
      <w:r w:rsidRPr="00A448D2">
        <w:t>– Sean Murtagh, 11 September 2001.</w:t>
      </w:r>
      <w:r w:rsidR="00733C3F" w:rsidRPr="00A448D2">
        <w:rPr>
          <w:rStyle w:val="FootnoteReference"/>
        </w:rPr>
        <w:footnoteReference w:id="1"/>
      </w:r>
    </w:p>
    <w:p w14:paraId="53FD8C71" w14:textId="636163C8" w:rsidR="002C7062" w:rsidRPr="00EF2000" w:rsidRDefault="002C7062" w:rsidP="002C7062">
      <w:pPr>
        <w:ind w:left="720"/>
        <w:rPr>
          <w:rFonts w:cs="Times New Roman"/>
        </w:rPr>
      </w:pPr>
    </w:p>
    <w:p w14:paraId="69D04074" w14:textId="2388A8A9" w:rsidR="00E25B9E" w:rsidRPr="00EF2000" w:rsidRDefault="00765FD2" w:rsidP="002C7062">
      <w:pPr>
        <w:ind w:firstLine="720"/>
        <w:rPr>
          <w:rFonts w:cs="Times New Roman"/>
        </w:rPr>
      </w:pPr>
      <w:r w:rsidRPr="00EF2000">
        <w:rPr>
          <w:rFonts w:eastAsia="Times New Roman" w:cs="Times New Roman"/>
          <w:shd w:val="clear" w:color="auto" w:fill="FFFFFF"/>
        </w:rPr>
        <w:t xml:space="preserve">On September 11, 2001, Al Qaeda terrorists coordinated the hijacking of four commercial airliners. Two of these planes were flown into the World Trade Center in New York City, a third was flown into the Pentagon in Arlington County, Virginia, </w:t>
      </w:r>
      <w:r w:rsidR="00642441" w:rsidRPr="00EF2000">
        <w:rPr>
          <w:rFonts w:eastAsia="Times New Roman" w:cs="Times New Roman"/>
          <w:shd w:val="clear" w:color="auto" w:fill="FFFFFF"/>
        </w:rPr>
        <w:t xml:space="preserve">and </w:t>
      </w:r>
      <w:r w:rsidRPr="00EF2000">
        <w:rPr>
          <w:rFonts w:eastAsia="Times New Roman" w:cs="Times New Roman"/>
          <w:shd w:val="clear" w:color="auto" w:fill="FFFFFF"/>
        </w:rPr>
        <w:t xml:space="preserve">the final aircraft crashed into a field near a Pennsylvania township after its passengers confronted the hijackers. The death toll caused by these </w:t>
      </w:r>
      <w:r w:rsidR="00642441" w:rsidRPr="00EF2000">
        <w:rPr>
          <w:rFonts w:eastAsia="Times New Roman" w:cs="Times New Roman"/>
          <w:shd w:val="clear" w:color="auto" w:fill="FFFFFF"/>
        </w:rPr>
        <w:t xml:space="preserve">terrorist attacks </w:t>
      </w:r>
      <w:r w:rsidRPr="00EF2000">
        <w:rPr>
          <w:rFonts w:eastAsia="Times New Roman" w:cs="Times New Roman"/>
          <w:shd w:val="clear" w:color="auto" w:fill="FFFFFF"/>
        </w:rPr>
        <w:t>totalled nearly three thousand innocent victims, injured a further six thousand individuals, and caused billions of dollars in damage to property and infrastructure.</w:t>
      </w:r>
      <w:r w:rsidR="00052641" w:rsidRPr="00EF2000">
        <w:rPr>
          <w:rStyle w:val="FootnoteReference"/>
          <w:rFonts w:eastAsia="Times New Roman" w:cs="Times New Roman"/>
          <w:shd w:val="clear" w:color="auto" w:fill="FFFFFF"/>
        </w:rPr>
        <w:footnoteReference w:id="2"/>
      </w:r>
      <w:r w:rsidR="00642441" w:rsidRPr="00EF2000">
        <w:rPr>
          <w:rFonts w:eastAsia="Times New Roman" w:cs="Times New Roman"/>
          <w:shd w:val="clear" w:color="auto" w:fill="FFFFFF"/>
        </w:rPr>
        <w:t xml:space="preserve"> Understandably, </w:t>
      </w:r>
      <w:r w:rsidR="00596BD5" w:rsidRPr="00EF2000">
        <w:rPr>
          <w:rFonts w:eastAsia="Times New Roman" w:cs="Times New Roman"/>
          <w:shd w:val="clear" w:color="auto" w:fill="FFFFFF"/>
        </w:rPr>
        <w:t>United States’ opinion polling i</w:t>
      </w:r>
      <w:r w:rsidR="00642441" w:rsidRPr="00EF2000">
        <w:rPr>
          <w:rFonts w:eastAsia="Times New Roman" w:cs="Times New Roman"/>
          <w:shd w:val="clear" w:color="auto" w:fill="FFFFFF"/>
        </w:rPr>
        <w:t xml:space="preserve">n the aftermath of the attacks </w:t>
      </w:r>
      <w:r w:rsidR="00596BD5" w:rsidRPr="00EF2000">
        <w:rPr>
          <w:rFonts w:eastAsia="Times New Roman" w:cs="Times New Roman"/>
          <w:shd w:val="clear" w:color="auto" w:fill="FFFFFF"/>
        </w:rPr>
        <w:t>noted an</w:t>
      </w:r>
      <w:r w:rsidR="00642441" w:rsidRPr="00EF2000">
        <w:rPr>
          <w:rFonts w:eastAsia="Times New Roman" w:cs="Times New Roman"/>
          <w:shd w:val="clear" w:color="auto" w:fill="FFFFFF"/>
        </w:rPr>
        <w:t xml:space="preserve"> increase in public levels of fear and anxiety about potential of future terrorist attacks. However, m</w:t>
      </w:r>
      <w:r w:rsidR="007C75DE" w:rsidRPr="00EF2000">
        <w:rPr>
          <w:rFonts w:cs="Times New Roman"/>
        </w:rPr>
        <w:t>ore than two decades after the 9/11 terrorist attacks on the World Trade Cent</w:t>
      </w:r>
      <w:r w:rsidR="001A454D" w:rsidRPr="00EF2000">
        <w:rPr>
          <w:rFonts w:cs="Times New Roman"/>
        </w:rPr>
        <w:t>er</w:t>
      </w:r>
      <w:r w:rsidR="007C75DE" w:rsidRPr="00EF2000">
        <w:rPr>
          <w:rFonts w:cs="Times New Roman"/>
        </w:rPr>
        <w:t xml:space="preserve"> and the Pentagon, public opinion polling </w:t>
      </w:r>
      <w:r w:rsidR="001A454D" w:rsidRPr="00EF2000">
        <w:rPr>
          <w:rFonts w:cs="Times New Roman"/>
        </w:rPr>
        <w:t xml:space="preserve">in the United States </w:t>
      </w:r>
      <w:r w:rsidR="00596BD5" w:rsidRPr="00EF2000">
        <w:rPr>
          <w:rFonts w:cs="Times New Roman"/>
        </w:rPr>
        <w:t>indicates</w:t>
      </w:r>
      <w:r w:rsidR="00642441" w:rsidRPr="00EF2000">
        <w:rPr>
          <w:rFonts w:cs="Times New Roman"/>
        </w:rPr>
        <w:t xml:space="preserve"> </w:t>
      </w:r>
      <w:r w:rsidR="007C75DE" w:rsidRPr="00EF2000">
        <w:rPr>
          <w:rFonts w:cs="Times New Roman"/>
        </w:rPr>
        <w:t xml:space="preserve">that </w:t>
      </w:r>
      <w:r w:rsidR="00642441" w:rsidRPr="00EF2000">
        <w:rPr>
          <w:rFonts w:cs="Times New Roman"/>
        </w:rPr>
        <w:t xml:space="preserve">this </w:t>
      </w:r>
      <w:r w:rsidR="007C75DE" w:rsidRPr="00EF2000">
        <w:rPr>
          <w:rFonts w:cs="Times New Roman"/>
        </w:rPr>
        <w:t xml:space="preserve">heightened </w:t>
      </w:r>
      <w:r w:rsidR="00596BD5" w:rsidRPr="00EF2000">
        <w:rPr>
          <w:rFonts w:cs="Times New Roman"/>
        </w:rPr>
        <w:t>fear of terrorism</w:t>
      </w:r>
      <w:r w:rsidR="00642441" w:rsidRPr="00EF2000">
        <w:rPr>
          <w:rFonts w:cs="Times New Roman"/>
        </w:rPr>
        <w:t xml:space="preserve"> </w:t>
      </w:r>
      <w:r w:rsidR="007C75DE" w:rsidRPr="00EF2000">
        <w:rPr>
          <w:rFonts w:cs="Times New Roman"/>
        </w:rPr>
        <w:t>ha</w:t>
      </w:r>
      <w:r w:rsidR="00642441" w:rsidRPr="00EF2000">
        <w:rPr>
          <w:rFonts w:cs="Times New Roman"/>
        </w:rPr>
        <w:t>s</w:t>
      </w:r>
      <w:r w:rsidR="007C75DE" w:rsidRPr="00EF2000">
        <w:rPr>
          <w:rFonts w:cs="Times New Roman"/>
        </w:rPr>
        <w:t xml:space="preserve"> been sustained</w:t>
      </w:r>
      <w:r w:rsidR="00E25B9E" w:rsidRPr="00EF2000">
        <w:rPr>
          <w:rFonts w:cs="Times New Roman"/>
        </w:rPr>
        <w:t xml:space="preserve">. </w:t>
      </w:r>
      <w:r w:rsidR="00704ED7" w:rsidRPr="00EF2000">
        <w:rPr>
          <w:rFonts w:cs="Times New Roman"/>
        </w:rPr>
        <w:t>(Polls measuring anxiety as relating to terrorist attacks have not yet decreased to the level that they were recorded at before 9/11.)</w:t>
      </w:r>
      <w:r w:rsidR="001A454D" w:rsidRPr="00EF2000">
        <w:rPr>
          <w:rStyle w:val="FootnoteReference"/>
          <w:rFonts w:cs="Times New Roman"/>
        </w:rPr>
        <w:footnoteReference w:id="3"/>
      </w:r>
      <w:r w:rsidR="001A454D" w:rsidRPr="00EF2000">
        <w:rPr>
          <w:rFonts w:cs="Times New Roman"/>
        </w:rPr>
        <w:t xml:space="preserve"> </w:t>
      </w:r>
      <w:r w:rsidR="00E25B9E" w:rsidRPr="00EF2000">
        <w:rPr>
          <w:rFonts w:cs="Times New Roman"/>
        </w:rPr>
        <w:t xml:space="preserve">Notwithstanding the magnitude of the damage affected by the 9/11 terrorist attacks, </w:t>
      </w:r>
      <w:r w:rsidR="000A0F94" w:rsidRPr="00EF2000">
        <w:rPr>
          <w:rFonts w:cs="Times New Roman"/>
        </w:rPr>
        <w:t>public opinion</w:t>
      </w:r>
      <w:r w:rsidR="00E25B9E" w:rsidRPr="00EF2000">
        <w:rPr>
          <w:rFonts w:cs="Times New Roman"/>
        </w:rPr>
        <w:t xml:space="preserve"> o</w:t>
      </w:r>
      <w:r w:rsidR="000A0F94" w:rsidRPr="00EF2000">
        <w:rPr>
          <w:rFonts w:cs="Times New Roman"/>
        </w:rPr>
        <w:t xml:space="preserve">n </w:t>
      </w:r>
      <w:r w:rsidR="00E25B9E" w:rsidRPr="00EF2000">
        <w:rPr>
          <w:rFonts w:cs="Times New Roman"/>
        </w:rPr>
        <w:t xml:space="preserve">the danger presented by terrorism and terrorist attacks does not accord with the actual </w:t>
      </w:r>
      <w:r w:rsidR="000A0F94" w:rsidRPr="00EF2000">
        <w:rPr>
          <w:rFonts w:cs="Times New Roman"/>
        </w:rPr>
        <w:t>danger posed by terrorist attacks to American citizens.</w:t>
      </w:r>
      <w:r w:rsidR="000A0F94" w:rsidRPr="00EF2000">
        <w:rPr>
          <w:rStyle w:val="FootnoteReference"/>
          <w:rFonts w:cs="Times New Roman"/>
        </w:rPr>
        <w:footnoteReference w:id="4"/>
      </w:r>
    </w:p>
    <w:p w14:paraId="4B8DD894" w14:textId="32545F14" w:rsidR="00787026" w:rsidRPr="00EF2000" w:rsidRDefault="00190729" w:rsidP="002C7062">
      <w:pPr>
        <w:ind w:firstLine="720"/>
        <w:rPr>
          <w:rFonts w:cs="Times New Roman"/>
        </w:rPr>
      </w:pPr>
      <w:r w:rsidRPr="00EF2000">
        <w:rPr>
          <w:rFonts w:cs="Times New Roman"/>
        </w:rPr>
        <w:t>P</w:t>
      </w:r>
      <w:r w:rsidR="004F4BB0" w:rsidRPr="00EF2000">
        <w:rPr>
          <w:rFonts w:cs="Times New Roman"/>
        </w:rPr>
        <w:t xml:space="preserve">ublic anxiety </w:t>
      </w:r>
      <w:r w:rsidRPr="00EF2000">
        <w:rPr>
          <w:rFonts w:cs="Times New Roman"/>
        </w:rPr>
        <w:t xml:space="preserve">of this nature </w:t>
      </w:r>
      <w:r w:rsidR="004F4BB0" w:rsidRPr="00EF2000">
        <w:rPr>
          <w:rFonts w:cs="Times New Roman"/>
        </w:rPr>
        <w:t>is not localized to the United States</w:t>
      </w:r>
      <w:r w:rsidR="00813183" w:rsidRPr="00EF2000">
        <w:rPr>
          <w:rFonts w:cs="Times New Roman"/>
        </w:rPr>
        <w:t>:</w:t>
      </w:r>
      <w:r w:rsidR="00A16FA6" w:rsidRPr="00EF2000">
        <w:rPr>
          <w:rFonts w:cs="Times New Roman"/>
        </w:rPr>
        <w:t xml:space="preserve"> it</w:t>
      </w:r>
      <w:r w:rsidR="004F4BB0" w:rsidRPr="00EF2000">
        <w:rPr>
          <w:rFonts w:cs="Times New Roman"/>
        </w:rPr>
        <w:t xml:space="preserve"> is prevalent internationally</w:t>
      </w:r>
      <w:r w:rsidR="00A16FA6" w:rsidRPr="00EF2000">
        <w:rPr>
          <w:rFonts w:cs="Times New Roman"/>
        </w:rPr>
        <w:t>.</w:t>
      </w:r>
      <w:r w:rsidR="00A16FA6" w:rsidRPr="00EF2000">
        <w:rPr>
          <w:rStyle w:val="FootnoteReference"/>
          <w:rFonts w:cs="Times New Roman"/>
        </w:rPr>
        <w:footnoteReference w:id="5"/>
      </w:r>
      <w:r w:rsidR="00787026" w:rsidRPr="00EF2000">
        <w:rPr>
          <w:rFonts w:cs="Times New Roman"/>
        </w:rPr>
        <w:t xml:space="preserve"> </w:t>
      </w:r>
      <w:r w:rsidR="00973D7D" w:rsidRPr="00EF2000">
        <w:rPr>
          <w:rFonts w:cs="Times New Roman"/>
        </w:rPr>
        <w:t>This is</w:t>
      </w:r>
      <w:r w:rsidR="00704ED7" w:rsidRPr="00EF2000">
        <w:rPr>
          <w:rFonts w:cs="Times New Roman"/>
        </w:rPr>
        <w:t xml:space="preserve"> reflected in data collected by the World Values Survey (WVS), specifically in </w:t>
      </w:r>
      <w:r w:rsidR="00973D7D" w:rsidRPr="00EF2000">
        <w:rPr>
          <w:rFonts w:cs="Times New Roman"/>
        </w:rPr>
        <w:t xml:space="preserve">participant responses to </w:t>
      </w:r>
      <w:r w:rsidR="00540901" w:rsidRPr="00EF2000">
        <w:rPr>
          <w:rFonts w:cs="Times New Roman"/>
        </w:rPr>
        <w:t>Question 147 (7</w:t>
      </w:r>
      <w:r w:rsidR="00540901" w:rsidRPr="00EF2000">
        <w:rPr>
          <w:rFonts w:cs="Times New Roman"/>
          <w:vertAlign w:val="superscript"/>
        </w:rPr>
        <w:t>th</w:t>
      </w:r>
      <w:r w:rsidR="00540901" w:rsidRPr="00EF2000">
        <w:rPr>
          <w:rFonts w:cs="Times New Roman"/>
        </w:rPr>
        <w:t xml:space="preserve"> wave of the WVS</w:t>
      </w:r>
      <w:r w:rsidR="00FA16CB" w:rsidRPr="00EF2000">
        <w:rPr>
          <w:rFonts w:cs="Times New Roman"/>
        </w:rPr>
        <w:t>, spanning mid-2017 to 2020</w:t>
      </w:r>
      <w:r w:rsidR="00540901" w:rsidRPr="00EF2000">
        <w:rPr>
          <w:rFonts w:cs="Times New Roman"/>
        </w:rPr>
        <w:t>) and Question 184 (6</w:t>
      </w:r>
      <w:r w:rsidR="00540901" w:rsidRPr="00EF2000">
        <w:rPr>
          <w:rFonts w:cs="Times New Roman"/>
          <w:vertAlign w:val="superscript"/>
        </w:rPr>
        <w:t>th</w:t>
      </w:r>
      <w:r w:rsidR="00540901" w:rsidRPr="00EF2000">
        <w:rPr>
          <w:rFonts w:cs="Times New Roman"/>
        </w:rPr>
        <w:t xml:space="preserve"> wave of the WVS</w:t>
      </w:r>
      <w:r w:rsidR="00FA16CB" w:rsidRPr="00EF2000">
        <w:rPr>
          <w:rFonts w:cs="Times New Roman"/>
        </w:rPr>
        <w:t>, spanning 2010-2014</w:t>
      </w:r>
      <w:r w:rsidR="00540901" w:rsidRPr="00EF2000">
        <w:rPr>
          <w:rFonts w:cs="Times New Roman"/>
        </w:rPr>
        <w:t>)</w:t>
      </w:r>
      <w:r w:rsidR="00813183" w:rsidRPr="00EF2000">
        <w:rPr>
          <w:rFonts w:cs="Times New Roman"/>
        </w:rPr>
        <w:t xml:space="preserve">. (Both Q147 and Q184 </w:t>
      </w:r>
      <w:r w:rsidR="007537AD" w:rsidRPr="00EF2000">
        <w:rPr>
          <w:rFonts w:cs="Times New Roman"/>
        </w:rPr>
        <w:t>ask participants</w:t>
      </w:r>
      <w:r w:rsidR="00813183" w:rsidRPr="00EF2000">
        <w:rPr>
          <w:rFonts w:cs="Times New Roman"/>
        </w:rPr>
        <w:t>,</w:t>
      </w:r>
      <w:r w:rsidR="007537AD" w:rsidRPr="00EF2000">
        <w:rPr>
          <w:rFonts w:cs="Times New Roman"/>
        </w:rPr>
        <w:t xml:space="preserve"> “To what degree are you worrie</w:t>
      </w:r>
      <w:r w:rsidR="00813183" w:rsidRPr="00EF2000">
        <w:rPr>
          <w:rFonts w:cs="Times New Roman"/>
        </w:rPr>
        <w:t>d</w:t>
      </w:r>
      <w:r w:rsidR="007537AD" w:rsidRPr="00EF2000">
        <w:rPr>
          <w:rFonts w:cs="Times New Roman"/>
        </w:rPr>
        <w:t xml:space="preserve"> about… A terrorist </w:t>
      </w:r>
      <w:proofErr w:type="gramStart"/>
      <w:r w:rsidR="007537AD" w:rsidRPr="00EF2000">
        <w:rPr>
          <w:rFonts w:cs="Times New Roman"/>
        </w:rPr>
        <w:t>attack</w:t>
      </w:r>
      <w:proofErr w:type="gramEnd"/>
      <w:r w:rsidR="007537AD" w:rsidRPr="00EF2000">
        <w:rPr>
          <w:rFonts w:cs="Times New Roman"/>
        </w:rPr>
        <w:t>?”</w:t>
      </w:r>
      <w:r w:rsidR="00973D7D" w:rsidRPr="00EF2000">
        <w:rPr>
          <w:rFonts w:cs="Times New Roman"/>
        </w:rPr>
        <w:t>,</w:t>
      </w:r>
      <w:r w:rsidR="007537AD" w:rsidRPr="00EF2000">
        <w:rPr>
          <w:rFonts w:cs="Times New Roman"/>
        </w:rPr>
        <w:t xml:space="preserve"> </w:t>
      </w:r>
      <w:r w:rsidR="00973D7D" w:rsidRPr="00EF2000">
        <w:rPr>
          <w:rFonts w:cs="Times New Roman"/>
        </w:rPr>
        <w:t>with</w:t>
      </w:r>
      <w:r w:rsidR="007537AD" w:rsidRPr="00EF2000">
        <w:rPr>
          <w:rFonts w:cs="Times New Roman"/>
        </w:rPr>
        <w:t xml:space="preserve"> </w:t>
      </w:r>
      <w:r w:rsidR="00540901" w:rsidRPr="00EF2000">
        <w:rPr>
          <w:rFonts w:cs="Times New Roman"/>
        </w:rPr>
        <w:t xml:space="preserve">possible </w:t>
      </w:r>
      <w:r w:rsidR="00540901" w:rsidRPr="00EF2000">
        <w:rPr>
          <w:rFonts w:cs="Times New Roman"/>
        </w:rPr>
        <w:lastRenderedPageBreak/>
        <w:t>answers</w:t>
      </w:r>
      <w:r w:rsidR="007537AD" w:rsidRPr="00EF2000">
        <w:rPr>
          <w:rFonts w:cs="Times New Roman"/>
        </w:rPr>
        <w:t xml:space="preserve"> </w:t>
      </w:r>
      <w:r w:rsidR="00540901" w:rsidRPr="00EF2000">
        <w:rPr>
          <w:rFonts w:cs="Times New Roman"/>
        </w:rPr>
        <w:t>“</w:t>
      </w:r>
      <w:r w:rsidR="007537AD" w:rsidRPr="00EF2000">
        <w:rPr>
          <w:rFonts w:cs="Times New Roman"/>
        </w:rPr>
        <w:t>1. Very Much</w:t>
      </w:r>
      <w:r w:rsidR="00540901" w:rsidRPr="00EF2000">
        <w:rPr>
          <w:rFonts w:cs="Times New Roman"/>
        </w:rPr>
        <w:t>”</w:t>
      </w:r>
      <w:r w:rsidR="007537AD" w:rsidRPr="00EF2000">
        <w:rPr>
          <w:rFonts w:cs="Times New Roman"/>
        </w:rPr>
        <w:t xml:space="preserve">, </w:t>
      </w:r>
      <w:r w:rsidR="00540901" w:rsidRPr="00EF2000">
        <w:rPr>
          <w:rFonts w:cs="Times New Roman"/>
        </w:rPr>
        <w:t>“</w:t>
      </w:r>
      <w:r w:rsidR="007537AD" w:rsidRPr="00EF2000">
        <w:rPr>
          <w:rFonts w:cs="Times New Roman"/>
        </w:rPr>
        <w:t>2. A Good Deal</w:t>
      </w:r>
      <w:r w:rsidR="00540901" w:rsidRPr="00EF2000">
        <w:rPr>
          <w:rFonts w:cs="Times New Roman"/>
        </w:rPr>
        <w:t>”</w:t>
      </w:r>
      <w:r w:rsidR="007537AD" w:rsidRPr="00EF2000">
        <w:rPr>
          <w:rFonts w:cs="Times New Roman"/>
        </w:rPr>
        <w:t xml:space="preserve">, </w:t>
      </w:r>
      <w:r w:rsidR="00540901" w:rsidRPr="00EF2000">
        <w:rPr>
          <w:rFonts w:cs="Times New Roman"/>
        </w:rPr>
        <w:t>“</w:t>
      </w:r>
      <w:r w:rsidR="007537AD" w:rsidRPr="00EF2000">
        <w:rPr>
          <w:rFonts w:cs="Times New Roman"/>
        </w:rPr>
        <w:t>3. Not Much</w:t>
      </w:r>
      <w:r w:rsidR="00540901" w:rsidRPr="00EF2000">
        <w:rPr>
          <w:rFonts w:cs="Times New Roman"/>
        </w:rPr>
        <w:t>”</w:t>
      </w:r>
      <w:r w:rsidR="007537AD" w:rsidRPr="00EF2000">
        <w:rPr>
          <w:rFonts w:cs="Times New Roman"/>
        </w:rPr>
        <w:t xml:space="preserve">, and </w:t>
      </w:r>
      <w:r w:rsidR="00540901" w:rsidRPr="00EF2000">
        <w:rPr>
          <w:rFonts w:cs="Times New Roman"/>
        </w:rPr>
        <w:t>“</w:t>
      </w:r>
      <w:r w:rsidR="007537AD" w:rsidRPr="00EF2000">
        <w:rPr>
          <w:rFonts w:cs="Times New Roman"/>
        </w:rPr>
        <w:t>4. Not at all</w:t>
      </w:r>
      <w:r w:rsidR="00540901" w:rsidRPr="00EF2000">
        <w:rPr>
          <w:rFonts w:cs="Times New Roman"/>
        </w:rPr>
        <w:t>”</w:t>
      </w:r>
      <w:r w:rsidR="007537AD" w:rsidRPr="00EF2000">
        <w:rPr>
          <w:rFonts w:cs="Times New Roman"/>
        </w:rPr>
        <w:t>.</w:t>
      </w:r>
      <w:r w:rsidR="00813183" w:rsidRPr="00EF2000">
        <w:rPr>
          <w:rFonts w:cs="Times New Roman"/>
        </w:rPr>
        <w:t xml:space="preserve">) </w:t>
      </w:r>
      <w:r w:rsidR="00704ED7" w:rsidRPr="00EF2000">
        <w:rPr>
          <w:rFonts w:cs="Times New Roman"/>
        </w:rPr>
        <w:t>A</w:t>
      </w:r>
      <w:r w:rsidR="00014A12" w:rsidRPr="00EF2000">
        <w:rPr>
          <w:rFonts w:cs="Times New Roman"/>
        </w:rPr>
        <w:t>s such, t</w:t>
      </w:r>
      <w:r w:rsidR="00704ED7" w:rsidRPr="00EF2000">
        <w:rPr>
          <w:rFonts w:cs="Times New Roman"/>
        </w:rPr>
        <w:t>he 6</w:t>
      </w:r>
      <w:r w:rsidR="00704ED7" w:rsidRPr="00EF2000">
        <w:rPr>
          <w:rFonts w:cs="Times New Roman"/>
          <w:vertAlign w:val="superscript"/>
        </w:rPr>
        <w:t>th</w:t>
      </w:r>
      <w:r w:rsidR="00704ED7" w:rsidRPr="00EF2000">
        <w:rPr>
          <w:rFonts w:cs="Times New Roman"/>
        </w:rPr>
        <w:t xml:space="preserve"> wave </w:t>
      </w:r>
      <w:r w:rsidR="00014A12" w:rsidRPr="00EF2000">
        <w:rPr>
          <w:rFonts w:cs="Times New Roman"/>
        </w:rPr>
        <w:t>data</w:t>
      </w:r>
      <w:r w:rsidR="00973D7D" w:rsidRPr="00EF2000">
        <w:rPr>
          <w:rFonts w:cs="Times New Roman"/>
        </w:rPr>
        <w:t xml:space="preserve"> </w:t>
      </w:r>
      <w:r w:rsidR="00014A12" w:rsidRPr="00EF2000">
        <w:rPr>
          <w:rFonts w:cs="Times New Roman"/>
        </w:rPr>
        <w:t>indicate</w:t>
      </w:r>
      <w:r w:rsidR="00704ED7" w:rsidRPr="00EF2000">
        <w:rPr>
          <w:rFonts w:cs="Times New Roman"/>
        </w:rPr>
        <w:t xml:space="preserve">s </w:t>
      </w:r>
      <w:r w:rsidR="00014A12" w:rsidRPr="00EF2000">
        <w:rPr>
          <w:rFonts w:cs="Times New Roman"/>
        </w:rPr>
        <w:t>that</w:t>
      </w:r>
      <w:r w:rsidR="00704ED7" w:rsidRPr="00EF2000">
        <w:rPr>
          <w:rFonts w:cs="Times New Roman"/>
        </w:rPr>
        <w:t xml:space="preserve"> 61.84</w:t>
      </w:r>
      <w:r w:rsidR="00014A12" w:rsidRPr="00EF2000">
        <w:rPr>
          <w:rFonts w:cs="Times New Roman"/>
        </w:rPr>
        <w:t>% of WVS participants experience significant ongoing worry about potential future terrorist attacks</w:t>
      </w:r>
      <w:r w:rsidR="00704ED7" w:rsidRPr="00EF2000">
        <w:rPr>
          <w:rFonts w:cs="Times New Roman"/>
        </w:rPr>
        <w:t xml:space="preserve">, while </w:t>
      </w:r>
      <w:r w:rsidR="00014A12" w:rsidRPr="00EF2000">
        <w:rPr>
          <w:rFonts w:cs="Times New Roman"/>
        </w:rPr>
        <w:t>the 7</w:t>
      </w:r>
      <w:r w:rsidR="00014A12" w:rsidRPr="00EF2000">
        <w:rPr>
          <w:rFonts w:cs="Times New Roman"/>
          <w:vertAlign w:val="superscript"/>
        </w:rPr>
        <w:t>th</w:t>
      </w:r>
      <w:r w:rsidR="00014A12" w:rsidRPr="00EF2000">
        <w:rPr>
          <w:rFonts w:cs="Times New Roman"/>
        </w:rPr>
        <w:t xml:space="preserve"> wave data suggests a slightly increased </w:t>
      </w:r>
      <w:r w:rsidR="00704ED7" w:rsidRPr="00EF2000">
        <w:rPr>
          <w:rFonts w:cs="Times New Roman"/>
        </w:rPr>
        <w:t>66.59%</w:t>
      </w:r>
      <w:r w:rsidR="00014A12" w:rsidRPr="00EF2000">
        <w:rPr>
          <w:rFonts w:cs="Times New Roman"/>
        </w:rPr>
        <w:t xml:space="preserve"> of participants are similarly anxious</w:t>
      </w:r>
      <w:r w:rsidR="00704ED7" w:rsidRPr="00EF2000">
        <w:rPr>
          <w:rFonts w:cs="Times New Roman"/>
        </w:rPr>
        <w:t>.</w:t>
      </w:r>
      <w:r w:rsidR="00014A12" w:rsidRPr="00EF2000">
        <w:rPr>
          <w:rStyle w:val="FootnoteReference"/>
          <w:rFonts w:cs="Times New Roman"/>
        </w:rPr>
        <w:footnoteReference w:id="6"/>
      </w:r>
      <w:r w:rsidR="002E1744" w:rsidRPr="00EF2000">
        <w:rPr>
          <w:rFonts w:cs="Times New Roman"/>
        </w:rPr>
        <w:t xml:space="preserve"> </w:t>
      </w:r>
    </w:p>
    <w:p w14:paraId="322D7DC2" w14:textId="56F0CA47" w:rsidR="006A3222" w:rsidRPr="00EF2000" w:rsidRDefault="006A3222" w:rsidP="002C7062">
      <w:pPr>
        <w:ind w:firstLine="720"/>
        <w:rPr>
          <w:rFonts w:cs="Times New Roman"/>
        </w:rPr>
      </w:pPr>
      <w:r w:rsidRPr="00EF2000">
        <w:rPr>
          <w:rFonts w:cs="Times New Roman"/>
        </w:rPr>
        <w:t xml:space="preserve">Anxiety about terrorism motivated the creation </w:t>
      </w:r>
      <w:r w:rsidR="00971CBE" w:rsidRPr="00EF2000">
        <w:rPr>
          <w:rFonts w:cs="Times New Roman"/>
        </w:rPr>
        <w:t xml:space="preserve">and consolidation </w:t>
      </w:r>
      <w:r w:rsidRPr="00EF2000">
        <w:rPr>
          <w:rFonts w:cs="Times New Roman"/>
        </w:rPr>
        <w:t xml:space="preserve">of national and international counterterrorism apparatuses in the aftermath of 9/11. Harvey Sapolsky, Eugene </w:t>
      </w:r>
      <w:proofErr w:type="spellStart"/>
      <w:r w:rsidRPr="00EF2000">
        <w:rPr>
          <w:rFonts w:cs="Times New Roman"/>
        </w:rPr>
        <w:t>Golhz</w:t>
      </w:r>
      <w:proofErr w:type="spellEnd"/>
      <w:r w:rsidRPr="00EF2000">
        <w:rPr>
          <w:rFonts w:cs="Times New Roman"/>
        </w:rPr>
        <w:t xml:space="preserve"> and Cai</w:t>
      </w:r>
      <w:r w:rsidR="00322B73">
        <w:rPr>
          <w:rFonts w:cs="Times New Roman"/>
        </w:rPr>
        <w:t>tl</w:t>
      </w:r>
      <w:r w:rsidRPr="00EF2000">
        <w:rPr>
          <w:rFonts w:cs="Times New Roman"/>
        </w:rPr>
        <w:t>in Talmadge argue that the public’s desire for guarantees that unexpected crisis with implications for their physical safety (specifically, terrorist attacks) will not reoccur puts pressure on politicians to affect fast, visible crisis responses in security policy-making.</w:t>
      </w:r>
      <w:r w:rsidRPr="00EF2000">
        <w:rPr>
          <w:rStyle w:val="FootnoteReference"/>
          <w:rFonts w:cs="Times New Roman"/>
        </w:rPr>
        <w:footnoteReference w:id="7"/>
      </w:r>
      <w:r w:rsidRPr="00EF2000">
        <w:rPr>
          <w:rFonts w:cs="Times New Roman"/>
        </w:rPr>
        <w:t xml:space="preserve"> Moreover, Sapolsky et. al. cite the United States government’s </w:t>
      </w:r>
      <w:r w:rsidRPr="00EF2000">
        <w:rPr>
          <w:rFonts w:cs="Times New Roman"/>
          <w:color w:val="000000" w:themeColor="text1"/>
        </w:rPr>
        <w:t xml:space="preserve">creation of the Transportation Security Administration (TSA) as a reaction to the September 11 attacks to illustrate </w:t>
      </w:r>
      <w:r w:rsidRPr="00EF2000">
        <w:rPr>
          <w:rFonts w:cs="Times New Roman"/>
        </w:rPr>
        <w:t>that ‘homeland security’ is a reactive classification conceived of as a response to what James Q. Wilson-termed “politically irresistible need for action.”</w:t>
      </w:r>
      <w:r w:rsidRPr="00EF2000">
        <w:rPr>
          <w:rStyle w:val="FootnoteReference"/>
          <w:rFonts w:cs="Times New Roman"/>
        </w:rPr>
        <w:footnoteReference w:id="8"/>
      </w:r>
      <w:r w:rsidRPr="00EF2000">
        <w:rPr>
          <w:rFonts w:cs="Times New Roman"/>
        </w:rPr>
        <w:t xml:space="preserve">  Similarly, Arnold Wolfers conceives of ‘security’ as a purposefully ambiguous concept that enables “everyone to label whatever policy he favors with an attractive and possibly deceptive name.”</w:t>
      </w:r>
      <w:r w:rsidRPr="00EF2000">
        <w:rPr>
          <w:rStyle w:val="FootnoteReference"/>
          <w:rFonts w:cs="Times New Roman"/>
        </w:rPr>
        <w:footnoteReference w:id="9"/>
      </w:r>
      <w:r w:rsidRPr="00EF2000">
        <w:rPr>
          <w:rFonts w:cs="Times New Roman"/>
        </w:rPr>
        <w:t xml:space="preserve"> These claims by Sapolsky, </w:t>
      </w:r>
      <w:proofErr w:type="spellStart"/>
      <w:r w:rsidRPr="00EF2000">
        <w:rPr>
          <w:rFonts w:cs="Times New Roman"/>
        </w:rPr>
        <w:t>Gholz</w:t>
      </w:r>
      <w:proofErr w:type="spellEnd"/>
      <w:r w:rsidRPr="00EF2000">
        <w:rPr>
          <w:rFonts w:cs="Times New Roman"/>
        </w:rPr>
        <w:t>, Talmadge, and Wolfers are comparable to the argument that some scholars make against using the term ‘terrorism’ as a descriptor</w:t>
      </w:r>
      <w:r w:rsidR="00971CBE" w:rsidRPr="00EF2000">
        <w:rPr>
          <w:rFonts w:cs="Times New Roman"/>
        </w:rPr>
        <w:t xml:space="preserve"> because</w:t>
      </w:r>
      <w:r w:rsidR="00F8580F" w:rsidRPr="00EF2000">
        <w:rPr>
          <w:rFonts w:cs="Times New Roman"/>
        </w:rPr>
        <w:t xml:space="preserve"> </w:t>
      </w:r>
      <w:r w:rsidRPr="00EF2000">
        <w:rPr>
          <w:rFonts w:cs="Times New Roman"/>
        </w:rPr>
        <w:t>the label ‘terrorist’ is pejoratively and normatively loaded,</w:t>
      </w:r>
      <w:r w:rsidR="00971CBE" w:rsidRPr="00EF2000">
        <w:rPr>
          <w:rFonts w:cs="Times New Roman"/>
        </w:rPr>
        <w:t xml:space="preserve"> and lacks</w:t>
      </w:r>
      <w:r w:rsidRPr="00EF2000">
        <w:rPr>
          <w:rFonts w:cs="Times New Roman"/>
        </w:rPr>
        <w:t xml:space="preserve"> analytical “precision, objectivity and certainty.”</w:t>
      </w:r>
      <w:r w:rsidRPr="00EF2000">
        <w:rPr>
          <w:rStyle w:val="FootnoteReference"/>
          <w:rFonts w:cs="Times New Roman"/>
        </w:rPr>
        <w:footnoteReference w:id="10"/>
      </w:r>
      <w:r w:rsidRPr="00EF2000">
        <w:rPr>
          <w:rFonts w:cs="Times New Roman"/>
        </w:rPr>
        <w:t xml:space="preserve"> </w:t>
      </w:r>
    </w:p>
    <w:p w14:paraId="54A16146" w14:textId="73B1AF44" w:rsidR="002F704A" w:rsidRPr="00EF2000" w:rsidRDefault="006A3222" w:rsidP="002C7062">
      <w:pPr>
        <w:ind w:firstLine="720"/>
        <w:rPr>
          <w:rFonts w:cs="Times New Roman"/>
          <w:bCs/>
          <w:color w:val="000000" w:themeColor="text1"/>
        </w:rPr>
      </w:pPr>
      <w:r w:rsidRPr="00EF2000">
        <w:rPr>
          <w:rFonts w:cs="Times New Roman"/>
        </w:rPr>
        <w:t>Nowhere is this more evident than in the media coverage of terrorism, which tends to sensationalize terrorism in a way that amplifies its immediate effects. Besides, t</w:t>
      </w:r>
      <w:r w:rsidRPr="00EF2000">
        <w:rPr>
          <w:rFonts w:cs="Times New Roman"/>
          <w:bCs/>
        </w:rPr>
        <w:t>he social functions of media confer status and establish claims within a hierarchy created by a public agenda, with “the medium [becoming] the message.”</w:t>
      </w:r>
      <w:r w:rsidRPr="00EF2000">
        <w:rPr>
          <w:rStyle w:val="FootnoteReference"/>
          <w:rFonts w:cs="Times New Roman"/>
          <w:bCs/>
        </w:rPr>
        <w:footnoteReference w:id="11"/>
      </w:r>
      <w:r w:rsidRPr="00EF2000">
        <w:rPr>
          <w:rFonts w:cs="Times New Roman"/>
          <w:bCs/>
        </w:rPr>
        <w:t xml:space="preserve"> In this manner, media coverage amplifies terrorist claims by </w:t>
      </w:r>
      <w:r w:rsidRPr="00EF2000">
        <w:rPr>
          <w:rFonts w:cs="Times New Roman"/>
          <w:bCs/>
          <w:color w:val="000000" w:themeColor="text1"/>
        </w:rPr>
        <w:t>creating, codifying, and circulating narratives that legitimize and situate actions within societal norms and values.</w:t>
      </w:r>
      <w:r w:rsidRPr="00EF2000">
        <w:rPr>
          <w:rStyle w:val="FootnoteReference"/>
          <w:rFonts w:cs="Times New Roman"/>
          <w:bCs/>
          <w:color w:val="000000" w:themeColor="text1"/>
        </w:rPr>
        <w:footnoteReference w:id="12"/>
      </w:r>
      <w:r w:rsidRPr="00EF2000">
        <w:rPr>
          <w:rFonts w:cs="Times New Roman"/>
          <w:bCs/>
          <w:color w:val="000000" w:themeColor="text1"/>
        </w:rPr>
        <w:t xml:space="preserve"> Consequently, the media’s decision to cover incidents of terrorism suggests</w:t>
      </w:r>
      <w:r w:rsidR="00971CBE" w:rsidRPr="00EF2000">
        <w:rPr>
          <w:rFonts w:cs="Times New Roman"/>
          <w:bCs/>
          <w:color w:val="000000" w:themeColor="text1"/>
        </w:rPr>
        <w:t xml:space="preserve"> and reinforces</w:t>
      </w:r>
      <w:r w:rsidRPr="00EF2000">
        <w:rPr>
          <w:rFonts w:cs="Times New Roman"/>
          <w:bCs/>
          <w:color w:val="000000" w:themeColor="text1"/>
        </w:rPr>
        <w:t xml:space="preserve"> to the public that the terrorism in question is significant enough to warrant its focus</w:t>
      </w:r>
      <w:r w:rsidR="00FA16CB" w:rsidRPr="00EF2000">
        <w:rPr>
          <w:rFonts w:cs="Times New Roman"/>
          <w:bCs/>
          <w:color w:val="000000" w:themeColor="text1"/>
        </w:rPr>
        <w:t xml:space="preserve"> and</w:t>
      </w:r>
      <w:r w:rsidRPr="00EF2000">
        <w:rPr>
          <w:rFonts w:cs="Times New Roman"/>
          <w:bCs/>
          <w:color w:val="000000" w:themeColor="text1"/>
        </w:rPr>
        <w:t xml:space="preserve"> attention. Most importantly, the media’s coverage of terrorism provides a space for performative expressions of fear that ultimately serve to ‘terrorize’ the public in furtherance of the terrorists’ initial objectives in perpetrating terrorism.</w:t>
      </w:r>
    </w:p>
    <w:p w14:paraId="5CB84CDC" w14:textId="1F169586" w:rsidR="00186533" w:rsidRPr="00EF2000" w:rsidRDefault="006A3222" w:rsidP="002C7062">
      <w:pPr>
        <w:ind w:firstLine="720"/>
        <w:rPr>
          <w:rFonts w:cs="Times New Roman"/>
        </w:rPr>
      </w:pPr>
      <w:r w:rsidRPr="00EF2000">
        <w:rPr>
          <w:rFonts w:cs="Times New Roman"/>
        </w:rPr>
        <w:t xml:space="preserve">But what are the objectives underlying the perpetration of terrorism? </w:t>
      </w:r>
      <w:r w:rsidRPr="00EF2000">
        <w:rPr>
          <w:rFonts w:cs="Times New Roman"/>
          <w:i/>
          <w:iCs/>
        </w:rPr>
        <w:t>What are terrorists ultimately trying to accomplish?</w:t>
      </w:r>
      <w:r w:rsidR="00971CBE" w:rsidRPr="00EF2000">
        <w:rPr>
          <w:rFonts w:cs="Times New Roman"/>
          <w:i/>
          <w:iCs/>
        </w:rPr>
        <w:t xml:space="preserve"> </w:t>
      </w:r>
      <w:r w:rsidR="00706351" w:rsidRPr="00EF2000">
        <w:rPr>
          <w:rFonts w:cs="Times New Roman"/>
          <w:i/>
          <w:iCs/>
        </w:rPr>
        <w:t>H</w:t>
      </w:r>
      <w:r w:rsidR="00971CBE" w:rsidRPr="00EF2000">
        <w:rPr>
          <w:rFonts w:cs="Times New Roman"/>
          <w:i/>
          <w:iCs/>
        </w:rPr>
        <w:t xml:space="preserve">ow do media help them succeed? Finally, how can such </w:t>
      </w:r>
      <w:r w:rsidR="00971CBE" w:rsidRPr="00EF2000">
        <w:rPr>
          <w:rFonts w:cs="Times New Roman"/>
          <w:i/>
          <w:iCs/>
        </w:rPr>
        <w:lastRenderedPageBreak/>
        <w:t>questions be qualitatively and quantitatively assessed?</w:t>
      </w:r>
      <w:r w:rsidRPr="00EF2000">
        <w:rPr>
          <w:rFonts w:cs="Times New Roman"/>
        </w:rPr>
        <w:t xml:space="preserve"> </w:t>
      </w:r>
      <w:r w:rsidR="00EA6454" w:rsidRPr="00EF2000">
        <w:rPr>
          <w:rFonts w:cs="Times New Roman"/>
        </w:rPr>
        <w:t>I</w:t>
      </w:r>
      <w:r w:rsidR="00971CBE" w:rsidRPr="00EF2000">
        <w:rPr>
          <w:rFonts w:cs="Times New Roman"/>
        </w:rPr>
        <w:t>n this study, I</w:t>
      </w:r>
      <w:r w:rsidR="00EA6454" w:rsidRPr="00EF2000">
        <w:rPr>
          <w:rFonts w:cs="Times New Roman"/>
        </w:rPr>
        <w:t xml:space="preserve"> amalgamate claims from the </w:t>
      </w:r>
      <w:r w:rsidR="00971CBE" w:rsidRPr="00EF2000">
        <w:rPr>
          <w:rFonts w:cs="Times New Roman"/>
        </w:rPr>
        <w:t xml:space="preserve">literatures on </w:t>
      </w:r>
      <w:r w:rsidR="00EA6454" w:rsidRPr="00EF2000">
        <w:rPr>
          <w:rFonts w:cs="Times New Roman"/>
        </w:rPr>
        <w:t>terrorism, legitimacy, and media and communications studies to a</w:t>
      </w:r>
      <w:r w:rsidR="00971CBE" w:rsidRPr="00EF2000">
        <w:rPr>
          <w:rFonts w:cs="Times New Roman"/>
        </w:rPr>
        <w:t xml:space="preserve">dvance the following key argument: </w:t>
      </w:r>
      <w:r w:rsidR="00EA6454" w:rsidRPr="00EF2000">
        <w:rPr>
          <w:rFonts w:cs="Times New Roman"/>
        </w:rPr>
        <w:t xml:space="preserve"> </w:t>
      </w:r>
      <w:r w:rsidR="00971CBE" w:rsidRPr="00EF2000">
        <w:rPr>
          <w:rFonts w:cs="Times New Roman"/>
        </w:rPr>
        <w:t>T</w:t>
      </w:r>
      <w:r w:rsidR="00EA6454" w:rsidRPr="00EF2000">
        <w:rPr>
          <w:rFonts w:cs="Times New Roman"/>
        </w:rPr>
        <w:t xml:space="preserve">errorism ‘succeeds’ because media coverage of terrorism delegitimizes the Westphalian state as the </w:t>
      </w:r>
      <w:r w:rsidR="00EA6454" w:rsidRPr="00EF2000">
        <w:rPr>
          <w:rFonts w:cs="Times New Roman"/>
          <w:i/>
          <w:iCs/>
        </w:rPr>
        <w:t>exclusive</w:t>
      </w:r>
      <w:r w:rsidR="00EA6454" w:rsidRPr="00EF2000">
        <w:rPr>
          <w:rFonts w:cs="Times New Roman"/>
        </w:rPr>
        <w:t xml:space="preserve"> territorial power with the monopoly over the legitimate use of force. </w:t>
      </w:r>
      <w:r w:rsidR="00C3468F" w:rsidRPr="00EF2000">
        <w:rPr>
          <w:rFonts w:cs="Times New Roman"/>
        </w:rPr>
        <w:t xml:space="preserve">My interdisciplinary approach allows for an analysis of </w:t>
      </w:r>
      <w:r w:rsidR="00EA6454" w:rsidRPr="00EF2000">
        <w:rPr>
          <w:rFonts w:cs="Times New Roman"/>
          <w:color w:val="000000" w:themeColor="text1"/>
        </w:rPr>
        <w:t xml:space="preserve">media coverage of terrorism as the </w:t>
      </w:r>
      <w:r w:rsidR="00EA6454" w:rsidRPr="00EF2000">
        <w:rPr>
          <w:rFonts w:cs="Times New Roman"/>
          <w:i/>
          <w:iCs/>
          <w:color w:val="000000" w:themeColor="text1"/>
        </w:rPr>
        <w:t>mode</w:t>
      </w:r>
      <w:r w:rsidR="00EA6454" w:rsidRPr="00EF2000">
        <w:rPr>
          <w:rFonts w:cs="Times New Roman"/>
          <w:color w:val="000000" w:themeColor="text1"/>
        </w:rPr>
        <w:t xml:space="preserve"> of post-modern warfare that connects terrorism as a </w:t>
      </w:r>
      <w:r w:rsidR="00EA6454" w:rsidRPr="00EF2000">
        <w:rPr>
          <w:rFonts w:cs="Times New Roman"/>
          <w:i/>
          <w:iCs/>
          <w:color w:val="000000" w:themeColor="text1"/>
        </w:rPr>
        <w:t>means</w:t>
      </w:r>
      <w:r w:rsidR="00EA6454" w:rsidRPr="00EF2000">
        <w:rPr>
          <w:rFonts w:cs="Times New Roman"/>
          <w:color w:val="000000" w:themeColor="text1"/>
        </w:rPr>
        <w:t xml:space="preserve"> with the </w:t>
      </w:r>
      <w:r w:rsidR="00EA6454" w:rsidRPr="00EF2000">
        <w:rPr>
          <w:rFonts w:cs="Times New Roman"/>
          <w:i/>
          <w:iCs/>
          <w:color w:val="000000" w:themeColor="text1"/>
        </w:rPr>
        <w:t>ends</w:t>
      </w:r>
      <w:r w:rsidR="00EA6454" w:rsidRPr="00EF2000">
        <w:rPr>
          <w:rFonts w:cs="Times New Roman"/>
          <w:color w:val="000000" w:themeColor="text1"/>
        </w:rPr>
        <w:t xml:space="preserve"> of delegitimizing the state as an institution.</w:t>
      </w:r>
    </w:p>
    <w:p w14:paraId="1C2B986E" w14:textId="4BD29612" w:rsidR="00EA6454" w:rsidRPr="00EF2000" w:rsidRDefault="00186533" w:rsidP="002C7062">
      <w:pPr>
        <w:ind w:firstLine="720"/>
        <w:rPr>
          <w:rFonts w:cs="Times New Roman"/>
        </w:rPr>
      </w:pPr>
      <w:r w:rsidRPr="00EF2000">
        <w:rPr>
          <w:rFonts w:cs="Times New Roman"/>
        </w:rPr>
        <w:t>T</w:t>
      </w:r>
      <w:r w:rsidR="00992F3D" w:rsidRPr="00EF2000">
        <w:rPr>
          <w:rFonts w:cs="Times New Roman"/>
        </w:rPr>
        <w:t xml:space="preserve">his dissertation </w:t>
      </w:r>
      <w:r w:rsidR="00151EFF" w:rsidRPr="00EF2000">
        <w:rPr>
          <w:rFonts w:cs="Times New Roman"/>
        </w:rPr>
        <w:t xml:space="preserve">uses a </w:t>
      </w:r>
      <w:r w:rsidR="00992F3D" w:rsidRPr="00EF2000">
        <w:rPr>
          <w:rFonts w:cs="Times New Roman"/>
        </w:rPr>
        <w:t xml:space="preserve">mixed methods (qualitative and quantitative) </w:t>
      </w:r>
      <w:r w:rsidR="00151EFF" w:rsidRPr="00EF2000">
        <w:rPr>
          <w:rFonts w:cs="Times New Roman"/>
        </w:rPr>
        <w:t>approach to determine</w:t>
      </w:r>
      <w:r w:rsidR="00992F3D" w:rsidRPr="00EF2000">
        <w:rPr>
          <w:rFonts w:cs="Times New Roman"/>
        </w:rPr>
        <w:t xml:space="preserve"> </w:t>
      </w:r>
      <w:r w:rsidR="00992F3D" w:rsidRPr="00EF2000">
        <w:rPr>
          <w:rFonts w:cs="Times New Roman"/>
          <w:i/>
          <w:iCs/>
        </w:rPr>
        <w:t>how</w:t>
      </w:r>
      <w:r w:rsidR="00992F3D" w:rsidRPr="00EF2000">
        <w:rPr>
          <w:rFonts w:cs="Times New Roman"/>
        </w:rPr>
        <w:t xml:space="preserve"> terrorism ‘succeeds’ through the media coverage of terrorism’s delegitimization of the (Westphalian) state. </w:t>
      </w:r>
      <w:r w:rsidRPr="00EF2000">
        <w:rPr>
          <w:rFonts w:cs="Times New Roman"/>
        </w:rPr>
        <w:t xml:space="preserve">Consequently, </w:t>
      </w:r>
      <w:r w:rsidR="00992F3D" w:rsidRPr="00EF2000">
        <w:rPr>
          <w:rFonts w:cs="Times New Roman"/>
        </w:rPr>
        <w:t xml:space="preserve">I situate terrorism within the broader discussion on the means, mode, and ends of (postmodern) warfare. </w:t>
      </w:r>
      <w:r w:rsidR="00151EFF" w:rsidRPr="00EF2000">
        <w:rPr>
          <w:rFonts w:cs="Times New Roman"/>
        </w:rPr>
        <w:t xml:space="preserve"> However, </w:t>
      </w:r>
      <w:r w:rsidR="00992F3D" w:rsidRPr="00EF2000">
        <w:rPr>
          <w:rFonts w:cs="Times New Roman"/>
          <w:color w:val="000000" w:themeColor="text1"/>
        </w:rPr>
        <w:t xml:space="preserve">note that this dissertation does </w:t>
      </w:r>
      <w:r w:rsidR="00992F3D" w:rsidRPr="00EF2000">
        <w:rPr>
          <w:rFonts w:cs="Times New Roman"/>
          <w:i/>
          <w:iCs/>
          <w:color w:val="000000" w:themeColor="text1"/>
        </w:rPr>
        <w:t xml:space="preserve">not </w:t>
      </w:r>
      <w:r w:rsidR="00992F3D" w:rsidRPr="00EF2000">
        <w:rPr>
          <w:rFonts w:cs="Times New Roman"/>
          <w:color w:val="000000" w:themeColor="text1"/>
        </w:rPr>
        <w:t xml:space="preserve">measure terrorist success or failure broadly, or in comparison to other types of violence that affects states. Terrorism’s ‘success’ is only relevant in the context of my research to the point that it </w:t>
      </w:r>
      <w:r w:rsidR="00992F3D" w:rsidRPr="00EF2000">
        <w:rPr>
          <w:rFonts w:cs="Times New Roman"/>
          <w:i/>
          <w:iCs/>
          <w:color w:val="000000" w:themeColor="text1"/>
        </w:rPr>
        <w:t>delegitimizes</w:t>
      </w:r>
      <w:r w:rsidR="00992F3D" w:rsidRPr="00EF2000">
        <w:rPr>
          <w:rFonts w:cs="Times New Roman"/>
          <w:color w:val="000000" w:themeColor="text1"/>
        </w:rPr>
        <w:t xml:space="preserve"> the state as an institution.</w:t>
      </w:r>
      <w:r w:rsidRPr="00EF2000">
        <w:rPr>
          <w:rFonts w:cs="Times New Roman"/>
          <w:color w:val="000000" w:themeColor="text1"/>
        </w:rPr>
        <w:t xml:space="preserve"> </w:t>
      </w:r>
      <w:r w:rsidR="00151EFF" w:rsidRPr="00EF2000">
        <w:rPr>
          <w:rFonts w:cs="Times New Roman"/>
        </w:rPr>
        <w:t xml:space="preserve">Utilizing a </w:t>
      </w:r>
      <w:r w:rsidR="00AF13B0" w:rsidRPr="00EF2000">
        <w:rPr>
          <w:rFonts w:cs="Times New Roman"/>
        </w:rPr>
        <w:t xml:space="preserve">constructivist view of the history of the state </w:t>
      </w:r>
      <w:r w:rsidR="00151EFF" w:rsidRPr="00EF2000">
        <w:rPr>
          <w:rFonts w:cs="Times New Roman"/>
        </w:rPr>
        <w:t xml:space="preserve">and the international system </w:t>
      </w:r>
      <w:r w:rsidR="00AF13B0" w:rsidRPr="00EF2000">
        <w:rPr>
          <w:rFonts w:cs="Times New Roman"/>
        </w:rPr>
        <w:t xml:space="preserve">as integral to defining terrorism, I emphasize both the social construction of world affairs, and the effects that perceptions, biases, and external information play in influencing observations in contextualizing </w:t>
      </w:r>
      <w:r w:rsidR="00AF13B0" w:rsidRPr="00EF2000">
        <w:rPr>
          <w:rFonts w:cs="Times New Roman"/>
          <w:i/>
          <w:iCs/>
        </w:rPr>
        <w:t xml:space="preserve">how </w:t>
      </w:r>
      <w:r w:rsidR="00AF13B0" w:rsidRPr="00EF2000">
        <w:rPr>
          <w:rFonts w:cs="Times New Roman"/>
        </w:rPr>
        <w:t>terrorism ‘succeeds’ as a result of its depiction in media coverage. Rather than comparing terrorism to other types of militaristic existential threats faced by states to specify the conditions that it must meet in order to ‘succeed,’ I conceive of terrorism’s ‘success’ as inherently ideational, predicated on perception and context. It is the practical utility of the ‘terrorist’ descriptor that interests me here. Why is ‘terrorism’ necessarily more noteworthy than any other (threatened or realized) violent crime? In answering this question, t</w:t>
      </w:r>
      <w:r w:rsidRPr="00EF2000">
        <w:rPr>
          <w:rFonts w:cs="Times New Roman"/>
        </w:rPr>
        <w:t>his dissertation seeks to understand the nature of terrorism, its relationship with the media, and most importantly, its intrinsic connection to the Westphalian state.</w:t>
      </w:r>
    </w:p>
    <w:p w14:paraId="4E1D8A74" w14:textId="0B250A09" w:rsidR="002F704A" w:rsidRPr="00EF2000" w:rsidRDefault="00A429A1" w:rsidP="002C7062">
      <w:pPr>
        <w:ind w:firstLine="720"/>
        <w:rPr>
          <w:rFonts w:cs="Times New Roman"/>
          <w:color w:val="000000" w:themeColor="text1"/>
        </w:rPr>
      </w:pPr>
      <w:r w:rsidRPr="00EF2000">
        <w:rPr>
          <w:rFonts w:cs="Times New Roman"/>
          <w:color w:val="000000" w:themeColor="text1"/>
        </w:rPr>
        <w:t xml:space="preserve">Extant scholarship on terrorism reiterates the normatively loaded and pejorative nature of </w:t>
      </w:r>
      <w:r w:rsidR="00EE19ED" w:rsidRPr="00EF2000">
        <w:rPr>
          <w:rFonts w:cs="Times New Roman"/>
          <w:color w:val="000000" w:themeColor="text1"/>
        </w:rPr>
        <w:t>the label</w:t>
      </w:r>
      <w:r w:rsidRPr="00EF2000">
        <w:rPr>
          <w:rFonts w:cs="Times New Roman"/>
          <w:color w:val="000000" w:themeColor="text1"/>
        </w:rPr>
        <w:t xml:space="preserve">. </w:t>
      </w:r>
      <w:r w:rsidR="00EE19ED" w:rsidRPr="00EF2000">
        <w:rPr>
          <w:rFonts w:cs="Times New Roman"/>
          <w:color w:val="000000" w:themeColor="text1"/>
        </w:rPr>
        <w:t>Nevertheless, t</w:t>
      </w:r>
      <w:r w:rsidRPr="00EF2000">
        <w:rPr>
          <w:rFonts w:cs="Times New Roman"/>
          <w:color w:val="000000" w:themeColor="text1"/>
        </w:rPr>
        <w:t xml:space="preserve">his literature has been invaluable in establishing that terrorism is often used to label violent actors that a state does not approve of, or groups perceived to be acting in opposition to the state and/or its interests. Meanwhile, scholarship on warfare describes terrorism as a standalone form of post-modern warfare. Starting with these premises, I operationally define terrorism in a practical, policy relevant manner that emphasizes the primacy of states and state-actions in the international system following traditional realist and liberal notions of the state as the actor of consequence in the conduct of international relations. This definition </w:t>
      </w:r>
      <w:r w:rsidR="00D14EF4" w:rsidRPr="00EF2000">
        <w:rPr>
          <w:rFonts w:cs="Times New Roman"/>
          <w:color w:val="000000" w:themeColor="text1"/>
        </w:rPr>
        <w:t>accords</w:t>
      </w:r>
      <w:r w:rsidRPr="00EF2000">
        <w:rPr>
          <w:rFonts w:cs="Times New Roman"/>
          <w:color w:val="000000" w:themeColor="text1"/>
        </w:rPr>
        <w:t xml:space="preserve"> with traditional realist and liberal</w:t>
      </w:r>
      <w:r w:rsidR="00EE19ED" w:rsidRPr="00EF2000">
        <w:rPr>
          <w:rFonts w:cs="Times New Roman"/>
          <w:color w:val="000000" w:themeColor="text1"/>
        </w:rPr>
        <w:t xml:space="preserve"> IR</w:t>
      </w:r>
      <w:r w:rsidRPr="00EF2000">
        <w:rPr>
          <w:rFonts w:cs="Times New Roman"/>
          <w:color w:val="000000" w:themeColor="text1"/>
        </w:rPr>
        <w:t xml:space="preserve"> scholarship, which understands the Peace of Westphalia as the catalyst for the </w:t>
      </w:r>
      <w:r w:rsidR="00EE19ED" w:rsidRPr="00EF2000">
        <w:rPr>
          <w:rFonts w:cs="Times New Roman"/>
          <w:color w:val="000000" w:themeColor="text1"/>
        </w:rPr>
        <w:t xml:space="preserve">establishment and </w:t>
      </w:r>
      <w:r w:rsidRPr="00EF2000">
        <w:rPr>
          <w:rFonts w:cs="Times New Roman"/>
          <w:color w:val="000000" w:themeColor="text1"/>
        </w:rPr>
        <w:t>evolution of</w:t>
      </w:r>
      <w:r w:rsidR="00EE19ED" w:rsidRPr="00EF2000">
        <w:rPr>
          <w:rFonts w:cs="Times New Roman"/>
          <w:color w:val="000000" w:themeColor="text1"/>
        </w:rPr>
        <w:t xml:space="preserve"> the</w:t>
      </w:r>
      <w:r w:rsidRPr="00EF2000">
        <w:rPr>
          <w:rFonts w:cs="Times New Roman"/>
          <w:color w:val="000000" w:themeColor="text1"/>
        </w:rPr>
        <w:t xml:space="preserve"> state</w:t>
      </w:r>
      <w:r w:rsidR="00EE19ED" w:rsidRPr="00EF2000">
        <w:rPr>
          <w:rFonts w:cs="Times New Roman"/>
          <w:color w:val="000000" w:themeColor="text1"/>
        </w:rPr>
        <w:t xml:space="preserve"> system.</w:t>
      </w:r>
      <w:r w:rsidRPr="00EF2000">
        <w:rPr>
          <w:rFonts w:cs="Times New Roman"/>
          <w:color w:val="000000" w:themeColor="text1"/>
        </w:rPr>
        <w:t xml:space="preserve"> Correspondingly, </w:t>
      </w:r>
      <w:r w:rsidR="00EE19ED" w:rsidRPr="00EF2000">
        <w:rPr>
          <w:rFonts w:cs="Times New Roman"/>
          <w:color w:val="000000" w:themeColor="text1"/>
        </w:rPr>
        <w:t xml:space="preserve">Max </w:t>
      </w:r>
      <w:r w:rsidRPr="00EF2000">
        <w:rPr>
          <w:rFonts w:cs="Times New Roman"/>
          <w:color w:val="000000" w:themeColor="text1"/>
        </w:rPr>
        <w:t>Weber’s</w:t>
      </w:r>
      <w:r w:rsidR="00EE19ED" w:rsidRPr="00EF2000">
        <w:rPr>
          <w:rFonts w:cs="Times New Roman"/>
          <w:color w:val="000000" w:themeColor="text1"/>
        </w:rPr>
        <w:t xml:space="preserve"> </w:t>
      </w:r>
      <w:r w:rsidRPr="00EF2000">
        <w:rPr>
          <w:rFonts w:cs="Times New Roman"/>
          <w:color w:val="000000" w:themeColor="text1"/>
        </w:rPr>
        <w:t xml:space="preserve">definition of the state </w:t>
      </w:r>
      <w:r w:rsidR="00D14EF4" w:rsidRPr="00EF2000">
        <w:rPr>
          <w:rFonts w:cs="Times New Roman"/>
          <w:color w:val="000000" w:themeColor="text1"/>
        </w:rPr>
        <w:t>(</w:t>
      </w:r>
      <w:r w:rsidRPr="00EF2000">
        <w:rPr>
          <w:rFonts w:cs="Times New Roman"/>
          <w:color w:val="000000" w:themeColor="text1"/>
        </w:rPr>
        <w:t>which has also achieved widespread recognition and acceptance</w:t>
      </w:r>
      <w:r w:rsidR="00D14EF4" w:rsidRPr="00EF2000">
        <w:rPr>
          <w:rFonts w:cs="Times New Roman"/>
          <w:color w:val="000000" w:themeColor="text1"/>
        </w:rPr>
        <w:t>)</w:t>
      </w:r>
      <w:r w:rsidRPr="00EF2000">
        <w:rPr>
          <w:rFonts w:cs="Times New Roman"/>
          <w:color w:val="000000" w:themeColor="text1"/>
        </w:rPr>
        <w:t xml:space="preserve"> conceives of the state as the human community that successfully claims the monopoly of the legitimate use of force.</w:t>
      </w:r>
      <w:r w:rsidR="00823BC7" w:rsidRPr="00EF2000">
        <w:rPr>
          <w:rStyle w:val="FootnoteReference"/>
          <w:rFonts w:cs="Times New Roman"/>
          <w:color w:val="000000" w:themeColor="text1"/>
        </w:rPr>
        <w:footnoteReference w:id="13"/>
      </w:r>
      <w:r w:rsidRPr="00EF2000">
        <w:rPr>
          <w:rFonts w:cs="Times New Roman"/>
          <w:color w:val="000000" w:themeColor="text1"/>
        </w:rPr>
        <w:t xml:space="preserve"> I use these claims </w:t>
      </w:r>
      <w:r w:rsidR="00D14EF4" w:rsidRPr="00EF2000">
        <w:rPr>
          <w:rFonts w:cs="Times New Roman"/>
          <w:color w:val="000000" w:themeColor="text1"/>
        </w:rPr>
        <w:t xml:space="preserve">in conjunction with one another </w:t>
      </w:r>
      <w:r w:rsidRPr="00EF2000">
        <w:rPr>
          <w:rFonts w:cs="Times New Roman"/>
          <w:color w:val="000000" w:themeColor="text1"/>
        </w:rPr>
        <w:t xml:space="preserve">to inform my extension of a critical constructivist framework to </w:t>
      </w:r>
      <w:r w:rsidR="00EE19ED" w:rsidRPr="00EF2000">
        <w:rPr>
          <w:rFonts w:cs="Times New Roman"/>
          <w:color w:val="000000" w:themeColor="text1"/>
        </w:rPr>
        <w:t xml:space="preserve">Ian </w:t>
      </w:r>
      <w:r w:rsidRPr="00EF2000">
        <w:rPr>
          <w:rFonts w:cs="Times New Roman"/>
          <w:color w:val="000000" w:themeColor="text1"/>
        </w:rPr>
        <w:t>Clark’s “two faces of legitimacy</w:t>
      </w:r>
      <w:r w:rsidR="00D14EF4" w:rsidRPr="00EF2000">
        <w:rPr>
          <w:rFonts w:cs="Times New Roman"/>
          <w:color w:val="000000" w:themeColor="text1"/>
        </w:rPr>
        <w:t>.</w:t>
      </w:r>
      <w:r w:rsidRPr="00EF2000">
        <w:rPr>
          <w:rFonts w:cs="Times New Roman"/>
          <w:color w:val="000000" w:themeColor="text1"/>
        </w:rPr>
        <w:t>”</w:t>
      </w:r>
      <w:r w:rsidR="00D14EF4" w:rsidRPr="00EF2000">
        <w:rPr>
          <w:rFonts w:cs="Times New Roman"/>
          <w:color w:val="000000" w:themeColor="text1"/>
        </w:rPr>
        <w:t xml:space="preserve"> This </w:t>
      </w:r>
      <w:r w:rsidR="002F704A" w:rsidRPr="00EF2000">
        <w:rPr>
          <w:rFonts w:cs="Times New Roman"/>
          <w:color w:val="000000" w:themeColor="text1"/>
        </w:rPr>
        <w:t>view</w:t>
      </w:r>
      <w:r w:rsidR="00D14EF4" w:rsidRPr="00EF2000">
        <w:rPr>
          <w:rFonts w:cs="Times New Roman"/>
          <w:color w:val="000000" w:themeColor="text1"/>
        </w:rPr>
        <w:t xml:space="preserve"> of legitimacy </w:t>
      </w:r>
      <w:r w:rsidRPr="00EF2000">
        <w:rPr>
          <w:rFonts w:cs="Times New Roman"/>
          <w:color w:val="000000" w:themeColor="text1"/>
        </w:rPr>
        <w:t xml:space="preserve">facilitates my </w:t>
      </w:r>
      <w:r w:rsidR="00D14EF4" w:rsidRPr="00EF2000">
        <w:rPr>
          <w:rFonts w:cs="Times New Roman"/>
          <w:color w:val="000000" w:themeColor="text1"/>
        </w:rPr>
        <w:t>understanding</w:t>
      </w:r>
      <w:r w:rsidRPr="00EF2000">
        <w:rPr>
          <w:rFonts w:cs="Times New Roman"/>
          <w:color w:val="000000" w:themeColor="text1"/>
        </w:rPr>
        <w:t xml:space="preserve"> of </w:t>
      </w:r>
      <w:r w:rsidRPr="00EF2000">
        <w:rPr>
          <w:rFonts w:cs="Times New Roman"/>
          <w:i/>
          <w:iCs/>
          <w:color w:val="000000" w:themeColor="text1"/>
        </w:rPr>
        <w:t xml:space="preserve">international </w:t>
      </w:r>
      <w:r w:rsidRPr="00EF2000">
        <w:rPr>
          <w:rFonts w:cs="Times New Roman"/>
          <w:color w:val="000000" w:themeColor="text1"/>
        </w:rPr>
        <w:t>(state) legitimacy as predicated on subordinate perceptions of the state’s ability (as the</w:t>
      </w:r>
      <w:r w:rsidRPr="00EF2000">
        <w:rPr>
          <w:rFonts w:cs="Times New Roman"/>
          <w:i/>
          <w:iCs/>
          <w:color w:val="000000" w:themeColor="text1"/>
        </w:rPr>
        <w:t xml:space="preserve"> legitimate</w:t>
      </w:r>
      <w:r w:rsidRPr="00EF2000">
        <w:rPr>
          <w:rFonts w:cs="Times New Roman"/>
          <w:color w:val="000000" w:themeColor="text1"/>
        </w:rPr>
        <w:t xml:space="preserve"> governing power) to protect </w:t>
      </w:r>
      <w:r w:rsidR="00C965C7">
        <w:rPr>
          <w:rFonts w:cs="Times New Roman"/>
          <w:color w:val="000000" w:themeColor="text1"/>
        </w:rPr>
        <w:t>its subordinates (constituents)</w:t>
      </w:r>
      <w:r w:rsidRPr="00EF2000">
        <w:rPr>
          <w:rFonts w:cs="Times New Roman"/>
          <w:color w:val="000000" w:themeColor="text1"/>
        </w:rPr>
        <w:t xml:space="preserve"> in its sovereign territory.</w:t>
      </w:r>
      <w:r w:rsidR="002F704A" w:rsidRPr="00EF2000">
        <w:rPr>
          <w:rFonts w:cs="Times New Roman"/>
          <w:color w:val="000000" w:themeColor="text1"/>
        </w:rPr>
        <w:t xml:space="preserve"> </w:t>
      </w:r>
      <w:r w:rsidR="008312EC" w:rsidRPr="00EF2000">
        <w:rPr>
          <w:rFonts w:cs="Times New Roman"/>
          <w:color w:val="000000" w:themeColor="text1"/>
        </w:rPr>
        <w:t xml:space="preserve">The perpetration of terrorism necessarily contravenes the public’s perception of the state in this manner, as by definition, terrorism involves the exercise of </w:t>
      </w:r>
      <w:r w:rsidR="008312EC" w:rsidRPr="00EF2000">
        <w:rPr>
          <w:rFonts w:cs="Times New Roman"/>
          <w:i/>
          <w:iCs/>
          <w:color w:val="000000" w:themeColor="text1"/>
        </w:rPr>
        <w:t>illegitimate</w:t>
      </w:r>
      <w:r w:rsidR="008312EC" w:rsidRPr="00EF2000">
        <w:rPr>
          <w:rFonts w:cs="Times New Roman"/>
          <w:color w:val="000000" w:themeColor="text1"/>
        </w:rPr>
        <w:t xml:space="preserve"> violence. Media coverage </w:t>
      </w:r>
      <w:r w:rsidR="00A65A30" w:rsidRPr="00EF2000">
        <w:rPr>
          <w:rFonts w:cs="Times New Roman"/>
          <w:color w:val="000000" w:themeColor="text1"/>
        </w:rPr>
        <w:t xml:space="preserve">plays an </w:t>
      </w:r>
      <w:r w:rsidR="008312EC" w:rsidRPr="00EF2000">
        <w:rPr>
          <w:rFonts w:cs="Times New Roman"/>
          <w:color w:val="000000" w:themeColor="text1"/>
        </w:rPr>
        <w:t xml:space="preserve">integral </w:t>
      </w:r>
      <w:r w:rsidR="00A65A30" w:rsidRPr="00EF2000">
        <w:rPr>
          <w:rFonts w:cs="Times New Roman"/>
          <w:color w:val="000000" w:themeColor="text1"/>
        </w:rPr>
        <w:t>role in</w:t>
      </w:r>
      <w:r w:rsidR="008312EC" w:rsidRPr="00EF2000">
        <w:rPr>
          <w:rFonts w:cs="Times New Roman"/>
          <w:color w:val="000000" w:themeColor="text1"/>
        </w:rPr>
        <w:t xml:space="preserve"> this dichotomy between terrorism and the state</w:t>
      </w:r>
      <w:r w:rsidR="00A65A30" w:rsidRPr="00EF2000">
        <w:rPr>
          <w:rFonts w:cs="Times New Roman"/>
          <w:color w:val="000000" w:themeColor="text1"/>
        </w:rPr>
        <w:t xml:space="preserve"> because of the media’s role in </w:t>
      </w:r>
      <w:r w:rsidR="00A65A30" w:rsidRPr="00EF2000">
        <w:rPr>
          <w:rFonts w:cs="Times New Roman"/>
          <w:i/>
          <w:iCs/>
          <w:color w:val="000000" w:themeColor="text1"/>
        </w:rPr>
        <w:t>mediating</w:t>
      </w:r>
      <w:r w:rsidR="00A65A30" w:rsidRPr="00EF2000">
        <w:rPr>
          <w:rFonts w:cs="Times New Roman"/>
          <w:color w:val="000000" w:themeColor="text1"/>
        </w:rPr>
        <w:t xml:space="preserve"> between the public (the constituents of the state) and those that seek governing authority over it. It is thus problematic that s</w:t>
      </w:r>
      <w:r w:rsidR="002F704A" w:rsidRPr="00EF2000">
        <w:rPr>
          <w:rFonts w:cs="Times New Roman"/>
          <w:color w:val="000000" w:themeColor="text1"/>
        </w:rPr>
        <w:t xml:space="preserve">cholarly literature on the interplay between terrorism and the media either </w:t>
      </w:r>
      <w:r w:rsidR="002F704A" w:rsidRPr="00EF2000">
        <w:rPr>
          <w:rFonts w:cs="Times New Roman"/>
          <w:color w:val="000000" w:themeColor="text1"/>
        </w:rPr>
        <w:lastRenderedPageBreak/>
        <w:t>conceptualizes terrorism as “propaganda of the deed,” or argue that there is a symbiotic relationship between terrorism and the media. Both of these tendencies impl</w:t>
      </w:r>
      <w:r w:rsidR="00A65A30" w:rsidRPr="00EF2000">
        <w:rPr>
          <w:rFonts w:cs="Times New Roman"/>
          <w:color w:val="000000" w:themeColor="text1"/>
        </w:rPr>
        <w:t>y</w:t>
      </w:r>
      <w:r w:rsidR="002F704A" w:rsidRPr="00EF2000">
        <w:rPr>
          <w:rFonts w:cs="Times New Roman"/>
          <w:color w:val="000000" w:themeColor="text1"/>
        </w:rPr>
        <w:t xml:space="preserve"> that the media amplification of terrorism is merely a by-product of the connection between terrorism and the media. Instead, I propose that media amplification is</w:t>
      </w:r>
      <w:r w:rsidR="002F704A" w:rsidRPr="00EF2000">
        <w:rPr>
          <w:rFonts w:cs="Times New Roman"/>
          <w:i/>
          <w:iCs/>
          <w:color w:val="000000" w:themeColor="text1"/>
        </w:rPr>
        <w:t xml:space="preserve"> </w:t>
      </w:r>
      <w:r w:rsidR="002F704A" w:rsidRPr="00EF2000">
        <w:rPr>
          <w:rFonts w:cs="Times New Roman"/>
          <w:color w:val="000000" w:themeColor="text1"/>
        </w:rPr>
        <w:t>the factor of consequence to the relationship between the two sets of actors. Moreover, I assert that this amplification is ultimately what is responsible for terrorism’s efficacy at delegitimizing the state.</w:t>
      </w:r>
    </w:p>
    <w:p w14:paraId="2F36964E" w14:textId="77FD08CB" w:rsidR="00AF13B0" w:rsidRPr="00EF2000" w:rsidRDefault="00AF13B0" w:rsidP="002C7062">
      <w:pPr>
        <w:ind w:firstLine="720"/>
        <w:rPr>
          <w:rFonts w:cs="Times New Roman"/>
          <w:color w:val="000000" w:themeColor="text1"/>
        </w:rPr>
      </w:pPr>
      <w:r w:rsidRPr="00EF2000">
        <w:rPr>
          <w:rFonts w:cs="Times New Roman"/>
          <w:color w:val="000000" w:themeColor="text1"/>
        </w:rPr>
        <w:t>Ultimately, this dissertation interrogates prevailing assumptions about the objectives</w:t>
      </w:r>
      <w:r w:rsidR="0041036E" w:rsidRPr="00EF2000">
        <w:rPr>
          <w:rFonts w:cs="Times New Roman"/>
          <w:color w:val="000000" w:themeColor="text1"/>
        </w:rPr>
        <w:t>,</w:t>
      </w:r>
      <w:r w:rsidRPr="00EF2000">
        <w:rPr>
          <w:rFonts w:cs="Times New Roman"/>
          <w:color w:val="000000" w:themeColor="text1"/>
        </w:rPr>
        <w:t xml:space="preserve"> or </w:t>
      </w:r>
      <w:r w:rsidRPr="00EF2000">
        <w:rPr>
          <w:rFonts w:cs="Times New Roman"/>
          <w:i/>
          <w:iCs/>
          <w:color w:val="000000" w:themeColor="text1"/>
        </w:rPr>
        <w:t>ends</w:t>
      </w:r>
      <w:r w:rsidR="0041036E" w:rsidRPr="00EF2000">
        <w:rPr>
          <w:rFonts w:cs="Times New Roman"/>
          <w:color w:val="000000" w:themeColor="text1"/>
        </w:rPr>
        <w:t>,</w:t>
      </w:r>
      <w:r w:rsidRPr="00EF2000">
        <w:rPr>
          <w:rFonts w:cs="Times New Roman"/>
          <w:i/>
          <w:iCs/>
          <w:color w:val="000000" w:themeColor="text1"/>
        </w:rPr>
        <w:t xml:space="preserve"> </w:t>
      </w:r>
      <w:r w:rsidRPr="00EF2000">
        <w:rPr>
          <w:rFonts w:cs="Times New Roman"/>
          <w:color w:val="000000" w:themeColor="text1"/>
        </w:rPr>
        <w:t xml:space="preserve">of terrorism. As such, I do not assume that terrorists’ end goal is simply perpetrating extra-normal violence. Moreover, I challenge the notion, implicit in popular consciousness, that terrorism does </w:t>
      </w:r>
      <w:r w:rsidRPr="00EF2000">
        <w:rPr>
          <w:rFonts w:cs="Times New Roman"/>
          <w:i/>
          <w:iCs/>
          <w:color w:val="000000" w:themeColor="text1"/>
        </w:rPr>
        <w:t>not</w:t>
      </w:r>
      <w:r w:rsidRPr="00EF2000">
        <w:rPr>
          <w:rFonts w:cs="Times New Roman"/>
          <w:color w:val="000000" w:themeColor="text1"/>
        </w:rPr>
        <w:t xml:space="preserve"> succeed. This idea derives from sources like Western governments’ public avowals of the futility of negotiating with terrorists</w:t>
      </w:r>
      <w:r w:rsidR="00151EFF" w:rsidRPr="00EF2000">
        <w:rPr>
          <w:rFonts w:cs="Times New Roman"/>
          <w:color w:val="000000" w:themeColor="text1"/>
        </w:rPr>
        <w:t>, when in reality they have done so repeatedly</w:t>
      </w:r>
      <w:r w:rsidR="0041036E" w:rsidRPr="00EF2000">
        <w:rPr>
          <w:rFonts w:cs="Times New Roman"/>
          <w:color w:val="000000" w:themeColor="text1"/>
        </w:rPr>
        <w:t>.</w:t>
      </w:r>
      <w:r w:rsidR="0041036E" w:rsidRPr="00EF2000">
        <w:rPr>
          <w:rStyle w:val="FootnoteReference"/>
          <w:rFonts w:cs="Times New Roman"/>
          <w:color w:val="000000" w:themeColor="text1"/>
        </w:rPr>
        <w:footnoteReference w:id="14"/>
      </w:r>
      <w:r w:rsidR="0041036E" w:rsidRPr="00EF2000">
        <w:rPr>
          <w:rFonts w:cs="Times New Roman"/>
          <w:b/>
          <w:bCs/>
          <w:color w:val="000000" w:themeColor="text1"/>
        </w:rPr>
        <w:t xml:space="preserve"> </w:t>
      </w:r>
      <w:r w:rsidRPr="00EF2000">
        <w:rPr>
          <w:rFonts w:cs="Times New Roman"/>
          <w:color w:val="000000" w:themeColor="text1"/>
        </w:rPr>
        <w:t xml:space="preserve">In contrast with much of the extant (IR) scholarship, I employ an interdisciplinary approach in order to integrate insights and methodologies from the media and communications studies literatures, and the scholarship on linguistics and machine learning. </w:t>
      </w:r>
      <w:r w:rsidR="00912121" w:rsidRPr="00EF2000">
        <w:rPr>
          <w:rFonts w:cs="Times New Roman"/>
          <w:color w:val="000000" w:themeColor="text1"/>
        </w:rPr>
        <w:t>And, a</w:t>
      </w:r>
      <w:r w:rsidRPr="00EF2000">
        <w:rPr>
          <w:rFonts w:cs="Times New Roman"/>
          <w:color w:val="000000" w:themeColor="text1"/>
        </w:rPr>
        <w:t>s is more common in IR and political science, I also incorporate relevant claims from history and (political) philosophy scholarship.)</w:t>
      </w:r>
      <w:r w:rsidR="00F8580F" w:rsidRPr="00EF2000">
        <w:rPr>
          <w:rFonts w:cs="Times New Roman"/>
          <w:color w:val="000000" w:themeColor="text1"/>
        </w:rPr>
        <w:t xml:space="preserve"> </w:t>
      </w:r>
      <w:r w:rsidRPr="00EF2000">
        <w:rPr>
          <w:rFonts w:cs="Times New Roman"/>
          <w:color w:val="000000" w:themeColor="text1"/>
        </w:rPr>
        <w:t xml:space="preserve">Accordingly, </w:t>
      </w:r>
      <w:r w:rsidRPr="00EF2000">
        <w:rPr>
          <w:rFonts w:cs="Times New Roman"/>
        </w:rPr>
        <w:t xml:space="preserve">I hypothesize that terrorism ‘succeeds’ because the manner in which media coverage frames terrorist activity confers status on and amplifies sub-state actors’ legitimation claims against those of the state as the primary referent object that constitutes the contemporary international system. In this context, ‘success’ is predicated on whether terrorist activity furthers its perpetrators’ legitimation claims, concurrently and necessarily challenging the legitimacy of the state. </w:t>
      </w:r>
    </w:p>
    <w:p w14:paraId="5C31075A" w14:textId="780E4556" w:rsidR="00AF13B0" w:rsidRPr="00EF2000" w:rsidRDefault="00AF13B0" w:rsidP="002C7062">
      <w:pPr>
        <w:ind w:firstLine="720"/>
        <w:rPr>
          <w:rFonts w:cs="Times New Roman"/>
          <w:bCs/>
          <w:color w:val="000000" w:themeColor="text1"/>
        </w:rPr>
      </w:pPr>
      <w:r w:rsidRPr="00EF2000">
        <w:rPr>
          <w:rFonts w:cs="Times New Roman"/>
        </w:rPr>
        <w:t>In testing my hypothesis</w:t>
      </w:r>
      <w:r w:rsidR="00912121" w:rsidRPr="00EF2000">
        <w:rPr>
          <w:rFonts w:cs="Times New Roman"/>
        </w:rPr>
        <w:t xml:space="preserve"> and answering my key research question</w:t>
      </w:r>
      <w:r w:rsidRPr="00EF2000">
        <w:rPr>
          <w:rFonts w:cs="Times New Roman"/>
          <w:bCs/>
        </w:rPr>
        <w:t>, this dissertation is structured as follows</w:t>
      </w:r>
      <w:r w:rsidR="00912121" w:rsidRPr="00EF2000">
        <w:rPr>
          <w:rFonts w:cs="Times New Roman"/>
          <w:bCs/>
        </w:rPr>
        <w:t xml:space="preserve">. </w:t>
      </w:r>
      <w:r w:rsidRPr="00EF2000">
        <w:rPr>
          <w:rFonts w:cs="Times New Roman"/>
          <w:bCs/>
        </w:rPr>
        <w:t xml:space="preserve"> </w:t>
      </w:r>
      <w:r w:rsidRPr="00EF2000">
        <w:rPr>
          <w:rFonts w:cs="Times New Roman"/>
          <w:bCs/>
          <w:color w:val="000000" w:themeColor="text1"/>
        </w:rPr>
        <w:t>Chapter 2</w:t>
      </w:r>
      <w:r w:rsidRPr="00EF2000">
        <w:rPr>
          <w:rFonts w:cs="Times New Roman"/>
          <w:bCs/>
          <w:i/>
          <w:iCs/>
          <w:color w:val="000000" w:themeColor="text1"/>
        </w:rPr>
        <w:t xml:space="preserve"> </w:t>
      </w:r>
      <w:r w:rsidRPr="00EF2000">
        <w:rPr>
          <w:rFonts w:cs="Times New Roman"/>
          <w:bCs/>
          <w:color w:val="000000" w:themeColor="text1"/>
        </w:rPr>
        <w:t>presents the methodology used in this dissertation. This involves a detailed case justification, as well as the general description of the research design employed and an explanation as to the utility associated with mixed quantitative and qualitative methods. Then,</w:t>
      </w:r>
      <w:r w:rsidRPr="00EF2000">
        <w:rPr>
          <w:rFonts w:cs="Times New Roman"/>
          <w:bCs/>
        </w:rPr>
        <w:t xml:space="preserve"> </w:t>
      </w:r>
      <w:r w:rsidRPr="00EF2000">
        <w:rPr>
          <w:rFonts w:cs="Times New Roman"/>
          <w:bCs/>
          <w:color w:val="000000" w:themeColor="text1"/>
        </w:rPr>
        <w:t xml:space="preserve">Chapter 3 revisits the scholarly and policy debates associated with defining ‘terrorism’ in order to suggest the existence of </w:t>
      </w:r>
      <w:r w:rsidRPr="00EF2000">
        <w:rPr>
          <w:rFonts w:cs="Times New Roman"/>
          <w:bCs/>
          <w:i/>
          <w:iCs/>
          <w:color w:val="000000" w:themeColor="text1"/>
        </w:rPr>
        <w:t>de minimis</w:t>
      </w:r>
      <w:r w:rsidRPr="00EF2000">
        <w:rPr>
          <w:rFonts w:cs="Times New Roman"/>
          <w:bCs/>
          <w:color w:val="000000" w:themeColor="text1"/>
        </w:rPr>
        <w:t xml:space="preserve"> definitions of terrorism implicit to the policy and scholarly literature. Ultimately, this chapter argues in favo</w:t>
      </w:r>
      <w:r w:rsidR="00CE1878">
        <w:rPr>
          <w:rFonts w:cs="Times New Roman"/>
          <w:bCs/>
          <w:color w:val="000000" w:themeColor="text1"/>
        </w:rPr>
        <w:t>u</w:t>
      </w:r>
      <w:r w:rsidRPr="00EF2000">
        <w:rPr>
          <w:rFonts w:cs="Times New Roman"/>
          <w:bCs/>
          <w:color w:val="000000" w:themeColor="text1"/>
        </w:rPr>
        <w:t>r of adopting a policy definition of terrorism over an academic definition based on extant terrorism scholarship.</w:t>
      </w:r>
      <w:r w:rsidRPr="00EF2000">
        <w:rPr>
          <w:rFonts w:cs="Times New Roman"/>
          <w:bCs/>
        </w:rPr>
        <w:t xml:space="preserve"> Thus, </w:t>
      </w:r>
      <w:r w:rsidRPr="00EF2000">
        <w:rPr>
          <w:rFonts w:cs="Times New Roman"/>
          <w:bCs/>
          <w:color w:val="000000" w:themeColor="text1"/>
        </w:rPr>
        <w:t xml:space="preserve">Chapter 3 contains aspects of the literature review necessitated by my research. As the remaining parts of this dissertation’s literature review, Chapters 4 and 5 identify themes and trends implicit to the scholarly literature as it currently stands, with Chapter 4 reviewing existing conceptualizations of (state) legitimacy, and Chapter 5 discussing the relationship between terrorism and the media. Both chapters ultimately build on their respective discussions of extant scholarship to suggest notable gaps that contextualize and situate my research and presentation. As such, Chapter 4 contextualizes terrorism in the scholarship addressing notions of statehood, which I frame in terms of the narrative arc provided by the traditional International Relations </w:t>
      </w:r>
      <w:r w:rsidR="00446613" w:rsidRPr="00EF2000">
        <w:rPr>
          <w:rFonts w:cs="Times New Roman"/>
          <w:bCs/>
          <w:color w:val="000000" w:themeColor="text1"/>
        </w:rPr>
        <w:t xml:space="preserve">(IR) </w:t>
      </w:r>
      <w:r w:rsidRPr="00EF2000">
        <w:rPr>
          <w:rFonts w:cs="Times New Roman"/>
          <w:bCs/>
          <w:color w:val="000000" w:themeColor="text1"/>
        </w:rPr>
        <w:t>understanding of the Peace of Westphalia as constituting the starting point for the emergence of the modern state.</w:t>
      </w:r>
      <w:r w:rsidR="00AF18F5" w:rsidRPr="00EF2000">
        <w:rPr>
          <w:rStyle w:val="FootnoteReference"/>
          <w:rFonts w:cs="Times New Roman"/>
          <w:bCs/>
          <w:color w:val="000000" w:themeColor="text1"/>
        </w:rPr>
        <w:footnoteReference w:id="15"/>
      </w:r>
      <w:r w:rsidRPr="00EF2000">
        <w:rPr>
          <w:rFonts w:cs="Times New Roman"/>
          <w:bCs/>
          <w:color w:val="000000" w:themeColor="text1"/>
        </w:rPr>
        <w:t xml:space="preserve"> This supports the assertion that actors in the international system establish legitimacy by demonstrating the </w:t>
      </w:r>
      <w:r w:rsidRPr="00EF2000">
        <w:rPr>
          <w:rFonts w:cs="Times New Roman"/>
          <w:bCs/>
          <w:i/>
          <w:iCs/>
          <w:color w:val="000000" w:themeColor="text1"/>
        </w:rPr>
        <w:t>legality</w:t>
      </w:r>
      <w:r w:rsidRPr="00EF2000">
        <w:rPr>
          <w:rFonts w:cs="Times New Roman"/>
          <w:bCs/>
          <w:color w:val="000000" w:themeColor="text1"/>
        </w:rPr>
        <w:t xml:space="preserve"> of their actions, the acceptance of the underlying </w:t>
      </w:r>
      <w:r w:rsidRPr="00EF2000">
        <w:rPr>
          <w:rFonts w:cs="Times New Roman"/>
          <w:bCs/>
          <w:i/>
          <w:iCs/>
          <w:color w:val="000000" w:themeColor="text1"/>
        </w:rPr>
        <w:t>justification</w:t>
      </w:r>
      <w:r w:rsidRPr="00EF2000">
        <w:rPr>
          <w:rFonts w:cs="Times New Roman"/>
          <w:bCs/>
          <w:color w:val="000000" w:themeColor="text1"/>
        </w:rPr>
        <w:t xml:space="preserve"> associated with their actions, and that their continued governance retains the </w:t>
      </w:r>
      <w:r w:rsidRPr="00EF2000">
        <w:rPr>
          <w:rFonts w:cs="Times New Roman"/>
          <w:bCs/>
          <w:i/>
          <w:iCs/>
          <w:color w:val="000000" w:themeColor="text1"/>
        </w:rPr>
        <w:t>consent</w:t>
      </w:r>
      <w:r w:rsidRPr="00EF2000">
        <w:rPr>
          <w:rFonts w:cs="Times New Roman"/>
          <w:bCs/>
          <w:color w:val="000000" w:themeColor="text1"/>
        </w:rPr>
        <w:t xml:space="preserve"> of their </w:t>
      </w:r>
      <w:r w:rsidRPr="00EF2000">
        <w:rPr>
          <w:rFonts w:cs="Times New Roman"/>
          <w:bCs/>
          <w:color w:val="000000" w:themeColor="text1"/>
        </w:rPr>
        <w:lastRenderedPageBreak/>
        <w:t>subordinates. Next,</w:t>
      </w:r>
      <w:r w:rsidRPr="00EF2000">
        <w:rPr>
          <w:rFonts w:cs="Times New Roman"/>
          <w:bCs/>
        </w:rPr>
        <w:t xml:space="preserve"> </w:t>
      </w:r>
      <w:r w:rsidRPr="00EF2000">
        <w:rPr>
          <w:rFonts w:cs="Times New Roman"/>
          <w:bCs/>
          <w:color w:val="000000" w:themeColor="text1"/>
        </w:rPr>
        <w:t xml:space="preserve">Chapter 5 deconstructs the manner in which media coverage depicts terrorism and situates it within public discourse. To this end, I provide an overview of the scholarship on media and terrorism, which I </w:t>
      </w:r>
      <w:r w:rsidR="00912121" w:rsidRPr="00EF2000">
        <w:rPr>
          <w:rFonts w:cs="Times New Roman"/>
          <w:bCs/>
          <w:color w:val="000000" w:themeColor="text1"/>
        </w:rPr>
        <w:t xml:space="preserve">then </w:t>
      </w:r>
      <w:r w:rsidRPr="00EF2000">
        <w:rPr>
          <w:rFonts w:cs="Times New Roman"/>
          <w:bCs/>
          <w:color w:val="000000" w:themeColor="text1"/>
        </w:rPr>
        <w:t>categorize in</w:t>
      </w:r>
      <w:r w:rsidR="00912121" w:rsidRPr="00EF2000">
        <w:rPr>
          <w:rFonts w:cs="Times New Roman"/>
          <w:bCs/>
          <w:color w:val="000000" w:themeColor="text1"/>
        </w:rPr>
        <w:t xml:space="preserve">to </w:t>
      </w:r>
      <w:r w:rsidRPr="00EF2000">
        <w:rPr>
          <w:rFonts w:cs="Times New Roman"/>
          <w:bCs/>
          <w:color w:val="000000" w:themeColor="text1"/>
        </w:rPr>
        <w:t xml:space="preserve">two main </w:t>
      </w:r>
      <w:r w:rsidR="00706351" w:rsidRPr="00EF2000">
        <w:rPr>
          <w:rFonts w:cs="Times New Roman"/>
          <w:bCs/>
          <w:color w:val="000000" w:themeColor="text1"/>
        </w:rPr>
        <w:t>types:</w:t>
      </w:r>
      <w:r w:rsidRPr="00EF2000">
        <w:rPr>
          <w:rFonts w:cs="Times New Roman"/>
          <w:bCs/>
          <w:color w:val="000000" w:themeColor="text1"/>
        </w:rPr>
        <w:t xml:space="preserve"> conceptualizations of terrorism as “propaganda of the deed,” and arguments as to whether a symbiotic relationship exists between terrorism and the media. I also discuss the different ways that bias and media framing come into play in the different stages of the media production process. I then conclude this chapter by describing and classifying the types of bias indicators that I use</w:t>
      </w:r>
      <w:r w:rsidR="00912121" w:rsidRPr="00EF2000">
        <w:rPr>
          <w:rFonts w:cs="Times New Roman"/>
          <w:bCs/>
          <w:color w:val="000000" w:themeColor="text1"/>
        </w:rPr>
        <w:t xml:space="preserve"> and why, in order</w:t>
      </w:r>
      <w:r w:rsidRPr="00EF2000">
        <w:rPr>
          <w:rFonts w:cs="Times New Roman"/>
          <w:bCs/>
          <w:color w:val="000000" w:themeColor="text1"/>
        </w:rPr>
        <w:t xml:space="preserve"> to explain how media coverage of terrorism damages (state) legitimacy. </w:t>
      </w:r>
    </w:p>
    <w:p w14:paraId="66A94B48" w14:textId="5E7989D6" w:rsidR="00EE19ED" w:rsidRPr="00EF2000" w:rsidRDefault="00AF13B0" w:rsidP="002C7062">
      <w:pPr>
        <w:ind w:firstLine="720"/>
        <w:rPr>
          <w:rFonts w:cs="Times New Roman"/>
          <w:b/>
          <w:color w:val="000000" w:themeColor="text1"/>
        </w:rPr>
      </w:pPr>
      <w:r w:rsidRPr="00EF2000">
        <w:rPr>
          <w:rFonts w:cs="Times New Roman"/>
          <w:bCs/>
          <w:color w:val="000000" w:themeColor="text1"/>
        </w:rPr>
        <w:t>Subsequent to the conclusion of the literature review presented in Chapters 3, 4 and 5,</w:t>
      </w:r>
      <w:r w:rsidRPr="00EF2000">
        <w:rPr>
          <w:rFonts w:cs="Times New Roman"/>
          <w:bCs/>
        </w:rPr>
        <w:t xml:space="preserve"> </w:t>
      </w:r>
      <w:r w:rsidRPr="00EF2000">
        <w:rPr>
          <w:rFonts w:cs="Times New Roman"/>
          <w:bCs/>
          <w:color w:val="000000" w:themeColor="text1"/>
        </w:rPr>
        <w:t xml:space="preserve">Chapter 6 uses quantitative analysis to expand on the theory suggested at the end of Chapter 5. Specifically, I use multivariate data analysis (MVA) </w:t>
      </w:r>
      <w:r w:rsidRPr="00EF2000">
        <w:rPr>
          <w:rFonts w:cs="Times New Roman"/>
          <w:bCs/>
        </w:rPr>
        <w:t xml:space="preserve">to establish both covariation and the magnitude of relations between the media coverage of terrorism, and (state) legitimacy. In this context, I quantify media coverage of terrorism using data from the </w:t>
      </w:r>
      <w:proofErr w:type="spellStart"/>
      <w:r w:rsidRPr="00EF2000">
        <w:rPr>
          <w:rFonts w:cs="Times New Roman"/>
          <w:bCs/>
        </w:rPr>
        <w:t>NexisUni</w:t>
      </w:r>
      <w:proofErr w:type="spellEnd"/>
      <w:r w:rsidRPr="00EF2000">
        <w:rPr>
          <w:rFonts w:cs="Times New Roman"/>
          <w:bCs/>
          <w:color w:val="000000" w:themeColor="text1"/>
        </w:rPr>
        <w:t>, and Dow Jones Factiva services. I also use the Global Terrorism Database at the University of Maryland to enumerate and catalogue actions perpetrated by terrorists, and the Fragile States Index’s state legitimacy measure to score legitimacy by year.</w:t>
      </w:r>
      <w:r w:rsidR="00814DBC" w:rsidRPr="00EF2000">
        <w:rPr>
          <w:rStyle w:val="FootnoteReference"/>
          <w:rFonts w:cs="Times New Roman"/>
          <w:bCs/>
          <w:color w:val="000000" w:themeColor="text1"/>
        </w:rPr>
        <w:footnoteReference w:id="16"/>
      </w:r>
    </w:p>
    <w:p w14:paraId="738E5B33" w14:textId="762D88E4" w:rsidR="00FB1960" w:rsidRPr="002C7062" w:rsidRDefault="00AF13B0" w:rsidP="002C7062">
      <w:pPr>
        <w:ind w:firstLine="720"/>
        <w:rPr>
          <w:rFonts w:cs="Times New Roman"/>
          <w:bCs/>
          <w:color w:val="000000" w:themeColor="text1"/>
        </w:rPr>
      </w:pPr>
      <w:r w:rsidRPr="002C7062">
        <w:rPr>
          <w:rFonts w:cs="Times New Roman"/>
          <w:bCs/>
          <w:color w:val="000000" w:themeColor="text1"/>
        </w:rPr>
        <w:t>This chapter’s analysis of the hypothesized interplay between media coverage of terrorism and (state) legitimacy focuses on answering the following research question:</w:t>
      </w:r>
      <w:r w:rsidRPr="002C7062">
        <w:rPr>
          <w:rFonts w:cs="Times New Roman"/>
          <w:bCs/>
          <w:i/>
          <w:iCs/>
          <w:color w:val="000000" w:themeColor="text1"/>
        </w:rPr>
        <w:t xml:space="preserve"> does</w:t>
      </w:r>
      <w:r w:rsidRPr="002C7062">
        <w:rPr>
          <w:rFonts w:cs="Times New Roman"/>
          <w:bCs/>
          <w:color w:val="000000" w:themeColor="text1"/>
        </w:rPr>
        <w:t xml:space="preserve"> the media coverage of terrorism affect (state) legitimacy? </w:t>
      </w:r>
      <w:r w:rsidR="002C7062" w:rsidRPr="002C7062">
        <w:rPr>
          <w:rFonts w:cs="Times New Roman"/>
          <w:bCs/>
          <w:color w:val="000000" w:themeColor="text1"/>
        </w:rPr>
        <w:t>Based on the results presented as the answer to the research question interrogated in Chapter 6,</w:t>
      </w:r>
      <w:r w:rsidR="002C7062" w:rsidRPr="002C7062">
        <w:rPr>
          <w:rFonts w:cs="Times New Roman"/>
          <w:bCs/>
        </w:rPr>
        <w:t xml:space="preserve"> </w:t>
      </w:r>
      <w:r w:rsidR="002C7062" w:rsidRPr="002C7062">
        <w:rPr>
          <w:rFonts w:cs="Times New Roman"/>
          <w:bCs/>
          <w:i/>
          <w:iCs/>
          <w:color w:val="000000" w:themeColor="text1"/>
        </w:rPr>
        <w:t>Chapter 7 then uses mixed quantitative and qualitative methods to suggest the manner in which the negative correlation between the two variables is generated</w:t>
      </w:r>
      <w:r w:rsidR="002C7062" w:rsidRPr="002C7062">
        <w:rPr>
          <w:rFonts w:cs="Times New Roman"/>
          <w:bCs/>
          <w:color w:val="000000" w:themeColor="text1"/>
        </w:rPr>
        <w:t xml:space="preserve"> – </w:t>
      </w:r>
      <w:r w:rsidR="002C7062" w:rsidRPr="002C7062">
        <w:rPr>
          <w:rFonts w:cs="Times New Roman"/>
          <w:bCs/>
          <w:i/>
          <w:iCs/>
          <w:color w:val="000000" w:themeColor="text1"/>
        </w:rPr>
        <w:t>how</w:t>
      </w:r>
      <w:r w:rsidR="002C7062" w:rsidRPr="002C7062">
        <w:rPr>
          <w:rFonts w:cs="Times New Roman"/>
          <w:bCs/>
          <w:color w:val="000000" w:themeColor="text1"/>
        </w:rPr>
        <w:t xml:space="preserve"> terrorism succeeds using media coverage to challenge state legitimacy. To that end, this chapter centres on the key research question: </w:t>
      </w:r>
      <w:r w:rsidR="002C7062" w:rsidRPr="002C7062">
        <w:rPr>
          <w:rFonts w:cs="Times New Roman"/>
          <w:bCs/>
          <w:i/>
          <w:iCs/>
          <w:color w:val="000000" w:themeColor="text1"/>
        </w:rPr>
        <w:t>how</w:t>
      </w:r>
      <w:r w:rsidR="002C7062" w:rsidRPr="002C7062">
        <w:rPr>
          <w:rFonts w:cs="Times New Roman"/>
          <w:bCs/>
          <w:color w:val="000000" w:themeColor="text1"/>
        </w:rPr>
        <w:t xml:space="preserve"> does media coverage of terrorism damage (state) legitimacy?) Demonstrating the implications of the results presented in Chapter 7, Chapter 8 then goes on to compare and contrast the instructions provided in each of three major international news agencies’ style guides regarding journalistic depictions of terrorism.</w:t>
      </w:r>
      <w:r w:rsidR="002C7062">
        <w:rPr>
          <w:rFonts w:cs="Times New Roman"/>
          <w:bCs/>
          <w:color w:val="000000" w:themeColor="text1"/>
        </w:rPr>
        <w:t xml:space="preserve"> </w:t>
      </w:r>
      <w:r w:rsidR="002C7062" w:rsidRPr="002C7062">
        <w:rPr>
          <w:rFonts w:cs="Times New Roman"/>
          <w:bCs/>
          <w:color w:val="000000" w:themeColor="text1"/>
        </w:rPr>
        <w:t xml:space="preserve">This involves both analyzing the three style guides in relation to one another, </w:t>
      </w:r>
      <w:r w:rsidR="002C7062" w:rsidRPr="002C7062">
        <w:rPr>
          <w:rFonts w:cs="Times New Roman"/>
          <w:bCs/>
          <w:i/>
          <w:iCs/>
          <w:color w:val="000000" w:themeColor="text1"/>
        </w:rPr>
        <w:t xml:space="preserve">and </w:t>
      </w:r>
      <w:r w:rsidR="002C7062" w:rsidRPr="002C7062">
        <w:rPr>
          <w:rFonts w:cs="Times New Roman"/>
          <w:bCs/>
          <w:color w:val="000000" w:themeColor="text1"/>
        </w:rPr>
        <w:t xml:space="preserve">examining to what extent each news agency’s portrayal of terrorism in its published </w:t>
      </w:r>
      <w:r w:rsidR="00F74D09">
        <w:rPr>
          <w:rFonts w:cs="Times New Roman"/>
          <w:bCs/>
          <w:color w:val="000000" w:themeColor="text1"/>
        </w:rPr>
        <w:t>media</w:t>
      </w:r>
      <w:r w:rsidR="002C7062" w:rsidRPr="002C7062">
        <w:rPr>
          <w:rFonts w:cs="Times New Roman"/>
          <w:bCs/>
          <w:color w:val="000000" w:themeColor="text1"/>
        </w:rPr>
        <w:t xml:space="preserve"> bulletins actually accords with the guidelines outlined in its style guide. Finally, this dissertation concludes with Chapter 9 which extends and demonstrates the relevance and import of my Chapter 6 and Chapter 7, analyses of whether and how the media coverage of terrorism affects international (state) legitimacy using insight from the comparative analysis of the news agency style guides undertaken in Chapter 8. Such an approach allows me to draw policy-relevant conclusions about the interplay between terrorism and the mass media. </w:t>
      </w:r>
      <w:r w:rsidRPr="002C7062">
        <w:rPr>
          <w:rFonts w:cs="Times New Roman"/>
          <w:bCs/>
          <w:color w:val="000000" w:themeColor="text1"/>
        </w:rPr>
        <w:t>In conceiving of the recommendations that I present in Chapter 8, I aim to tangibly contribute to global efforts to combat the systemic threat constituted by terrorism.</w:t>
      </w:r>
    </w:p>
    <w:p w14:paraId="39D574B8" w14:textId="15CE60A7" w:rsidR="00754707" w:rsidRDefault="00B34D8A" w:rsidP="00754707">
      <w:pPr>
        <w:ind w:firstLine="720"/>
      </w:pPr>
      <w:r w:rsidRPr="00EF2000">
        <w:rPr>
          <w:rFonts w:cs="Times New Roman"/>
          <w:bCs/>
          <w:color w:val="000000" w:themeColor="text1"/>
        </w:rPr>
        <w:t xml:space="preserve">Overall, this dissertation seeks to answer the questions of </w:t>
      </w:r>
      <w:r w:rsidRPr="00EF2000">
        <w:rPr>
          <w:rFonts w:cs="Times New Roman"/>
          <w:bCs/>
          <w:i/>
          <w:iCs/>
          <w:color w:val="000000" w:themeColor="text1"/>
        </w:rPr>
        <w:t>whether</w:t>
      </w:r>
      <w:r w:rsidRPr="00EF2000">
        <w:rPr>
          <w:rFonts w:cs="Times New Roman"/>
          <w:bCs/>
          <w:color w:val="000000" w:themeColor="text1"/>
        </w:rPr>
        <w:t xml:space="preserve"> and </w:t>
      </w:r>
      <w:r w:rsidRPr="00EF2000">
        <w:rPr>
          <w:rFonts w:cs="Times New Roman"/>
          <w:bCs/>
          <w:i/>
          <w:iCs/>
          <w:color w:val="000000" w:themeColor="text1"/>
        </w:rPr>
        <w:t xml:space="preserve">how </w:t>
      </w:r>
      <w:r w:rsidRPr="00EF2000">
        <w:rPr>
          <w:rFonts w:cs="Times New Roman"/>
          <w:bCs/>
          <w:color w:val="000000" w:themeColor="text1"/>
        </w:rPr>
        <w:t xml:space="preserve">terrorism succeeds in relation to the way that media coverage frames terrorism in the news coverage of terrorism produced by Reuters, the Associated Press and </w:t>
      </w:r>
      <w:proofErr w:type="spellStart"/>
      <w:r w:rsidRPr="00EF2000">
        <w:rPr>
          <w:rFonts w:cs="Times New Roman"/>
          <w:bCs/>
          <w:color w:val="000000" w:themeColor="text1"/>
        </w:rPr>
        <w:t>Agence</w:t>
      </w:r>
      <w:proofErr w:type="spellEnd"/>
      <w:r w:rsidRPr="00EF2000">
        <w:rPr>
          <w:rFonts w:cs="Times New Roman"/>
          <w:bCs/>
          <w:color w:val="000000" w:themeColor="text1"/>
        </w:rPr>
        <w:t xml:space="preserve"> France-Presse between January 1, 2012 and January 31, 2018 (inclusive). In this context, </w:t>
      </w:r>
      <w:r w:rsidRPr="00EF2000">
        <w:rPr>
          <w:rFonts w:cs="Times New Roman"/>
          <w:bCs/>
          <w:i/>
          <w:iCs/>
          <w:color w:val="000000" w:themeColor="text1"/>
        </w:rPr>
        <w:t>success</w:t>
      </w:r>
      <w:r w:rsidRPr="00EF2000">
        <w:rPr>
          <w:rFonts w:cs="Times New Roman"/>
          <w:bCs/>
          <w:color w:val="000000" w:themeColor="text1"/>
        </w:rPr>
        <w:t xml:space="preserve"> is understood </w:t>
      </w:r>
      <w:r w:rsidR="00451F65">
        <w:rPr>
          <w:rFonts w:cs="Times New Roman"/>
          <w:bCs/>
          <w:color w:val="000000" w:themeColor="text1"/>
        </w:rPr>
        <w:t xml:space="preserve">as </w:t>
      </w:r>
      <w:r w:rsidR="00542581">
        <w:rPr>
          <w:rFonts w:cs="Times New Roman"/>
          <w:bCs/>
          <w:color w:val="000000" w:themeColor="text1"/>
        </w:rPr>
        <w:t xml:space="preserve">the ability </w:t>
      </w:r>
      <w:r w:rsidR="00446613" w:rsidRPr="00EF2000">
        <w:rPr>
          <w:rFonts w:cs="Times New Roman"/>
          <w:bCs/>
          <w:color w:val="000000" w:themeColor="text1"/>
        </w:rPr>
        <w:t>to</w:t>
      </w:r>
      <w:r w:rsidRPr="00EF2000">
        <w:rPr>
          <w:rFonts w:cs="Times New Roman"/>
          <w:bCs/>
          <w:color w:val="000000" w:themeColor="text1"/>
        </w:rPr>
        <w:t xml:space="preserve"> </w:t>
      </w:r>
      <w:r w:rsidR="00446613" w:rsidRPr="00EF2000">
        <w:rPr>
          <w:rFonts w:cs="Times New Roman"/>
          <w:bCs/>
          <w:color w:val="000000" w:themeColor="text1"/>
        </w:rPr>
        <w:t xml:space="preserve">undermine </w:t>
      </w:r>
      <w:r w:rsidR="00AF18F5" w:rsidRPr="00EF2000">
        <w:rPr>
          <w:rFonts w:cs="Times New Roman"/>
          <w:bCs/>
          <w:color w:val="000000" w:themeColor="text1"/>
        </w:rPr>
        <w:t xml:space="preserve">international (state) legitimacy (predicated on the legality of actions taken, the justification associated with those actions and the consent of those subject to the state’s </w:t>
      </w:r>
      <w:r w:rsidR="00AF18F5" w:rsidRPr="00EF2000">
        <w:rPr>
          <w:rFonts w:cs="Times New Roman"/>
          <w:bCs/>
          <w:color w:val="000000" w:themeColor="text1"/>
        </w:rPr>
        <w:lastRenderedPageBreak/>
        <w:t xml:space="preserve">governance). This study aims to produce an original synthesis of the literatures on violence, legitimacy, </w:t>
      </w:r>
      <w:r w:rsidR="00542581" w:rsidRPr="00EF2000">
        <w:rPr>
          <w:rFonts w:cs="Times New Roman"/>
          <w:bCs/>
          <w:color w:val="000000" w:themeColor="text1"/>
        </w:rPr>
        <w:t>terrorism,</w:t>
      </w:r>
      <w:r w:rsidR="00AF18F5" w:rsidRPr="00EF2000">
        <w:rPr>
          <w:rFonts w:cs="Times New Roman"/>
          <w:bCs/>
          <w:color w:val="000000" w:themeColor="text1"/>
        </w:rPr>
        <w:t xml:space="preserve"> and media that incorporates interdisciplinary perspectives beyond the traditional reach of </w:t>
      </w:r>
      <w:r w:rsidR="00446613" w:rsidRPr="00EF2000">
        <w:rPr>
          <w:rFonts w:cs="Times New Roman"/>
          <w:bCs/>
          <w:color w:val="000000" w:themeColor="text1"/>
        </w:rPr>
        <w:t xml:space="preserve">IR and security studies, including those of media and communications studies and public policy. This study will also analyze evident trends relating to both the implicit and explicit correlation between media framing and </w:t>
      </w:r>
      <w:r w:rsidR="00BC4C0C" w:rsidRPr="00EF2000">
        <w:rPr>
          <w:rFonts w:cs="Times New Roman"/>
          <w:bCs/>
          <w:color w:val="000000" w:themeColor="text1"/>
        </w:rPr>
        <w:t xml:space="preserve">international </w:t>
      </w:r>
      <w:r w:rsidR="00446613" w:rsidRPr="00EF2000">
        <w:rPr>
          <w:rFonts w:cs="Times New Roman"/>
          <w:bCs/>
          <w:color w:val="000000" w:themeColor="text1"/>
        </w:rPr>
        <w:t xml:space="preserve">(state) legitimacy. </w:t>
      </w:r>
      <w:r w:rsidR="00754707">
        <w:t>In conclusion,</w:t>
      </w:r>
      <w:r w:rsidR="009042DE">
        <w:t xml:space="preserve"> this dissertation contributes to the academic study of terrorism by pointing to much-needed definition resolution, a deeper understanding of the relationship between terrorism and state legitimacy and</w:t>
      </w:r>
      <w:r w:rsidR="008B2E72">
        <w:t>, most significantly,</w:t>
      </w:r>
      <w:r w:rsidR="009042DE">
        <w:t xml:space="preserve"> </w:t>
      </w:r>
      <w:r w:rsidR="008B2E72">
        <w:t xml:space="preserve">by </w:t>
      </w:r>
      <w:r w:rsidR="009042DE">
        <w:t>provid</w:t>
      </w:r>
      <w:r w:rsidR="008B2E72">
        <w:t>ing</w:t>
      </w:r>
      <w:r w:rsidR="009042DE">
        <w:t xml:space="preserve"> evidence as to how governments </w:t>
      </w:r>
      <w:r w:rsidR="008B2E72">
        <w:t>(</w:t>
      </w:r>
      <w:r w:rsidR="009042DE">
        <w:t>rather than terrorist actors themselves</w:t>
      </w:r>
      <w:r w:rsidR="008B2E72">
        <w:t>)</w:t>
      </w:r>
      <w:r w:rsidR="009042DE">
        <w:t xml:space="preserve"> use the media to further securitize the threat </w:t>
      </w:r>
      <w:r w:rsidR="008B2E72">
        <w:t xml:space="preserve">posed by terrorism </w:t>
      </w:r>
      <w:r w:rsidR="009042DE">
        <w:t>and, in so doing, help terrorism “succeed.” Moreover,</w:t>
      </w:r>
      <w:r w:rsidR="00754707">
        <w:t xml:space="preserve"> this dissertation will tangibly contribute to global efforts to combat the systemic threat terrorism poses to the legitimacy of the state through its comprehensive analysis of the integral role that media plays in determining and exacerbating terrorism’s ability to damage the contemporary international system.</w:t>
      </w:r>
    </w:p>
    <w:p w14:paraId="12465FD7" w14:textId="77777777" w:rsidR="00414216" w:rsidRDefault="00414216">
      <w:pPr>
        <w:rPr>
          <w:rFonts w:cs="Times New Roman"/>
          <w:bCs/>
          <w:color w:val="000000" w:themeColor="text1"/>
        </w:rPr>
      </w:pPr>
      <w:r>
        <w:rPr>
          <w:rFonts w:cs="Times New Roman"/>
          <w:bCs/>
          <w:color w:val="000000" w:themeColor="text1"/>
        </w:rPr>
        <w:br w:type="page"/>
      </w:r>
    </w:p>
    <w:p w14:paraId="2AA8BA07" w14:textId="77777777" w:rsidR="003B35D8" w:rsidRDefault="003B35D8" w:rsidP="0039518C">
      <w:pPr>
        <w:pStyle w:val="DissertationChapterName"/>
      </w:pPr>
      <w:bookmarkStart w:id="9" w:name="_Toc175413114"/>
      <w:r w:rsidRPr="00BB3D39">
        <w:lastRenderedPageBreak/>
        <w:t>Chapter 2 – Methodology</w:t>
      </w:r>
      <w:bookmarkEnd w:id="9"/>
    </w:p>
    <w:p w14:paraId="2BE39DB6" w14:textId="77777777" w:rsidR="00D03C79" w:rsidRPr="00BB3D39" w:rsidRDefault="00D03C79" w:rsidP="003B35D8">
      <w:pPr>
        <w:jc w:val="center"/>
        <w:rPr>
          <w:rFonts w:cs="Times New Roman"/>
          <w:b/>
          <w:bCs/>
        </w:rPr>
      </w:pPr>
    </w:p>
    <w:p w14:paraId="0F7FC1E1" w14:textId="01CCC4F3" w:rsidR="00D03C79" w:rsidRPr="00BB3D39" w:rsidRDefault="003B35D8" w:rsidP="003B35D8">
      <w:pPr>
        <w:rPr>
          <w:rFonts w:cs="Times New Roman"/>
        </w:rPr>
      </w:pPr>
      <w:r w:rsidRPr="00BB3D39">
        <w:rPr>
          <w:rFonts w:cs="Times New Roman"/>
        </w:rPr>
        <w:tab/>
        <w:t xml:space="preserve">In this dissertation, I use a mixed-methods approach to assess both </w:t>
      </w:r>
      <w:r w:rsidRPr="00BB3D39">
        <w:rPr>
          <w:rFonts w:cs="Times New Roman"/>
          <w:i/>
          <w:iCs/>
        </w:rPr>
        <w:t>whether</w:t>
      </w:r>
      <w:r w:rsidRPr="00BB3D39">
        <w:rPr>
          <w:rFonts w:cs="Times New Roman"/>
        </w:rPr>
        <w:t xml:space="preserve"> and </w:t>
      </w:r>
      <w:r w:rsidRPr="00BB3D39">
        <w:rPr>
          <w:rFonts w:cs="Times New Roman"/>
          <w:i/>
          <w:iCs/>
        </w:rPr>
        <w:t>how</w:t>
      </w:r>
      <w:r w:rsidRPr="00BB3D39">
        <w:rPr>
          <w:rFonts w:cs="Times New Roman"/>
        </w:rPr>
        <w:t xml:space="preserve"> media coverage of terrorism facilitates terrorism’s ‘success’ by challenging international (state) legitimacy. The research presented in this dissertation is best described as an explanatory sequential mixed methods study because it involves a quantitative phase that subsequently informs a qualitative phase.</w:t>
      </w:r>
      <w:r w:rsidRPr="00BB3D39">
        <w:rPr>
          <w:rStyle w:val="FootnoteReference"/>
          <w:rFonts w:cs="Times New Roman"/>
        </w:rPr>
        <w:footnoteReference w:id="17"/>
      </w:r>
      <w:r w:rsidRPr="00BB3D39">
        <w:rPr>
          <w:rFonts w:cs="Times New Roman"/>
        </w:rPr>
        <w:t xml:space="preserve"> To wit, I conduct an initial multivariable data analysis (MVA) to suggest the nature and scale of any possible relationships between terrorism, media coverage of terrorism, and (state) legitimacy. Next, informed by the results of the MVA, I use quantitative methods to narrow the focus of my research to news coverage of terrorism on specific high coverage and low coverage dates that fall between January 1, 2012 and December 31, 2018. I then employ machine learning to conduct a preliminary analysis of this news coverage. Finally, I use media framing and critical discourse analysis (CDA) approaches to examine </w:t>
      </w:r>
      <w:r w:rsidRPr="00BB3D39">
        <w:rPr>
          <w:rFonts w:cs="Times New Roman"/>
          <w:i/>
          <w:iCs/>
        </w:rPr>
        <w:t>how</w:t>
      </w:r>
      <w:r w:rsidRPr="00BB3D39">
        <w:rPr>
          <w:rFonts w:cs="Times New Roman"/>
        </w:rPr>
        <w:t xml:space="preserve"> media coverage of terrorism undermines the legitimacy of the state as an (international) institution. In this chapter, I develop a research design to answer the linked questions of </w:t>
      </w:r>
      <w:r w:rsidRPr="00BB3D39">
        <w:rPr>
          <w:rFonts w:cs="Times New Roman"/>
          <w:i/>
          <w:iCs/>
        </w:rPr>
        <w:t>whether</w:t>
      </w:r>
      <w:r w:rsidRPr="00BB3D39">
        <w:rPr>
          <w:rFonts w:cs="Times New Roman"/>
        </w:rPr>
        <w:t xml:space="preserve"> and </w:t>
      </w:r>
      <w:r w:rsidRPr="00BB3D39">
        <w:rPr>
          <w:rFonts w:cs="Times New Roman"/>
          <w:i/>
          <w:iCs/>
        </w:rPr>
        <w:t>how</w:t>
      </w:r>
      <w:r w:rsidRPr="00BB3D39">
        <w:rPr>
          <w:rFonts w:cs="Times New Roman"/>
        </w:rPr>
        <w:t xml:space="preserve"> terrorism ‘succeeds’ due to media coverage of terrorism. In order to achieve this objective, I outline the details of, and justifications for my use of the abovementioned approaches in Chapter 6 (in which I quantitatively analyze whether media coverage of terrorism </w:t>
      </w:r>
      <w:r w:rsidRPr="00BB3D39">
        <w:rPr>
          <w:rFonts w:cs="Times New Roman"/>
          <w:i/>
          <w:iCs/>
        </w:rPr>
        <w:t xml:space="preserve">does </w:t>
      </w:r>
      <w:r w:rsidRPr="00BB3D39">
        <w:rPr>
          <w:rFonts w:cs="Times New Roman"/>
        </w:rPr>
        <w:t xml:space="preserve">affect international (state) legitimacy) and Chapter 7 (in which I use mixed methods to discuss </w:t>
      </w:r>
      <w:r w:rsidRPr="00BB3D39">
        <w:rPr>
          <w:rFonts w:cs="Times New Roman"/>
          <w:i/>
          <w:iCs/>
        </w:rPr>
        <w:t>how</w:t>
      </w:r>
      <w:r w:rsidRPr="00BB3D39">
        <w:rPr>
          <w:rFonts w:cs="Times New Roman"/>
        </w:rPr>
        <w:t xml:space="preserve"> media coverage of terrorism affects international (state) legitimacy).</w:t>
      </w:r>
    </w:p>
    <w:p w14:paraId="544082F9" w14:textId="77777777" w:rsidR="003B35D8" w:rsidRPr="00BB3D39" w:rsidRDefault="003B35D8" w:rsidP="00787123">
      <w:pPr>
        <w:pStyle w:val="DissertationSection1"/>
      </w:pPr>
      <w:bookmarkStart w:id="10" w:name="_Toc175413115"/>
      <w:r w:rsidRPr="00BB3D39">
        <w:t>Justification for Mixed-Methods Approach</w:t>
      </w:r>
      <w:bookmarkEnd w:id="10"/>
    </w:p>
    <w:p w14:paraId="7C7A9441" w14:textId="42A9A932" w:rsidR="00D03C79" w:rsidRPr="00BB3D39" w:rsidRDefault="003B35D8" w:rsidP="00546721">
      <w:pPr>
        <w:ind w:firstLine="720"/>
        <w:rPr>
          <w:rFonts w:cs="Times New Roman"/>
        </w:rPr>
      </w:pPr>
      <w:r w:rsidRPr="00BB3D39">
        <w:rPr>
          <w:rFonts w:cs="Times New Roman"/>
        </w:rPr>
        <w:t>I employ mixed methods – an amalgamation of quantitative and qualitative methodologies – to understand the nature of terrorism, its relationship with the media, and its intrinsic connection to the Westphalian state. Mixed methods provide the combined advantage of quantitative methods’ ability to establish correlation, covariation and the magnitude of relations, and qualitative methods’ provision of a more nuanced and exploratory analysis of the research variables that establish an understanding of underlying factors.</w:t>
      </w:r>
      <w:r w:rsidRPr="00BB3D39">
        <w:rPr>
          <w:rStyle w:val="FootnoteReference"/>
          <w:rFonts w:cs="Times New Roman"/>
        </w:rPr>
        <w:footnoteReference w:id="18"/>
      </w:r>
      <w:r w:rsidRPr="00BB3D39">
        <w:rPr>
          <w:rFonts w:cs="Times New Roman"/>
        </w:rPr>
        <w:t xml:space="preserve"> Quantitative analysis provides so-called ‘big picture’ data, facilitating my ability to suggest whether media coverage and framing of terrorism correlate with a decrease in international (state) legitimacy. Qualitative analysis allows for a more in-depth understanding of the individual variables, affording my ability to draw conclusions specifically as to ‘how’ media coverage and framing of terrorism might impact state legitimacy. </w:t>
      </w:r>
    </w:p>
    <w:p w14:paraId="0E2F0A01" w14:textId="77777777" w:rsidR="00E01059" w:rsidRDefault="00E01059">
      <w:pPr>
        <w:spacing w:before="0" w:after="0"/>
        <w:rPr>
          <w:rFonts w:cs="Times New Roman"/>
          <w:b/>
          <w:bCs/>
        </w:rPr>
      </w:pPr>
      <w:bookmarkStart w:id="11" w:name="_Toc175413116"/>
      <w:r>
        <w:br w:type="page"/>
      </w:r>
    </w:p>
    <w:p w14:paraId="336FA64F" w14:textId="374C88F6" w:rsidR="003B35D8" w:rsidRPr="00E01059" w:rsidRDefault="003B35D8" w:rsidP="00E01059">
      <w:pPr>
        <w:pStyle w:val="DissertationSection1"/>
      </w:pPr>
      <w:r w:rsidRPr="00BB3D39">
        <w:lastRenderedPageBreak/>
        <w:t>Justification for Sampling Frame</w:t>
      </w:r>
      <w:bookmarkEnd w:id="11"/>
    </w:p>
    <w:p w14:paraId="5D4BEC08" w14:textId="77777777" w:rsidR="003B35D8" w:rsidRPr="00BB3D39" w:rsidRDefault="003B35D8" w:rsidP="003B35D8">
      <w:pPr>
        <w:pStyle w:val="NormalWeb"/>
        <w:spacing w:before="0" w:beforeAutospacing="0" w:after="120" w:afterAutospacing="0"/>
        <w:ind w:firstLine="720"/>
      </w:pPr>
      <w:r w:rsidRPr="00BB3D39">
        <w:t>The research that I present in this dissertation is deliberately conceived of as a small-</w:t>
      </w:r>
      <w:r w:rsidRPr="00BB3D39">
        <w:rPr>
          <w:i/>
          <w:iCs/>
        </w:rPr>
        <w:t>n</w:t>
      </w:r>
      <w:r w:rsidRPr="00BB3D39">
        <w:t xml:space="preserve"> analysis, in accordance with both </w:t>
      </w:r>
      <w:proofErr w:type="spellStart"/>
      <w:r w:rsidRPr="00BB3D39">
        <w:t>Arend</w:t>
      </w:r>
      <w:proofErr w:type="spellEnd"/>
      <w:r w:rsidRPr="00BB3D39">
        <w:t xml:space="preserve"> </w:t>
      </w:r>
      <w:proofErr w:type="spellStart"/>
      <w:r w:rsidRPr="00BB3D39">
        <w:t>Lijphart’s</w:t>
      </w:r>
      <w:proofErr w:type="spellEnd"/>
      <w:r w:rsidRPr="00BB3D39">
        <w:t xml:space="preserve"> theory-driven comparative method and Adam </w:t>
      </w:r>
      <w:proofErr w:type="spellStart"/>
      <w:r w:rsidRPr="00BB3D39">
        <w:t>Przeworski</w:t>
      </w:r>
      <w:proofErr w:type="spellEnd"/>
      <w:r w:rsidRPr="00BB3D39">
        <w:t xml:space="preserve"> and Henry </w:t>
      </w:r>
      <w:proofErr w:type="spellStart"/>
      <w:r w:rsidRPr="00BB3D39">
        <w:t>Teune’s</w:t>
      </w:r>
      <w:proofErr w:type="spellEnd"/>
      <w:r w:rsidRPr="00BB3D39">
        <w:t xml:space="preserve"> advocacy for the use of “system specific” indicators that “serve to operationalize the same concept in distinct ways in different concepts.”</w:t>
      </w:r>
      <w:r w:rsidRPr="00BB3D39">
        <w:rPr>
          <w:rStyle w:val="FootnoteReference"/>
        </w:rPr>
        <w:footnoteReference w:id="19"/>
      </w:r>
      <w:r w:rsidRPr="00BB3D39">
        <w:t xml:space="preserve"> Focusing on a specific seven year time period provides for a rich examination of specific and contingent history and context, as well as better accounting for the potential explanatory role of third-party independent variables (spurious relations). In contrast, large-</w:t>
      </w:r>
      <m:oMath>
        <m:r>
          <w:rPr>
            <w:rFonts w:ascii="Cambria Math" w:hAnsi="Cambria Math"/>
          </w:rPr>
          <m:t>N</m:t>
        </m:r>
      </m:oMath>
      <w:r w:rsidRPr="00BB3D39">
        <w:t xml:space="preserve"> approaches have the potential to negate the rich and specific </w:t>
      </w:r>
      <w:r w:rsidRPr="00BB3D39">
        <w:rPr>
          <w:i/>
          <w:iCs/>
        </w:rPr>
        <w:t>sui generis</w:t>
      </w:r>
      <w:r w:rsidRPr="00BB3D39">
        <w:t xml:space="preserve"> character of each case. </w:t>
      </w:r>
    </w:p>
    <w:p w14:paraId="769527FC" w14:textId="6D1E68DC" w:rsidR="00D03C79" w:rsidRPr="00BB3D39" w:rsidRDefault="003B35D8" w:rsidP="00546721">
      <w:pPr>
        <w:pStyle w:val="NormalWeb"/>
        <w:spacing w:before="0" w:beforeAutospacing="0" w:after="120" w:afterAutospacing="0"/>
        <w:ind w:firstLine="720"/>
      </w:pPr>
      <w:r w:rsidRPr="00BB3D39">
        <w:t>My sample size is also limited to seven years due to data availability constraints. In 2012, the Global Terrorism Database (GTD) transitioned to a system that is entirely based on data collected by the National Consortium for the Study of Terrorism and Responses to Terrorism (START) at the University of Maryland, which enhanced its internal consistency and comprehensiveness. Concurrent to this change in methodology, the GTD calculates a notable increase in the frequency of international terrorist attacks between 2011 and 2012.</w:t>
      </w:r>
      <w:r w:rsidRPr="00BB3D39">
        <w:rPr>
          <w:rStyle w:val="FootnoteReference"/>
        </w:rPr>
        <w:footnoteReference w:id="20"/>
      </w:r>
      <w:r w:rsidRPr="00BB3D39">
        <w:t xml:space="preserve"> Given that there is no way to accurately determine to what extent this increase can be accounted for by GTD methodology change (as opposed to real-world developments), it would be academically disingenuous to draw general conclusions about terrorism using the pre-2012 data. Moreover, the lapse in funding that the GTD experienced at the onset of the COVID-19 pandemic resulted in significant gaps in the data that the GTD was able to collect in connection with 2019 terrorist attacks.</w:t>
      </w:r>
      <w:r w:rsidRPr="00BB3D39">
        <w:rPr>
          <w:rStyle w:val="FootnoteReference"/>
        </w:rPr>
        <w:footnoteReference w:id="21"/>
      </w:r>
      <w:r w:rsidRPr="00BB3D39">
        <w:t xml:space="preserve"> Given the incomplete nature of the data available when I conducted this study, data collected by the GTD in relation to terrorist incidents that occurred after December 31, 2018 is also unsuitable for the research I present in this dissertation. Given that the GTD terrorist attack data is key role to my ability to correlate between terrorism and media coverage of terrorism, I necessarily focus my research on the media coverage of terrorism that occurred between January 1, 2012 and December 31, 2018.</w:t>
      </w:r>
    </w:p>
    <w:p w14:paraId="66711E3B" w14:textId="70AA5E6E" w:rsidR="003B35D8" w:rsidRPr="00A203A6" w:rsidRDefault="003B35D8" w:rsidP="00787123">
      <w:pPr>
        <w:pStyle w:val="DissertationSection1"/>
      </w:pPr>
      <w:bookmarkStart w:id="12" w:name="_Toc175413117"/>
      <w:r w:rsidRPr="00BB3D39">
        <w:t>Research Question and Hypothesis</w:t>
      </w:r>
      <w:bookmarkEnd w:id="12"/>
    </w:p>
    <w:p w14:paraId="1CA1A237" w14:textId="77777777" w:rsidR="003B35D8" w:rsidRPr="00BB3D39" w:rsidRDefault="003B35D8" w:rsidP="003B35D8">
      <w:pPr>
        <w:pStyle w:val="NormalWeb"/>
        <w:spacing w:before="0" w:beforeAutospacing="0" w:after="120" w:afterAutospacing="0"/>
      </w:pPr>
      <w:r w:rsidRPr="00BB3D39">
        <w:tab/>
        <w:t xml:space="preserve">The overarching question that this dissertation proposes to answer ties together three separate elements: terrorism, media coverage, and (state) legitimacy. Accordingly, I aim to suggest how terrorism ‘succeeds’ by analyzing English-language international media coverage of </w:t>
      </w:r>
      <w:r w:rsidRPr="00BB3D39">
        <w:lastRenderedPageBreak/>
        <w:t>terrorism between January 1, 2012 and December 31, 2018.</w:t>
      </w:r>
      <w:r w:rsidRPr="00BB3D39">
        <w:rPr>
          <w:rStyle w:val="FootnoteReference"/>
        </w:rPr>
        <w:footnoteReference w:id="22"/>
      </w:r>
      <w:r w:rsidRPr="00BB3D39">
        <w:t xml:space="preserve"> To that end, my research interrogates the following research question:</w:t>
      </w:r>
    </w:p>
    <w:p w14:paraId="7FD8D737" w14:textId="77777777" w:rsidR="003B35D8" w:rsidRPr="00BB3D39" w:rsidRDefault="003B35D8" w:rsidP="003B35D8">
      <w:pPr>
        <w:pStyle w:val="NormalWeb"/>
        <w:spacing w:before="0" w:beforeAutospacing="0" w:after="120" w:afterAutospacing="0"/>
        <w:ind w:left="1440" w:hanging="720"/>
      </w:pPr>
      <m:oMath>
        <m:r>
          <w:rPr>
            <w:rFonts w:ascii="Cambria Math" w:hAnsi="Cambria Math"/>
          </w:rPr>
          <m:t>RQ</m:t>
        </m:r>
      </m:oMath>
      <w:r w:rsidRPr="00BB3D39">
        <w:t xml:space="preserve">: </w:t>
      </w:r>
      <w:r w:rsidRPr="00BB3D39">
        <w:tab/>
        <w:t>How does media coverage and framing of terrorism affect (state) legitimacy, particularly by challenging state claims to legitimate authority?</w:t>
      </w:r>
    </w:p>
    <w:p w14:paraId="3CC564DF" w14:textId="218FC6A8" w:rsidR="003B35D8" w:rsidRPr="00BB3D39" w:rsidRDefault="003B35D8" w:rsidP="003B35D8">
      <w:pPr>
        <w:ind w:firstLine="720"/>
        <w:rPr>
          <w:rFonts w:cs="Times New Roman"/>
        </w:rPr>
      </w:pPr>
      <w:r w:rsidRPr="00BB3D39">
        <w:rPr>
          <w:rFonts w:cs="Times New Roman"/>
        </w:rPr>
        <w:t xml:space="preserve">I hypothesize that terrorism ‘succeeds’ in this regard because both direct and indirect media coverage of terrorism frames the threat posed by violent sub-state actors and the terrorism that they perpetrate in a manner that both confers status on, and amplifies their legitimacy claims. These legitimacy claims (and their related demands for authority) necessarily conflict with those of the Westphalian state because both terrorists and states pursue legitimacy with the aim of establishing themself as an actor that matters in the international system. ‘Direct’ media coverage of terrorism refers to the publication and provision of details and information relating to specific contemporary incidents of terrorist activity. ‘Indirect’ coverage, on the other hand, relates to the facilitating of broader understandings of the membership, history, grievances, and overall objectives of terrorism. ‘Indirect’ coverage also includes the publication of news articles that do not specifically address </w:t>
      </w:r>
      <w:r w:rsidR="00542581" w:rsidRPr="00BB3D39">
        <w:rPr>
          <w:rFonts w:cs="Times New Roman"/>
        </w:rPr>
        <w:t>terrorism but</w:t>
      </w:r>
      <w:r w:rsidRPr="00BB3D39">
        <w:rPr>
          <w:rFonts w:cs="Times New Roman"/>
        </w:rPr>
        <w:t xml:space="preserve"> reference it in order to provide context for or (temporally or spatially) situate the subject matter that is their focus. (State) legitimacy is understood as a form of social contract deriving from perceptions of legality, justification, and consent. Conceiving of terrorism’s potential success as intrinsically related to the media coverage and framing of terrorism predicates its determination on establishing whether terrorism is effective tactically. In this context, ‘success’ refers to whether or not terrorism delegitimizes the state (a necessary precondition for terrorism serving to further its perpetrators’ legitimacy claims). This argument operationalizes media coverage as a </w:t>
      </w:r>
      <w:r w:rsidRPr="00BB3D39">
        <w:rPr>
          <w:rFonts w:cs="Times New Roman"/>
          <w:i/>
          <w:iCs/>
        </w:rPr>
        <w:t>mode</w:t>
      </w:r>
      <w:r w:rsidRPr="00BB3D39">
        <w:rPr>
          <w:rFonts w:cs="Times New Roman"/>
        </w:rPr>
        <w:t xml:space="preserve"> (or operational level) that links terrorism as a specific </w:t>
      </w:r>
      <w:r w:rsidRPr="00BB3D39">
        <w:rPr>
          <w:rFonts w:cs="Times New Roman"/>
          <w:i/>
          <w:iCs/>
        </w:rPr>
        <w:t xml:space="preserve">means </w:t>
      </w:r>
      <w:r w:rsidRPr="00BB3D39">
        <w:rPr>
          <w:rFonts w:cs="Times New Roman"/>
        </w:rPr>
        <w:t xml:space="preserve">(or tactical level) to legitimacy as the </w:t>
      </w:r>
      <w:r w:rsidRPr="00BB3D39">
        <w:rPr>
          <w:rFonts w:cs="Times New Roman"/>
          <w:i/>
          <w:iCs/>
        </w:rPr>
        <w:t>ends</w:t>
      </w:r>
      <w:r w:rsidRPr="00BB3D39">
        <w:rPr>
          <w:rFonts w:cs="Times New Roman"/>
        </w:rPr>
        <w:t xml:space="preserve"> (objective) of post-modern warfare. Accordingly, the hypotheses underlying my research are as follows:</w:t>
      </w:r>
    </w:p>
    <w:p w14:paraId="7BBB9DA5" w14:textId="77777777" w:rsidR="003B35D8" w:rsidRPr="00BB3D39" w:rsidRDefault="00000000" w:rsidP="003B35D8">
      <w:pPr>
        <w:ind w:left="720"/>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3B35D8" w:rsidRPr="00BB3D39">
        <w:rPr>
          <w:rFonts w:cs="Times New Roman"/>
        </w:rPr>
        <w:t xml:space="preserve">: </w:t>
      </w:r>
      <w:r w:rsidR="003B35D8" w:rsidRPr="00BB3D39">
        <w:rPr>
          <w:rFonts w:cs="Times New Roman"/>
        </w:rPr>
        <w:tab/>
        <w:t>Terrorism ‘succeeds’ by negatively affecting state legitimacy; and</w:t>
      </w:r>
    </w:p>
    <w:p w14:paraId="679BAC97" w14:textId="77777777" w:rsidR="003B35D8" w:rsidRPr="00BB3D39" w:rsidRDefault="00000000" w:rsidP="003B35D8">
      <w:pPr>
        <w:ind w:left="1440" w:hanging="720"/>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oMath>
      <w:r w:rsidR="003B35D8" w:rsidRPr="00BB3D39">
        <w:rPr>
          <w:rFonts w:cs="Times New Roman"/>
        </w:rPr>
        <w:t xml:space="preserve">:  </w:t>
      </w:r>
      <w:r w:rsidR="003B35D8" w:rsidRPr="00BB3D39">
        <w:rPr>
          <w:rFonts w:cs="Times New Roman"/>
        </w:rPr>
        <w:tab/>
        <w:t xml:space="preserve">Terrorism negatively affects state legitimacy because media coverage of terrorism frames the threat that terrorism poses in a way that confers status on and amplifies its legitimacy claims and demands for authority, territoriality and/or statehood. </w:t>
      </w:r>
    </w:p>
    <w:p w14:paraId="5C34C56A" w14:textId="0C08624C" w:rsidR="00D03C79" w:rsidRPr="00BB3D39" w:rsidRDefault="003B35D8" w:rsidP="003B35D8">
      <w:pPr>
        <w:rPr>
          <w:rFonts w:cs="Times New Roman"/>
        </w:rPr>
      </w:pPr>
      <w:r w:rsidRPr="00BB3D39">
        <w:rPr>
          <w:rFonts w:cs="Times New Roman"/>
        </w:rPr>
        <w:t xml:space="preserve">I use quantitative methods to address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Pr="00BB3D39">
        <w:rPr>
          <w:rFonts w:cs="Times New Roman"/>
        </w:rPr>
        <w:t xml:space="preserve"> in Chapter 6. Chapter 7 then uses mixed quantitative and qualitative methods to address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oMath>
      <w:r w:rsidRPr="00BB3D39">
        <w:rPr>
          <w:rFonts w:cs="Times New Roman"/>
        </w:rPr>
        <w:t>. I address the rationale associated with structuring my dissertation in this manner in detail in the following section on Research Design.</w:t>
      </w:r>
    </w:p>
    <w:p w14:paraId="57095493" w14:textId="2FB1C909" w:rsidR="003B35D8" w:rsidRPr="00CC3E9B" w:rsidRDefault="003B35D8" w:rsidP="00787123">
      <w:pPr>
        <w:pStyle w:val="DissertationSection1"/>
      </w:pPr>
      <w:bookmarkStart w:id="13" w:name="_Toc175413118"/>
      <w:r w:rsidRPr="00BB3D39">
        <w:t>Chapter 6’s Quantitative Research Design</w:t>
      </w:r>
      <w:bookmarkEnd w:id="13"/>
    </w:p>
    <w:p w14:paraId="1BFE7A13" w14:textId="77777777" w:rsidR="003B35D8" w:rsidRPr="00BB3D39" w:rsidRDefault="003B35D8" w:rsidP="003B35D8">
      <w:pPr>
        <w:ind w:firstLine="360"/>
        <w:rPr>
          <w:rFonts w:cs="Times New Roman"/>
        </w:rPr>
      </w:pPr>
      <w:r w:rsidRPr="00BB3D39">
        <w:rPr>
          <w:rFonts w:cs="Times New Roman"/>
        </w:rPr>
        <w:t xml:space="preserve">Before I can discuss </w:t>
      </w:r>
      <w:r w:rsidRPr="00BB3D39">
        <w:rPr>
          <w:rFonts w:cs="Times New Roman"/>
          <w:i/>
          <w:iCs/>
        </w:rPr>
        <w:t>how</w:t>
      </w:r>
      <w:r w:rsidRPr="00BB3D39">
        <w:rPr>
          <w:rFonts w:cs="Times New Roman"/>
        </w:rPr>
        <w:t xml:space="preserve"> media coverage of terrorism affects legitimacy, I must first establish that media coverage of terrorism </w:t>
      </w:r>
      <w:r w:rsidRPr="00BB3D39">
        <w:rPr>
          <w:rFonts w:cs="Times New Roman"/>
          <w:i/>
          <w:iCs/>
        </w:rPr>
        <w:t xml:space="preserve">does </w:t>
      </w:r>
      <w:r w:rsidRPr="00BB3D39">
        <w:rPr>
          <w:rFonts w:cs="Times New Roman"/>
        </w:rPr>
        <w:t xml:space="preserve">have an effect on (state) legitimacy. Thus, I use quantitative methods to answer the following research question: </w:t>
      </w:r>
    </w:p>
    <w:p w14:paraId="0C9DE93F" w14:textId="77777777" w:rsidR="003B35D8" w:rsidRPr="00BB3D39" w:rsidRDefault="00000000" w:rsidP="003B35D8">
      <w:pPr>
        <w:ind w:firstLine="360"/>
        <w:rPr>
          <w:rFonts w:cs="Times New Roman"/>
          <w:b/>
          <w:bCs/>
        </w:rPr>
      </w:pPr>
      <m:oMath>
        <m:sSub>
          <m:sSubPr>
            <m:ctrlPr>
              <w:rPr>
                <w:rFonts w:ascii="Cambria Math" w:hAnsi="Cambria Math" w:cs="Times New Roman"/>
                <w:i/>
              </w:rPr>
            </m:ctrlPr>
          </m:sSubPr>
          <m:e>
            <m:r>
              <w:rPr>
                <w:rFonts w:ascii="Cambria Math" w:hAnsi="Cambria Math" w:cs="Times New Roman"/>
              </w:rPr>
              <m:t>RQ</m:t>
            </m:r>
          </m:e>
          <m:sub>
            <m:r>
              <w:rPr>
                <w:rFonts w:ascii="Cambria Math" w:hAnsi="Cambria Math" w:cs="Times New Roman"/>
              </w:rPr>
              <m:t>1</m:t>
            </m:r>
          </m:sub>
        </m:sSub>
      </m:oMath>
      <w:r w:rsidR="003B35D8" w:rsidRPr="00BB3D39">
        <w:rPr>
          <w:rFonts w:cs="Times New Roman"/>
        </w:rPr>
        <w:t>:</w:t>
      </w:r>
      <w:r w:rsidR="003B35D8" w:rsidRPr="00BB3D39">
        <w:rPr>
          <w:rFonts w:cs="Times New Roman"/>
          <w:b/>
          <w:bCs/>
        </w:rPr>
        <w:t xml:space="preserve"> </w:t>
      </w:r>
      <w:r w:rsidR="003B35D8" w:rsidRPr="00BB3D39">
        <w:rPr>
          <w:rFonts w:cs="Times New Roman"/>
        </w:rPr>
        <w:t xml:space="preserve">Does media coverage of terrorism affect international (state) legitimacy? </w:t>
      </w:r>
    </w:p>
    <w:p w14:paraId="2109CE29" w14:textId="77777777" w:rsidR="003B35D8" w:rsidRPr="00BB3D39" w:rsidRDefault="003B35D8" w:rsidP="003B35D8">
      <w:pPr>
        <w:rPr>
          <w:rFonts w:cs="Times New Roman"/>
        </w:rPr>
      </w:pPr>
      <w:r w:rsidRPr="00BB3D39">
        <w:rPr>
          <w:rFonts w:cs="Times New Roman"/>
        </w:rPr>
        <w:t xml:space="preserve">The methodology that I use expands on that employed by Daniel Masters and Patricia </w:t>
      </w:r>
      <w:proofErr w:type="spellStart"/>
      <w:r w:rsidRPr="00BB3D39">
        <w:rPr>
          <w:rFonts w:cs="Times New Roman"/>
        </w:rPr>
        <w:t>Hoen</w:t>
      </w:r>
      <w:proofErr w:type="spellEnd"/>
      <w:r w:rsidRPr="00BB3D39">
        <w:rPr>
          <w:rFonts w:cs="Times New Roman"/>
        </w:rPr>
        <w:t xml:space="preserve"> in their 2012 article “State Legitimacy and Terrorism.” Masters and </w:t>
      </w:r>
      <w:proofErr w:type="spellStart"/>
      <w:r w:rsidRPr="00BB3D39">
        <w:rPr>
          <w:rFonts w:cs="Times New Roman"/>
        </w:rPr>
        <w:t>Hoen</w:t>
      </w:r>
      <w:proofErr w:type="spellEnd"/>
      <w:r w:rsidRPr="00BB3D39">
        <w:rPr>
          <w:rFonts w:cs="Times New Roman"/>
        </w:rPr>
        <w:t xml:space="preserve"> used bivariate analysis to assess the relationship between overarching ‘state legitimacy’ measures and the average number </w:t>
      </w:r>
      <w:r w:rsidRPr="00BB3D39">
        <w:rPr>
          <w:rFonts w:cs="Times New Roman"/>
        </w:rPr>
        <w:lastRenderedPageBreak/>
        <w:t xml:space="preserve">of domestic terrorist attacks per year. The results of this analysis empirically support Masters and </w:t>
      </w:r>
      <w:proofErr w:type="spellStart"/>
      <w:r w:rsidRPr="00BB3D39">
        <w:rPr>
          <w:rFonts w:cs="Times New Roman"/>
        </w:rPr>
        <w:t>Hoen’s</w:t>
      </w:r>
      <w:proofErr w:type="spellEnd"/>
      <w:r w:rsidRPr="00BB3D39">
        <w:rPr>
          <w:rFonts w:cs="Times New Roman"/>
        </w:rPr>
        <w:t xml:space="preserve"> hypothesis that ‘low legitimacy states’ experience higher levels of domestic terrorist activity than ‘high legitimacy states’.</w:t>
      </w:r>
      <w:r w:rsidRPr="00BB3D39">
        <w:rPr>
          <w:rStyle w:val="FootnoteReference"/>
          <w:rFonts w:cs="Times New Roman"/>
        </w:rPr>
        <w:footnoteReference w:id="23"/>
      </w:r>
      <w:r w:rsidRPr="00BB3D39">
        <w:rPr>
          <w:rFonts w:cs="Times New Roman"/>
        </w:rPr>
        <w:t xml:space="preserve"> Masters and </w:t>
      </w:r>
      <w:proofErr w:type="spellStart"/>
      <w:r w:rsidRPr="00BB3D39">
        <w:rPr>
          <w:rFonts w:cs="Times New Roman"/>
        </w:rPr>
        <w:t>Hoen</w:t>
      </w:r>
      <w:proofErr w:type="spellEnd"/>
      <w:r w:rsidRPr="00BB3D39">
        <w:rPr>
          <w:rFonts w:cs="Times New Roman"/>
        </w:rPr>
        <w:t xml:space="preserve"> then employ multivariable data analysis (MVA) to suggest whether state legitimacy can be considered the main explanatory variable in connection with their bivariate correlation. Similar to Masters and </w:t>
      </w:r>
      <w:proofErr w:type="spellStart"/>
      <w:r w:rsidRPr="00BB3D39">
        <w:rPr>
          <w:rFonts w:cs="Times New Roman"/>
        </w:rPr>
        <w:t>Hoen’s</w:t>
      </w:r>
      <w:proofErr w:type="spellEnd"/>
      <w:r w:rsidRPr="00BB3D39">
        <w:rPr>
          <w:rFonts w:cs="Times New Roman"/>
        </w:rPr>
        <w:t xml:space="preserve"> 2012 study, the first part of my research involves a four-factor MVA to correlate and determine the nature, scale and strength of any possible relationship between the media coverage of terrorism and the legitimacy of the state as an institution. </w:t>
      </w:r>
    </w:p>
    <w:p w14:paraId="1036BE2F" w14:textId="77777777" w:rsidR="003B35D8" w:rsidRPr="00BB3D39" w:rsidRDefault="003B35D8" w:rsidP="003B35D8">
      <w:pPr>
        <w:ind w:firstLine="360"/>
        <w:rPr>
          <w:rFonts w:cs="Times New Roman"/>
        </w:rPr>
      </w:pPr>
      <w:r w:rsidRPr="00BB3D39">
        <w:rPr>
          <w:rFonts w:cs="Times New Roman"/>
        </w:rPr>
        <w:t xml:space="preserve">The first element of the MVA that I conduct in Chapter 6 consists of a Spearman correlation (the calculation of Spearman’s </w:t>
      </w:r>
      <m:oMath>
        <m:r>
          <w:rPr>
            <w:rFonts w:ascii="Cambria Math" w:hAnsi="Cambria Math" w:cs="Times New Roman"/>
          </w:rPr>
          <m:t>ρ</m:t>
        </m:r>
      </m:oMath>
      <w:r w:rsidRPr="00BB3D39">
        <w:rPr>
          <w:rFonts w:cs="Times New Roman"/>
        </w:rPr>
        <w:t xml:space="preserve">) to measure the strength and nature of applicability of any possible relationship between the (aggregate) media coverage of terrorism (hereafter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BB3D39">
        <w:rPr>
          <w:rFonts w:cs="Times New Roman"/>
        </w:rPr>
        <w:t xml:space="preserve">) and international (state) legitimacy (hereafter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BB3D39">
        <w:rPr>
          <w:rFonts w:cs="Times New Roman"/>
        </w:rPr>
        <w:t>).</w:t>
      </w:r>
      <w:r w:rsidRPr="00BB3D39">
        <w:rPr>
          <w:rStyle w:val="FootnoteReference"/>
          <w:rFonts w:cs="Times New Roman"/>
        </w:rPr>
        <w:t xml:space="preserve"> </w:t>
      </w:r>
      <w:r w:rsidRPr="00BB3D39">
        <w:rPr>
          <w:rStyle w:val="FootnoteReference"/>
          <w:rFonts w:cs="Times New Roman"/>
        </w:rPr>
        <w:footnoteReference w:id="24"/>
      </w:r>
      <w:r w:rsidRPr="00BB3D39">
        <w:rPr>
          <w:rFonts w:cs="Times New Roman"/>
        </w:rPr>
        <w:t xml:space="preserve"> I quantify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BB3D39">
        <w:rPr>
          <w:rFonts w:cs="Times New Roman"/>
        </w:rPr>
        <w:t xml:space="preserve"> by aggregating the media coverage of terrorism produced by Thomson-Reuters (Reuters), the Associated Press (AP), and Agence France-Presse (AFP) (independent variables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BB3D3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BB3D39">
        <w:rPr>
          <w:rFonts w:cs="Times New Roman"/>
        </w:rPr>
        <w:t xml:space="preserve">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BB3D39">
        <w:rPr>
          <w:rFonts w:cs="Times New Roman"/>
        </w:rPr>
        <w:t>).</w:t>
      </w:r>
      <w:r w:rsidRPr="00BB3D39">
        <w:rPr>
          <w:rStyle w:val="FootnoteReference"/>
          <w:rFonts w:cs="Times New Roman"/>
        </w:rPr>
        <w:footnoteReference w:id="25"/>
      </w:r>
      <w:r w:rsidRPr="00BB3D39">
        <w:rPr>
          <w:rFonts w:cs="Times New Roman"/>
        </w:rPr>
        <w:t xml:space="preserve"> I measure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BB3D39">
        <w:rPr>
          <w:rFonts w:cs="Times New Roman"/>
          <w:vertAlign w:val="subscript"/>
        </w:rPr>
        <w:t xml:space="preserve"> </w:t>
      </w:r>
      <w:r w:rsidRPr="00BB3D39">
        <w:rPr>
          <w:rFonts w:cs="Times New Roman"/>
        </w:rPr>
        <w:t xml:space="preserve">by calculating the </w:t>
      </w:r>
      <w:r w:rsidRPr="00BB3D39">
        <w:rPr>
          <w:rFonts w:cs="Times New Roman"/>
        </w:rPr>
        <w:lastRenderedPageBreak/>
        <w:t>average (mean) of the individual measurements of state legitimacy calculated by the annual reports produced by the Fragile State Index (FSI).</w:t>
      </w:r>
      <w:r w:rsidRPr="00BB3D39">
        <w:rPr>
          <w:rStyle w:val="FootnoteReference"/>
          <w:rFonts w:cs="Times New Roman"/>
        </w:rPr>
        <w:footnoteReference w:id="26"/>
      </w:r>
      <w:r w:rsidRPr="00BB3D39">
        <w:rPr>
          <w:rFonts w:cs="Times New Roman"/>
        </w:rPr>
        <w:t xml:space="preserve"> The value of </w:t>
      </w:r>
      <m:oMath>
        <m:d>
          <m:dPr>
            <m:begChr m:val="["/>
            <m:endChr m:val="]"/>
            <m:ctrlPr>
              <w:rPr>
                <w:rFonts w:ascii="Cambria Math" w:hAnsi="Cambria Math" w:cs="Times New Roman"/>
                <w:i/>
              </w:rPr>
            </m:ctrlPr>
          </m:dPr>
          <m:e>
            <m:r>
              <w:rPr>
                <w:rFonts w:ascii="Cambria Math" w:hAnsi="Cambria Math" w:cs="Times New Roman"/>
              </w:rPr>
              <m:t>ρ</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ctrlPr>
                  <w:rPr>
                    <w:rFonts w:ascii="Cambria Math" w:eastAsiaTheme="minorEastAsia" w:hAnsi="Cambria Math" w:cs="Times New Roman"/>
                    <w:i/>
                  </w:rPr>
                </m:ctrlPr>
              </m:e>
            </m:d>
            <m:ctrlPr>
              <w:rPr>
                <w:rFonts w:ascii="Cambria Math" w:eastAsiaTheme="minorEastAsia" w:hAnsi="Cambria Math" w:cs="Times New Roman"/>
                <w:i/>
              </w:rPr>
            </m:ctrlPr>
          </m:e>
        </m:d>
        <m:r>
          <w:rPr>
            <w:rFonts w:ascii="Cambria Math" w:eastAsiaTheme="minorEastAsia" w:hAnsi="Cambria Math" w:cs="Times New Roman"/>
          </w:rPr>
          <m:t xml:space="preserve"> </m:t>
        </m:r>
      </m:oMath>
      <w:r w:rsidRPr="00BB3D39">
        <w:rPr>
          <w:rFonts w:cs="Times New Roman"/>
        </w:rPr>
        <w:t xml:space="preserve">suggests whether any correlation exists between the media coverage of terrorism and international (state) legitimacy. I use the results produced by this analysis (which indicate that there is a negative correlation between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BB3D39">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BB3D39">
        <w:rPr>
          <w:rFonts w:eastAsiaTheme="minorEastAsia" w:cs="Times New Roman"/>
        </w:rPr>
        <w:t>) to support my hypothesis that</w:t>
      </w:r>
      <w:r w:rsidRPr="00BB3D39">
        <w:rPr>
          <w:rFonts w:cs="Times New Roman"/>
        </w:rPr>
        <w:t xml:space="preserve"> increases in the media coverage of terrorism result in decreased levels of (state) legitimacy. </w:t>
      </w:r>
    </w:p>
    <w:p w14:paraId="1F2AC8E6" w14:textId="1781B78E" w:rsidR="003B35D8" w:rsidRPr="00BB3D39" w:rsidRDefault="003B35D8" w:rsidP="003B35D8">
      <w:pPr>
        <w:ind w:firstLine="360"/>
        <w:rPr>
          <w:rFonts w:cs="Times New Roman"/>
        </w:rPr>
      </w:pPr>
      <w:r w:rsidRPr="00BB3D39">
        <w:rPr>
          <w:rFonts w:cs="Times New Roman"/>
        </w:rPr>
        <w:t xml:space="preserve">The second element of my MVA then involves calculating Spearman’s </w:t>
      </w:r>
      <m:oMath>
        <m:r>
          <w:rPr>
            <w:rFonts w:ascii="Cambria Math" w:hAnsi="Cambria Math" w:cs="Times New Roman"/>
          </w:rPr>
          <m:t>ρ</m:t>
        </m:r>
      </m:oMath>
      <w:r w:rsidRPr="00BB3D39">
        <w:rPr>
          <w:rFonts w:cs="Times New Roman"/>
        </w:rPr>
        <w:t xml:space="preserve"> in connection with the individual variables that I merge in calculating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BB3D39">
        <w:rPr>
          <w:rFonts w:cs="Times New Roman"/>
        </w:rPr>
        <w:t xml:space="preserve">. These variables are Reuters’s coverage of terrorism (hereafter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BB3D39">
        <w:rPr>
          <w:rFonts w:cs="Times New Roman"/>
        </w:rPr>
        <w:t xml:space="preserve">), the AP’s coverage of terrorism (hereafter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BB3D39">
        <w:rPr>
          <w:rFonts w:cs="Times New Roman"/>
        </w:rPr>
        <w:t xml:space="preserve">), and AFP’s coverage of terrorism (hereafter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BB3D39">
        <w:rPr>
          <w:rFonts w:cs="Times New Roman"/>
        </w:rPr>
        <w:t xml:space="preserve">). I measure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BB3D39">
        <w:rPr>
          <w:rFonts w:cs="Times New Roman"/>
        </w:rPr>
        <w:t xml:space="preserve"> based on the volume of online and print </w:t>
      </w:r>
      <w:r w:rsidR="00F74D09">
        <w:rPr>
          <w:rFonts w:cs="Times New Roman"/>
        </w:rPr>
        <w:t>media</w:t>
      </w:r>
      <w:r w:rsidRPr="00BB3D39">
        <w:rPr>
          <w:rFonts w:cs="Times New Roman"/>
        </w:rPr>
        <w:t xml:space="preserve"> bulletins relating to terrorism that are produced by Reuters in a given year. I determine the number of </w:t>
      </w:r>
      <w:r w:rsidR="00F74D09">
        <w:rPr>
          <w:rFonts w:cs="Times New Roman"/>
        </w:rPr>
        <w:t>media</w:t>
      </w:r>
      <w:r w:rsidRPr="00BB3D39">
        <w:rPr>
          <w:rFonts w:cs="Times New Roman"/>
        </w:rPr>
        <w:t xml:space="preserve"> bulletins produced by conducting keyword searches for “terror,” “terrorist,” “terrorists,” and “terrorism,” on the Dow Jones Factiva Service’s (DJFS) records of media coverage produced by Reuters between 2012 and 2018.</w:t>
      </w:r>
      <w:r w:rsidRPr="00BB3D39">
        <w:rPr>
          <w:rStyle w:val="FootnoteReference"/>
          <w:rFonts w:cs="Times New Roman"/>
        </w:rPr>
        <w:footnoteReference w:id="27"/>
      </w:r>
      <w:r w:rsidRPr="00BB3D39">
        <w:rPr>
          <w:rFonts w:cs="Times New Roman"/>
        </w:rPr>
        <w:t xml:space="preserve"> Similarly, I calculate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BB3D39">
        <w:rPr>
          <w:rFonts w:cs="Times New Roman"/>
        </w:rPr>
        <w:t xml:space="preserve">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BB3D39">
        <w:rPr>
          <w:rFonts w:cs="Times New Roman"/>
        </w:rPr>
        <w:t xml:space="preserve"> based on the volume of online and print </w:t>
      </w:r>
      <w:r w:rsidR="00F74D09">
        <w:rPr>
          <w:rFonts w:cs="Times New Roman"/>
        </w:rPr>
        <w:t>media</w:t>
      </w:r>
      <w:r w:rsidRPr="00BB3D39">
        <w:rPr>
          <w:rFonts w:cs="Times New Roman"/>
        </w:rPr>
        <w:t xml:space="preserve"> bulletins produced by the AP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BB3D39">
        <w:rPr>
          <w:rFonts w:cs="Times New Roman"/>
        </w:rPr>
        <w:t>), and AFP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BB3D39">
        <w:rPr>
          <w:rFonts w:cs="Times New Roman"/>
        </w:rPr>
        <w:t xml:space="preserve">) in a given year. I calculate the number of </w:t>
      </w:r>
      <w:r w:rsidR="00F74D09">
        <w:rPr>
          <w:rFonts w:cs="Times New Roman"/>
        </w:rPr>
        <w:t>media</w:t>
      </w:r>
      <w:r w:rsidRPr="00BB3D39">
        <w:rPr>
          <w:rFonts w:cs="Times New Roman"/>
        </w:rPr>
        <w:t xml:space="preserve"> bulletins produced by these international news agencies using keyword searches for “terror,” “terrorist,” “terrorists,” and “terrorism,” on the </w:t>
      </w:r>
      <w:proofErr w:type="spellStart"/>
      <w:r w:rsidRPr="00BB3D39">
        <w:rPr>
          <w:rFonts w:cs="Times New Roman"/>
        </w:rPr>
        <w:t>NexisUni</w:t>
      </w:r>
      <w:proofErr w:type="spellEnd"/>
      <w:r w:rsidRPr="00BB3D39">
        <w:rPr>
          <w:rFonts w:cs="Times New Roman"/>
        </w:rPr>
        <w:t xml:space="preserve"> database’s records of media coverage produced by each agency between 2012 and 2018.</w:t>
      </w:r>
      <w:r w:rsidRPr="00BB3D39">
        <w:rPr>
          <w:rStyle w:val="FootnoteReference"/>
          <w:rFonts w:cs="Times New Roman"/>
        </w:rPr>
        <w:footnoteReference w:id="28"/>
      </w:r>
      <w:r w:rsidRPr="00BB3D39">
        <w:rPr>
          <w:rFonts w:cs="Times New Roman"/>
        </w:rPr>
        <w:t xml:space="preserve"> Determining the individual values of </w:t>
      </w:r>
      <m:oMath>
        <m:r>
          <w:rPr>
            <w:rFonts w:ascii="Cambria Math" w:hAnsi="Cambria Math" w:cs="Times New Roman"/>
          </w:rPr>
          <m:t>[ρ</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w:t>
      </w:r>
      <m:oMath>
        <m:r>
          <w:rPr>
            <w:rFonts w:ascii="Cambria Math" w:hAnsi="Cambria Math" w:cs="Times New Roman"/>
          </w:rPr>
          <m:t>[ρ</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and </w:t>
      </w:r>
      <m:oMath>
        <m:r>
          <w:rPr>
            <w:rFonts w:ascii="Cambria Math" w:hAnsi="Cambria Math" w:cs="Times New Roman"/>
          </w:rPr>
          <m:t>[ρ</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is important because it provides for my suggestion as to whether the different style guides employed by each international news agency (and the resulting manner in which each news agency depicts </w:t>
      </w:r>
      <w:r w:rsidRPr="00BB3D39">
        <w:rPr>
          <w:rFonts w:cs="Times New Roman"/>
        </w:rPr>
        <w:lastRenderedPageBreak/>
        <w:t xml:space="preserve">terrorism) impact any effect that media coverage of terrorism has on international (state) legitimacy. </w:t>
      </w:r>
    </w:p>
    <w:p w14:paraId="4769DF65" w14:textId="77777777" w:rsidR="003B35D8" w:rsidRPr="00BB3D39" w:rsidRDefault="003B35D8" w:rsidP="003B35D8">
      <w:pPr>
        <w:ind w:firstLine="360"/>
        <w:rPr>
          <w:rFonts w:cs="Times New Roman"/>
        </w:rPr>
      </w:pPr>
      <w:r w:rsidRPr="00BB3D39">
        <w:rPr>
          <w:rFonts w:cs="Times New Roman"/>
        </w:rPr>
        <w:t xml:space="preserve">Subsequently, the third element of my MVA involves conducting simple linear regression (SLR) analyses in connection with the Spearman correlations that indicate an association between their composite variables. Put simply, I conduct SLRs in connection with the Spearman correlations described as the first and second of this MVA where the value of </w:t>
      </w:r>
      <m:oMath>
        <m:r>
          <w:rPr>
            <w:rFonts w:ascii="Cambria Math" w:hAnsi="Cambria Math" w:cs="Times New Roman"/>
          </w:rPr>
          <m:t>ρ</m:t>
        </m:r>
      </m:oMath>
      <w:r w:rsidRPr="00BB3D39">
        <w:rPr>
          <w:rFonts w:cs="Times New Roman"/>
        </w:rPr>
        <w:t xml:space="preserve"> is calculated as greater than 0.2.</w:t>
      </w:r>
      <w:r w:rsidRPr="00BB3D39">
        <w:rPr>
          <w:rStyle w:val="FootnoteReference"/>
          <w:rFonts w:cs="Times New Roman"/>
        </w:rPr>
        <w:footnoteReference w:id="29"/>
      </w:r>
      <w:r w:rsidRPr="00BB3D39">
        <w:rPr>
          <w:rFonts w:cs="Times New Roman"/>
        </w:rPr>
        <w:t xml:space="preserve"> </w:t>
      </w:r>
    </w:p>
    <w:p w14:paraId="56733915" w14:textId="145E5FF1" w:rsidR="00D03C79" w:rsidRPr="00546721" w:rsidRDefault="003B35D8" w:rsidP="00546721">
      <w:pPr>
        <w:ind w:firstLine="360"/>
        <w:rPr>
          <w:rFonts w:cs="Times New Roman"/>
        </w:rPr>
      </w:pPr>
      <w:r w:rsidRPr="00BB3D39">
        <w:rPr>
          <w:rFonts w:cs="Times New Roman"/>
        </w:rPr>
        <w:t>The fourth and final element of my MVA involves the concurrent calculation of the coefficient of determination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r w:rsidRPr="00BB3D39">
        <w:rPr>
          <w:rFonts w:cs="Times New Roman"/>
        </w:rPr>
        <w:t xml:space="preserve">) in connection with </w:t>
      </w:r>
      <m:oMath>
        <m:r>
          <w:rPr>
            <w:rFonts w:ascii="Cambria Math" w:hAnsi="Cambria Math" w:cs="Times New Roman"/>
          </w:rPr>
          <m:t>[SLR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w:t>
      </w:r>
      <m:oMath>
        <m:r>
          <w:rPr>
            <w:rFonts w:ascii="Cambria Math" w:hAnsi="Cambria Math" w:cs="Times New Roman"/>
          </w:rPr>
          <m:t>[SLR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and </w:t>
      </w:r>
      <m:oMath>
        <m:r>
          <w:rPr>
            <w:rFonts w:ascii="Cambria Math" w:hAnsi="Cambria Math" w:cs="Times New Roman"/>
          </w:rPr>
          <m:t>[SLR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w:t>
      </w:r>
      <w:r w:rsidRPr="00BB3D39">
        <w:rPr>
          <w:rStyle w:val="FootnoteReference"/>
          <w:rFonts w:cs="Times New Roman"/>
        </w:rPr>
        <w:footnoteReference w:id="30"/>
      </w:r>
      <w:r w:rsidRPr="00BB3D39">
        <w:rPr>
          <w:rFonts w:cs="Times New Roman"/>
        </w:rPr>
        <w:t xml:space="preserve"> Calculating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and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is important because it provides for my ability to suggest the precise amount of variance in international (state) legitimacy that can be attributed to a specific measurement of increase or decrease in media coverage of terrorism.</w:t>
      </w:r>
      <w:r w:rsidRPr="00BB3D39">
        <w:rPr>
          <w:rStyle w:val="FootnoteReference"/>
          <w:rFonts w:cs="Times New Roman"/>
        </w:rPr>
        <w:footnoteReference w:id="31"/>
      </w:r>
      <w:r w:rsidRPr="00BB3D39">
        <w:rPr>
          <w:rFonts w:cs="Times New Roman"/>
        </w:rPr>
        <w:t xml:space="preserve"> Conducting these SLRs and concurrently calculating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r w:rsidRPr="00BB3D39">
        <w:rPr>
          <w:rFonts w:cs="Times New Roman"/>
        </w:rPr>
        <w:t xml:space="preserve"> in connection with the same variables is integral to my analysis of whether media coverage of terrorism affects international (state) legitimacy because using known values to model the relationship between international (state) legitimacy and the media coverage of terrorism in this manner allows me to suggest the numerical amount that a specific increase or decrease in the media coverage of terrorism will change international (state) legitimacy.</w:t>
      </w:r>
    </w:p>
    <w:p w14:paraId="3712661E" w14:textId="77777777" w:rsidR="003B35D8" w:rsidRPr="00BB3D39" w:rsidRDefault="003B35D8" w:rsidP="00546721">
      <w:pPr>
        <w:pStyle w:val="DissertationSection2"/>
      </w:pPr>
      <w:bookmarkStart w:id="14" w:name="_Toc175413119"/>
      <w:r w:rsidRPr="00BB3D39">
        <w:t>Control Variables</w:t>
      </w:r>
      <w:bookmarkEnd w:id="14"/>
    </w:p>
    <w:p w14:paraId="57E44C36" w14:textId="77777777" w:rsidR="003B35D8" w:rsidRPr="00BB3D39" w:rsidRDefault="003B35D8" w:rsidP="003B35D8">
      <w:pPr>
        <w:ind w:firstLine="720"/>
        <w:rPr>
          <w:rFonts w:cs="Times New Roman"/>
          <w:iCs/>
        </w:rPr>
      </w:pPr>
      <w:r w:rsidRPr="00BB3D39">
        <w:rPr>
          <w:rFonts w:cs="Times New Roman"/>
        </w:rPr>
        <w:t>I also integrate</w:t>
      </w:r>
      <w:r w:rsidRPr="00BB3D39">
        <w:rPr>
          <w:rFonts w:cs="Times New Roman"/>
          <w:bCs/>
        </w:rPr>
        <w:t xml:space="preserve"> an assortment of control variables in my analysis of the relationship between the media coverage of terrorist activity and (state) legitimacy.</w:t>
      </w:r>
      <w:r>
        <w:rPr>
          <w:rStyle w:val="FootnoteReference"/>
          <w:rFonts w:cs="Times New Roman"/>
          <w:bCs/>
        </w:rPr>
        <w:footnoteReference w:id="32"/>
      </w:r>
      <w:r w:rsidRPr="00BB3D39">
        <w:rPr>
          <w:rFonts w:cs="Times New Roman"/>
          <w:bCs/>
        </w:rPr>
        <w:t xml:space="preserve"> </w:t>
      </w:r>
      <w:r w:rsidRPr="00BB3D39">
        <w:rPr>
          <w:rFonts w:cs="Times New Roman"/>
          <w:iCs/>
        </w:rPr>
        <w:t xml:space="preserve">The rationale behind the variations in the control variables used by this study, on the one hand, and the Masters and </w:t>
      </w:r>
      <w:proofErr w:type="spellStart"/>
      <w:r w:rsidRPr="00BB3D39">
        <w:rPr>
          <w:rFonts w:cs="Times New Roman"/>
          <w:iCs/>
        </w:rPr>
        <w:t>Hoen</w:t>
      </w:r>
      <w:proofErr w:type="spellEnd"/>
      <w:r w:rsidRPr="00BB3D39">
        <w:rPr>
          <w:rFonts w:cs="Times New Roman"/>
          <w:iCs/>
        </w:rPr>
        <w:t xml:space="preserve"> study, on the other, ultimately comes as a result of the key difference between the two: the manner in which each constitutes the legitimacy used in its analysis. While I differentiate between </w:t>
      </w:r>
      <w:r w:rsidRPr="00BB3D39">
        <w:rPr>
          <w:rFonts w:cs="Times New Roman"/>
        </w:rPr>
        <w:t xml:space="preserve">domestic state legitimacy and the legitimacy of the state as an institution in the broader context of the international system, choosing to focus on the latter as its dependent variable, Masters and </w:t>
      </w:r>
      <w:proofErr w:type="spellStart"/>
      <w:r w:rsidRPr="00BB3D39">
        <w:rPr>
          <w:rFonts w:cs="Times New Roman"/>
        </w:rPr>
        <w:t>Hoen</w:t>
      </w:r>
      <w:proofErr w:type="spellEnd"/>
      <w:r w:rsidRPr="00BB3D39">
        <w:rPr>
          <w:rFonts w:cs="Times New Roman"/>
        </w:rPr>
        <w:t xml:space="preserve"> conceptualize legitimacy as relevant to individual states on a more domestic level, evidenced by their breakdown of “the component parts of the legitimacy score[s used…]: security legitimacy, political legitimacy, economic legitimacy, and social legitimacy.”</w:t>
      </w:r>
      <w:r w:rsidRPr="00BB3D39">
        <w:rPr>
          <w:rStyle w:val="FootnoteReference"/>
          <w:rFonts w:cs="Times New Roman"/>
        </w:rPr>
        <w:footnoteReference w:id="33"/>
      </w:r>
      <w:r w:rsidRPr="00BB3D39">
        <w:rPr>
          <w:rFonts w:cs="Times New Roman"/>
        </w:rPr>
        <w:t xml:space="preserve"> To that end, this study omits four (4) of </w:t>
      </w:r>
      <w:r w:rsidRPr="00BB3D39">
        <w:rPr>
          <w:rFonts w:cs="Times New Roman"/>
          <w:iCs/>
        </w:rPr>
        <w:t xml:space="preserve">the control variables used by Masters and </w:t>
      </w:r>
      <w:proofErr w:type="spellStart"/>
      <w:r w:rsidRPr="00BB3D39">
        <w:rPr>
          <w:rFonts w:cs="Times New Roman"/>
          <w:iCs/>
        </w:rPr>
        <w:t>Hoen</w:t>
      </w:r>
      <w:proofErr w:type="spellEnd"/>
      <w:r w:rsidRPr="00BB3D39">
        <w:rPr>
          <w:rFonts w:cs="Times New Roman"/>
          <w:iCs/>
        </w:rPr>
        <w:t xml:space="preserve"> that only apply </w:t>
      </w:r>
      <w:r w:rsidRPr="00BB3D39">
        <w:rPr>
          <w:rFonts w:cs="Times New Roman"/>
          <w:iCs/>
        </w:rPr>
        <w:lastRenderedPageBreak/>
        <w:t xml:space="preserve">when conceptualizing domestic legitimacy: </w:t>
      </w:r>
      <w:r w:rsidRPr="00BB3D39">
        <w:rPr>
          <w:rFonts w:cs="Times New Roman"/>
          <w:i/>
        </w:rPr>
        <w:t>executive constraints</w:t>
      </w:r>
      <w:r w:rsidRPr="00BB3D39">
        <w:rPr>
          <w:rFonts w:cs="Times New Roman"/>
          <w:iCs/>
        </w:rPr>
        <w:t xml:space="preserve"> and </w:t>
      </w:r>
      <w:r w:rsidRPr="00BB3D39">
        <w:rPr>
          <w:rFonts w:cs="Times New Roman"/>
          <w:i/>
        </w:rPr>
        <w:t>political competition</w:t>
      </w:r>
      <w:r w:rsidRPr="00BB3D39">
        <w:rPr>
          <w:rFonts w:cs="Times New Roman"/>
          <w:iCs/>
        </w:rPr>
        <w:t xml:space="preserve"> (the two variables that constitute </w:t>
      </w:r>
      <w:r w:rsidRPr="00BB3D39">
        <w:rPr>
          <w:rFonts w:cs="Times New Roman"/>
          <w:i/>
        </w:rPr>
        <w:t>regime type</w:t>
      </w:r>
      <w:r w:rsidRPr="00BB3D39">
        <w:rPr>
          <w:rFonts w:cs="Times New Roman"/>
          <w:iCs/>
        </w:rPr>
        <w:t xml:space="preserve">), </w:t>
      </w:r>
      <w:r w:rsidRPr="00BB3D39">
        <w:rPr>
          <w:rFonts w:cs="Times New Roman"/>
          <w:i/>
        </w:rPr>
        <w:t>durability</w:t>
      </w:r>
      <w:r w:rsidRPr="00BB3D39">
        <w:rPr>
          <w:rFonts w:cs="Times New Roman"/>
          <w:iCs/>
        </w:rPr>
        <w:t xml:space="preserve"> and </w:t>
      </w:r>
      <w:r w:rsidRPr="00BB3D39">
        <w:rPr>
          <w:rFonts w:cs="Times New Roman"/>
          <w:i/>
        </w:rPr>
        <w:t>ethnic fragmentation</w:t>
      </w:r>
      <w:r w:rsidRPr="00BB3D39">
        <w:rPr>
          <w:rFonts w:cs="Times New Roman"/>
          <w:iCs/>
        </w:rPr>
        <w:t>.</w:t>
      </w:r>
      <w:r w:rsidRPr="00BB3D39">
        <w:rPr>
          <w:rStyle w:val="FootnoteReference"/>
          <w:rFonts w:cs="Times New Roman"/>
          <w:iCs/>
        </w:rPr>
        <w:footnoteReference w:id="34"/>
      </w:r>
    </w:p>
    <w:p w14:paraId="6C4CA01C" w14:textId="77777777" w:rsidR="003B35D8" w:rsidRPr="00BB3D39" w:rsidRDefault="003B35D8" w:rsidP="003B35D8">
      <w:pPr>
        <w:ind w:firstLine="720"/>
        <w:rPr>
          <w:rFonts w:cs="Times New Roman"/>
          <w:bCs/>
        </w:rPr>
      </w:pPr>
      <w:r w:rsidRPr="00BB3D39">
        <w:rPr>
          <w:rFonts w:cs="Times New Roman"/>
          <w:bCs/>
        </w:rPr>
        <w:t xml:space="preserve">Notwithstanding, while adjusted to reflect the systemic nature of the legitimacy measured and analyzed in this study, the control variables used largely correlate with the control variables employed by the 2012 Masters and </w:t>
      </w:r>
      <w:proofErr w:type="spellStart"/>
      <w:r w:rsidRPr="00BB3D39">
        <w:rPr>
          <w:rFonts w:cs="Times New Roman"/>
          <w:bCs/>
        </w:rPr>
        <w:t>Hoen</w:t>
      </w:r>
      <w:proofErr w:type="spellEnd"/>
      <w:r w:rsidRPr="00BB3D39">
        <w:rPr>
          <w:rFonts w:cs="Times New Roman"/>
          <w:bCs/>
        </w:rPr>
        <w:t xml:space="preserve"> study. As in the Masters and </w:t>
      </w:r>
      <w:proofErr w:type="spellStart"/>
      <w:r w:rsidRPr="00BB3D39">
        <w:rPr>
          <w:rFonts w:cs="Times New Roman"/>
          <w:bCs/>
        </w:rPr>
        <w:t>Hoen</w:t>
      </w:r>
      <w:proofErr w:type="spellEnd"/>
      <w:r w:rsidRPr="00BB3D39">
        <w:rPr>
          <w:rFonts w:cs="Times New Roman"/>
          <w:bCs/>
        </w:rPr>
        <w:t xml:space="preserve"> study, the </w:t>
      </w:r>
      <w:r w:rsidRPr="00BB3D39">
        <w:rPr>
          <w:rFonts w:cs="Times New Roman"/>
          <w:bCs/>
          <w:i/>
          <w:iCs/>
        </w:rPr>
        <w:t>history of terrorism</w:t>
      </w:r>
      <w:r w:rsidRPr="00BB3D39">
        <w:rPr>
          <w:rFonts w:cs="Times New Roman"/>
          <w:bCs/>
        </w:rPr>
        <w:t xml:space="preserve"> variable is construed an important predictor of terrorist activity because “current levels of terrorism are a function of past terrorist activity… [because] terrorist organizations build over time.”</w:t>
      </w:r>
      <w:r w:rsidRPr="00BB3D39">
        <w:rPr>
          <w:rStyle w:val="FootnoteReference"/>
          <w:rFonts w:cs="Times New Roman"/>
          <w:bCs/>
        </w:rPr>
        <w:footnoteReference w:id="35"/>
      </w:r>
      <w:r w:rsidRPr="00BB3D39">
        <w:rPr>
          <w:rFonts w:cs="Times New Roman"/>
          <w:bCs/>
        </w:rPr>
        <w:t xml:space="preserve"> This study relies on data from the </w:t>
      </w:r>
      <w:r w:rsidRPr="00BB3D39">
        <w:rPr>
          <w:rFonts w:eastAsia="Times New Roman" w:cs="Times New Roman"/>
          <w:shd w:val="clear" w:color="auto" w:fill="FFFFFF"/>
        </w:rPr>
        <w:t>Global Terrorism Database (GTD), which defines a terrorist attack as “</w:t>
      </w:r>
      <w:r w:rsidRPr="00BB3D39">
        <w:rPr>
          <w:rFonts w:eastAsia="Times New Roman" w:cs="Times New Roman"/>
          <w:bdr w:val="none" w:sz="0" w:space="0" w:color="auto" w:frame="1"/>
        </w:rPr>
        <w:t>the threatened or actual use of illegal force and violence by a non‐state actor to attain a political, economic, religious, or social goal through fear, coercion, or intimidation,”</w:t>
      </w:r>
      <w:r w:rsidRPr="00BB3D39">
        <w:rPr>
          <w:rFonts w:eastAsia="Times New Roman" w:cs="Times New Roman"/>
          <w:shd w:val="clear" w:color="auto" w:fill="FFFFFF"/>
        </w:rPr>
        <w:t xml:space="preserve"> to quantify the history of terrorism as a control variable.</w:t>
      </w:r>
      <w:r w:rsidRPr="00BB3D39">
        <w:rPr>
          <w:rStyle w:val="FootnoteReference"/>
          <w:rFonts w:eastAsia="Times New Roman" w:cs="Times New Roman"/>
          <w:bdr w:val="none" w:sz="0" w:space="0" w:color="auto" w:frame="1"/>
        </w:rPr>
        <w:footnoteReference w:id="36"/>
      </w:r>
      <w:r w:rsidRPr="00BB3D39">
        <w:rPr>
          <w:rFonts w:eastAsia="Times New Roman" w:cs="Times New Roman"/>
          <w:bdr w:val="none" w:sz="0" w:space="0" w:color="auto" w:frame="1"/>
        </w:rPr>
        <w:t xml:space="preserve"> </w:t>
      </w:r>
      <w:r w:rsidRPr="00BB3D39">
        <w:rPr>
          <w:rFonts w:cs="Times New Roman"/>
        </w:rPr>
        <w:t>The GTD’s widespread recognition as “the most comprehensive database on terrorist events around the world from 1970 [onwards]” is the rationale underlying this study’s reliance on data from the GTD in quantifying the history of terrorism as a control variable.</w:t>
      </w:r>
      <w:r w:rsidRPr="00BB3D39">
        <w:rPr>
          <w:rStyle w:val="FootnoteReference"/>
          <w:rFonts w:cs="Times New Roman"/>
        </w:rPr>
        <w:footnoteReference w:id="37"/>
      </w:r>
      <w:r w:rsidRPr="00BB3D39">
        <w:rPr>
          <w:rFonts w:cs="Times New Roman"/>
        </w:rPr>
        <w:t xml:space="preserve"> To that end, this study uses GTD data to enumerate how many terrorist attacks were perpetrated in the annual period that comprises up to the day prior to the date associated with the relevant dependent variable data point.</w:t>
      </w:r>
      <w:r w:rsidRPr="00BB3D39">
        <w:rPr>
          <w:rStyle w:val="FootnoteReference"/>
          <w:rFonts w:cs="Times New Roman"/>
        </w:rPr>
        <w:footnoteReference w:id="38"/>
      </w:r>
    </w:p>
    <w:p w14:paraId="442D77CB" w14:textId="19E0D334" w:rsidR="00CC3E9B" w:rsidRPr="00546721" w:rsidRDefault="003B35D8" w:rsidP="003B35D8">
      <w:pPr>
        <w:rPr>
          <w:rFonts w:cs="Times New Roman"/>
          <w:bCs/>
        </w:rPr>
      </w:pPr>
      <w:r w:rsidRPr="00BB3D39">
        <w:rPr>
          <w:rFonts w:cs="Times New Roman"/>
          <w:bCs/>
        </w:rPr>
        <w:tab/>
        <w:t xml:space="preserve">The other control variables used in this study include capability, </w:t>
      </w:r>
      <w:r w:rsidR="00542581" w:rsidRPr="00BB3D39">
        <w:rPr>
          <w:rFonts w:cs="Times New Roman"/>
          <w:bCs/>
        </w:rPr>
        <w:t>population,</w:t>
      </w:r>
      <w:r w:rsidRPr="00BB3D39">
        <w:rPr>
          <w:rFonts w:cs="Times New Roman"/>
          <w:bCs/>
        </w:rPr>
        <w:t xml:space="preserve"> and income. As in the Masters and </w:t>
      </w:r>
      <w:proofErr w:type="spellStart"/>
      <w:r w:rsidRPr="00BB3D39">
        <w:rPr>
          <w:rFonts w:cs="Times New Roman"/>
          <w:bCs/>
        </w:rPr>
        <w:t>Hoen</w:t>
      </w:r>
      <w:proofErr w:type="spellEnd"/>
      <w:r w:rsidRPr="00BB3D39">
        <w:rPr>
          <w:rFonts w:cs="Times New Roman"/>
          <w:bCs/>
        </w:rPr>
        <w:t xml:space="preserve"> study, the </w:t>
      </w:r>
      <w:r w:rsidRPr="00BB3D39">
        <w:rPr>
          <w:rFonts w:cs="Times New Roman"/>
          <w:bCs/>
          <w:i/>
          <w:iCs/>
        </w:rPr>
        <w:t>capability</w:t>
      </w:r>
      <w:r w:rsidRPr="00BB3D39">
        <w:rPr>
          <w:rFonts w:cs="Times New Roman"/>
          <w:bCs/>
        </w:rPr>
        <w:t xml:space="preserve"> variable relates to the strength of the governing body (the United Nations apparatus, in the context of this study). This study, however, diverges from the Masters and </w:t>
      </w:r>
      <w:proofErr w:type="spellStart"/>
      <w:r w:rsidRPr="00BB3D39">
        <w:rPr>
          <w:rFonts w:cs="Times New Roman"/>
          <w:bCs/>
        </w:rPr>
        <w:t>Hoen</w:t>
      </w:r>
      <w:proofErr w:type="spellEnd"/>
      <w:r w:rsidRPr="00BB3D39">
        <w:rPr>
          <w:rFonts w:cs="Times New Roman"/>
          <w:bCs/>
        </w:rPr>
        <w:t xml:space="preserve"> study by incorporating a separate control variable to account for an additional dimension of the </w:t>
      </w:r>
      <w:r w:rsidRPr="00BB3D39">
        <w:rPr>
          <w:rFonts w:cs="Times New Roman"/>
          <w:bCs/>
          <w:i/>
          <w:iCs/>
        </w:rPr>
        <w:t>capability</w:t>
      </w:r>
      <w:r w:rsidRPr="00BB3D39">
        <w:rPr>
          <w:rFonts w:cs="Times New Roman"/>
          <w:bCs/>
        </w:rPr>
        <w:t xml:space="preserve"> variable. </w:t>
      </w:r>
      <w:r w:rsidR="0040643E">
        <w:rPr>
          <w:rFonts w:cs="Times New Roman"/>
          <w:bCs/>
        </w:rPr>
        <w:t>F</w:t>
      </w:r>
      <w:r w:rsidR="0040643E" w:rsidRPr="0040643E">
        <w:rPr>
          <w:rFonts w:cs="Times New Roman"/>
          <w:bCs/>
        </w:rPr>
        <w:t xml:space="preserve">or the purposes of this study, I operationalize capability along two dimensions: the total value of the annual UN budget, and the number of UN member states that meet their required contribution to the UN budget each year (out of a possible 193 countries). This is because, like Masters and </w:t>
      </w:r>
      <w:proofErr w:type="spellStart"/>
      <w:r w:rsidR="0040643E" w:rsidRPr="0040643E">
        <w:rPr>
          <w:rFonts w:cs="Times New Roman"/>
          <w:bCs/>
        </w:rPr>
        <w:t>Hoen</w:t>
      </w:r>
      <w:proofErr w:type="spellEnd"/>
      <w:r w:rsidR="0040643E" w:rsidRPr="0040643E">
        <w:rPr>
          <w:rFonts w:cs="Times New Roman"/>
          <w:bCs/>
        </w:rPr>
        <w:t>, I relate the capability variable to the strength of the governing body. In this context, I rely on traditional realist, liberal, and – in particular – English School notions of the state as the actor of consequence to the conduct of international relations to constitute that body the United Nations apparatus.</w:t>
      </w:r>
      <w:r w:rsidR="00AC35F3">
        <w:rPr>
          <w:rStyle w:val="FootnoteReference"/>
          <w:rFonts w:cs="Times New Roman"/>
          <w:bCs/>
        </w:rPr>
        <w:footnoteReference w:id="39"/>
      </w:r>
      <w:r w:rsidR="0040643E">
        <w:rPr>
          <w:rFonts w:cs="Times New Roman"/>
          <w:bCs/>
        </w:rPr>
        <w:t xml:space="preserve"> </w:t>
      </w:r>
      <w:r w:rsidRPr="00BB3D39">
        <w:rPr>
          <w:rFonts w:cs="Times New Roman"/>
          <w:bCs/>
          <w:i/>
          <w:iCs/>
        </w:rPr>
        <w:t>Population</w:t>
      </w:r>
      <w:r w:rsidRPr="00BB3D39">
        <w:rPr>
          <w:rFonts w:cs="Times New Roman"/>
          <w:bCs/>
        </w:rPr>
        <w:t xml:space="preserve"> is </w:t>
      </w:r>
      <w:r w:rsidRPr="00BB3D39">
        <w:rPr>
          <w:rFonts w:cs="Times New Roman"/>
          <w:bCs/>
        </w:rPr>
        <w:lastRenderedPageBreak/>
        <w:t xml:space="preserve">quantified on the basis of open-source data enumerating the global population taken from the United Nations Department of Economic and Social Affairs. Similarly, the </w:t>
      </w:r>
      <w:r w:rsidRPr="00BB3D39">
        <w:rPr>
          <w:rFonts w:cs="Times New Roman"/>
          <w:bCs/>
          <w:i/>
          <w:iCs/>
        </w:rPr>
        <w:t>income</w:t>
      </w:r>
      <w:r w:rsidRPr="00BB3D39">
        <w:rPr>
          <w:rFonts w:cs="Times New Roman"/>
          <w:bCs/>
        </w:rPr>
        <w:t xml:space="preserve"> control variable is calculated on the basis of the gross world product (GWP) statistics taken from the International Monetary Fund’s World Economic Outlook database.</w:t>
      </w:r>
    </w:p>
    <w:p w14:paraId="7826FD96" w14:textId="77777777" w:rsidR="003B35D8" w:rsidRPr="00BB3D39" w:rsidRDefault="003B35D8" w:rsidP="00787123">
      <w:pPr>
        <w:pStyle w:val="DissertationSection1"/>
      </w:pPr>
      <w:bookmarkStart w:id="15" w:name="_Toc175413120"/>
      <w:r w:rsidRPr="00BB3D39">
        <w:t>Chapter 7’s Mixed-Methods Research Design</w:t>
      </w:r>
      <w:bookmarkEnd w:id="15"/>
    </w:p>
    <w:p w14:paraId="0ADB4940" w14:textId="77777777" w:rsidR="003B35D8" w:rsidRPr="00BB3D39" w:rsidRDefault="003B35D8" w:rsidP="003B35D8">
      <w:pPr>
        <w:ind w:firstLine="720"/>
        <w:rPr>
          <w:rFonts w:cs="Times New Roman"/>
        </w:rPr>
      </w:pPr>
      <w:r w:rsidRPr="00BB3D39">
        <w:rPr>
          <w:rFonts w:cs="Times New Roman"/>
        </w:rPr>
        <w:t xml:space="preserve">In Chapter 7, I build on my Chapter 6 suggestion that media coverage of terrorism decreases (state) legitimacy to discuss </w:t>
      </w:r>
      <w:r w:rsidRPr="00BB3D39">
        <w:rPr>
          <w:rFonts w:cs="Times New Roman"/>
          <w:i/>
          <w:iCs/>
        </w:rPr>
        <w:t>how</w:t>
      </w:r>
      <w:r w:rsidRPr="00BB3D39">
        <w:rPr>
          <w:rFonts w:cs="Times New Roman"/>
        </w:rPr>
        <w:t xml:space="preserve"> this occurs. Accordingly, Chapter 7 interrogates the following research question:</w:t>
      </w:r>
    </w:p>
    <w:p w14:paraId="1995C324" w14:textId="77777777" w:rsidR="003B35D8" w:rsidRPr="00BB3D39" w:rsidRDefault="00000000" w:rsidP="003B35D8">
      <w:pPr>
        <w:ind w:firstLine="720"/>
        <w:rPr>
          <w:rFonts w:cs="Times New Roman"/>
        </w:rPr>
      </w:pPr>
      <m:oMath>
        <m:sSub>
          <m:sSubPr>
            <m:ctrlPr>
              <w:rPr>
                <w:rFonts w:ascii="Cambria Math" w:hAnsi="Cambria Math" w:cs="Times New Roman"/>
                <w:i/>
              </w:rPr>
            </m:ctrlPr>
          </m:sSubPr>
          <m:e>
            <m:r>
              <w:rPr>
                <w:rFonts w:ascii="Cambria Math" w:hAnsi="Cambria Math" w:cs="Times New Roman"/>
              </w:rPr>
              <m:t>RQ</m:t>
            </m:r>
          </m:e>
          <m:sub>
            <m:r>
              <w:rPr>
                <w:rFonts w:ascii="Cambria Math" w:hAnsi="Cambria Math" w:cs="Times New Roman"/>
              </w:rPr>
              <m:t>2</m:t>
            </m:r>
          </m:sub>
        </m:sSub>
      </m:oMath>
      <w:r w:rsidR="003B35D8" w:rsidRPr="00BB3D39">
        <w:rPr>
          <w:rFonts w:cs="Times New Roman"/>
        </w:rPr>
        <w:t>: How does media coverage of terrorism affect international (state) legitimacy?</w:t>
      </w:r>
    </w:p>
    <w:p w14:paraId="68B587B7" w14:textId="710B5FE9" w:rsidR="00546721" w:rsidRPr="00CB67A7" w:rsidRDefault="003B35D8" w:rsidP="00CB67A7">
      <w:pPr>
        <w:rPr>
          <w:rFonts w:cs="Times New Roman"/>
        </w:rPr>
      </w:pPr>
      <w:r w:rsidRPr="00BB3D39">
        <w:rPr>
          <w:rFonts w:cs="Times New Roman"/>
        </w:rPr>
        <w:t xml:space="preserve">Answering this question involves integrating quantitative and qualitative research methods. More specifically, I use quantitative methods to identify the specific high coverage and low coverage dates that are the focus of my qualitative analysis of how media coverage frames terrorism. This involves employing basic methods of statistical analysis to determine the length of the average news cycle. (That is, the number of days that it takes media coverage of terrorism to return to its normal (average) frequency after a terrorist attack occurs.) I also use quantitative statistical methods to identify </w:t>
      </w:r>
      <w:r w:rsidR="00542581">
        <w:rPr>
          <w:rFonts w:cs="Times New Roman"/>
        </w:rPr>
        <w:t xml:space="preserve">and </w:t>
      </w:r>
      <w:r w:rsidRPr="00BB3D39">
        <w:rPr>
          <w:rFonts w:cs="Times New Roman"/>
        </w:rPr>
        <w:t>detect instances of bias in the media coverage of terrorism on the identified dates. (Each instance of bias identified using these approaches is subsequently manually verified.) Finally, I use critical discourse analysis (CDA) approaches to examine the different ways that media coverage of terrorism both explicitly and implicitly describes terrorism. To that end, I contextualize my employ of CDA using media framing approaches that emphasize the effects that perceptions, biases, and pre-existing knowledge play in influencing information that is conveyed through the text of written media.</w:t>
      </w:r>
    </w:p>
    <w:p w14:paraId="249CF82C" w14:textId="1D588A12" w:rsidR="003B35D8" w:rsidRPr="00BB3D39" w:rsidRDefault="003B35D8" w:rsidP="00546721">
      <w:pPr>
        <w:pStyle w:val="DissertationSection2"/>
      </w:pPr>
      <w:bookmarkStart w:id="16" w:name="_Toc175413121"/>
      <w:r w:rsidRPr="00BB3D39">
        <w:t>Quantitative Methodology (Statistical Analysis)</w:t>
      </w:r>
      <w:bookmarkEnd w:id="16"/>
    </w:p>
    <w:p w14:paraId="34E9658F" w14:textId="77777777" w:rsidR="003B35D8" w:rsidRPr="00BB3D39" w:rsidRDefault="003B35D8" w:rsidP="003B35D8">
      <w:pPr>
        <w:pStyle w:val="NormalWeb"/>
        <w:spacing w:before="0" w:beforeAutospacing="0" w:after="120" w:afterAutospacing="0"/>
      </w:pPr>
      <w:r w:rsidRPr="00BB3D39">
        <w:tab/>
        <w:t xml:space="preserve">Within the larger sampling frame constituted by the media coverage of terrorism from January 1, 2012 to December 31, 2018, my qualitative analysis focuses on seven </w:t>
      </w:r>
      <w:r w:rsidRPr="00BB3D39">
        <w:rPr>
          <w:i/>
          <w:iCs/>
        </w:rPr>
        <w:t>high coverage</w:t>
      </w:r>
      <w:r w:rsidRPr="00BB3D39">
        <w:t xml:space="preserve"> dates and 35 </w:t>
      </w:r>
      <w:r w:rsidRPr="00BB3D39">
        <w:rPr>
          <w:i/>
          <w:iCs/>
        </w:rPr>
        <w:t>low coverage</w:t>
      </w:r>
      <w:r w:rsidRPr="00BB3D39">
        <w:t xml:space="preserve"> dates.</w:t>
      </w:r>
      <w:r w:rsidRPr="00BB3D39">
        <w:rPr>
          <w:rStyle w:val="FootnoteReference"/>
        </w:rPr>
        <w:footnoteReference w:id="40"/>
      </w:r>
      <w:r w:rsidRPr="00BB3D39">
        <w:t xml:space="preserve"> My analysis focuses on these dates because they constitute points of high deviation (outliers) in the context of this study’s overall sampling frame. Put simply, the newswire coverage of terrorism produced on these days stands out from the 2,557 days of coverage that this dissertation examines. On high coverage dates, the three international news agencies produced larger amounts of coverage relative to the amount of terrorism perpetrated internationally on the immediately preceding days. Conversely, on low coverage dates, the same three international news agencies produced smaller volumes of coverage relative to the amount of terrorism perpetrated internationally on the immediately preceding days.</w:t>
      </w:r>
    </w:p>
    <w:p w14:paraId="236FA6F7" w14:textId="77777777" w:rsidR="00CB67A7" w:rsidRDefault="003B35D8" w:rsidP="00CB67A7">
      <w:pPr>
        <w:pStyle w:val="NormalWeb"/>
        <w:spacing w:before="0" w:beforeAutospacing="0" w:after="120" w:afterAutospacing="0"/>
        <w:ind w:firstLine="720"/>
      </w:pPr>
      <w:r w:rsidRPr="00BB3D39">
        <w:t xml:space="preserve">To identify high coverage and low coverage dates, I first determine the length of the news cycle, in relation to the media coverage of terrorism. To that end, I calculate the number of </w:t>
      </w:r>
      <w:r w:rsidR="00F74D09">
        <w:t>media</w:t>
      </w:r>
      <w:r w:rsidRPr="00BB3D39">
        <w:t xml:space="preserve"> bulletins that constitute media coverage of terrorism produced for each of the 2,557 days </w:t>
      </w:r>
      <w:r w:rsidRPr="00BB3D39">
        <w:lastRenderedPageBreak/>
        <w:t>between January 1, 2012 and December 31, 2018. Concurrently, I derive the number of terrorist attacks perpetrated each day for these same 2,557 days from GTD data. Then, I use the resulting sets of statistics to compute a ratio describing the relationship between the quantity of media coverage of terrorism produced on a given date, and the number of terrorist attacks perpetrated on that same date. Next, I calculate the statistical mean, the standard deviation (</w:t>
      </w:r>
      <m:oMath>
        <m:r>
          <w:rPr>
            <w:rFonts w:ascii="Cambria Math" w:hAnsi="Cambria Math"/>
          </w:rPr>
          <m:t>s</m:t>
        </m:r>
      </m:oMath>
      <w:r w:rsidRPr="00BB3D39">
        <w:t xml:space="preserve">), and the </w:t>
      </w:r>
      <m:oMath>
        <m:r>
          <w:rPr>
            <w:rFonts w:ascii="Cambria Math" w:hAnsi="Cambria Math"/>
          </w:rPr>
          <m:t>t</m:t>
        </m:r>
      </m:oMath>
      <w:r w:rsidRPr="00BB3D39">
        <w:t>-scores associated with this data.</w:t>
      </w:r>
      <w:r w:rsidRPr="00BB3D39">
        <w:rPr>
          <w:rStyle w:val="FootnoteReference"/>
        </w:rPr>
        <w:footnoteReference w:id="41"/>
      </w:r>
      <w:r w:rsidRPr="00BB3D39">
        <w:t xml:space="preserve"> Given that international news agencies begin to produce </w:t>
      </w:r>
      <w:r w:rsidR="00F74D09">
        <w:t xml:space="preserve">media </w:t>
      </w:r>
      <w:r w:rsidRPr="00BB3D39">
        <w:t xml:space="preserve">bulletins immediately after they are informed that a terrorist attack has occurred, I deduce the length of the average news cycle precipitated by terrorism based on the number of days that it takes for the </w:t>
      </w:r>
      <m:oMath>
        <m:r>
          <w:rPr>
            <w:rFonts w:ascii="Cambria Math" w:hAnsi="Cambria Math"/>
          </w:rPr>
          <m:t>t</m:t>
        </m:r>
      </m:oMath>
      <w:r w:rsidRPr="00BB3D39">
        <w:t>-score of the data to return to zero. Put simply, the length of the news cycle (as it pertains to the media coverage of terrorism) is the number of days that it takes for the volume of media coverage of terrorism to return to an average level after a notable increase in the frequency of terrorist attacks occurs.</w:t>
      </w:r>
      <w:r w:rsidRPr="00BB3D39">
        <w:tab/>
      </w:r>
    </w:p>
    <w:p w14:paraId="13290944" w14:textId="25C67F75" w:rsidR="00D03C79" w:rsidRPr="00BB3D39" w:rsidRDefault="003B35D8" w:rsidP="00CB67A7">
      <w:pPr>
        <w:pStyle w:val="NormalWeb"/>
        <w:spacing w:before="0" w:beforeAutospacing="0" w:after="120" w:afterAutospacing="0"/>
        <w:ind w:firstLine="720"/>
      </w:pPr>
      <w:r w:rsidRPr="00BB3D39">
        <w:t xml:space="preserve">After determining the length of the (terrorism) news cycle, I reformulate my data accordingly, tabulating the number of </w:t>
      </w:r>
      <w:r w:rsidR="00F74D09">
        <w:t>media</w:t>
      </w:r>
      <w:r w:rsidRPr="00BB3D39">
        <w:t xml:space="preserve"> bulletins about terrorism published for each news cycle. I adjust my data on the number of terrorist attacks perpetrated in a similar manner (by calculating the number of attacks perpetrated per news cycle, instead of per day). Then, I compute a ratio describing the relationship between the quantity of media coverage of terrorism produced in a given news cycle, and the number of terrorist attacks perpetrated in that same news cycle. Next, I calculate the statistical mean, the standard deviation (</w:t>
      </w:r>
      <m:oMath>
        <m:r>
          <w:rPr>
            <w:rFonts w:ascii="Cambria Math" w:hAnsi="Cambria Math"/>
          </w:rPr>
          <m:t>s</m:t>
        </m:r>
      </m:oMath>
      <w:r w:rsidRPr="00BB3D39">
        <w:t xml:space="preserve">), and the </w:t>
      </w:r>
      <m:oMath>
        <m:r>
          <w:rPr>
            <w:rFonts w:ascii="Cambria Math" w:hAnsi="Cambria Math"/>
          </w:rPr>
          <m:t>t</m:t>
        </m:r>
      </m:oMath>
      <w:r w:rsidRPr="00BB3D39">
        <w:t xml:space="preserve">-scores associated with this data. I classify the final dates corresponding to news cycles with </w:t>
      </w:r>
      <m:oMath>
        <m:r>
          <w:rPr>
            <w:rFonts w:ascii="Cambria Math" w:hAnsi="Cambria Math"/>
          </w:rPr>
          <m:t>t</m:t>
        </m:r>
      </m:oMath>
      <w:r w:rsidRPr="00BB3D39">
        <w:t xml:space="preserve">-scores greater than 5.25 ‘high coverage dates,’ and the final dates corresponding to news cycles with </w:t>
      </w:r>
      <m:oMath>
        <m:r>
          <w:rPr>
            <w:rFonts w:ascii="Cambria Math" w:hAnsi="Cambria Math"/>
          </w:rPr>
          <m:t>t</m:t>
        </m:r>
      </m:oMath>
      <w:r w:rsidRPr="00BB3D39">
        <w:t>-scores of less than 1.37 ‘low coverage dates.’</w:t>
      </w:r>
    </w:p>
    <w:p w14:paraId="130B22A9" w14:textId="77777777" w:rsidR="003B35D8" w:rsidRPr="00BB3D39" w:rsidRDefault="003B35D8" w:rsidP="00E13D63">
      <w:pPr>
        <w:pStyle w:val="DissertationSection3"/>
      </w:pPr>
      <w:bookmarkStart w:id="17" w:name="_Toc175413122"/>
      <w:r w:rsidRPr="00BB3D39">
        <w:t>Identifying Bias</w:t>
      </w:r>
      <w:bookmarkEnd w:id="17"/>
    </w:p>
    <w:p w14:paraId="2D3D6A3D" w14:textId="4CE842AD" w:rsidR="003B35D8" w:rsidRPr="00BB3D39" w:rsidRDefault="003B35D8" w:rsidP="003B35D8">
      <w:pPr>
        <w:rPr>
          <w:rFonts w:cs="Times New Roman"/>
        </w:rPr>
      </w:pPr>
      <w:r w:rsidRPr="00BB3D39">
        <w:rPr>
          <w:rFonts w:cs="Times New Roman"/>
        </w:rPr>
        <w:tab/>
        <w:t xml:space="preserve">After identifying the high coverage and low coverage dates associated with my sampling frame, I eliminate </w:t>
      </w:r>
      <w:r w:rsidR="00F74D09">
        <w:rPr>
          <w:rFonts w:cs="Times New Roman"/>
        </w:rPr>
        <w:t>media</w:t>
      </w:r>
      <w:r w:rsidRPr="00BB3D39">
        <w:rPr>
          <w:rFonts w:cs="Times New Roman"/>
        </w:rPr>
        <w:t xml:space="preserve"> bulletins that present with a greater than 90% similarity to others included in my sample. Here, I use the </w:t>
      </w:r>
      <w:proofErr w:type="spellStart"/>
      <w:r w:rsidRPr="00BB3D39">
        <w:rPr>
          <w:rFonts w:cs="Times New Roman"/>
        </w:rPr>
        <w:t>Provalis</w:t>
      </w:r>
      <w:proofErr w:type="spellEnd"/>
      <w:r w:rsidRPr="00BB3D39">
        <w:rPr>
          <w:rFonts w:cs="Times New Roman"/>
        </w:rPr>
        <w:t xml:space="preserve"> Research’s </w:t>
      </w:r>
      <w:proofErr w:type="spellStart"/>
      <w:r w:rsidRPr="00BB3D39">
        <w:rPr>
          <w:rFonts w:cs="Times New Roman"/>
        </w:rPr>
        <w:t>QDAMiner</w:t>
      </w:r>
      <w:proofErr w:type="spellEnd"/>
      <w:r w:rsidRPr="00BB3D39">
        <w:rPr>
          <w:rFonts w:cs="Times New Roman"/>
        </w:rPr>
        <w:t xml:space="preserve"> software, engaging its code similarity command to calculate similarity index.</w:t>
      </w:r>
      <w:r w:rsidRPr="00BB3D39">
        <w:rPr>
          <w:rStyle w:val="FootnoteReference"/>
          <w:rFonts w:cs="Times New Roman"/>
        </w:rPr>
        <w:footnoteReference w:id="42"/>
      </w:r>
      <w:r w:rsidRPr="00BB3D39">
        <w:rPr>
          <w:rFonts w:cs="Times New Roman"/>
        </w:rPr>
        <w:t xml:space="preserve"> (In the context of this research, I also use </w:t>
      </w:r>
      <w:proofErr w:type="spellStart"/>
      <w:r w:rsidRPr="00BB3D39">
        <w:rPr>
          <w:rFonts w:cs="Times New Roman"/>
        </w:rPr>
        <w:t>QDAMiner</w:t>
      </w:r>
      <w:proofErr w:type="spellEnd"/>
      <w:r w:rsidRPr="00BB3D39">
        <w:rPr>
          <w:rFonts w:cs="Times New Roman"/>
        </w:rPr>
        <w:t xml:space="preserve"> to manually code recurrent media frames identified through qualitative analysis.) Then, I use the </w:t>
      </w:r>
      <w:proofErr w:type="spellStart"/>
      <w:r w:rsidRPr="00BB3D39">
        <w:rPr>
          <w:rFonts w:cs="Times New Roman"/>
        </w:rPr>
        <w:t>WordStat</w:t>
      </w:r>
      <w:proofErr w:type="spellEnd"/>
      <w:r w:rsidRPr="00BB3D39">
        <w:rPr>
          <w:rFonts w:cs="Times New Roman"/>
        </w:rPr>
        <w:t xml:space="preserve"> software, also developed by </w:t>
      </w:r>
      <w:proofErr w:type="spellStart"/>
      <w:r w:rsidRPr="00BB3D39">
        <w:rPr>
          <w:rFonts w:cs="Times New Roman"/>
        </w:rPr>
        <w:t>Provalis</w:t>
      </w:r>
      <w:proofErr w:type="spellEnd"/>
      <w:r w:rsidRPr="00BB3D39">
        <w:rPr>
          <w:rFonts w:cs="Times New Roman"/>
        </w:rPr>
        <w:t xml:space="preserve"> Research, to code the instances of bias present in the coverage of terrorism produced on these </w:t>
      </w:r>
      <w:r w:rsidR="00542581" w:rsidRPr="00BB3D39">
        <w:rPr>
          <w:rFonts w:cs="Times New Roman"/>
        </w:rPr>
        <w:t>dates and</w:t>
      </w:r>
      <w:r w:rsidRPr="00BB3D39">
        <w:rPr>
          <w:rFonts w:cs="Times New Roman"/>
        </w:rPr>
        <w:t xml:space="preserve"> calculate their frequencies and the frequencies with which they co-occur with one another.</w:t>
      </w:r>
      <w:r w:rsidRPr="00BB3D39">
        <w:rPr>
          <w:rStyle w:val="FootnoteReference"/>
          <w:rFonts w:cs="Times New Roman"/>
        </w:rPr>
        <w:footnoteReference w:id="43"/>
      </w:r>
      <w:r w:rsidRPr="00BB3D39">
        <w:rPr>
          <w:rFonts w:cs="Times New Roman"/>
        </w:rPr>
        <w:t xml:space="preserve"> </w:t>
      </w:r>
      <w:r w:rsidR="00BC6722">
        <w:rPr>
          <w:rFonts w:cs="Times New Roman"/>
        </w:rPr>
        <w:t>(Here</w:t>
      </w:r>
      <w:r w:rsidR="00BC6722" w:rsidRPr="007934A3">
        <w:rPr>
          <w:rFonts w:cs="Times New Roman"/>
        </w:rPr>
        <w:t xml:space="preserve">, ‘bias’ refers to the </w:t>
      </w:r>
      <w:r w:rsidR="00BC6722" w:rsidRPr="007934A3">
        <w:rPr>
          <w:rFonts w:cs="Times New Roman"/>
        </w:rPr>
        <w:lastRenderedPageBreak/>
        <w:t>media’s demonstration of its inclination in favor of or against incidents of terrorism, terrorists and terrorist organizations, individual states and the state as an international institution that it describes.</w:t>
      </w:r>
      <w:r w:rsidR="00BC6722">
        <w:rPr>
          <w:rFonts w:cs="Times New Roman"/>
        </w:rPr>
        <w:t xml:space="preserve">) </w:t>
      </w:r>
      <w:r w:rsidRPr="00BB3D39">
        <w:rPr>
          <w:rFonts w:cs="Times New Roman"/>
        </w:rPr>
        <w:t xml:space="preserve">To accomplish this, </w:t>
      </w:r>
      <w:proofErr w:type="spellStart"/>
      <w:r w:rsidRPr="00BB3D39">
        <w:rPr>
          <w:rFonts w:cs="Times New Roman"/>
        </w:rPr>
        <w:t>WordStat</w:t>
      </w:r>
      <w:proofErr w:type="spellEnd"/>
      <w:r w:rsidRPr="00BB3D39">
        <w:rPr>
          <w:rFonts w:cs="Times New Roman"/>
        </w:rPr>
        <w:t xml:space="preserve"> quantitatively analyzes textual data by comparing lists of words and phrases developed by the user (dictionaries) to the texts uploaded to the software. </w:t>
      </w:r>
      <w:proofErr w:type="spellStart"/>
      <w:r w:rsidRPr="00BB3D39">
        <w:rPr>
          <w:rFonts w:cs="Times New Roman"/>
        </w:rPr>
        <w:t>WordStat</w:t>
      </w:r>
      <w:proofErr w:type="spellEnd"/>
      <w:r w:rsidRPr="00BB3D39">
        <w:rPr>
          <w:rFonts w:cs="Times New Roman"/>
        </w:rPr>
        <w:t xml:space="preserve"> then calculates the frequencies with which dictionary entries occur in the uploaded sample. Moreover, </w:t>
      </w:r>
      <w:proofErr w:type="spellStart"/>
      <w:r w:rsidRPr="00BB3D39">
        <w:rPr>
          <w:rFonts w:cs="Times New Roman"/>
        </w:rPr>
        <w:t>WordStat</w:t>
      </w:r>
      <w:proofErr w:type="spellEnd"/>
      <w:r w:rsidRPr="00BB3D39">
        <w:rPr>
          <w:rFonts w:cs="Times New Roman"/>
        </w:rPr>
        <w:t xml:space="preserve"> provides for frequency calculations in conjunction with proximity searches. This allows me to calculate how often specific words and phrases occur within a specific distance of the words used to identify terrorism.</w:t>
      </w:r>
      <w:r w:rsidRPr="00BB3D39">
        <w:rPr>
          <w:rStyle w:val="FootnoteReference"/>
          <w:rFonts w:cs="Times New Roman"/>
        </w:rPr>
        <w:footnoteReference w:id="44"/>
      </w:r>
      <w:r w:rsidRPr="00BB3D39">
        <w:rPr>
          <w:rFonts w:cs="Times New Roman"/>
        </w:rPr>
        <w:t xml:space="preserve"> </w:t>
      </w:r>
    </w:p>
    <w:p w14:paraId="28216C85" w14:textId="77777777" w:rsidR="003B35D8" w:rsidRPr="00BB3D39" w:rsidRDefault="003B35D8" w:rsidP="003B35D8">
      <w:pPr>
        <w:ind w:firstLine="720"/>
        <w:rPr>
          <w:rFonts w:cs="Times New Roman"/>
        </w:rPr>
      </w:pPr>
      <w:r w:rsidRPr="00BB3D39">
        <w:rPr>
          <w:rFonts w:cs="Times New Roman"/>
        </w:rPr>
        <w:t xml:space="preserve">To identify and code bias in the media discourse on terrorism, I use the lexicon of framing devices identified by </w:t>
      </w:r>
      <w:proofErr w:type="spellStart"/>
      <w:r w:rsidRPr="00BB3D39">
        <w:rPr>
          <w:rFonts w:cs="Times New Roman"/>
        </w:rPr>
        <w:t>Yiwei</w:t>
      </w:r>
      <w:proofErr w:type="spellEnd"/>
      <w:r w:rsidRPr="00BB3D39">
        <w:rPr>
          <w:rFonts w:cs="Times New Roman"/>
        </w:rPr>
        <w:t xml:space="preserve"> Luo, Dallas Card, and Dan </w:t>
      </w:r>
      <w:proofErr w:type="spellStart"/>
      <w:r w:rsidRPr="00BB3D39">
        <w:rPr>
          <w:rFonts w:cs="Times New Roman"/>
        </w:rPr>
        <w:t>Jurafsky</w:t>
      </w:r>
      <w:proofErr w:type="spellEnd"/>
      <w:r w:rsidRPr="00BB3D39">
        <w:rPr>
          <w:rFonts w:cs="Times New Roman"/>
        </w:rPr>
        <w:t xml:space="preserve"> in the context of their development of the Global Warming Stance Dataset (GWSD).</w:t>
      </w:r>
      <w:r w:rsidRPr="00BB3D39">
        <w:rPr>
          <w:rStyle w:val="FootnoteReference"/>
          <w:rFonts w:cs="Times New Roman"/>
        </w:rPr>
        <w:footnoteReference w:id="45"/>
      </w:r>
      <w:r w:rsidRPr="00BB3D39">
        <w:rPr>
          <w:rFonts w:cs="Times New Roman"/>
        </w:rPr>
        <w:t xml:space="preserve">  Specifically, Luo, Card, and </w:t>
      </w:r>
      <w:proofErr w:type="spellStart"/>
      <w:r w:rsidRPr="00BB3D39">
        <w:rPr>
          <w:rFonts w:cs="Times New Roman"/>
        </w:rPr>
        <w:t>Jurafsky</w:t>
      </w:r>
      <w:proofErr w:type="spellEnd"/>
      <w:r w:rsidRPr="00BB3D39">
        <w:rPr>
          <w:rFonts w:cs="Times New Roman"/>
        </w:rPr>
        <w:t xml:space="preserve"> use their analysis of 56,000 news articles published by fourteen news outlets (seven left-leaning outlets, and seven right leaning outlets) to establish a linguistic typology of affirming devices, and doubting devices. Affirming devices “affirm the </w:t>
      </w:r>
      <w:r w:rsidRPr="00BB3D39">
        <w:rPr>
          <w:rFonts w:cs="Times New Roman"/>
          <w:i/>
          <w:iCs/>
        </w:rPr>
        <w:t>quality</w:t>
      </w:r>
      <w:r w:rsidRPr="00BB3D39">
        <w:rPr>
          <w:rFonts w:cs="Times New Roman"/>
        </w:rPr>
        <w:t xml:space="preserve"> of evidence.”</w:t>
      </w:r>
      <w:r w:rsidRPr="00BB3D39">
        <w:rPr>
          <w:rStyle w:val="FootnoteReference"/>
          <w:rFonts w:cs="Times New Roman"/>
        </w:rPr>
        <w:footnoteReference w:id="46"/>
      </w:r>
      <w:r w:rsidRPr="00BB3D39">
        <w:rPr>
          <w:rFonts w:cs="Times New Roman"/>
        </w:rPr>
        <w:t xml:space="preserve"> As such, affirming devices “include factive and semi-factive </w:t>
      </w:r>
      <w:proofErr w:type="gramStart"/>
      <w:r w:rsidRPr="00BB3D39">
        <w:rPr>
          <w:rFonts w:cs="Times New Roman"/>
        </w:rPr>
        <w:t>predicates[</w:t>
      </w:r>
      <w:proofErr w:type="gramEnd"/>
      <w:r w:rsidRPr="00BB3D39">
        <w:rPr>
          <w:rFonts w:cs="Times New Roman"/>
        </w:rPr>
        <w:t xml:space="preserve">,]… verbs with connotations of </w:t>
      </w:r>
      <w:proofErr w:type="spellStart"/>
      <w:r w:rsidRPr="00BB3D39">
        <w:rPr>
          <w:rFonts w:cs="Times New Roman"/>
        </w:rPr>
        <w:t>factivity</w:t>
      </w:r>
      <w:proofErr w:type="spellEnd"/>
      <w:r w:rsidRPr="00BB3D39">
        <w:rPr>
          <w:rFonts w:cs="Times New Roman"/>
        </w:rPr>
        <w:t xml:space="preserve"> and/or high subject commitment[,]… high commitment adjectives[,]… and [</w:t>
      </w:r>
      <w:proofErr w:type="spellStart"/>
      <w:r w:rsidRPr="00BB3D39">
        <w:rPr>
          <w:rFonts w:cs="Times New Roman"/>
        </w:rPr>
        <w:t>Lerchenmueller</w:t>
      </w:r>
      <w:proofErr w:type="spellEnd"/>
      <w:r w:rsidRPr="00BB3D39">
        <w:rPr>
          <w:rFonts w:cs="Times New Roman"/>
        </w:rPr>
        <w:t xml:space="preserve"> et. al.’s (2019)] “hyping” [adjectives].”</w:t>
      </w:r>
      <w:r w:rsidRPr="00BB3D39">
        <w:rPr>
          <w:rStyle w:val="FootnoteReference"/>
          <w:rFonts w:cs="Times New Roman"/>
        </w:rPr>
        <w:footnoteReference w:id="47"/>
      </w:r>
      <w:r w:rsidRPr="00BB3D39">
        <w:rPr>
          <w:rFonts w:cs="Times New Roman"/>
        </w:rPr>
        <w:t xml:space="preserve"> Moreover, the affirming devices category also encompasses “modifiers that affirm the </w:t>
      </w:r>
      <w:r w:rsidRPr="00BB3D39">
        <w:rPr>
          <w:rFonts w:cs="Times New Roman"/>
          <w:i/>
          <w:iCs/>
        </w:rPr>
        <w:t>quantity</w:t>
      </w:r>
      <w:r w:rsidRPr="00BB3D39">
        <w:rPr>
          <w:rFonts w:cs="Times New Roman"/>
        </w:rPr>
        <w:t xml:space="preserve"> of evidence and index consensus.”</w:t>
      </w:r>
      <w:r w:rsidRPr="00BB3D39">
        <w:rPr>
          <w:rStyle w:val="FootnoteReference"/>
          <w:rFonts w:cs="Times New Roman"/>
        </w:rPr>
        <w:footnoteReference w:id="48"/>
      </w:r>
      <w:r w:rsidRPr="00BB3D39">
        <w:rPr>
          <w:rFonts w:cs="Times New Roman"/>
        </w:rPr>
        <w:t xml:space="preserve"> Conversely, Luo, Card, and </w:t>
      </w:r>
      <w:proofErr w:type="spellStart"/>
      <w:r w:rsidRPr="00BB3D39">
        <w:rPr>
          <w:rFonts w:cs="Times New Roman"/>
        </w:rPr>
        <w:t>Jurafsky’s</w:t>
      </w:r>
      <w:proofErr w:type="spellEnd"/>
      <w:r w:rsidRPr="00BB3D39">
        <w:rPr>
          <w:rFonts w:cs="Times New Roman"/>
        </w:rPr>
        <w:t xml:space="preserve"> doubting devices “reinforce frames of debate and controversy” by implicitly questioning the veracity of information and opinions presented. Thus, doubting devices include “neg-factive </w:t>
      </w:r>
      <w:proofErr w:type="gramStart"/>
      <w:r w:rsidRPr="00BB3D39">
        <w:rPr>
          <w:rFonts w:cs="Times New Roman"/>
        </w:rPr>
        <w:t>verbs[</w:t>
      </w:r>
      <w:proofErr w:type="gramEnd"/>
      <w:r w:rsidRPr="00BB3D39">
        <w:rPr>
          <w:rFonts w:cs="Times New Roman"/>
        </w:rPr>
        <w:t>,]… low commitment verbs[,]… low commitment adjectives[,]… adjectives of undermining[,]… and adjectives indexing lack of consensus.”</w:t>
      </w:r>
      <w:r w:rsidRPr="00BB3D39">
        <w:rPr>
          <w:rStyle w:val="FootnoteReference"/>
          <w:rFonts w:cs="Times New Roman"/>
        </w:rPr>
        <w:footnoteReference w:id="49"/>
      </w:r>
      <w:r w:rsidRPr="00BB3D39">
        <w:rPr>
          <w:rFonts w:cs="Times New Roman"/>
        </w:rPr>
        <w:t xml:space="preserve"> Luo, Card and </w:t>
      </w:r>
      <w:proofErr w:type="spellStart"/>
      <w:r w:rsidRPr="00BB3D39">
        <w:rPr>
          <w:rFonts w:cs="Times New Roman"/>
        </w:rPr>
        <w:t>Jurafsky</w:t>
      </w:r>
      <w:proofErr w:type="spellEnd"/>
      <w:r w:rsidRPr="00BB3D39">
        <w:rPr>
          <w:rFonts w:cs="Times New Roman"/>
        </w:rPr>
        <w:t xml:space="preserve"> also classify “verbs with argumentative connotations” as doubting devices.</w:t>
      </w:r>
      <w:r w:rsidRPr="00BB3D39">
        <w:rPr>
          <w:rStyle w:val="FootnoteReference"/>
          <w:rFonts w:cs="Times New Roman"/>
        </w:rPr>
        <w:footnoteReference w:id="50"/>
      </w:r>
    </w:p>
    <w:p w14:paraId="254CF34C" w14:textId="77777777" w:rsidR="003B35D8" w:rsidRPr="00BB3D39" w:rsidRDefault="003B35D8" w:rsidP="003B35D8">
      <w:pPr>
        <w:ind w:firstLine="720"/>
        <w:rPr>
          <w:rFonts w:cs="Times New Roman"/>
        </w:rPr>
      </w:pPr>
      <w:r w:rsidRPr="00BB3D39">
        <w:rPr>
          <w:rFonts w:cs="Times New Roman"/>
        </w:rPr>
        <w:t xml:space="preserve">I employ Luo, Card, and </w:t>
      </w:r>
      <w:proofErr w:type="spellStart"/>
      <w:r w:rsidRPr="00BB3D39">
        <w:rPr>
          <w:rFonts w:cs="Times New Roman"/>
        </w:rPr>
        <w:t>Jurafsky’s</w:t>
      </w:r>
      <w:proofErr w:type="spellEnd"/>
      <w:r w:rsidRPr="00BB3D39">
        <w:rPr>
          <w:rFonts w:cs="Times New Roman"/>
        </w:rPr>
        <w:t xml:space="preserve"> categorizations of the abovementioned five affirming devices (factive and semi-factive predicates, highly factive/high-commitment verbs, high commitment adjectives, hyping adjectives, and quantity indicators/evidence of consensus modifiers), and six doubting devices (neg-factive verbs, low commitment verbs, argumentative verbs, low commitment adjectives, undermining adjectives, and lack of consensus adjectives) as bias indicators in the context of in the media coverage of terrorism produced on the five high coverage dates and thirty-five low coverage dates encompassed in my sampling frame.</w:t>
      </w:r>
      <w:r w:rsidRPr="00BB3D39">
        <w:rPr>
          <w:rStyle w:val="FootnoteReference"/>
          <w:rFonts w:cs="Times New Roman"/>
        </w:rPr>
        <w:footnoteReference w:id="51"/>
      </w:r>
      <w:r w:rsidRPr="00BB3D39">
        <w:rPr>
          <w:rFonts w:cs="Times New Roman"/>
        </w:rPr>
        <w:t xml:space="preserve"> </w:t>
      </w:r>
    </w:p>
    <w:p w14:paraId="2BA0C99A" w14:textId="7B9BE4D9" w:rsidR="00546721" w:rsidRPr="00CB67A7" w:rsidRDefault="003B35D8" w:rsidP="00CB67A7">
      <w:pPr>
        <w:ind w:firstLine="720"/>
        <w:rPr>
          <w:rFonts w:cs="Times New Roman"/>
        </w:rPr>
      </w:pPr>
      <w:r w:rsidRPr="00BB3D39">
        <w:rPr>
          <w:rFonts w:cs="Times New Roman"/>
        </w:rPr>
        <w:lastRenderedPageBreak/>
        <w:t xml:space="preserve">I use </w:t>
      </w:r>
      <w:proofErr w:type="spellStart"/>
      <w:r w:rsidRPr="00BB3D39">
        <w:rPr>
          <w:rFonts w:cs="Times New Roman"/>
        </w:rPr>
        <w:t>WordStat</w:t>
      </w:r>
      <w:proofErr w:type="spellEnd"/>
      <w:r w:rsidRPr="00BB3D39">
        <w:rPr>
          <w:rFonts w:cs="Times New Roman"/>
        </w:rPr>
        <w:t xml:space="preserve"> to facilitate the initial detection and identification of bias in the </w:t>
      </w:r>
      <w:r w:rsidR="00F74D09">
        <w:rPr>
          <w:rFonts w:cs="Times New Roman"/>
        </w:rPr>
        <w:t>media</w:t>
      </w:r>
      <w:r w:rsidRPr="00BB3D39">
        <w:rPr>
          <w:rFonts w:cs="Times New Roman"/>
        </w:rPr>
        <w:t xml:space="preserve"> bulletins that constitute my sample. To that end, I conduct a series of keyword proximity searches. The first of these searches identifies instances in which at least one affirming or doubting device occurs in the same sentence as the words and phrases used to refer to terrorism.</w:t>
      </w:r>
      <w:r w:rsidRPr="00BB3D39">
        <w:rPr>
          <w:rStyle w:val="FootnoteReference"/>
          <w:rFonts w:cs="Times New Roman"/>
        </w:rPr>
        <w:footnoteReference w:id="52"/>
      </w:r>
      <w:r w:rsidRPr="00BB3D39">
        <w:rPr>
          <w:rFonts w:cs="Times New Roman"/>
        </w:rPr>
        <w:t xml:space="preserve"> The second of these searches identifies instances in which at least one affirming or doubting device occurs in the same sentence as the words and phrases used to refer to the state.</w:t>
      </w:r>
      <w:r w:rsidRPr="00BB3D39">
        <w:rPr>
          <w:rStyle w:val="FootnoteReference"/>
          <w:rFonts w:cs="Times New Roman"/>
        </w:rPr>
        <w:footnoteReference w:id="53"/>
      </w:r>
      <w:r w:rsidRPr="00BB3D39">
        <w:rPr>
          <w:rFonts w:cs="Times New Roman"/>
        </w:rPr>
        <w:t xml:space="preserve"> I then use </w:t>
      </w:r>
      <w:proofErr w:type="spellStart"/>
      <w:r w:rsidRPr="00BB3D39">
        <w:rPr>
          <w:rFonts w:cs="Times New Roman"/>
        </w:rPr>
        <w:t>WordStat</w:t>
      </w:r>
      <w:proofErr w:type="spellEnd"/>
      <w:r w:rsidRPr="00BB3D39">
        <w:rPr>
          <w:rFonts w:cs="Times New Roman"/>
        </w:rPr>
        <w:t xml:space="preserve"> to isolate and extract the entire paragraph surrounding each sentence identified by the searches. Finally, I manually verify and hand-code each paragraph identified, eliminating paragraphs in which the affirming or doubting device does not occur with specific reference to terrorism or the state.</w:t>
      </w:r>
    </w:p>
    <w:p w14:paraId="715346E1" w14:textId="4ED06433" w:rsidR="003B35D8" w:rsidRPr="00BB3D39" w:rsidRDefault="003B35D8" w:rsidP="00546721">
      <w:pPr>
        <w:pStyle w:val="DissertationSection2"/>
      </w:pPr>
      <w:bookmarkStart w:id="18" w:name="_Toc175413123"/>
      <w:r w:rsidRPr="00BB3D39">
        <w:t>Qualitative Research Design</w:t>
      </w:r>
      <w:bookmarkEnd w:id="18"/>
    </w:p>
    <w:p w14:paraId="22D312C3" w14:textId="16526B9D" w:rsidR="003B35D8" w:rsidRPr="00BB3D39" w:rsidRDefault="003B35D8" w:rsidP="003B35D8">
      <w:pPr>
        <w:rPr>
          <w:rFonts w:cs="Times New Roman"/>
        </w:rPr>
      </w:pPr>
      <w:r w:rsidRPr="00BB3D39">
        <w:rPr>
          <w:rFonts w:cs="Times New Roman"/>
        </w:rPr>
        <w:tab/>
        <w:t>The final component of my analysis of how the media coverage of terrorism affects international (state) legitimacy consists of the qualitative analysis of the extracted paragraphs containing both an instance of bias and a reference to terrorism. To that end, I employ media framing approaches and critical discourse analysis (CDA) in the context of focused case analysis to determine how media coverage of terrorism potentially erodes international (state) legitimacy.</w:t>
      </w:r>
      <w:r w:rsidRPr="00BB3D39">
        <w:rPr>
          <w:rStyle w:val="FootnoteReference"/>
          <w:rFonts w:cs="Times New Roman"/>
        </w:rPr>
        <w:footnoteReference w:id="54"/>
      </w:r>
      <w:r w:rsidRPr="00BB3D39">
        <w:rPr>
          <w:rFonts w:cs="Times New Roman"/>
        </w:rPr>
        <w:t xml:space="preserve"> These discursive approaches analyze the construction of knowledge based on a linguistic understanding of discourse as the use of language as part of social practice. </w:t>
      </w:r>
      <w:r w:rsidR="006F38DB">
        <w:rPr>
          <w:rFonts w:cs="Times New Roman"/>
        </w:rPr>
        <w:t xml:space="preserve">As such, discursive approaches transform human behavior and decision-making into legible progressions. Moreover, these approaches also serve to constitute both subject position and bias </w:t>
      </w:r>
      <w:r w:rsidR="006F38DB">
        <w:rPr>
          <w:rFonts w:cs="Times New Roman"/>
          <w:i/>
          <w:iCs/>
        </w:rPr>
        <w:t>assets</w:t>
      </w:r>
      <w:r w:rsidR="006F38DB">
        <w:rPr>
          <w:rFonts w:cs="Times New Roman"/>
        </w:rPr>
        <w:t xml:space="preserve"> (rather than detriments) to the analytical process. </w:t>
      </w:r>
      <w:r w:rsidRPr="00BB3D39">
        <w:rPr>
          <w:rFonts w:cs="Times New Roman"/>
        </w:rPr>
        <w:t>This tenet of discursive approaches plays a critical part in this study because the journalistic choice to use the term ‘terrorism’ already indicates a degree of bias from the outset of any analysis.</w:t>
      </w:r>
      <w:r w:rsidRPr="00BB3D39">
        <w:rPr>
          <w:rStyle w:val="FootnoteReference"/>
          <w:rFonts w:cs="Times New Roman"/>
        </w:rPr>
        <w:footnoteReference w:id="55"/>
      </w:r>
      <w:r w:rsidRPr="00BB3D39">
        <w:rPr>
          <w:rFonts w:cs="Times New Roman"/>
        </w:rPr>
        <w:t xml:space="preserve"> </w:t>
      </w:r>
    </w:p>
    <w:p w14:paraId="16838168" w14:textId="18BCF00A" w:rsidR="003B35D8" w:rsidRPr="00BB3D39" w:rsidRDefault="003B35D8" w:rsidP="003B35D8">
      <w:pPr>
        <w:ind w:firstLine="720"/>
        <w:rPr>
          <w:rFonts w:cs="Times New Roman"/>
        </w:rPr>
      </w:pPr>
      <w:r w:rsidRPr="00BB3D39">
        <w:rPr>
          <w:rFonts w:cs="Times New Roman"/>
        </w:rPr>
        <w:t xml:space="preserve">Framing approaches serve as the point of departure for my qualitative analysis of the </w:t>
      </w:r>
      <w:r w:rsidR="00F74D09">
        <w:rPr>
          <w:rFonts w:cs="Times New Roman"/>
        </w:rPr>
        <w:t>media</w:t>
      </w:r>
      <w:r w:rsidRPr="00BB3D39">
        <w:rPr>
          <w:rFonts w:cs="Times New Roman"/>
        </w:rPr>
        <w:t xml:space="preserve"> bulletins for the same reason that discursive approaches are so critical for this study. Framing approaches are text-based inductive methods of content analysis that examine “the selection and salience of certain aspects of an issue,” as depicted by and emphasized through media coverage, “by exploring [the] images, stereotypes, metaphors, actors, and messages” employed.</w:t>
      </w:r>
      <w:r w:rsidRPr="00BB3D39">
        <w:rPr>
          <w:rStyle w:val="FootnoteReference"/>
          <w:rFonts w:cs="Times New Roman"/>
        </w:rPr>
        <w:footnoteReference w:id="56"/>
      </w:r>
      <w:r w:rsidRPr="00BB3D39">
        <w:rPr>
          <w:rFonts w:cs="Times New Roman"/>
        </w:rPr>
        <w:t xml:space="preserve"> Framing approaches thus assume the relevance of the original conception of agenda setting, as the idea that media coverage calls public attention to certain topics, issues and ideas.</w:t>
      </w:r>
      <w:r w:rsidRPr="00BB3D39">
        <w:rPr>
          <w:rStyle w:val="FootnoteReference"/>
          <w:rFonts w:cs="Times New Roman"/>
        </w:rPr>
        <w:footnoteReference w:id="57"/>
      </w:r>
      <w:r w:rsidRPr="00BB3D39">
        <w:rPr>
          <w:rFonts w:cs="Times New Roman"/>
        </w:rPr>
        <w:t xml:space="preserve"> </w:t>
      </w:r>
      <w:r w:rsidRPr="00BB3D39">
        <w:rPr>
          <w:rFonts w:cs="Times New Roman"/>
        </w:rPr>
        <w:lastRenderedPageBreak/>
        <w:t>This also relates to framing as the manner in which media coverage and the so-called ‘media gatekeepers’ organize and present the material that is covered.</w:t>
      </w:r>
      <w:r w:rsidRPr="00BB3D39">
        <w:rPr>
          <w:rStyle w:val="FootnoteReference"/>
          <w:rFonts w:cs="Times New Roman"/>
        </w:rPr>
        <w:footnoteReference w:id="58"/>
      </w:r>
      <w:r w:rsidRPr="00BB3D39">
        <w:rPr>
          <w:rFonts w:cs="Times New Roman"/>
        </w:rPr>
        <w:t xml:space="preserve"> </w:t>
      </w:r>
    </w:p>
    <w:p w14:paraId="4E083FF5" w14:textId="3AA20CFC" w:rsidR="003B35D8" w:rsidRPr="00BB3D39" w:rsidRDefault="003B35D8" w:rsidP="003B35D8">
      <w:pPr>
        <w:ind w:firstLine="720"/>
        <w:rPr>
          <w:rFonts w:cs="Times New Roman"/>
        </w:rPr>
      </w:pPr>
      <w:r w:rsidRPr="00BB3D39">
        <w:rPr>
          <w:rFonts w:cs="Times New Roman"/>
        </w:rPr>
        <w:t xml:space="preserve">Framing involves context and implies messaging. To some degree, the framing of news takes the emphasis off of </w:t>
      </w:r>
      <w:r w:rsidRPr="00BB3D39">
        <w:rPr>
          <w:rFonts w:cs="Times New Roman"/>
          <w:i/>
          <w:iCs/>
        </w:rPr>
        <w:t>what</w:t>
      </w:r>
      <w:r w:rsidRPr="00BB3D39">
        <w:rPr>
          <w:rFonts w:cs="Times New Roman"/>
        </w:rPr>
        <w:t xml:space="preserve"> is being said, instead implicitly shifting focus to </w:t>
      </w:r>
      <w:r w:rsidRPr="00BB3D39">
        <w:rPr>
          <w:rFonts w:cs="Times New Roman"/>
          <w:i/>
          <w:iCs/>
        </w:rPr>
        <w:t>how</w:t>
      </w:r>
      <w:r w:rsidRPr="00BB3D39">
        <w:rPr>
          <w:rFonts w:cs="Times New Roman"/>
        </w:rPr>
        <w:t xml:space="preserve"> the information is being presented. In this sense, to paraphrase Marshall McLuhan, ‘the medium becomes the message.’</w:t>
      </w:r>
      <w:r w:rsidR="00E754AA">
        <w:rPr>
          <w:rStyle w:val="FootnoteReference"/>
          <w:rFonts w:cs="Times New Roman"/>
        </w:rPr>
        <w:footnoteReference w:id="59"/>
      </w:r>
      <w:r w:rsidRPr="00BB3D39">
        <w:rPr>
          <w:rFonts w:cs="Times New Roman"/>
        </w:rPr>
        <w:t xml:space="preserve"> </w:t>
      </w:r>
      <w:r w:rsidRPr="00542581">
        <w:rPr>
          <w:rFonts w:cs="Times New Roman"/>
        </w:rPr>
        <w:t>As</w:t>
      </w:r>
      <w:r w:rsidRPr="00BB3D39">
        <w:rPr>
          <w:rFonts w:cs="Times New Roman"/>
        </w:rPr>
        <w:t xml:space="preserve"> an abstract notion that serves to structure social meaning, framing influences audiences’ perceptions of news in a way that not only tells individuals “what to think about,” but also “how to think about it.”</w:t>
      </w:r>
      <w:r w:rsidRPr="00BB3D39">
        <w:rPr>
          <w:rStyle w:val="FootnoteReference"/>
          <w:rFonts w:cs="Times New Roman"/>
        </w:rPr>
        <w:footnoteReference w:id="60"/>
      </w:r>
      <w:r w:rsidRPr="00BB3D39">
        <w:rPr>
          <w:rFonts w:cs="Times New Roman"/>
        </w:rPr>
        <w:t xml:space="preserve"> For this reason, framing approaches are helpful to this study; their implicit critical constructivist conception of reality emphasizes both its social construction and the effects that perceptions, biases and information play in influencing what is observed. This is integral to my qualification of international (state) legitimacy and variations in state legitimacy, given that it constructed on the conception of legitimacy as a form of social contract, and social contract theory is predicated on </w:t>
      </w:r>
      <w:r w:rsidRPr="00BB3D39">
        <w:rPr>
          <w:rFonts w:cs="Times New Roman"/>
          <w:shd w:val="clear" w:color="auto" w:fill="FFFFFF"/>
        </w:rPr>
        <w:t>individuals agreeing to cede inherent personal liberties to a governing authority because they believe that the relinquishment of these freedoms will result in their overall gain.</w:t>
      </w:r>
      <w:r w:rsidRPr="00BB3D39">
        <w:rPr>
          <w:rFonts w:cs="Times New Roman"/>
        </w:rPr>
        <w:t xml:space="preserve"> </w:t>
      </w:r>
    </w:p>
    <w:p w14:paraId="4F0E8B17" w14:textId="7BFAC7AB" w:rsidR="00CC3E9B" w:rsidRDefault="003B35D8" w:rsidP="00CC3E9B">
      <w:pPr>
        <w:ind w:firstLine="720"/>
        <w:rPr>
          <w:rFonts w:cs="Times New Roman"/>
        </w:rPr>
      </w:pPr>
      <w:r w:rsidRPr="00BB3D39">
        <w:rPr>
          <w:rFonts w:cs="Times New Roman"/>
        </w:rPr>
        <w:t>In this study, I use framing to contextualize my use of a CDA approach. CDA is assumed to be both relevant and important methodologically because of its focus on deconstructing spoken and written language through predominantly linguistic elements. Integrally, it accounts for inherent biases, and constitutes the role of discourse as “</w:t>
      </w:r>
      <w:proofErr w:type="spellStart"/>
      <w:r w:rsidRPr="00BB3D39">
        <w:rPr>
          <w:rFonts w:cs="Times New Roman"/>
        </w:rPr>
        <w:t>produc</w:t>
      </w:r>
      <w:proofErr w:type="spellEnd"/>
      <w:r w:rsidRPr="00BB3D39">
        <w:rPr>
          <w:rFonts w:cs="Times New Roman"/>
        </w:rPr>
        <w:t>[</w:t>
      </w:r>
      <w:proofErr w:type="spellStart"/>
      <w:r w:rsidRPr="00BB3D39">
        <w:rPr>
          <w:rFonts w:cs="Times New Roman"/>
        </w:rPr>
        <w:t>ing</w:t>
      </w:r>
      <w:proofErr w:type="spellEnd"/>
      <w:r w:rsidRPr="00BB3D39">
        <w:rPr>
          <w:rFonts w:cs="Times New Roman"/>
        </w:rPr>
        <w:t>] as subjects publics,” ‘legitimating’ specific “authorized actors,” making “publics” aware of “the existence and qualities of different phenomena,” and creating perceptions of “how public officials should act for them and in their name.”</w:t>
      </w:r>
      <w:r w:rsidRPr="00BB3D39">
        <w:rPr>
          <w:rStyle w:val="FootnoteReference"/>
          <w:rFonts w:cs="Times New Roman"/>
        </w:rPr>
        <w:footnoteReference w:id="61"/>
      </w:r>
      <w:r w:rsidRPr="00BB3D39">
        <w:rPr>
          <w:rFonts w:cs="Times New Roman"/>
        </w:rPr>
        <w:t xml:space="preserve"> This study uses the CDA approach in connection with the Derridean application of Martin Heidegger’s “deconstruction” of written texts, through Norman Fairclough’s three-dimensional framework for CDA.</w:t>
      </w:r>
      <w:r w:rsidRPr="00BB3D39">
        <w:rPr>
          <w:rStyle w:val="FootnoteReference"/>
          <w:rFonts w:cs="Times New Roman"/>
        </w:rPr>
        <w:footnoteReference w:id="62"/>
      </w:r>
      <w:r w:rsidRPr="00BB3D39">
        <w:rPr>
          <w:rFonts w:cs="Times New Roman"/>
        </w:rPr>
        <w:t xml:space="preserve"> Fairclough’s framework layers and integrates the micro-, meso- and macro-levels of the analysis of discursive events. These levels are represented by “genres” – particular ways of manipulating and framing discourse, “discourses” – explaining the interrelated elements of production, form and reception, and “styles” – understanding the ontological nature of the text under discussion, as influenced by its broader societal and historical context.</w:t>
      </w:r>
      <w:r w:rsidRPr="00BB3D39">
        <w:rPr>
          <w:rStyle w:val="FootnoteReference"/>
          <w:rFonts w:cs="Times New Roman"/>
        </w:rPr>
        <w:footnoteReference w:id="63"/>
      </w:r>
      <w:r w:rsidRPr="00BB3D39">
        <w:rPr>
          <w:rFonts w:cs="Times New Roman"/>
        </w:rPr>
        <w:t xml:space="preserve"> In this context, I apply the Derridean conceptualization of “deconstruction” with specific focus on delimiting “social acts,” “speech acts” and identifying instances of the Copenhagen School’s “securitization”</w:t>
      </w:r>
      <w:r w:rsidR="00542581">
        <w:rPr>
          <w:rFonts w:cs="Times New Roman"/>
        </w:rPr>
        <w:t xml:space="preserve"> process.</w:t>
      </w:r>
      <w:r w:rsidRPr="00BB3D39">
        <w:rPr>
          <w:rStyle w:val="FootnoteReference"/>
          <w:rFonts w:cs="Times New Roman"/>
        </w:rPr>
        <w:footnoteReference w:id="64"/>
      </w:r>
    </w:p>
    <w:p w14:paraId="340F3131" w14:textId="24EF3A04" w:rsidR="003B35D8" w:rsidRPr="00BB3D39" w:rsidRDefault="003B35D8" w:rsidP="00787123">
      <w:pPr>
        <w:pStyle w:val="DissertationSection1"/>
      </w:pPr>
      <w:r w:rsidRPr="00BB3D39">
        <w:lastRenderedPageBreak/>
        <w:t xml:space="preserve"> </w:t>
      </w:r>
      <w:bookmarkStart w:id="19" w:name="_Toc175413124"/>
      <w:r w:rsidRPr="00BB3D39">
        <w:t>Conclusion</w:t>
      </w:r>
      <w:bookmarkEnd w:id="19"/>
    </w:p>
    <w:p w14:paraId="45DF0070" w14:textId="3066F41C" w:rsidR="003B35D8" w:rsidRPr="00BB3D39" w:rsidRDefault="003B35D8" w:rsidP="003B35D8">
      <w:pPr>
        <w:ind w:firstLine="360"/>
        <w:rPr>
          <w:rFonts w:cs="Times New Roman"/>
        </w:rPr>
      </w:pPr>
      <w:r w:rsidRPr="00BB3D39">
        <w:rPr>
          <w:rFonts w:cs="Times New Roman"/>
        </w:rPr>
        <w:t xml:space="preserve">This chapter (Chapter 2) presents the research questions, </w:t>
      </w:r>
      <w:r w:rsidR="00542581" w:rsidRPr="00BB3D39">
        <w:rPr>
          <w:rFonts w:cs="Times New Roman"/>
        </w:rPr>
        <w:t>hypotheses,</w:t>
      </w:r>
      <w:r w:rsidRPr="00BB3D39">
        <w:rPr>
          <w:rFonts w:cs="Times New Roman"/>
        </w:rPr>
        <w:t xml:space="preserve"> and methodology that I employ in interrogating how terrorism succeeds as a result of its depiction in media coverage. This involves the justification of both my larger sampling frame (</w:t>
      </w:r>
      <w:r w:rsidR="00F74D09">
        <w:rPr>
          <w:rFonts w:cs="Times New Roman"/>
        </w:rPr>
        <w:t>media</w:t>
      </w:r>
      <w:r w:rsidRPr="00BB3D39">
        <w:rPr>
          <w:rFonts w:cs="Times New Roman"/>
        </w:rPr>
        <w:t xml:space="preserve"> bulletins from AFP, AP and Reuters published between January 1, 2012 and December 31, 2018, inclusive) and my smaller sampling frame (media coverage of terrorism on high and low coverage dates that occur in the context of my larger sampling frame), its limitations, and my decision to employ a mixed-methods approach in conducting this research. I also use this chapter to outline my research design in detail. Accordingly, the quantitative methodology used in Chapter 6 consists of Spearman correlations in connection with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BB3D39">
        <w:rPr>
          <w:rFonts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BB3D3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BB3D39">
        <w:rPr>
          <w:rFonts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BB3D39">
        <w:rPr>
          <w:rFonts w:cs="Times New Roman"/>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BB3D39">
        <w:rPr>
          <w:rFonts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BB3D39">
        <w:rPr>
          <w:rFonts w:cs="Times New Roman"/>
        </w:rPr>
        <w:t xml:space="preserve">,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BB3D39">
        <w:rPr>
          <w:rFonts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BB3D39">
        <w:rPr>
          <w:rFonts w:cs="Times New Roman"/>
        </w:rPr>
        <w:t xml:space="preserve">. These correlations provide for my determination as to whether a relationship exists between the various typologies of media coverage of terrorism (an aggregate measure of the media coverage of terrorism, Reuters’ coverage of terrorism, AP’s coverage of terrorism and AFP’s coverage of terrorism) and international (state) legitimacy. Then, I conduct SLR analyses in connection with the Spearman correlations that indicate an association between their composite variables in order to model the relationship between the independent variable (the aggregate media coverage of terrorism, the AP’s coverage of terrorism or the AFP’s coverage of terrorism) and the dependent variable (international (state) legitimacy). Finally, I calculate the value of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r w:rsidRPr="00BB3D39">
        <w:rPr>
          <w:rFonts w:cs="Times New Roman"/>
        </w:rPr>
        <w:t xml:space="preserve"> in connection with the abovementioned SLR analyses (</w:t>
      </w:r>
      <m:oMath>
        <m:r>
          <w:rPr>
            <w:rFonts w:ascii="Cambria Math" w:hAnsi="Cambria Math" w:cs="Times New Roman"/>
          </w:rPr>
          <m:t>[SLR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w:t>
      </w:r>
      <m:oMath>
        <m:r>
          <w:rPr>
            <w:rFonts w:ascii="Cambria Math" w:hAnsi="Cambria Math" w:cs="Times New Roman"/>
          </w:rPr>
          <m:t>[SLR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and </w:t>
      </w:r>
      <m:oMath>
        <m:r>
          <w:rPr>
            <w:rFonts w:ascii="Cambria Math" w:hAnsi="Cambria Math" w:cs="Times New Roman"/>
          </w:rPr>
          <m:t>[SLR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m:t>
        </m:r>
      </m:oMath>
      <w:r w:rsidRPr="00BB3D39">
        <w:rPr>
          <w:rFonts w:cs="Times New Roman"/>
        </w:rPr>
        <w:t xml:space="preserve">) to suggest how much variance in international (state) legitimacy can be attributed to a specific measurement of increase or decrease in the media’s coverage of terrorism. </w:t>
      </w:r>
    </w:p>
    <w:p w14:paraId="1720A826" w14:textId="63D5548E" w:rsidR="003B35D8" w:rsidRPr="00BB3D39" w:rsidRDefault="003B35D8" w:rsidP="003B35D8">
      <w:pPr>
        <w:ind w:firstLine="360"/>
        <w:rPr>
          <w:rFonts w:cs="Times New Roman"/>
        </w:rPr>
      </w:pPr>
      <w:r w:rsidRPr="00BB3D39">
        <w:rPr>
          <w:rFonts w:cs="Times New Roman"/>
        </w:rPr>
        <w:t xml:space="preserve">I then begin Chapter 7 by using quantitative methods to calculate the statistical frequency of 28 definitional elements across 2,276 </w:t>
      </w:r>
      <w:r w:rsidR="00F74D09">
        <w:rPr>
          <w:rFonts w:cs="Times New Roman"/>
        </w:rPr>
        <w:t>media</w:t>
      </w:r>
      <w:r w:rsidRPr="00BB3D39">
        <w:rPr>
          <w:rFonts w:cs="Times New Roman"/>
        </w:rPr>
        <w:t xml:space="preserve"> bulletins that comprise my smaller sampling frame to derive a </w:t>
      </w:r>
      <w:r w:rsidRPr="00BB3D39">
        <w:rPr>
          <w:rFonts w:cs="Times New Roman"/>
          <w:i/>
          <w:iCs/>
        </w:rPr>
        <w:t>de minimis</w:t>
      </w:r>
      <w:r w:rsidRPr="00BB3D39">
        <w:rPr>
          <w:rFonts w:cs="Times New Roman"/>
        </w:rPr>
        <w:t xml:space="preserve"> definition of terrorism implicit in media coverage of terrorism. (I conduct a similar analysis based on the definition of terrorism implicit to the domestic legislation of the 193 United Nations member states in Chapter 3.) Then, I use </w:t>
      </w:r>
      <w:proofErr w:type="spellStart"/>
      <w:r w:rsidRPr="00BB3D39">
        <w:rPr>
          <w:rFonts w:cs="Times New Roman"/>
        </w:rPr>
        <w:t>Provalis</w:t>
      </w:r>
      <w:proofErr w:type="spellEnd"/>
      <w:r w:rsidRPr="00BB3D39">
        <w:rPr>
          <w:rFonts w:cs="Times New Roman"/>
        </w:rPr>
        <w:t xml:space="preserve"> Research’s </w:t>
      </w:r>
      <w:proofErr w:type="spellStart"/>
      <w:r w:rsidRPr="00BB3D39">
        <w:rPr>
          <w:rFonts w:cs="Times New Roman"/>
        </w:rPr>
        <w:t>WordStat</w:t>
      </w:r>
      <w:proofErr w:type="spellEnd"/>
      <w:r w:rsidRPr="00BB3D39">
        <w:rPr>
          <w:rFonts w:cs="Times New Roman"/>
        </w:rPr>
        <w:t xml:space="preserve"> software to identify instances of bias relating to two targets (terrorism and the state) in my smaller sampling frame. (Subsequently, I manually check and confirm each instance of bias.) I use qualitative analysis (specifically, CDA approaches informed by conceptions of media framing, on the one hand, and Derridean application of Heidegger’s “deconstruction” of written texts, on the other, to identify and code frames that are used in connection with terrorism on a recurring basis. I code these manually, using </w:t>
      </w:r>
      <w:proofErr w:type="spellStart"/>
      <w:r w:rsidRPr="00BB3D39">
        <w:rPr>
          <w:rFonts w:cs="Times New Roman"/>
        </w:rPr>
        <w:t>Provalis</w:t>
      </w:r>
      <w:proofErr w:type="spellEnd"/>
      <w:r w:rsidRPr="00BB3D39">
        <w:rPr>
          <w:rFonts w:cs="Times New Roman"/>
        </w:rPr>
        <w:t xml:space="preserve"> Research’s </w:t>
      </w:r>
      <w:proofErr w:type="spellStart"/>
      <w:r w:rsidRPr="00BB3D39">
        <w:rPr>
          <w:rFonts w:cs="Times New Roman"/>
        </w:rPr>
        <w:t>QDAMiner</w:t>
      </w:r>
      <w:proofErr w:type="spellEnd"/>
      <w:r w:rsidRPr="00BB3D39">
        <w:rPr>
          <w:rFonts w:cs="Times New Roman"/>
        </w:rPr>
        <w:t xml:space="preserve"> software. Subsequently, I use </w:t>
      </w:r>
      <w:proofErr w:type="spellStart"/>
      <w:r w:rsidRPr="00BB3D39">
        <w:rPr>
          <w:rFonts w:cs="Times New Roman"/>
        </w:rPr>
        <w:t>WordStat</w:t>
      </w:r>
      <w:proofErr w:type="spellEnd"/>
      <w:r w:rsidRPr="00BB3D39">
        <w:rPr>
          <w:rFonts w:cs="Times New Roman"/>
        </w:rPr>
        <w:t xml:space="preserve"> to calculate both the frequency with which these occur across my smaller sampling frame, and the frequency with which each frame is used by each specific </w:t>
      </w:r>
      <w:r w:rsidRPr="00BB3D39">
        <w:rPr>
          <w:rFonts w:cs="Times New Roman"/>
        </w:rPr>
        <w:lastRenderedPageBreak/>
        <w:t xml:space="preserve">international news agency. (I also use these qualitative methods in analyzing the implications of the media frames that I identify as recurring in the media coverage of terrorism.) Finally, I conduct a second statistical frequency analysis of 28 definitional elements across state government officials’ statements about specific instances of terrorism that occur within the timeframe covered by my smaller sampling frame to derive a </w:t>
      </w:r>
      <w:r w:rsidRPr="00BB3D39">
        <w:rPr>
          <w:rFonts w:cs="Times New Roman"/>
          <w:i/>
          <w:iCs/>
        </w:rPr>
        <w:t>de minimis</w:t>
      </w:r>
      <w:r w:rsidRPr="00BB3D39">
        <w:rPr>
          <w:rFonts w:cs="Times New Roman"/>
        </w:rPr>
        <w:t xml:space="preserve"> definition of terrorism implicit to state conduct. (I also use </w:t>
      </w:r>
      <w:proofErr w:type="spellStart"/>
      <w:r w:rsidRPr="00BB3D39">
        <w:rPr>
          <w:rFonts w:cs="Times New Roman"/>
        </w:rPr>
        <w:t>WordStat’s</w:t>
      </w:r>
      <w:proofErr w:type="spellEnd"/>
      <w:r w:rsidRPr="00BB3D39">
        <w:rPr>
          <w:rFonts w:cs="Times New Roman"/>
        </w:rPr>
        <w:t xml:space="preserve"> automated text classification module to identify the terms most often used to refer to terrorism in the </w:t>
      </w:r>
      <w:r w:rsidR="00F74D09">
        <w:rPr>
          <w:rFonts w:cs="Times New Roman"/>
        </w:rPr>
        <w:t>media</w:t>
      </w:r>
      <w:r w:rsidRPr="00BB3D39">
        <w:rPr>
          <w:rFonts w:cs="Times New Roman"/>
        </w:rPr>
        <w:t xml:space="preserve"> bulletins produced by AFP, AP and Reuters as part of my Chapter 8 analysis of the effect that style guides have on the way that media coverage frames terrorism.)</w:t>
      </w:r>
    </w:p>
    <w:p w14:paraId="5ADF7D04" w14:textId="77777777" w:rsidR="003B35D8" w:rsidRPr="00BB3D39" w:rsidRDefault="003B35D8" w:rsidP="003B35D8">
      <w:pPr>
        <w:ind w:firstLine="360"/>
        <w:rPr>
          <w:rFonts w:cs="Times New Roman"/>
        </w:rPr>
      </w:pPr>
      <w:r w:rsidRPr="00BB3D39">
        <w:rPr>
          <w:rFonts w:cs="Times New Roman"/>
        </w:rPr>
        <w:t xml:space="preserve">As such, Chapter 6 builds on the overview of extant scholarship relating to each of my variables (terrorism, (state) legitimacy and media coverage) provided in Chapters 3, 4 and 5, using multivariable data analysis to suggest </w:t>
      </w:r>
      <w:r w:rsidRPr="00BB3D39">
        <w:rPr>
          <w:rFonts w:cs="Times New Roman"/>
          <w:i/>
          <w:iCs/>
        </w:rPr>
        <w:t>whether</w:t>
      </w:r>
      <w:r w:rsidRPr="00BB3D39">
        <w:rPr>
          <w:rFonts w:cs="Times New Roman"/>
        </w:rPr>
        <w:t xml:space="preserve"> terrorism and/or media coverage of terrorism affect (state) legitimacy. Then, in Chapter 7, I examine </w:t>
      </w:r>
      <w:r w:rsidRPr="00BB3D39">
        <w:rPr>
          <w:rFonts w:cs="Times New Roman"/>
          <w:i/>
          <w:iCs/>
        </w:rPr>
        <w:t>how</w:t>
      </w:r>
      <w:r w:rsidRPr="00BB3D39">
        <w:rPr>
          <w:rFonts w:cs="Times New Roman"/>
        </w:rPr>
        <w:t xml:space="preserve"> media coverage of terrorism erodes (state) legitimacy using a combination of quantitative and qualitative methods. Finally, Chapter 8 uses a combination of quantitative and qualitative methods to demonstrate the relevance and the importance of the results presented in Chapters 6 and 7 and further, to propose policy recommendations on the basis of conclusions that I draw from my analysis of the interplay between the media coverage of terrorism and (state) legitimacy.</w:t>
      </w:r>
    </w:p>
    <w:p w14:paraId="7B5129F0" w14:textId="2038031D" w:rsidR="003B35D8" w:rsidRDefault="003B35D8">
      <w:pPr>
        <w:rPr>
          <w:rFonts w:cs="Times New Roman"/>
          <w:bCs/>
          <w:color w:val="000000" w:themeColor="text1"/>
        </w:rPr>
      </w:pPr>
      <w:r>
        <w:rPr>
          <w:rFonts w:cs="Times New Roman"/>
          <w:bCs/>
          <w:color w:val="000000" w:themeColor="text1"/>
        </w:rPr>
        <w:br w:type="page"/>
      </w:r>
    </w:p>
    <w:p w14:paraId="643BF5C6" w14:textId="77777777" w:rsidR="0051124B" w:rsidRDefault="0051124B" w:rsidP="0039518C">
      <w:pPr>
        <w:pStyle w:val="DissertationChapterName"/>
      </w:pPr>
      <w:bookmarkStart w:id="20" w:name="_Toc175413125"/>
      <w:r w:rsidRPr="00632B0E">
        <w:lastRenderedPageBreak/>
        <w:t>Chapter 3 – Understanding Terrorism</w:t>
      </w:r>
      <w:bookmarkEnd w:id="20"/>
    </w:p>
    <w:p w14:paraId="38EE654F" w14:textId="77777777" w:rsidR="00D03C79" w:rsidRPr="00632B0E" w:rsidRDefault="00D03C79" w:rsidP="0051124B">
      <w:pPr>
        <w:jc w:val="center"/>
        <w:rPr>
          <w:rFonts w:cs="Times New Roman"/>
          <w:b/>
          <w:bCs/>
        </w:rPr>
      </w:pPr>
    </w:p>
    <w:p w14:paraId="6B50A4AA" w14:textId="77777777" w:rsidR="0051124B" w:rsidRDefault="0051124B" w:rsidP="0051124B">
      <w:pPr>
        <w:ind w:firstLine="720"/>
        <w:rPr>
          <w:rFonts w:cs="Times New Roman"/>
        </w:rPr>
      </w:pPr>
      <w:r w:rsidRPr="00632B0E">
        <w:rPr>
          <w:rFonts w:cs="Times New Roman"/>
        </w:rPr>
        <w:t xml:space="preserve">Before I can analyze how terrorism undermines state legitimacy, or how terrorism ‘succeeds’, I must first define terrorism. </w:t>
      </w:r>
      <w:r>
        <w:rPr>
          <w:rFonts w:cs="Times New Roman"/>
        </w:rPr>
        <w:t>The initial</w:t>
      </w:r>
      <w:r w:rsidRPr="00632B0E">
        <w:rPr>
          <w:rFonts w:cs="Times New Roman"/>
        </w:rPr>
        <w:t xml:space="preserve"> purpose of this chapter</w:t>
      </w:r>
      <w:r>
        <w:rPr>
          <w:rFonts w:cs="Times New Roman"/>
        </w:rPr>
        <w:t xml:space="preserve"> is to</w:t>
      </w:r>
      <w:r w:rsidRPr="00632B0E">
        <w:rPr>
          <w:rFonts w:cs="Times New Roman"/>
        </w:rPr>
        <w:t xml:space="preserve"> revisit both academic and policy attempts to define and thus understand the constituent features of terrorism. A general objective of this chapter is also to limit the range of actions that I will analyze in relation to how the mass media’s written depiction of these actions affects (state) legitimacy. Crucially, this chapter’s focus on operationally defining terrorism provides an understanding in terms of both conceptual utility and significance.  To that end, this chapter also extends scholarly applications of W.B. Gallie’s notion of “essentially contested concepts,” by building a continuum that clarifies the focal underpinning necessarily associated with attempts to define terrorism.</w:t>
      </w:r>
      <w:r w:rsidRPr="00632B0E">
        <w:rPr>
          <w:rStyle w:val="FootnoteReference"/>
          <w:rFonts w:cs="Times New Roman"/>
        </w:rPr>
        <w:footnoteReference w:id="65"/>
      </w:r>
      <w:r w:rsidRPr="00632B0E">
        <w:rPr>
          <w:rFonts w:cs="Times New Roman"/>
        </w:rPr>
        <w:t xml:space="preserve"> Claims such as  “terrorism is fundamentally “a[n essentially contested concept] because ‘one person’s terrorist, is another person’s freedom fighter’” point to a broad literature that focuses on the normatively loaded and pejorative nature of terrorism.</w:t>
      </w:r>
      <w:r w:rsidRPr="00632B0E">
        <w:rPr>
          <w:rStyle w:val="FootnoteReference"/>
          <w:rFonts w:cs="Times New Roman"/>
        </w:rPr>
        <w:footnoteReference w:id="66"/>
      </w:r>
      <w:r w:rsidRPr="00632B0E">
        <w:rPr>
          <w:rFonts w:cs="Times New Roman"/>
        </w:rPr>
        <w:t xml:space="preserve"> The label ‘terrorist’ is often used to label both violent actors that state(s) do not approve of and groups perceived to be opposing a state and/or its interests. There thus arise claims like those made by Nicholas J. Perry, Sam Jackson, and Connor Cruise O’Brien who argue that the use of the term ‘terrorism’ as a classification for a specific violent act or set of actions is analytically imprecise, historically indistinct, and legally vague and overbroad.</w:t>
      </w:r>
      <w:r w:rsidRPr="00632B0E">
        <w:rPr>
          <w:rStyle w:val="FootnoteReference"/>
          <w:rFonts w:cs="Times New Roman"/>
        </w:rPr>
        <w:footnoteReference w:id="67"/>
      </w:r>
      <w:r w:rsidRPr="00632B0E">
        <w:rPr>
          <w:rFonts w:cs="Times New Roman"/>
        </w:rPr>
        <w:t xml:space="preserve"> Much of the existing literature relating to terrorism focuses on attempts to establish a single, universally-accepted definition (or, conversely, to explain why no such definition has yet been established).</w:t>
      </w:r>
      <w:r w:rsidRPr="00632B0E">
        <w:rPr>
          <w:rStyle w:val="FootnoteReference"/>
          <w:rFonts w:cs="Times New Roman"/>
        </w:rPr>
        <w:footnoteReference w:id="68"/>
      </w:r>
      <w:r w:rsidRPr="00632B0E">
        <w:rPr>
          <w:rFonts w:cs="Times New Roman"/>
        </w:rPr>
        <w:t xml:space="preserve"> These lines of inquiry beg the following question: Is there </w:t>
      </w:r>
      <w:r w:rsidRPr="00632B0E">
        <w:rPr>
          <w:rFonts w:cs="Times New Roman"/>
          <w:i/>
          <w:iCs/>
        </w:rPr>
        <w:t xml:space="preserve">any </w:t>
      </w:r>
      <w:r w:rsidRPr="00632B0E">
        <w:rPr>
          <w:rFonts w:cs="Times New Roman"/>
        </w:rPr>
        <w:t>utility in defining terrorism?</w:t>
      </w:r>
      <w:r w:rsidRPr="00632B0E">
        <w:rPr>
          <w:rStyle w:val="FootnoteReference"/>
          <w:rFonts w:cs="Times New Roman"/>
        </w:rPr>
        <w:footnoteReference w:id="69"/>
      </w:r>
      <w:r w:rsidRPr="00632B0E">
        <w:rPr>
          <w:rFonts w:cs="Times New Roman"/>
        </w:rPr>
        <w:tab/>
      </w:r>
    </w:p>
    <w:p w14:paraId="0FC9F1A4" w14:textId="786BFC92" w:rsidR="0051124B" w:rsidRPr="00632B0E" w:rsidRDefault="0051124B" w:rsidP="0051124B">
      <w:pPr>
        <w:ind w:firstLine="720"/>
        <w:rPr>
          <w:rFonts w:cs="Times New Roman"/>
        </w:rPr>
      </w:pPr>
      <w:r w:rsidRPr="00632B0E">
        <w:rPr>
          <w:rFonts w:cs="Times New Roman"/>
        </w:rPr>
        <w:t>In this dissertation I do not challenge the ideas that terrorism is pejoratively and normatively loaded, analytically imprecise, historically indistinct, and legally vague and overbroad. Nor do I disagree with the premise that the labels ‘terrorism’ and ‘terrorist’ are often subject to political manipulation, particularly as they are operationalized by state governments</w:t>
      </w:r>
      <w:r w:rsidR="0077170D">
        <w:rPr>
          <w:rFonts w:cs="Times New Roman"/>
        </w:rPr>
        <w:t xml:space="preserve">. </w:t>
      </w:r>
      <w:r w:rsidRPr="00632B0E">
        <w:rPr>
          <w:rFonts w:cs="Times New Roman"/>
        </w:rPr>
        <w:t xml:space="preserve">I do not contest these ideas precisely </w:t>
      </w:r>
      <w:r w:rsidRPr="00632B0E">
        <w:rPr>
          <w:rFonts w:cs="Times New Roman"/>
          <w:i/>
          <w:iCs/>
        </w:rPr>
        <w:t>because</w:t>
      </w:r>
      <w:r w:rsidRPr="00632B0E">
        <w:rPr>
          <w:rFonts w:cs="Times New Roman"/>
        </w:rPr>
        <w:t xml:space="preserve"> they are the reason that there is significant political weight associated with any use of the ‘terrorism’ and ‘terrorist’ labels. The terrorism label connotes a certain type of gravity and severity in and of itself, even before its contextualization is </w:t>
      </w:r>
      <w:r w:rsidRPr="00632B0E">
        <w:rPr>
          <w:rFonts w:cs="Times New Roman"/>
        </w:rPr>
        <w:lastRenderedPageBreak/>
        <w:t>analyzed. This chapter is thus underpinned by the argument that the utility of the terrorism label is its identification of specific instances of political violence that institutions – specifically the state – conceive of as existentially threatening.</w:t>
      </w:r>
    </w:p>
    <w:p w14:paraId="07232137" w14:textId="6E286546" w:rsidR="00D03C79" w:rsidRPr="00546721" w:rsidRDefault="0051124B" w:rsidP="00546721">
      <w:pPr>
        <w:pStyle w:val="NormalWeb"/>
        <w:spacing w:after="120"/>
        <w:ind w:firstLine="720"/>
        <w:rPr>
          <w:rFonts w:ascii="TimesNewRomanPSMT" w:hAnsi="TimesNewRomanPSMT"/>
        </w:rPr>
      </w:pPr>
      <w:r w:rsidRPr="00DB17B4">
        <w:t xml:space="preserve">In this chapter I review scholarship that addresses defining terrorism, highlighting the diverging focal points around which terrorism is conceived. I then thoroughly explain W.B. Gallie’s “essentially contested concepts,” which I use as a conceptual framework through which to understand the debate associated with defining ‘terrorism.’ This discussion draws on the work of Christine Swanton, John N. Gray, and Harvey Boulay and suggests that “essentially contested concepts” exist along a definitional continuum. I use that suggested continuum to foreground the difference between two varieties of terrorism definitions: policy-oriented definitions of terrorism and scholarly definitions of terrorism. Developing these concepts highlights the inherent contradictions in how definitions of terrorism can be operationalized. Finally, using all the above discussion, I propose a </w:t>
      </w:r>
      <w:r w:rsidRPr="00DB17B4">
        <w:rPr>
          <w:i/>
          <w:iCs/>
        </w:rPr>
        <w:t>de minimis</w:t>
      </w:r>
      <w:r w:rsidRPr="00DB17B4">
        <w:t xml:space="preserve"> definition of terrorism implicit to international policy and state conduct that I use in this dissertation. </w:t>
      </w:r>
      <w:r>
        <w:t>Critically, this definition serves as my</w:t>
      </w:r>
      <w:r w:rsidRPr="00DB17B4">
        <w:rPr>
          <w:rFonts w:ascii="TimesNewRomanPSMT" w:hAnsi="TimesNewRomanPSMT"/>
        </w:rPr>
        <w:t xml:space="preserve"> operational definition of ‘terrorism’ for the purposes of this study, and I explicitly identify it at this juncture in order to limit the specific actions and activities that my research examines</w:t>
      </w:r>
      <w:r>
        <w:rPr>
          <w:rFonts w:ascii="TimesNewRomanPSMT" w:hAnsi="TimesNewRomanPSMT"/>
        </w:rPr>
        <w:t>.</w:t>
      </w:r>
    </w:p>
    <w:p w14:paraId="4C5CA639" w14:textId="65A96684" w:rsidR="0051124B" w:rsidRPr="00632B0E" w:rsidRDefault="0051124B" w:rsidP="00880AD8">
      <w:pPr>
        <w:pStyle w:val="DissertationSection1"/>
      </w:pPr>
      <w:bookmarkStart w:id="21" w:name="_Toc175413126"/>
      <w:r w:rsidRPr="00632B0E">
        <w:t>Attempts to Define ‘Terrorism’</w:t>
      </w:r>
      <w:bookmarkEnd w:id="21"/>
    </w:p>
    <w:p w14:paraId="0EE6C9A1" w14:textId="654058F8" w:rsidR="00280554" w:rsidRPr="00280554" w:rsidRDefault="0051124B" w:rsidP="00280554">
      <w:r w:rsidRPr="00632B0E">
        <w:rPr>
          <w:rFonts w:cs="Times New Roman"/>
        </w:rPr>
        <w:tab/>
        <w:t>Any research relating to ‘terrorism’ is subject to problems caused by the scholarly and policy literatures’ collective disagreement as to what constitutes a “definition of terrorism… [that] commands full international approval.”</w:t>
      </w:r>
      <w:r w:rsidRPr="00632B0E">
        <w:rPr>
          <w:rStyle w:val="FootnoteReference"/>
          <w:rFonts w:cs="Times New Roman"/>
        </w:rPr>
        <w:footnoteReference w:id="70"/>
      </w:r>
      <w:r w:rsidRPr="00632B0E">
        <w:rPr>
          <w:rFonts w:cs="Times New Roman"/>
        </w:rPr>
        <w:t xml:space="preserve"> Research conducted by Alex P. Schmid in 1994 cited the existence of 212 different policy-oriented definitions of terrorism </w:t>
      </w:r>
      <w:r>
        <w:rPr>
          <w:rFonts w:cs="Times New Roman"/>
        </w:rPr>
        <w:t xml:space="preserve">then </w:t>
      </w:r>
      <w:r w:rsidRPr="00632B0E">
        <w:rPr>
          <w:rFonts w:cs="Times New Roman"/>
        </w:rPr>
        <w:t>in circulation globally. At the time ninety of these definitions were actively used by states and institutions on a recurring basis.</w:t>
      </w:r>
      <w:r w:rsidRPr="00632B0E">
        <w:rPr>
          <w:rStyle w:val="FootnoteReference"/>
          <w:rFonts w:cs="Times New Roman"/>
        </w:rPr>
        <w:footnoteReference w:id="71"/>
      </w:r>
      <w:r w:rsidRPr="00632B0E">
        <w:rPr>
          <w:rFonts w:cs="Times New Roman"/>
        </w:rPr>
        <w:t xml:space="preserve">  </w:t>
      </w:r>
      <w:r w:rsidR="00280554">
        <w:t>Efforts to define “terrorism” in the context of international policy have long contended with the dilemma of how to establish a definition that is sufficiently specific, from a legal perspective, yet at the same time refrains from “criminalizing all armed resistance to oppressive regimes.”</w:t>
      </w:r>
      <w:r w:rsidR="00280554">
        <w:rPr>
          <w:rStyle w:val="FootnoteReference"/>
        </w:rPr>
        <w:footnoteReference w:id="72"/>
      </w:r>
      <w:r w:rsidR="00280554">
        <w:t xml:space="preserve"> Of particular note is the failure to reach international consensus on a “generally acceptable” definition of terrorism that precluded the Rome Statute’s ability to account for terrorism as an offense in its own right in the late 1990s. Indeed, Resolution E adopted by the United Nations Diplomatic Conference of Plenipotentiaries on the Establishment of an International Criminal Court includes preambulatory clauses that both recognize the import of terrorist acts (“by whomever and wherever perpetrated and whatever their forms, methods or motives”) to the international community, and express regret “that no generally acceptable definition of the crime…of terrorism… could be agreed upon for the inclusion, within the jurisdiction of the [International Criminal] Court.””</w:t>
      </w:r>
      <w:r w:rsidR="00280554">
        <w:rPr>
          <w:rStyle w:val="FootnoteReference"/>
        </w:rPr>
        <w:footnoteReference w:id="73"/>
      </w:r>
      <w:r w:rsidR="00280554">
        <w:t xml:space="preserve"> While on a domestic level, “many [state] legislatures employ the language of terrorism to underline the high disvalue associated with some violent behavior </w:t>
      </w:r>
      <w:r w:rsidR="00280554">
        <w:rPr>
          <w:i/>
          <w:iCs/>
        </w:rPr>
        <w:t>and</w:t>
      </w:r>
      <w:r w:rsidR="00280554">
        <w:t xml:space="preserve"> to justify the application of a special regime, with a special emphasis on </w:t>
      </w:r>
      <w:r w:rsidR="00280554">
        <w:lastRenderedPageBreak/>
        <w:t>criminal law,” states hold widely differing positions on whether ‘state terrorism’ should be accounted for under any potential internationally-accepted definition of terrorism. Moreover, notable international organizations like Amnesty International and Human Rights Watch have expressed concern that the use of “all-inclusive term[s]” in proposed definitions of terrorism “could be interpreted in ways that undermine freedom of expression.”</w:t>
      </w:r>
      <w:r w:rsidR="00280554">
        <w:rPr>
          <w:rStyle w:val="FootnoteReference"/>
        </w:rPr>
        <w:footnoteReference w:id="74"/>
      </w:r>
      <w:r w:rsidR="00280554">
        <w:t xml:space="preserve"> </w:t>
      </w:r>
      <w:r w:rsidR="009042DE">
        <w:t>Such concern on the part of human rights organizations rel</w:t>
      </w:r>
      <w:r w:rsidR="008B2E72">
        <w:t>ies</w:t>
      </w:r>
      <w:r w:rsidR="009042DE">
        <w:t xml:space="preserve"> on legalistic approaches and involve</w:t>
      </w:r>
      <w:r w:rsidR="008B2E72">
        <w:t>s</w:t>
      </w:r>
      <w:r w:rsidR="009042DE">
        <w:t xml:space="preserve"> the delicate balancing of rights versus security concerns. </w:t>
      </w:r>
      <w:r w:rsidR="00DC4DFA">
        <w:t>The end result, however, is that there is no U</w:t>
      </w:r>
      <w:r w:rsidR="008B2E72">
        <w:t xml:space="preserve">nited </w:t>
      </w:r>
      <w:r w:rsidR="00DC4DFA">
        <w:t>N</w:t>
      </w:r>
      <w:r w:rsidR="008B2E72">
        <w:t>ations</w:t>
      </w:r>
      <w:r w:rsidR="00DC4DFA">
        <w:t xml:space="preserve"> Convention on Terrorism in the same manner that there exists a U</w:t>
      </w:r>
      <w:r w:rsidR="008B2E72">
        <w:t xml:space="preserve">nited </w:t>
      </w:r>
      <w:r w:rsidR="00DC4DFA">
        <w:t>N</w:t>
      </w:r>
      <w:r w:rsidR="008B2E72">
        <w:t>ations</w:t>
      </w:r>
      <w:r w:rsidR="00DC4DFA">
        <w:t xml:space="preserve"> Convention on Genocide and a U</w:t>
      </w:r>
      <w:r w:rsidR="008B2E72">
        <w:t xml:space="preserve">nited </w:t>
      </w:r>
      <w:r w:rsidR="00DC4DFA">
        <w:t>N</w:t>
      </w:r>
      <w:r w:rsidR="008B2E72">
        <w:t>ations</w:t>
      </w:r>
      <w:r w:rsidR="00DC4DFA">
        <w:t xml:space="preserve"> Convention on Torture. </w:t>
      </w:r>
      <w:r w:rsidR="009042DE">
        <w:t xml:space="preserve"> </w:t>
      </w:r>
    </w:p>
    <w:p w14:paraId="1961AEA7" w14:textId="6F7FA4EB" w:rsidR="0051124B" w:rsidRPr="00632B0E" w:rsidRDefault="0051124B" w:rsidP="00280554">
      <w:pPr>
        <w:ind w:firstLine="567"/>
        <w:rPr>
          <w:rFonts w:cs="Times New Roman"/>
        </w:rPr>
      </w:pPr>
      <w:r w:rsidRPr="00632B0E">
        <w:rPr>
          <w:rFonts w:cs="Times New Roman"/>
        </w:rPr>
        <w:t>A similar situation exists in relation to scholarly literature on terrorism. In 1988, Schmid and Albert Jongman proposed an “academic consensus definition of terrorism” which they constructed by distilling 109 distinct questionnaire responses from a 1985 survey sent to international terrorism experts.</w:t>
      </w:r>
      <w:r w:rsidRPr="00632B0E">
        <w:rPr>
          <w:rStyle w:val="FootnoteReference"/>
          <w:rFonts w:cs="Times New Roman"/>
        </w:rPr>
        <w:footnoteReference w:id="75"/>
      </w:r>
      <w:r w:rsidRPr="00632B0E">
        <w:rPr>
          <w:rFonts w:cs="Times New Roman"/>
        </w:rPr>
        <w:t xml:space="preserve"> Moreover, 2004 research conducted to update the frequency of the definitional elements integral to Schmid and Jongman’s 1988 definition enumerated seventy-three different working definitions of terrorism in three journals alone.</w:t>
      </w:r>
      <w:r w:rsidRPr="00632B0E">
        <w:rPr>
          <w:rStyle w:val="FootnoteReference"/>
          <w:rFonts w:cs="Times New Roman"/>
        </w:rPr>
        <w:footnoteReference w:id="76"/>
      </w:r>
      <w:r w:rsidRPr="00632B0E">
        <w:rPr>
          <w:rFonts w:cs="Times New Roman"/>
        </w:rPr>
        <w:t xml:space="preserve"> </w:t>
      </w:r>
    </w:p>
    <w:p w14:paraId="37E77F5D" w14:textId="75B792BE" w:rsidR="00D03C79" w:rsidRPr="00632B0E" w:rsidRDefault="0051124B" w:rsidP="00546721">
      <w:pPr>
        <w:ind w:firstLine="567"/>
        <w:rPr>
          <w:rFonts w:cs="Times New Roman"/>
        </w:rPr>
      </w:pPr>
      <w:r w:rsidRPr="00632B0E">
        <w:rPr>
          <w:rFonts w:cs="Times New Roman"/>
        </w:rPr>
        <w:t>Within both the scholarly and policy literatures, the definitional variance associated with the term ‘terrorism’ stems from the conflicting focal points around which each definition is conceived: the separation between the ‘ends’ and ‘means’ of terrorism. To illustrate this point, consider the Rand Database of Worldwide Terrorism Incidents, a record of incidents of terror that occurred across the globe dating back to 1986. This database defines terrorism solely on the basis of the ‘means’ through which it is accomplished – the nature of the act itself. As such, the Rand Database’s definition does not take into account “the identity of the perpetrators or the nature of their cause.”</w:t>
      </w:r>
      <w:r w:rsidRPr="00632B0E">
        <w:rPr>
          <w:rStyle w:val="FootnoteReference"/>
          <w:rFonts w:cs="Times New Roman"/>
        </w:rPr>
        <w:footnoteReference w:id="77"/>
      </w:r>
      <w:r w:rsidRPr="00632B0E">
        <w:rPr>
          <w:rFonts w:cs="Times New Roman"/>
        </w:rPr>
        <w:t xml:space="preserve"> Conversely, Bruce Hoffman’s widely-used definition</w:t>
      </w:r>
      <w:r>
        <w:rPr>
          <w:rFonts w:cs="Times New Roman"/>
        </w:rPr>
        <w:t xml:space="preserve"> suggests</w:t>
      </w:r>
      <w:r w:rsidRPr="00632B0E">
        <w:rPr>
          <w:rFonts w:cs="Times New Roman"/>
        </w:rPr>
        <w:t xml:space="preserve"> terrorism as “the deliberate creation and exploitation of fear through violence or the threat of violence in pursuit of political change.”</w:t>
      </w:r>
      <w:r w:rsidRPr="00632B0E">
        <w:rPr>
          <w:rStyle w:val="FootnoteReference"/>
          <w:rFonts w:cs="Times New Roman"/>
        </w:rPr>
        <w:footnoteReference w:id="78"/>
      </w:r>
      <w:r w:rsidRPr="00632B0E">
        <w:rPr>
          <w:rFonts w:cs="Times New Roman"/>
        </w:rPr>
        <w:t xml:space="preserve"> To that end, Hoffman frames his definition of terrorism on the basis of the ‘ends’ that its perpetrators are trying to affect. In doing this, he fails to specify the </w:t>
      </w:r>
      <w:r w:rsidRPr="00632B0E">
        <w:rPr>
          <w:rFonts w:cs="Times New Roman"/>
          <w:i/>
          <w:iCs/>
        </w:rPr>
        <w:t xml:space="preserve">type </w:t>
      </w:r>
      <w:r w:rsidRPr="00632B0E">
        <w:rPr>
          <w:rFonts w:cs="Times New Roman"/>
        </w:rPr>
        <w:t xml:space="preserve">of actions that constitute terrorism </w:t>
      </w:r>
      <w:r w:rsidRPr="00632B0E">
        <w:rPr>
          <w:rFonts w:cs="Times New Roman"/>
          <w:i/>
          <w:iCs/>
        </w:rPr>
        <w:t xml:space="preserve">as a phenomenon, </w:t>
      </w:r>
      <w:r w:rsidRPr="00632B0E">
        <w:rPr>
          <w:rFonts w:cs="Times New Roman"/>
        </w:rPr>
        <w:t>with complex constituent factors but also the ways in which terrorism works through media to achieve specific goals. The notion of media coverage as the ‘mode’ through which terrorism affects (state) legitimacy will be discussed further in Chapter 5; the manner through which media coverage is able to have this effect will be analyzed in Chapter 7.</w:t>
      </w:r>
    </w:p>
    <w:p w14:paraId="7081967B" w14:textId="77777777" w:rsidR="0051124B" w:rsidRPr="00632B0E" w:rsidRDefault="0051124B" w:rsidP="00546721">
      <w:pPr>
        <w:pStyle w:val="DissertationSection2"/>
      </w:pPr>
      <w:bookmarkStart w:id="22" w:name="_Toc175413127"/>
      <w:r w:rsidRPr="00632B0E">
        <w:t>Is Terrorism an “Essentially Contested Concept”?</w:t>
      </w:r>
      <w:bookmarkEnd w:id="22"/>
    </w:p>
    <w:p w14:paraId="06C1A7D0" w14:textId="44900A3C" w:rsidR="0051124B" w:rsidRPr="00632B0E" w:rsidRDefault="0051124B" w:rsidP="00546721">
      <w:pPr>
        <w:ind w:firstLine="567"/>
        <w:rPr>
          <w:rFonts w:cs="Times New Roman"/>
        </w:rPr>
      </w:pPr>
      <w:r w:rsidRPr="00632B0E">
        <w:rPr>
          <w:rFonts w:cs="Times New Roman"/>
        </w:rPr>
        <w:t xml:space="preserve">The seeming incompatibility of the merits associated with the approaches to defining terrorism exemplified by Hoffman and the Rand Database leads scholars like J.A.S Wild to suggest that terrorism be identified as one of W.B. Gallie’s essentially contested concepts: a term </w:t>
      </w:r>
      <w:r w:rsidRPr="00632B0E">
        <w:rPr>
          <w:rFonts w:cs="Times New Roman"/>
        </w:rPr>
        <w:lastRenderedPageBreak/>
        <w:t>so normatively loaded that no amount of debate or evidence will lead to agreement on their “correct or standard use.”</w:t>
      </w:r>
      <w:r w:rsidRPr="00632B0E">
        <w:rPr>
          <w:rStyle w:val="FootnoteReference"/>
          <w:rFonts w:cs="Times New Roman"/>
        </w:rPr>
        <w:footnoteReference w:id="79"/>
      </w:r>
      <w:r w:rsidRPr="00632B0E">
        <w:rPr>
          <w:rFonts w:cs="Times New Roman"/>
        </w:rPr>
        <w:t xml:space="preserve"> Indeed,  “essentially contested concepts” are best described as existing on a continuum.</w:t>
      </w:r>
      <w:r w:rsidRPr="00632B0E">
        <w:rPr>
          <w:rStyle w:val="FootnoteReference"/>
          <w:rFonts w:cs="Times New Roman"/>
        </w:rPr>
        <w:footnoteReference w:id="80"/>
      </w:r>
      <w:r w:rsidRPr="00632B0E">
        <w:rPr>
          <w:rFonts w:cs="Times New Roman"/>
        </w:rPr>
        <w:t xml:space="preserve"> One extreme of this continuum represents the “stronger variants” described by Christine Swanton, which border on John N. Gray’s doomsday prediction of a “radical sceptical nihilism” in relation to academic attempts to define concepts in the first place.</w:t>
      </w:r>
      <w:r w:rsidRPr="00632B0E">
        <w:rPr>
          <w:rStyle w:val="FootnoteReference"/>
          <w:rFonts w:cs="Times New Roman"/>
        </w:rPr>
        <w:footnoteReference w:id="81"/>
      </w:r>
      <w:r w:rsidRPr="00632B0E">
        <w:rPr>
          <w:rFonts w:cs="Times New Roman"/>
        </w:rPr>
        <w:t xml:space="preserve"> The continuum’s other extreme consists of Harvey Boulay’s description of “operationalized… </w:t>
      </w:r>
      <w:proofErr w:type="spellStart"/>
      <w:r w:rsidRPr="00632B0E">
        <w:rPr>
          <w:rFonts w:cs="Times New Roman"/>
        </w:rPr>
        <w:t>clarifi</w:t>
      </w:r>
      <w:proofErr w:type="spellEnd"/>
      <w:r w:rsidRPr="00632B0E">
        <w:rPr>
          <w:rFonts w:cs="Times New Roman"/>
        </w:rPr>
        <w:t>[ed] concepts” that are asserted to have clear-cut definitions.</w:t>
      </w:r>
      <w:r w:rsidRPr="00632B0E">
        <w:rPr>
          <w:rStyle w:val="FootnoteReference"/>
          <w:rFonts w:cs="Times New Roman"/>
        </w:rPr>
        <w:footnoteReference w:id="82"/>
      </w:r>
      <w:r w:rsidRPr="00632B0E">
        <w:rPr>
          <w:rFonts w:cs="Times New Roman"/>
        </w:rPr>
        <w:t xml:space="preserve"> The space between the two extremes, on the other hand, is constituted by varying strengths of the “weaker” variations of Gallie’s “essentially contested concepts” described by Swanton.</w:t>
      </w:r>
      <w:r w:rsidRPr="00632B0E">
        <w:rPr>
          <w:rStyle w:val="FootnoteReference"/>
          <w:rFonts w:cs="Times New Roman"/>
        </w:rPr>
        <w:footnoteReference w:id="83"/>
      </w:r>
    </w:p>
    <w:p w14:paraId="4E4F797B" w14:textId="77777777" w:rsidR="0051124B" w:rsidRPr="00632B0E" w:rsidRDefault="0051124B" w:rsidP="00546721">
      <w:pPr>
        <w:pStyle w:val="DissertationSection2"/>
      </w:pPr>
      <w:bookmarkStart w:id="23" w:name="_Toc175413128"/>
      <w:r w:rsidRPr="00632B0E">
        <w:t>The Analytical Utility of “Essentially Contested Concepts”: Conceptual Clash</w:t>
      </w:r>
      <w:bookmarkEnd w:id="23"/>
      <w:r w:rsidRPr="00632B0E">
        <w:t xml:space="preserve"> </w:t>
      </w:r>
    </w:p>
    <w:p w14:paraId="59F42FE2" w14:textId="77777777" w:rsidR="0051124B" w:rsidRPr="00632B0E" w:rsidRDefault="0051124B" w:rsidP="0051124B">
      <w:pPr>
        <w:ind w:firstLine="567"/>
        <w:rPr>
          <w:rFonts w:cs="Times New Roman"/>
        </w:rPr>
      </w:pPr>
      <w:r w:rsidRPr="00632B0E">
        <w:rPr>
          <w:rFonts w:cs="Times New Roman"/>
        </w:rPr>
        <w:lastRenderedPageBreak/>
        <w:t>Understanding the analytical utility associated with both Gallie’s notion of “essentially contested concepts,” and the construction of an essential contested-ness continuum requires exploring the rationale behind conceptualizing a concept like ‘terrorism’ as essentially contested. This rationale accords with Baldwin’s assertion that the core of what this classification denotes rests on its “</w:t>
      </w:r>
      <w:proofErr w:type="spellStart"/>
      <w:r w:rsidRPr="00632B0E">
        <w:rPr>
          <w:rFonts w:cs="Times New Roman"/>
        </w:rPr>
        <w:t>generat</w:t>
      </w:r>
      <w:proofErr w:type="spellEnd"/>
      <w:r w:rsidRPr="00632B0E">
        <w:rPr>
          <w:rFonts w:cs="Times New Roman"/>
        </w:rPr>
        <w:t>[</w:t>
      </w:r>
      <w:proofErr w:type="spellStart"/>
      <w:r w:rsidRPr="00632B0E">
        <w:rPr>
          <w:rFonts w:cs="Times New Roman"/>
        </w:rPr>
        <w:t>ing</w:t>
      </w:r>
      <w:proofErr w:type="spellEnd"/>
      <w:r w:rsidRPr="00632B0E">
        <w:rPr>
          <w:rFonts w:cs="Times New Roman"/>
        </w:rPr>
        <w:t>] vigorous disputes as to the nature of the concept and its applicability to various cases.”</w:t>
      </w:r>
      <w:r w:rsidRPr="00632B0E">
        <w:rPr>
          <w:rStyle w:val="FootnoteReference"/>
          <w:rFonts w:cs="Times New Roman"/>
        </w:rPr>
        <w:footnoteReference w:id="84"/>
      </w:r>
      <w:r w:rsidRPr="00632B0E">
        <w:rPr>
          <w:rFonts w:cs="Times New Roman"/>
        </w:rPr>
        <w:t xml:space="preserve"> Gallie’s essentially contested concepts are notions, ideas, terms and phrases whose definitions are disputed on the basis of a competing clash. I conceive of a conceptual clash associated with the implicit question(s) that the competing definitions proposed are trying to answer. To that end, clash is advanced here as a means that forces us to face definitional irreconcilabilities. The clash associated with a definitional debate on or about an “essentially contested concept” inherently constitutes “the nature of the concept” and, to that end, “its applicability to various cases.”</w:t>
      </w:r>
      <w:r w:rsidRPr="00632B0E">
        <w:rPr>
          <w:rStyle w:val="FootnoteReference"/>
          <w:rFonts w:cs="Times New Roman"/>
        </w:rPr>
        <w:footnoteReference w:id="85"/>
      </w:r>
      <w:r w:rsidRPr="00632B0E">
        <w:rPr>
          <w:rFonts w:cs="Times New Roman"/>
        </w:rPr>
        <w:t xml:space="preserve"> As such, the clash associated with an “essentially contested concept” necessarily involves the convergence of two opinions on one idea. In the context of the definitional debate associated with one of Gallie’s concepts, the clash creates a situation where the point, or points of contention, between the disputing parties cannot be resolved without negating the implicit arguments that both parties are trying to make about its nature, applicability, and operationalization.</w:t>
      </w:r>
    </w:p>
    <w:p w14:paraId="7C5E063E" w14:textId="2F19AA33" w:rsidR="00D03C79" w:rsidRPr="00632B0E" w:rsidRDefault="0051124B" w:rsidP="00546721">
      <w:pPr>
        <w:ind w:firstLine="567"/>
        <w:rPr>
          <w:rFonts w:cs="Times New Roman"/>
        </w:rPr>
      </w:pPr>
      <w:r w:rsidRPr="00632B0E">
        <w:rPr>
          <w:rFonts w:cs="Times New Roman"/>
        </w:rPr>
        <w:t>An example of an “essentially contested concept” in the context of the National Hockey League (NHL) is the question of which team constitutes “the best team” in the NHL in a given year. In this context, “best team” is an “essentially contested concept” because different ideas as to what makes a team the “best” are necessarily irreconcilable.</w:t>
      </w:r>
      <w:r w:rsidRPr="00632B0E">
        <w:rPr>
          <w:rStyle w:val="FootnoteReference"/>
          <w:rFonts w:cs="Times New Roman"/>
        </w:rPr>
        <w:footnoteReference w:id="86"/>
      </w:r>
      <w:r w:rsidRPr="00632B0E">
        <w:rPr>
          <w:rFonts w:cs="Times New Roman"/>
        </w:rPr>
        <w:t xml:space="preserve"> On the one hand, there is the opinion that the “best team” is necessarily the team with the most talent, as indicated by its “regular season record.”</w:t>
      </w:r>
      <w:r w:rsidRPr="00632B0E">
        <w:rPr>
          <w:rStyle w:val="FootnoteReference"/>
          <w:rFonts w:cs="Times New Roman"/>
        </w:rPr>
        <w:footnoteReference w:id="87"/>
      </w:r>
      <w:r w:rsidRPr="00632B0E">
        <w:rPr>
          <w:rFonts w:cs="Times New Roman"/>
        </w:rPr>
        <w:t xml:space="preserve"> On the other hand, there is the necessarily contrasting opinion that “the best team always wins the Stanley Cup.”</w:t>
      </w:r>
      <w:r w:rsidRPr="00632B0E">
        <w:rPr>
          <w:rStyle w:val="FootnoteReference"/>
          <w:rFonts w:cs="Times New Roman"/>
        </w:rPr>
        <w:footnoteReference w:id="88"/>
      </w:r>
      <w:r w:rsidRPr="00632B0E">
        <w:rPr>
          <w:rFonts w:cs="Times New Roman"/>
        </w:rPr>
        <w:t xml:space="preserve"> The second opinion prioritizes the idea that being the “best” involves being able to put out the necessary performance when it matters.</w:t>
      </w:r>
      <w:r w:rsidRPr="00632B0E">
        <w:rPr>
          <w:rStyle w:val="FootnoteReference"/>
          <w:rFonts w:cs="Times New Roman"/>
        </w:rPr>
        <w:t xml:space="preserve"> </w:t>
      </w:r>
      <w:r w:rsidRPr="00632B0E">
        <w:rPr>
          <w:rStyle w:val="FootnoteReference"/>
          <w:rFonts w:cs="Times New Roman"/>
        </w:rPr>
        <w:footnoteReference w:id="89"/>
      </w:r>
      <w:r w:rsidRPr="00632B0E">
        <w:rPr>
          <w:rFonts w:cs="Times New Roman"/>
        </w:rPr>
        <w:t xml:space="preserve">  Crucial to understanding the concept of “the best team” as “essentially contested” in nature is that both of the opinions mentioned above </w:t>
      </w:r>
      <w:r w:rsidRPr="00632B0E">
        <w:rPr>
          <w:rFonts w:cs="Times New Roman"/>
          <w:i/>
          <w:iCs/>
        </w:rPr>
        <w:t>cannot be true at the same time</w:t>
      </w:r>
      <w:r w:rsidRPr="00632B0E">
        <w:rPr>
          <w:rFonts w:cs="Times New Roman"/>
        </w:rPr>
        <w:t xml:space="preserve">. As such, the clash associated with “the best team” as one of Gallie’s “essentially contested concepts” is the implicit question as to whether being able to perform “when it matters” is a more significant indicator of being “the best team” in the NHL than a team’s overall performance over the course of the season. Key to this example of clash is the understanding that there are two different definitions of “best,” both of which are factually accurate but cannot be reconciled with one another. Similarly, it is possible to conceive of multiple definitions of terrorism that cannot all be true at the same </w:t>
      </w:r>
      <w:r w:rsidR="00542581" w:rsidRPr="00632B0E">
        <w:rPr>
          <w:rFonts w:cs="Times New Roman"/>
        </w:rPr>
        <w:t>time but</w:t>
      </w:r>
      <w:r w:rsidRPr="00632B0E">
        <w:rPr>
          <w:rFonts w:cs="Times New Roman"/>
        </w:rPr>
        <w:t xml:space="preserve"> are all academically accurate just the same.</w:t>
      </w:r>
      <w:r>
        <w:rPr>
          <w:rFonts w:cs="Times New Roman"/>
        </w:rPr>
        <w:t xml:space="preserve"> </w:t>
      </w:r>
    </w:p>
    <w:p w14:paraId="66EF80FB" w14:textId="77777777" w:rsidR="0051124B" w:rsidRPr="00632B0E" w:rsidRDefault="0051124B" w:rsidP="00546721">
      <w:pPr>
        <w:pStyle w:val="DissertationSection2"/>
      </w:pPr>
      <w:bookmarkStart w:id="24" w:name="_Toc175413129"/>
      <w:r w:rsidRPr="00632B0E">
        <w:lastRenderedPageBreak/>
        <w:t xml:space="preserve">Competing </w:t>
      </w:r>
      <w:r w:rsidRPr="00632B0E">
        <w:rPr>
          <w:i/>
          <w:iCs/>
        </w:rPr>
        <w:t xml:space="preserve">De Minimis </w:t>
      </w:r>
      <w:r w:rsidRPr="00632B0E">
        <w:t>Definitions of Terrorism</w:t>
      </w:r>
      <w:bookmarkEnd w:id="24"/>
    </w:p>
    <w:p w14:paraId="49C39D3C" w14:textId="1848AB0A" w:rsidR="00D03C79" w:rsidRPr="00632B0E" w:rsidRDefault="0051124B" w:rsidP="00546721">
      <w:pPr>
        <w:ind w:firstLine="567"/>
        <w:rPr>
          <w:rFonts w:cs="Times New Roman"/>
        </w:rPr>
      </w:pPr>
      <w:r w:rsidRPr="00632B0E">
        <w:rPr>
          <w:rFonts w:cs="Times New Roman"/>
        </w:rPr>
        <w:t xml:space="preserve">There is utility associated with conceiving of terrorism as an essentially contested concept because implicitly, clash is necessarily inherent to all essentially contested concepts as Gallie conceives of them. The dichotomy between the underlying focus of the </w:t>
      </w:r>
      <w:r w:rsidRPr="00632B0E">
        <w:rPr>
          <w:rFonts w:cs="Times New Roman"/>
          <w:i/>
          <w:iCs/>
        </w:rPr>
        <w:t>de minimis</w:t>
      </w:r>
      <w:r w:rsidRPr="00632B0E">
        <w:rPr>
          <w:rFonts w:cs="Times New Roman"/>
        </w:rPr>
        <w:t xml:space="preserve"> scholarly definition of terrorism and the underlying focus of the </w:t>
      </w:r>
      <w:r w:rsidRPr="00632B0E">
        <w:rPr>
          <w:rFonts w:cs="Times New Roman"/>
          <w:i/>
          <w:iCs/>
        </w:rPr>
        <w:t>de minimis</w:t>
      </w:r>
      <w:r w:rsidRPr="00632B0E">
        <w:rPr>
          <w:rFonts w:cs="Times New Roman"/>
        </w:rPr>
        <w:t xml:space="preserve"> policy definition of terrorism hint at the clash associated with defining terrorism. This dissertation takes Schmid and Jongman’s 1988 “academic consensus definition of terrorism” as its point of departure in suggesting a </w:t>
      </w:r>
      <w:r w:rsidRPr="00632B0E">
        <w:rPr>
          <w:rFonts w:cs="Times New Roman"/>
          <w:i/>
          <w:iCs/>
        </w:rPr>
        <w:t>de minimis</w:t>
      </w:r>
      <w:r w:rsidRPr="00632B0E">
        <w:rPr>
          <w:rFonts w:cs="Times New Roman"/>
        </w:rPr>
        <w:t xml:space="preserve"> definition of terrorism implicit </w:t>
      </w:r>
      <w:r>
        <w:rPr>
          <w:rFonts w:cs="Times New Roman"/>
        </w:rPr>
        <w:t xml:space="preserve">within </w:t>
      </w:r>
      <w:r w:rsidRPr="00632B0E">
        <w:rPr>
          <w:rFonts w:cs="Times New Roman"/>
        </w:rPr>
        <w:t xml:space="preserve">the scholarly literature. As well, it extends Schmid and Jongman’s methodology, in conceiving of their “academic consensus definition of terrorism,” to suggest a parallel </w:t>
      </w:r>
      <w:r w:rsidRPr="00632B0E">
        <w:rPr>
          <w:rFonts w:cs="Times New Roman"/>
          <w:i/>
          <w:iCs/>
        </w:rPr>
        <w:t xml:space="preserve">de minimis </w:t>
      </w:r>
      <w:r w:rsidRPr="007852AD">
        <w:rPr>
          <w:rFonts w:cs="Times New Roman"/>
        </w:rPr>
        <w:t>implicit</w:t>
      </w:r>
      <w:r>
        <w:rPr>
          <w:rFonts w:cs="Times New Roman"/>
          <w:i/>
          <w:iCs/>
        </w:rPr>
        <w:t xml:space="preserve"> </w:t>
      </w:r>
      <w:r w:rsidRPr="00632B0E">
        <w:rPr>
          <w:rFonts w:cs="Times New Roman"/>
        </w:rPr>
        <w:t xml:space="preserve">definition of terrorism </w:t>
      </w:r>
      <w:r>
        <w:rPr>
          <w:rFonts w:cs="Times New Roman"/>
        </w:rPr>
        <w:t>relevant</w:t>
      </w:r>
      <w:r w:rsidRPr="00632B0E">
        <w:rPr>
          <w:rFonts w:cs="Times New Roman"/>
        </w:rPr>
        <w:t xml:space="preserve"> </w:t>
      </w:r>
      <w:r>
        <w:rPr>
          <w:rFonts w:cs="Times New Roman"/>
        </w:rPr>
        <w:t xml:space="preserve">to </w:t>
      </w:r>
      <w:r w:rsidRPr="00632B0E">
        <w:rPr>
          <w:rFonts w:cs="Times New Roman"/>
        </w:rPr>
        <w:t>contemporary international policy.</w:t>
      </w:r>
    </w:p>
    <w:p w14:paraId="22E255F1" w14:textId="77777777" w:rsidR="0051124B" w:rsidRPr="00632B0E" w:rsidRDefault="0051124B" w:rsidP="00E13D63">
      <w:pPr>
        <w:pStyle w:val="DissertationSection3"/>
      </w:pPr>
      <w:bookmarkStart w:id="25" w:name="_Toc175413130"/>
      <w:r w:rsidRPr="00632B0E">
        <w:t xml:space="preserve">A </w:t>
      </w:r>
      <w:r w:rsidRPr="00632B0E">
        <w:rPr>
          <w:i/>
          <w:iCs/>
        </w:rPr>
        <w:t>De Minimis</w:t>
      </w:r>
      <w:r w:rsidRPr="00632B0E">
        <w:t xml:space="preserve"> Scholarly Definition of Terrorism</w:t>
      </w:r>
      <w:bookmarkEnd w:id="25"/>
    </w:p>
    <w:p w14:paraId="6007C116" w14:textId="77777777" w:rsidR="0051124B" w:rsidRPr="00632B0E" w:rsidRDefault="0051124B" w:rsidP="0051124B">
      <w:pPr>
        <w:ind w:firstLine="567"/>
        <w:rPr>
          <w:rFonts w:cs="Times New Roman"/>
        </w:rPr>
      </w:pPr>
      <w:r w:rsidRPr="00632B0E">
        <w:rPr>
          <w:rFonts w:cs="Times New Roman"/>
        </w:rPr>
        <w:t>In 1988, Schmid and Jongman produced “the best-known work on this problem of definitions” by collating an academic consensus definition of ‘terrorism’ that distills the distinguishing features of ‘terrorism’.</w:t>
      </w:r>
      <w:r w:rsidRPr="00632B0E">
        <w:rPr>
          <w:rStyle w:val="FootnoteReference"/>
          <w:rFonts w:cs="Times New Roman"/>
        </w:rPr>
        <w:footnoteReference w:id="90"/>
      </w:r>
      <w:r w:rsidRPr="00632B0E">
        <w:rPr>
          <w:rFonts w:cs="Times New Roman"/>
        </w:rPr>
        <w:t xml:space="preserve"> These features are derived from the 1985 input of 109 ‘terrorism’ experts of international renown based on the distilling of submitted questionnaire responses into twenty-two distinct definitional elements.</w:t>
      </w:r>
      <w:r w:rsidRPr="00632B0E">
        <w:rPr>
          <w:rStyle w:val="FootnoteReference"/>
          <w:rFonts w:cs="Times New Roman"/>
        </w:rPr>
        <w:footnoteReference w:id="91"/>
      </w:r>
      <w:r w:rsidRPr="00632B0E">
        <w:rPr>
          <w:rFonts w:cs="Times New Roman"/>
        </w:rPr>
        <w:t xml:space="preserve"> Schmid and Jongman’s asserted objective in undertaking this study was to construct the </w:t>
      </w:r>
      <w:r w:rsidRPr="00632B0E">
        <w:rPr>
          <w:rFonts w:cs="Times New Roman"/>
          <w:i/>
          <w:iCs/>
        </w:rPr>
        <w:t>most</w:t>
      </w:r>
      <w:r w:rsidRPr="00632B0E">
        <w:rPr>
          <w:rFonts w:cs="Times New Roman"/>
        </w:rPr>
        <w:t xml:space="preserve"> comprehensive definition of terrorism possible.</w:t>
      </w:r>
      <w:r w:rsidRPr="00632B0E">
        <w:rPr>
          <w:rStyle w:val="FootnoteReference"/>
          <w:rFonts w:cs="Times New Roman"/>
        </w:rPr>
        <w:footnoteReference w:id="92"/>
      </w:r>
      <w:r w:rsidRPr="00632B0E">
        <w:rPr>
          <w:rFonts w:cs="Times New Roman"/>
        </w:rPr>
        <w:t xml:space="preserve"> To that end, they conceptualize ‘terrorism’ as: </w:t>
      </w:r>
    </w:p>
    <w:p w14:paraId="24874E39" w14:textId="77777777" w:rsidR="0051124B" w:rsidRPr="00632B0E" w:rsidRDefault="0051124B" w:rsidP="0051124B">
      <w:pPr>
        <w:ind w:left="720"/>
        <w:rPr>
          <w:rFonts w:cs="Times New Roman"/>
        </w:rPr>
      </w:pPr>
      <w:r w:rsidRPr="00632B0E">
        <w:rPr>
          <w:rFonts w:cs="Times New Roman"/>
        </w:rPr>
        <w:t>… an anxiety-inspiring method of repeated violent action, employed by (semi-) clandestine individual, group, or state actors, for idiosyncratic, criminal, or political reasons, whereby - in contrast to assassination - the direct targets of violence are not the main targets. The immediate human victims of violence are generally chosen randomly (targets of opportunity) or selectively (representative or symbolic targets) from a target population, and serve as message generators. Threat- and violence-based communication processes between terrorist (organization), (imperiled) victims, and main targets are used to manipulate the main target (audience(s)), turning it into a target of terror, a target of demands, or a target of attention, depending on whether intimidation, coercion, or propaganda is primarily sought.</w:t>
      </w:r>
      <w:r w:rsidRPr="00632B0E">
        <w:rPr>
          <w:rStyle w:val="FootnoteReference"/>
          <w:rFonts w:cs="Times New Roman"/>
        </w:rPr>
        <w:footnoteReference w:id="93"/>
      </w:r>
      <w:r w:rsidRPr="00632B0E">
        <w:rPr>
          <w:rFonts w:cs="Times New Roman"/>
        </w:rPr>
        <w:t xml:space="preserve"> </w:t>
      </w:r>
    </w:p>
    <w:p w14:paraId="75D0A364" w14:textId="77777777" w:rsidR="0051124B" w:rsidRPr="00632B0E" w:rsidRDefault="0051124B" w:rsidP="0051124B">
      <w:pPr>
        <w:rPr>
          <w:rFonts w:cs="Times New Roman"/>
        </w:rPr>
      </w:pPr>
      <w:r w:rsidRPr="00632B0E">
        <w:rPr>
          <w:rFonts w:cs="Times New Roman"/>
        </w:rPr>
        <w:t xml:space="preserve">This definition is significant because it integrates the sixteen elements that Schmid and Jongman identified as having the highest frequency of recurrence in the 109 responses analyzed by their 1988 research. 2004 research produced by Leonard Weinberg, Ami </w:t>
      </w:r>
      <w:proofErr w:type="spellStart"/>
      <w:r w:rsidRPr="00632B0E">
        <w:rPr>
          <w:rFonts w:cs="Times New Roman"/>
        </w:rPr>
        <w:t>Pedahzur</w:t>
      </w:r>
      <w:proofErr w:type="spellEnd"/>
      <w:r w:rsidRPr="00632B0E">
        <w:rPr>
          <w:rFonts w:cs="Times New Roman"/>
        </w:rPr>
        <w:t xml:space="preserve"> and Sivan Hirsch-</w:t>
      </w:r>
      <w:proofErr w:type="spellStart"/>
      <w:r w:rsidRPr="00632B0E">
        <w:rPr>
          <w:rFonts w:cs="Times New Roman"/>
        </w:rPr>
        <w:t>Hoefler</w:t>
      </w:r>
      <w:proofErr w:type="spellEnd"/>
      <w:r w:rsidRPr="00632B0E">
        <w:rPr>
          <w:rFonts w:cs="Times New Roman"/>
        </w:rPr>
        <w:t xml:space="preserve"> later confirmed the frequency of these sixteen elements. Weinberg et. al. substantiated Schmid and Jongman’s conclusion as to the necessity that any definition of terrorism specifies the following three most frequent definitional elements in both studies:</w:t>
      </w:r>
    </w:p>
    <w:p w14:paraId="6019267E" w14:textId="77777777" w:rsidR="0051124B" w:rsidRPr="00632B0E" w:rsidRDefault="0051124B" w:rsidP="0051124B">
      <w:pPr>
        <w:pStyle w:val="ListParagraph"/>
        <w:numPr>
          <w:ilvl w:val="0"/>
          <w:numId w:val="3"/>
        </w:numPr>
        <w:rPr>
          <w:rFonts w:cs="Times New Roman"/>
        </w:rPr>
      </w:pPr>
      <w:r w:rsidRPr="00632B0E">
        <w:rPr>
          <w:rFonts w:cs="Times New Roman"/>
        </w:rPr>
        <w:t xml:space="preserve">violence, the use of force; </w:t>
      </w:r>
    </w:p>
    <w:p w14:paraId="3FE690A8" w14:textId="77777777" w:rsidR="0051124B" w:rsidRPr="00632B0E" w:rsidRDefault="0051124B" w:rsidP="0051124B">
      <w:pPr>
        <w:pStyle w:val="ListParagraph"/>
        <w:numPr>
          <w:ilvl w:val="0"/>
          <w:numId w:val="3"/>
        </w:numPr>
        <w:rPr>
          <w:rFonts w:cs="Times New Roman"/>
        </w:rPr>
      </w:pPr>
      <w:r w:rsidRPr="00632B0E">
        <w:rPr>
          <w:rFonts w:cs="Times New Roman"/>
        </w:rPr>
        <w:t xml:space="preserve">the political reasons underlying its perpetration, and </w:t>
      </w:r>
    </w:p>
    <w:p w14:paraId="0B48518E" w14:textId="77777777" w:rsidR="0051124B" w:rsidRPr="00632B0E" w:rsidRDefault="0051124B" w:rsidP="0051124B">
      <w:pPr>
        <w:pStyle w:val="ListParagraph"/>
        <w:numPr>
          <w:ilvl w:val="0"/>
          <w:numId w:val="3"/>
        </w:numPr>
        <w:ind w:left="1077" w:hanging="357"/>
        <w:rPr>
          <w:rFonts w:cs="Times New Roman"/>
        </w:rPr>
      </w:pPr>
      <w:r w:rsidRPr="00632B0E">
        <w:rPr>
          <w:rFonts w:cs="Times New Roman"/>
        </w:rPr>
        <w:t>an emphasis on inculcating fear and terror.</w:t>
      </w:r>
    </w:p>
    <w:p w14:paraId="26D711E6" w14:textId="26EAE652" w:rsidR="00D03C79" w:rsidRPr="00632B0E" w:rsidRDefault="0051124B" w:rsidP="0051124B">
      <w:pPr>
        <w:rPr>
          <w:rFonts w:cs="Times New Roman"/>
        </w:rPr>
      </w:pPr>
      <w:r w:rsidRPr="00632B0E">
        <w:rPr>
          <w:rFonts w:cs="Times New Roman"/>
        </w:rPr>
        <w:lastRenderedPageBreak/>
        <w:t xml:space="preserve">This demonstrates that it </w:t>
      </w:r>
      <w:r w:rsidRPr="007852AD">
        <w:rPr>
          <w:rFonts w:cs="Times New Roman"/>
          <w:i/>
          <w:iCs/>
        </w:rPr>
        <w:t>is</w:t>
      </w:r>
      <w:r w:rsidRPr="00632B0E">
        <w:rPr>
          <w:rFonts w:cs="Times New Roman"/>
        </w:rPr>
        <w:t xml:space="preserve"> possible to conceive of a </w:t>
      </w:r>
      <w:r w:rsidRPr="00632B0E">
        <w:rPr>
          <w:rFonts w:cs="Times New Roman"/>
          <w:i/>
          <w:iCs/>
        </w:rPr>
        <w:t xml:space="preserve">de minimis </w:t>
      </w:r>
      <w:r w:rsidRPr="00632B0E">
        <w:rPr>
          <w:rFonts w:cs="Times New Roman"/>
        </w:rPr>
        <w:t>definition of terrorism implicit in the scholarly literature by employing a reverse-variation of the 1988 Schmid and Jongman methodology.</w:t>
      </w:r>
      <w:r w:rsidRPr="00632B0E">
        <w:rPr>
          <w:rStyle w:val="FootnoteReference"/>
          <w:rFonts w:cs="Times New Roman"/>
        </w:rPr>
        <w:footnoteReference w:id="94"/>
      </w:r>
      <w:r w:rsidRPr="00632B0E">
        <w:rPr>
          <w:rFonts w:cs="Times New Roman"/>
        </w:rPr>
        <w:t xml:space="preserve"> This dissertation employs a </w:t>
      </w:r>
      <w:r w:rsidRPr="00632B0E">
        <w:rPr>
          <w:rFonts w:cs="Times New Roman"/>
          <w:i/>
          <w:iCs/>
        </w:rPr>
        <w:t xml:space="preserve">de minimis </w:t>
      </w:r>
      <w:r w:rsidRPr="00632B0E">
        <w:rPr>
          <w:rFonts w:cs="Times New Roman"/>
        </w:rPr>
        <w:t>definition of terrorism implicit in the scholarly literature by amalgamating the definitional elements that the 1988 and 2004 studies identify as having a greater than fifty (50) percent frequency of recurrence.</w:t>
      </w:r>
      <w:r w:rsidRPr="00632B0E">
        <w:rPr>
          <w:rStyle w:val="FootnoteReference"/>
          <w:rFonts w:cs="Times New Roman"/>
        </w:rPr>
        <w:footnoteReference w:id="95"/>
      </w:r>
      <w:r w:rsidRPr="00632B0E">
        <w:rPr>
          <w:rFonts w:cs="Times New Roman"/>
        </w:rPr>
        <w:t xml:space="preserve"> In accordance with Weinberg et. al.’s 2004 study’s confirmation of two of the three elements identified as having a greater than 50 percent frequency of recurrence in the original 1988 study, this dissertation conceives of the </w:t>
      </w:r>
      <w:r w:rsidRPr="00632B0E">
        <w:rPr>
          <w:rFonts w:cs="Times New Roman"/>
          <w:i/>
          <w:iCs/>
        </w:rPr>
        <w:t>de minimis</w:t>
      </w:r>
      <w:r w:rsidRPr="00632B0E">
        <w:rPr>
          <w:rFonts w:cs="Times New Roman"/>
        </w:rPr>
        <w:t xml:space="preserve"> definition of terrorism implicit to the scholarly literature as constituting the use of violence or force towards political ends.</w:t>
      </w:r>
      <w:r w:rsidRPr="00632B0E">
        <w:rPr>
          <w:rStyle w:val="FootnoteReference"/>
          <w:rFonts w:cs="Times New Roman"/>
        </w:rPr>
        <w:footnoteReference w:id="96"/>
      </w:r>
    </w:p>
    <w:p w14:paraId="2F9D06BA" w14:textId="77777777" w:rsidR="0051124B" w:rsidRPr="00632B0E" w:rsidRDefault="0051124B" w:rsidP="00E13D63">
      <w:pPr>
        <w:pStyle w:val="DissertationSection3"/>
      </w:pPr>
      <w:bookmarkStart w:id="26" w:name="_Toc175413131"/>
      <w:r w:rsidRPr="00632B0E">
        <w:t xml:space="preserve">Conceiving of a </w:t>
      </w:r>
      <w:r w:rsidRPr="00632B0E">
        <w:rPr>
          <w:i/>
          <w:iCs/>
        </w:rPr>
        <w:t>De Minimis</w:t>
      </w:r>
      <w:r w:rsidRPr="00632B0E">
        <w:t xml:space="preserve"> Policy Definition of Terrorism</w:t>
      </w:r>
      <w:bookmarkEnd w:id="26"/>
    </w:p>
    <w:p w14:paraId="3617E7B6" w14:textId="77777777" w:rsidR="0051124B" w:rsidRPr="00632B0E" w:rsidRDefault="0051124B" w:rsidP="0051124B">
      <w:pPr>
        <w:ind w:firstLine="567"/>
        <w:rPr>
          <w:rFonts w:cs="Times New Roman"/>
        </w:rPr>
      </w:pPr>
      <w:r w:rsidRPr="00632B0E">
        <w:rPr>
          <w:rFonts w:cs="Times New Roman"/>
        </w:rPr>
        <w:t xml:space="preserve">Much of the added value of the 1988 Schmid and Jongman study stems from its innovative interdisciplinary methodology. That notwithstanding, there is a significant oversight in Schmid and Jongman’s approach which is only representative of the definitional debate on terrorism as it is conceptualized in the scholarly literature. Unfortunately, the 1988 Schmid and Jongman study does not account for the parallel debate on defining terrorism in the context of international policy. Here I amend Schmid and Jongman’s methodology in order to derive a </w:t>
      </w:r>
      <w:r w:rsidRPr="00632B0E">
        <w:rPr>
          <w:rFonts w:cs="Times New Roman"/>
          <w:i/>
          <w:iCs/>
        </w:rPr>
        <w:t xml:space="preserve">de minimis </w:t>
      </w:r>
      <w:r w:rsidRPr="00632B0E">
        <w:rPr>
          <w:rFonts w:cs="Times New Roman"/>
        </w:rPr>
        <w:t>definition of terrorism that reflects the nuances of the policy debate on defining terrorism.</w:t>
      </w:r>
      <w:r>
        <w:rPr>
          <w:rStyle w:val="FootnoteReference"/>
          <w:rFonts w:cs="Times New Roman"/>
        </w:rPr>
        <w:footnoteReference w:id="97"/>
      </w:r>
      <w:r w:rsidRPr="00632B0E">
        <w:rPr>
          <w:rFonts w:cs="Times New Roman"/>
        </w:rPr>
        <w:t xml:space="preserve"> This is important because terrorism is not simply a matter of arcane debate among International Relations (IR) and security academics; terrorism has real world implications in terms of how laws and policies are designed in the areas of anti- and counter-terrorism.</w:t>
      </w:r>
      <w:r w:rsidRPr="00632B0E">
        <w:rPr>
          <w:rStyle w:val="FootnoteReference"/>
          <w:rFonts w:cs="Times New Roman"/>
        </w:rPr>
        <w:footnoteReference w:id="98"/>
      </w:r>
      <w:r w:rsidRPr="00632B0E">
        <w:rPr>
          <w:rFonts w:cs="Times New Roman"/>
        </w:rPr>
        <w:t xml:space="preserve"> Notwithstanding, there is still significant utility to academic definitions of terrorism which ultimately endeavor to ensure their maximal intellectual accuracy in order to account for every possible manifestation of terrorism. My approach involves taking Schmid and Jongman’s 1988 list of twenty-two definitional elements as a starting point in analyzing the one hundred and ninety-two unique definitions of terrorism contained in the domestic legislation of one hundred and ninety-two (192) member states of the 193 United Nations General Assembly in order to identify an expanded list of twenty-eight (28) specific definitional elements.</w:t>
      </w:r>
      <w:r w:rsidRPr="00632B0E">
        <w:rPr>
          <w:rStyle w:val="FootnoteReference"/>
          <w:rFonts w:cs="Times New Roman"/>
        </w:rPr>
        <w:footnoteReference w:id="99"/>
      </w:r>
      <w:r w:rsidRPr="00632B0E">
        <w:rPr>
          <w:rFonts w:cs="Times New Roman"/>
        </w:rPr>
        <w:t xml:space="preserve"> For the purposes of this dissertation, these elements are coded numerically as follows:</w:t>
      </w:r>
    </w:p>
    <w:p w14:paraId="4E20F84C" w14:textId="77777777" w:rsidR="0051124B" w:rsidRPr="00632B0E" w:rsidRDefault="0051124B" w:rsidP="0051124B">
      <w:pPr>
        <w:ind w:left="720"/>
        <w:rPr>
          <w:rFonts w:cs="Times New Roman"/>
        </w:rPr>
      </w:pPr>
      <w:r w:rsidRPr="00632B0E">
        <w:rPr>
          <w:rFonts w:cs="Times New Roman"/>
        </w:rPr>
        <w:lastRenderedPageBreak/>
        <w:t>[1] use of force, violence; [2] destruction of, or damage to property; [3] damage of, or destruction to the environment; [4] physical injury, homicide, death of a victim; [5] fear, terror; [6] intimidation; [7] threat; [8] extra-normality; [9] coercion, extortion; [10] arbitrariness, unpredictability; [11] groups, associations, movements; [12] premeditated, planned, organized action; [13] covert; [14] intention; the deliberate, purposive action; [15] influence decision-makers’ taking of action, or a failure to take action; [16] political; [17] religious; [18] ideological; [19] publicity, propaganda; [20] incitement; [21] criminal, unlawful; [22] symbolism; [23] security; [24] sovereignty; [25] economic; [26] state, country; [27] public, general population; [28] civilians, non-combatants.</w:t>
      </w:r>
      <w:r w:rsidRPr="00632B0E">
        <w:rPr>
          <w:rStyle w:val="FootnoteReference"/>
          <w:rFonts w:cs="Times New Roman"/>
        </w:rPr>
        <w:footnoteReference w:id="100"/>
      </w:r>
    </w:p>
    <w:p w14:paraId="61E26AE0" w14:textId="77777777" w:rsidR="0051124B" w:rsidRPr="00632B0E" w:rsidRDefault="0051124B" w:rsidP="0051124B">
      <w:pPr>
        <w:rPr>
          <w:rFonts w:cs="Times New Roman"/>
        </w:rPr>
      </w:pPr>
      <w:r w:rsidRPr="00632B0E">
        <w:rPr>
          <w:rFonts w:cs="Times New Roman"/>
        </w:rPr>
        <w:t xml:space="preserve">Identifying and hand-coding these elements within existing definitions of terrorism contained in the United Nations member states’ domestic legislation facilitated my ability to calculate the frequency of recurrence for each of these 28 definitional elements. This resulted in my identification of ten (10) definitional elements as recurring with a greater than fifty (50) percent frequency of recurrence across the 192 international policy definitions of terrorism that comprise the dataset for this analysis. The elements that recur with greater than 50 percent frequency are: </w:t>
      </w:r>
    </w:p>
    <w:p w14:paraId="462B0976" w14:textId="77777777" w:rsidR="0051124B" w:rsidRPr="00632B0E" w:rsidRDefault="0051124B" w:rsidP="0051124B">
      <w:pPr>
        <w:ind w:left="720"/>
        <w:rPr>
          <w:rFonts w:cs="Times New Roman"/>
        </w:rPr>
      </w:pPr>
      <w:r w:rsidRPr="00632B0E">
        <w:rPr>
          <w:rFonts w:cs="Times New Roman"/>
        </w:rPr>
        <w:t xml:space="preserve">[27] </w:t>
      </w:r>
      <w:r w:rsidRPr="00632B0E">
        <w:rPr>
          <w:rFonts w:cs="Times New Roman"/>
          <w:i/>
          <w:iCs/>
        </w:rPr>
        <w:t>public; general population</w:t>
      </w:r>
      <w:r w:rsidRPr="00632B0E">
        <w:rPr>
          <w:rFonts w:cs="Times New Roman"/>
        </w:rPr>
        <w:t xml:space="preserve"> (identified with a recurrence frequency of 90%); </w:t>
      </w:r>
    </w:p>
    <w:p w14:paraId="7C16D7E5" w14:textId="77777777" w:rsidR="0051124B" w:rsidRPr="00632B0E" w:rsidRDefault="0051124B" w:rsidP="0051124B">
      <w:pPr>
        <w:ind w:left="720"/>
        <w:rPr>
          <w:rFonts w:cs="Times New Roman"/>
        </w:rPr>
      </w:pPr>
      <w:r w:rsidRPr="00632B0E">
        <w:rPr>
          <w:rFonts w:cs="Times New Roman"/>
        </w:rPr>
        <w:t xml:space="preserve">[4] </w:t>
      </w:r>
      <w:r w:rsidRPr="00632B0E">
        <w:rPr>
          <w:rFonts w:cs="Times New Roman"/>
          <w:i/>
          <w:iCs/>
        </w:rPr>
        <w:t>physical injury; homicide; death of a victim</w:t>
      </w:r>
      <w:r w:rsidRPr="00632B0E">
        <w:rPr>
          <w:rFonts w:cs="Times New Roman"/>
        </w:rPr>
        <w:t xml:space="preserve"> (identified with a recurrence frequency of 78%); </w:t>
      </w:r>
    </w:p>
    <w:p w14:paraId="136558D7" w14:textId="77777777" w:rsidR="0051124B" w:rsidRPr="00632B0E" w:rsidRDefault="0051124B" w:rsidP="0051124B">
      <w:pPr>
        <w:ind w:left="720"/>
        <w:rPr>
          <w:rFonts w:cs="Times New Roman"/>
        </w:rPr>
      </w:pPr>
      <w:r w:rsidRPr="00632B0E">
        <w:rPr>
          <w:rFonts w:cs="Times New Roman"/>
        </w:rPr>
        <w:t xml:space="preserve">[14] </w:t>
      </w:r>
      <w:r w:rsidRPr="00632B0E">
        <w:rPr>
          <w:rFonts w:cs="Times New Roman"/>
          <w:i/>
          <w:iCs/>
        </w:rPr>
        <w:t>intention; the deliberate, purposive taking of action</w:t>
      </w:r>
      <w:r w:rsidRPr="00632B0E">
        <w:rPr>
          <w:rFonts w:cs="Times New Roman"/>
        </w:rPr>
        <w:t xml:space="preserve"> (identified with a recurrence frequency of 74%); </w:t>
      </w:r>
    </w:p>
    <w:p w14:paraId="320DF245" w14:textId="77777777" w:rsidR="0051124B" w:rsidRPr="00632B0E" w:rsidRDefault="0051124B" w:rsidP="0051124B">
      <w:pPr>
        <w:ind w:left="720"/>
        <w:rPr>
          <w:rFonts w:cs="Times New Roman"/>
        </w:rPr>
      </w:pPr>
      <w:r w:rsidRPr="00632B0E">
        <w:rPr>
          <w:rFonts w:cs="Times New Roman"/>
        </w:rPr>
        <w:t xml:space="preserve">[2] </w:t>
      </w:r>
      <w:r w:rsidRPr="00632B0E">
        <w:rPr>
          <w:rFonts w:cs="Times New Roman"/>
          <w:i/>
          <w:iCs/>
        </w:rPr>
        <w:t>destruction of, or damage to property</w:t>
      </w:r>
      <w:r w:rsidRPr="00632B0E">
        <w:rPr>
          <w:rFonts w:cs="Times New Roman"/>
        </w:rPr>
        <w:t xml:space="preserve"> (identified with a recurrence frequency of 68%);</w:t>
      </w:r>
    </w:p>
    <w:p w14:paraId="5C140374" w14:textId="77777777" w:rsidR="0051124B" w:rsidRPr="00632B0E" w:rsidRDefault="0051124B" w:rsidP="0051124B">
      <w:pPr>
        <w:ind w:left="720"/>
        <w:rPr>
          <w:rFonts w:cs="Times New Roman"/>
        </w:rPr>
      </w:pPr>
      <w:r w:rsidRPr="00632B0E">
        <w:rPr>
          <w:rFonts w:cs="Times New Roman"/>
        </w:rPr>
        <w:t xml:space="preserve">[26] </w:t>
      </w:r>
      <w:r w:rsidRPr="00632B0E">
        <w:rPr>
          <w:rFonts w:cs="Times New Roman"/>
          <w:i/>
          <w:iCs/>
        </w:rPr>
        <w:t>state; country; national</w:t>
      </w:r>
      <w:r w:rsidRPr="00632B0E">
        <w:rPr>
          <w:rFonts w:cs="Times New Roman"/>
        </w:rPr>
        <w:t xml:space="preserve"> (identified with a recurrence frequency of 68%); </w:t>
      </w:r>
    </w:p>
    <w:p w14:paraId="06D55070" w14:textId="77777777" w:rsidR="0051124B" w:rsidRPr="00632B0E" w:rsidRDefault="0051124B" w:rsidP="0051124B">
      <w:pPr>
        <w:ind w:left="720"/>
        <w:rPr>
          <w:rFonts w:cs="Times New Roman"/>
        </w:rPr>
      </w:pPr>
      <w:r w:rsidRPr="00632B0E">
        <w:rPr>
          <w:rFonts w:cs="Times New Roman"/>
        </w:rPr>
        <w:t xml:space="preserve">[8] extra-normality (identified with a recurrence frequency of 66%); </w:t>
      </w:r>
    </w:p>
    <w:p w14:paraId="407B7D41" w14:textId="77777777" w:rsidR="0051124B" w:rsidRPr="00632B0E" w:rsidRDefault="0051124B" w:rsidP="0051124B">
      <w:pPr>
        <w:ind w:left="720"/>
        <w:rPr>
          <w:rFonts w:cs="Times New Roman"/>
        </w:rPr>
      </w:pPr>
      <w:r w:rsidRPr="00632B0E">
        <w:rPr>
          <w:rFonts w:cs="Times New Roman"/>
        </w:rPr>
        <w:t xml:space="preserve">[15] </w:t>
      </w:r>
      <w:r w:rsidRPr="00632B0E">
        <w:rPr>
          <w:rFonts w:cs="Times New Roman"/>
          <w:i/>
          <w:iCs/>
        </w:rPr>
        <w:t>influence decision-makers’ taking of action, or a failure to take action</w:t>
      </w:r>
      <w:r w:rsidRPr="00632B0E">
        <w:rPr>
          <w:rFonts w:cs="Times New Roman"/>
        </w:rPr>
        <w:t xml:space="preserve"> (identified with a recurrence frequency of 66%); </w:t>
      </w:r>
    </w:p>
    <w:p w14:paraId="5C80F2AA" w14:textId="77777777" w:rsidR="0051124B" w:rsidRPr="00632B0E" w:rsidRDefault="0051124B" w:rsidP="0051124B">
      <w:pPr>
        <w:ind w:left="720"/>
        <w:rPr>
          <w:rFonts w:cs="Times New Roman"/>
        </w:rPr>
      </w:pPr>
      <w:r w:rsidRPr="00632B0E">
        <w:rPr>
          <w:rFonts w:cs="Times New Roman"/>
        </w:rPr>
        <w:t xml:space="preserve">[6] </w:t>
      </w:r>
      <w:r w:rsidRPr="00632B0E">
        <w:rPr>
          <w:rFonts w:cs="Times New Roman"/>
          <w:i/>
          <w:iCs/>
        </w:rPr>
        <w:t xml:space="preserve">intimidation </w:t>
      </w:r>
      <w:r w:rsidRPr="00632B0E">
        <w:rPr>
          <w:rFonts w:cs="Times New Roman"/>
        </w:rPr>
        <w:t xml:space="preserve">(identified with a recurrence frequency of 61%); </w:t>
      </w:r>
    </w:p>
    <w:p w14:paraId="59EA4B9B" w14:textId="77777777" w:rsidR="0051124B" w:rsidRPr="00632B0E" w:rsidRDefault="0051124B" w:rsidP="0051124B">
      <w:pPr>
        <w:ind w:left="720"/>
        <w:rPr>
          <w:rFonts w:cs="Times New Roman"/>
        </w:rPr>
      </w:pPr>
      <w:r w:rsidRPr="00632B0E">
        <w:rPr>
          <w:rFonts w:cs="Times New Roman"/>
        </w:rPr>
        <w:t xml:space="preserve">[21] </w:t>
      </w:r>
      <w:r w:rsidRPr="00632B0E">
        <w:rPr>
          <w:rFonts w:cs="Times New Roman"/>
          <w:i/>
          <w:iCs/>
        </w:rPr>
        <w:t>criminal; unlawful</w:t>
      </w:r>
      <w:r w:rsidRPr="00632B0E">
        <w:rPr>
          <w:rFonts w:cs="Times New Roman"/>
        </w:rPr>
        <w:t xml:space="preserve"> (identified with a recurrence frequency of 55%); </w:t>
      </w:r>
    </w:p>
    <w:p w14:paraId="0C637013" w14:textId="77777777" w:rsidR="0051124B" w:rsidRPr="00632B0E" w:rsidRDefault="0051124B" w:rsidP="0051124B">
      <w:pPr>
        <w:ind w:left="720"/>
        <w:rPr>
          <w:rFonts w:cs="Times New Roman"/>
        </w:rPr>
      </w:pPr>
      <w:r w:rsidRPr="00632B0E">
        <w:rPr>
          <w:rFonts w:cs="Times New Roman"/>
        </w:rPr>
        <w:t xml:space="preserve">[7] </w:t>
      </w:r>
      <w:r w:rsidRPr="00632B0E">
        <w:rPr>
          <w:rFonts w:cs="Times New Roman"/>
          <w:i/>
          <w:iCs/>
        </w:rPr>
        <w:t xml:space="preserve">threat </w:t>
      </w:r>
      <w:r w:rsidRPr="00632B0E">
        <w:rPr>
          <w:rFonts w:cs="Times New Roman"/>
        </w:rPr>
        <w:t>(identified with a recurrence frequency of 53%).</w:t>
      </w:r>
      <w:r w:rsidRPr="00632B0E">
        <w:rPr>
          <w:rStyle w:val="FootnoteReference"/>
          <w:rFonts w:cs="Times New Roman"/>
        </w:rPr>
        <w:footnoteReference w:id="101"/>
      </w:r>
    </w:p>
    <w:p w14:paraId="5DCF388E" w14:textId="77777777" w:rsidR="0051124B" w:rsidRPr="00632B0E" w:rsidRDefault="0051124B" w:rsidP="0051124B">
      <w:pPr>
        <w:rPr>
          <w:rFonts w:cs="Times New Roman"/>
        </w:rPr>
      </w:pPr>
      <w:r w:rsidRPr="00632B0E">
        <w:rPr>
          <w:rFonts w:cs="Times New Roman"/>
        </w:rPr>
        <w:t xml:space="preserve">To that end, I suggest that a </w:t>
      </w:r>
      <w:r w:rsidRPr="00632B0E">
        <w:rPr>
          <w:rFonts w:cs="Times New Roman"/>
          <w:i/>
          <w:iCs/>
        </w:rPr>
        <w:t>de minimis</w:t>
      </w:r>
      <w:r w:rsidRPr="00632B0E">
        <w:rPr>
          <w:rFonts w:cs="Times New Roman"/>
        </w:rPr>
        <w:t xml:space="preserve"> definition of terrorism </w:t>
      </w:r>
      <w:r w:rsidRPr="00632B0E">
        <w:rPr>
          <w:rFonts w:cs="Times New Roman"/>
          <w:i/>
          <w:iCs/>
        </w:rPr>
        <w:t>is</w:t>
      </w:r>
      <w:r w:rsidRPr="00632B0E">
        <w:rPr>
          <w:rFonts w:cs="Times New Roman"/>
        </w:rPr>
        <w:t xml:space="preserve"> in fact possible, given this analysis derived from the domestic legislation of 192 of the United Nations member states (hereafter “the policy definition of terrorism”) such a definition would be </w:t>
      </w:r>
    </w:p>
    <w:p w14:paraId="71B98D81" w14:textId="77777777" w:rsidR="0051124B" w:rsidRPr="00632B0E" w:rsidRDefault="0051124B" w:rsidP="0051124B">
      <w:pPr>
        <w:ind w:left="720"/>
        <w:rPr>
          <w:rFonts w:cs="Times New Roman"/>
        </w:rPr>
      </w:pPr>
      <w:r w:rsidRPr="00632B0E">
        <w:rPr>
          <w:rFonts w:cs="Times New Roman"/>
        </w:rPr>
        <w:t>the [7] threatening, or [14] intentional taking of [21] criminal action designed to influence a [26] state, an international organization, or another decision-making body’s [15] taking of action or lack thereof by [6] intimidating the [27] general population.</w:t>
      </w:r>
    </w:p>
    <w:p w14:paraId="7676799B" w14:textId="77777777" w:rsidR="0051124B" w:rsidRPr="00632B0E" w:rsidRDefault="0051124B" w:rsidP="0051124B">
      <w:pPr>
        <w:pStyle w:val="ListParagraph"/>
        <w:numPr>
          <w:ilvl w:val="0"/>
          <w:numId w:val="4"/>
        </w:numPr>
        <w:ind w:left="1797" w:hanging="357"/>
        <w:rPr>
          <w:rFonts w:cs="Times New Roman"/>
        </w:rPr>
      </w:pPr>
      <w:r w:rsidRPr="00632B0E">
        <w:rPr>
          <w:rFonts w:cs="Times New Roman"/>
        </w:rPr>
        <w:lastRenderedPageBreak/>
        <w:t>Such actions include, but are not limited to, perpetrating [4] homicide, actions that result in [8] serious physical injury to persons, and [2] the damage or destruction of property.</w:t>
      </w:r>
    </w:p>
    <w:p w14:paraId="3A24374E" w14:textId="77777777" w:rsidR="0051124B" w:rsidRPr="00632B0E" w:rsidRDefault="0051124B" w:rsidP="0051124B">
      <w:pPr>
        <w:rPr>
          <w:rFonts w:cs="Times New Roman"/>
        </w:rPr>
      </w:pPr>
      <w:r w:rsidRPr="00632B0E">
        <w:rPr>
          <w:rFonts w:cs="Times New Roman"/>
        </w:rPr>
        <w:t xml:space="preserve">I conceive of the abovementioned </w:t>
      </w:r>
      <w:r w:rsidRPr="00632B0E">
        <w:rPr>
          <w:rFonts w:cs="Times New Roman"/>
          <w:i/>
          <w:iCs/>
        </w:rPr>
        <w:t xml:space="preserve">policy </w:t>
      </w:r>
      <w:r w:rsidRPr="00632B0E">
        <w:rPr>
          <w:rFonts w:cs="Times New Roman"/>
        </w:rPr>
        <w:t xml:space="preserve">definition of terrorism on the basis of ten out of the twenty-eight definitional elements identified on the basis of Schmid and Jongman’s 1988 study that have a frequency of recurrence of greater than fifty percent. This notwithstanding, the </w:t>
      </w:r>
      <w:r w:rsidRPr="00632B0E">
        <w:rPr>
          <w:rFonts w:cs="Times New Roman"/>
          <w:i/>
          <w:iCs/>
        </w:rPr>
        <w:t>academic</w:t>
      </w:r>
      <w:r w:rsidRPr="00632B0E">
        <w:rPr>
          <w:rFonts w:cs="Times New Roman"/>
        </w:rPr>
        <w:t xml:space="preserve"> definition of terrorism proposed by this chapter is only based on two definitional elements that have a greater than fifty percent frequency of recurrence within the dataset used by Schmid and Jongman in 1988, and the dataset used by Weinberg et. al. in 2004, neither of which overlaps with the ten elements that are used to construct the policy definition of terrorism. The twenty-eight definitional elements that I identify can be categorized based on their conceptually constituting any one or more of the ‘means,’ ‘mode,’ objective, and ‘target’ of terrorism.</w:t>
      </w:r>
      <w:r w:rsidRPr="00632B0E">
        <w:rPr>
          <w:rStyle w:val="FootnoteReference"/>
          <w:rFonts w:cs="Times New Roman"/>
        </w:rPr>
        <w:footnoteReference w:id="102"/>
      </w:r>
      <w:r w:rsidRPr="00632B0E">
        <w:rPr>
          <w:rFonts w:cs="Times New Roman"/>
        </w:rPr>
        <w:t xml:space="preserve"> (The two elements that have the highest frequency of recurrence in the 1988 and 2004 research are included in my overall list of twenty-eight elements.) Of the ten elements that I suggest comprise the policy definition of terrorism, three are categorized as both the ‘means’ and the objective of terrorism, one is categorized as both the objective and the target of terrorism, two are categorized solely constituting the target of terrorism, one is categorized as only constituting the ‘mode’ of terrorism, two are categorized as constituting both the ‘means’ and the ‘mode’ of terrorism, and one is characterized as constituting the ‘means, the ‘mode’ and the objective of terrorism. </w:t>
      </w:r>
    </w:p>
    <w:p w14:paraId="1A6A78E4" w14:textId="77777777" w:rsidR="0051124B" w:rsidRPr="00632B0E" w:rsidRDefault="0051124B" w:rsidP="0051124B">
      <w:pPr>
        <w:ind w:firstLine="567"/>
        <w:rPr>
          <w:rFonts w:cs="Times New Roman"/>
        </w:rPr>
      </w:pPr>
      <w:r w:rsidRPr="00632B0E">
        <w:rPr>
          <w:rFonts w:cs="Times New Roman"/>
        </w:rPr>
        <w:t>Of the two elements that the 1988 and the 2004 studies identify as having the highest frequency of recurrence, one constitutes only the ‘means’ of terrorism, and the other constitutes both the ‘means’ and the objective of terrorism. As such, while the scholarly definition of terrorism is seemingly limited in its scope on the basis of the conflicting foci underlying definitions in its dataset, the policy definition of terrorism amalgamates elements that are representative of each of the foci that I identify as integral to defining terrorism: its situation-specific, micro-level ‘means,’ ‘mode,’ objective, and target.</w:t>
      </w:r>
      <w:r w:rsidRPr="00632B0E">
        <w:rPr>
          <w:rStyle w:val="FootnoteReference"/>
          <w:rFonts w:cs="Times New Roman"/>
        </w:rPr>
        <w:footnoteReference w:id="103"/>
      </w:r>
      <w:r w:rsidRPr="00632B0E">
        <w:rPr>
          <w:rFonts w:cs="Times New Roman"/>
        </w:rPr>
        <w:t xml:space="preserve"> This difference suggests perspectives diverge on whether the target and ‘mode’ of terrorism are or should be integral to its definition. </w:t>
      </w:r>
    </w:p>
    <w:p w14:paraId="01AC763C" w14:textId="5FB41213" w:rsidR="0051124B" w:rsidRDefault="0051124B" w:rsidP="0051124B">
      <w:pPr>
        <w:ind w:firstLine="567"/>
        <w:rPr>
          <w:rFonts w:cs="Times New Roman"/>
        </w:rPr>
      </w:pPr>
      <w:r w:rsidRPr="00632B0E">
        <w:rPr>
          <w:rFonts w:cs="Times New Roman"/>
        </w:rPr>
        <w:t xml:space="preserve">Thus, when it comes to the conflicting perspectives represented by the academic and policy definitions of terrorism suggested in this chapter, the clash associated with defining terrorism is the relevance of identifying the ‘mode’ and/or the target of the offense when defining terrorism. </w:t>
      </w:r>
      <w:r>
        <w:rPr>
          <w:rFonts w:cs="Times New Roman"/>
        </w:rPr>
        <w:t>P</w:t>
      </w:r>
      <w:r w:rsidRPr="00632B0E">
        <w:rPr>
          <w:rFonts w:cs="Times New Roman"/>
        </w:rPr>
        <w:t xml:space="preserve">olicy definitions place greater emphasis on establishing broader criteria as to what constitutes an instance of terrorism, which allows for the identification of </w:t>
      </w:r>
      <w:r>
        <w:rPr>
          <w:rFonts w:cs="Times New Roman"/>
        </w:rPr>
        <w:t xml:space="preserve">conspiracies to commit terrorist offenses, </w:t>
      </w:r>
      <w:r w:rsidRPr="00632B0E">
        <w:rPr>
          <w:rFonts w:cs="Times New Roman"/>
        </w:rPr>
        <w:t>unsuccessful attempts to perpetrate instances of terrorism and threats to perpetrate instances of terrorism. Academic definitions, on the other hand, seem to limit their focus on the ‘</w:t>
      </w:r>
      <w:proofErr w:type="gramStart"/>
      <w:r w:rsidRPr="00632B0E">
        <w:rPr>
          <w:rFonts w:cs="Times New Roman"/>
        </w:rPr>
        <w:t>means’</w:t>
      </w:r>
      <w:proofErr w:type="gramEnd"/>
      <w:r w:rsidRPr="00632B0E">
        <w:rPr>
          <w:rFonts w:cs="Times New Roman"/>
        </w:rPr>
        <w:t xml:space="preserve"> used to perpetrate instances of terrorism and the objective of any terrorism committed. </w:t>
      </w:r>
      <w:r>
        <w:rPr>
          <w:rFonts w:cs="Times New Roman"/>
        </w:rPr>
        <w:t>Constraining the focus of terrorism in this manner limits the range of offenses that can be labeled ‘terrorism’, which allows the label to provide for the normatively loaded character of such incidents.</w:t>
      </w:r>
    </w:p>
    <w:p w14:paraId="50408023" w14:textId="77777777" w:rsidR="0051124B" w:rsidRPr="00632B0E" w:rsidRDefault="0051124B" w:rsidP="0051124B">
      <w:pPr>
        <w:ind w:firstLine="567"/>
        <w:rPr>
          <w:rFonts w:cs="Times New Roman"/>
        </w:rPr>
      </w:pPr>
      <w:r w:rsidRPr="00632B0E">
        <w:rPr>
          <w:rFonts w:cs="Times New Roman"/>
        </w:rPr>
        <w:lastRenderedPageBreak/>
        <w:t>These explanations imply that the</w:t>
      </w:r>
      <w:r w:rsidRPr="00451F65">
        <w:rPr>
          <w:rFonts w:cs="Times New Roman"/>
          <w:i/>
          <w:iCs/>
        </w:rPr>
        <w:t xml:space="preserve"> real</w:t>
      </w:r>
      <w:r w:rsidRPr="00632B0E">
        <w:rPr>
          <w:rFonts w:cs="Times New Roman"/>
        </w:rPr>
        <w:t xml:space="preserve"> clash associated with the international policy and scholarly literature’s definitions of ‘terrorism’ that are being used in this paper is not over what terrorism </w:t>
      </w:r>
      <w:r w:rsidRPr="00632B0E">
        <w:rPr>
          <w:rFonts w:cs="Times New Roman"/>
          <w:i/>
          <w:iCs/>
        </w:rPr>
        <w:t>is</w:t>
      </w:r>
      <w:r w:rsidRPr="00632B0E">
        <w:rPr>
          <w:rFonts w:cs="Times New Roman"/>
        </w:rPr>
        <w:t xml:space="preserve">, but over the intended </w:t>
      </w:r>
      <w:r w:rsidRPr="00632B0E">
        <w:rPr>
          <w:rFonts w:cs="Times New Roman"/>
          <w:i/>
          <w:iCs/>
        </w:rPr>
        <w:t>utility</w:t>
      </w:r>
      <w:r w:rsidRPr="00632B0E">
        <w:rPr>
          <w:rFonts w:cs="Times New Roman"/>
        </w:rPr>
        <w:t xml:space="preserve"> of establishing the definition. </w:t>
      </w:r>
      <w:r>
        <w:rPr>
          <w:rFonts w:cs="Times New Roman"/>
        </w:rPr>
        <w:t xml:space="preserve">In short, </w:t>
      </w:r>
      <w:r w:rsidRPr="00632B0E">
        <w:rPr>
          <w:rFonts w:cs="Times New Roman"/>
        </w:rPr>
        <w:t xml:space="preserve">the core of the disagreement between the definitions is associated with the various authors’ perceptions of the utility that they might derive from their suggested definition. This necessarily involves understanding the reason that the actor in question wishes to classify an incident as ‘terrorism’ – in other words, why establishing that a specific incident constitutes ‘terrorism’ is useful to the actor doing the labeling. To that end, scholars have different motivations than government agencies and other political actors. </w:t>
      </w:r>
      <w:r>
        <w:rPr>
          <w:rFonts w:cs="Times New Roman"/>
        </w:rPr>
        <w:t>A</w:t>
      </w:r>
      <w:r w:rsidRPr="00632B0E">
        <w:rPr>
          <w:rFonts w:cs="Times New Roman"/>
        </w:rPr>
        <w:t>n actor’s use of the label terrorism constitutes “implicit validation… of [its] own brand of violence” because doing so causes a specific instance of violence (or threat of violence) to be viewed pejoratively, in contrast with that actor’s own exercise of force.</w:t>
      </w:r>
      <w:r w:rsidRPr="00632B0E">
        <w:rPr>
          <w:rStyle w:val="FootnoteReference"/>
          <w:rFonts w:cs="Times New Roman"/>
        </w:rPr>
        <w:t xml:space="preserve"> </w:t>
      </w:r>
      <w:r w:rsidRPr="00632B0E">
        <w:rPr>
          <w:rStyle w:val="FootnoteReference"/>
          <w:rFonts w:cs="Times New Roman"/>
        </w:rPr>
        <w:footnoteReference w:id="104"/>
      </w:r>
      <w:r w:rsidRPr="00632B0E">
        <w:rPr>
          <w:rFonts w:cs="Times New Roman"/>
        </w:rPr>
        <w:t xml:space="preserve">  The clash relevant to the definition of terrorism </w:t>
      </w:r>
      <w:r>
        <w:rPr>
          <w:rFonts w:cs="Times New Roman"/>
        </w:rPr>
        <w:t xml:space="preserve">is </w:t>
      </w:r>
      <w:r w:rsidRPr="00632B0E">
        <w:rPr>
          <w:rFonts w:cs="Times New Roman"/>
        </w:rPr>
        <w:t xml:space="preserve"> whether retaining the ability to employ this implicit legitimation strategy is of greater value than ensuring intellectual accuracy in identifying the key tenets of how ‘terrorism’ practically manifests</w:t>
      </w:r>
      <w:r>
        <w:rPr>
          <w:rFonts w:cs="Times New Roman"/>
        </w:rPr>
        <w:t xml:space="preserve">. </w:t>
      </w:r>
      <w:r w:rsidRPr="00632B0E">
        <w:rPr>
          <w:rFonts w:cs="Times New Roman"/>
        </w:rPr>
        <w:t>As such, underpinning the clash associated with defining terrorism is the question of whether actions constitute terrorism because a legitimate actor says that they are terrorism, or because they meet specific, academically predetermined definitional criteria. Based on this clash, the “essential contestedness” continuum relevant to defining terrorism exists between the two extremes represented by:</w:t>
      </w:r>
    </w:p>
    <w:p w14:paraId="55809C3A" w14:textId="77777777" w:rsidR="0051124B" w:rsidRPr="00632B0E" w:rsidRDefault="0051124B" w:rsidP="0051124B">
      <w:pPr>
        <w:pStyle w:val="ListParagraph"/>
        <w:numPr>
          <w:ilvl w:val="0"/>
          <w:numId w:val="5"/>
        </w:numPr>
        <w:rPr>
          <w:rFonts w:cs="Times New Roman"/>
        </w:rPr>
      </w:pPr>
      <w:r w:rsidRPr="00632B0E">
        <w:rPr>
          <w:rFonts w:cs="Times New Roman"/>
        </w:rPr>
        <w:t xml:space="preserve">the utility of being able to validate actions taken in the context of a zero-sum game; and </w:t>
      </w:r>
    </w:p>
    <w:p w14:paraId="41F641ED" w14:textId="77777777" w:rsidR="0051124B" w:rsidRPr="00632B0E" w:rsidRDefault="0051124B" w:rsidP="0051124B">
      <w:pPr>
        <w:pStyle w:val="ListParagraph"/>
        <w:numPr>
          <w:ilvl w:val="0"/>
          <w:numId w:val="5"/>
        </w:numPr>
        <w:rPr>
          <w:rFonts w:cs="Times New Roman"/>
        </w:rPr>
      </w:pPr>
      <w:r w:rsidRPr="00632B0E">
        <w:rPr>
          <w:rFonts w:cs="Times New Roman"/>
        </w:rPr>
        <w:t>specifically limiting the scope of the term ‘terrorism,’ in order to bolster a “moral and normative stance against terrorism” and general perception of the international regime.</w:t>
      </w:r>
      <w:r w:rsidRPr="00632B0E">
        <w:rPr>
          <w:rStyle w:val="FootnoteReference"/>
          <w:rFonts w:cs="Times New Roman"/>
        </w:rPr>
        <w:footnoteReference w:id="105"/>
      </w:r>
    </w:p>
    <w:p w14:paraId="1F4BE74F" w14:textId="77777777" w:rsidR="0051124B" w:rsidRPr="00632B0E" w:rsidRDefault="0051124B" w:rsidP="0051124B">
      <w:pPr>
        <w:rPr>
          <w:rFonts w:cs="Times New Roman"/>
        </w:rPr>
      </w:pPr>
      <w:r w:rsidRPr="00632B0E">
        <w:rPr>
          <w:rFonts w:cs="Times New Roman"/>
        </w:rPr>
        <w:t xml:space="preserve">Scholarly definitions of terrorism tend to produce a more </w:t>
      </w:r>
      <w:r w:rsidRPr="007852AD">
        <w:rPr>
          <w:rFonts w:cs="Times New Roman"/>
          <w:i/>
          <w:iCs/>
        </w:rPr>
        <w:t>theoretical understanding</w:t>
      </w:r>
      <w:r w:rsidRPr="00632B0E">
        <w:rPr>
          <w:rFonts w:cs="Times New Roman"/>
        </w:rPr>
        <w:t xml:space="preserve"> of </w:t>
      </w:r>
      <w:r w:rsidRPr="007852AD">
        <w:rPr>
          <w:rFonts w:cs="Times New Roman"/>
          <w:i/>
          <w:iCs/>
        </w:rPr>
        <w:t xml:space="preserve">how </w:t>
      </w:r>
      <w:r w:rsidRPr="00632B0E">
        <w:rPr>
          <w:rFonts w:cs="Times New Roman"/>
        </w:rPr>
        <w:t xml:space="preserve">terrorist activity </w:t>
      </w:r>
      <w:r w:rsidRPr="007852AD">
        <w:rPr>
          <w:rFonts w:cs="Times New Roman"/>
          <w:i/>
          <w:iCs/>
        </w:rPr>
        <w:t>manifests in practice</w:t>
      </w:r>
      <w:r w:rsidRPr="00632B0E">
        <w:rPr>
          <w:rFonts w:cs="Times New Roman"/>
        </w:rPr>
        <w:t xml:space="preserve">. This is because, overall, scholarly definitions necessarily limit the actions that constitute terrorist activity, in order to provide precision and clarity to terrorism as a concept. Conversely, policy definitions of terrorism are created with the goal of demarcating instances of terrorism </w:t>
      </w:r>
      <w:r w:rsidRPr="007852AD">
        <w:rPr>
          <w:rFonts w:cs="Times New Roman"/>
          <w:i/>
          <w:iCs/>
        </w:rPr>
        <w:t>in order to both facilitate and allow for a practical institutional response to their perpetration</w:t>
      </w:r>
      <w:r w:rsidRPr="00632B0E">
        <w:rPr>
          <w:rFonts w:cs="Times New Roman"/>
        </w:rPr>
        <w:t>.</w:t>
      </w:r>
      <w:r>
        <w:rPr>
          <w:rStyle w:val="FootnoteReference"/>
          <w:rFonts w:cs="Times New Roman"/>
        </w:rPr>
        <w:footnoteReference w:id="106"/>
      </w:r>
      <w:r w:rsidRPr="00632B0E">
        <w:rPr>
          <w:rFonts w:cs="Times New Roman"/>
        </w:rPr>
        <w:t xml:space="preserve"> To that end, Thomas G. Weiss and </w:t>
      </w:r>
      <w:proofErr w:type="spellStart"/>
      <w:r w:rsidRPr="00632B0E">
        <w:rPr>
          <w:rFonts w:cs="Times New Roman"/>
        </w:rPr>
        <w:t>Anoulak</w:t>
      </w:r>
      <w:proofErr w:type="spellEnd"/>
      <w:r w:rsidRPr="00632B0E">
        <w:rPr>
          <w:rFonts w:cs="Times New Roman"/>
        </w:rPr>
        <w:t xml:space="preserve"> </w:t>
      </w:r>
      <w:proofErr w:type="spellStart"/>
      <w:r w:rsidRPr="00632B0E">
        <w:rPr>
          <w:rFonts w:cs="Times New Roman"/>
        </w:rPr>
        <w:t>Kittikhoun</w:t>
      </w:r>
      <w:proofErr w:type="spellEnd"/>
      <w:r w:rsidRPr="00632B0E">
        <w:rPr>
          <w:rFonts w:cs="Times New Roman"/>
        </w:rPr>
        <w:t xml:space="preserve"> assert that in </w:t>
      </w:r>
      <w:r>
        <w:rPr>
          <w:rFonts w:cs="Times New Roman"/>
        </w:rPr>
        <w:t xml:space="preserve">the discipline of </w:t>
      </w:r>
      <w:r w:rsidRPr="00632B0E">
        <w:rPr>
          <w:rFonts w:cs="Times New Roman"/>
        </w:rPr>
        <w:t>International Relations, the shorthand juxtaposition “[theory vs. practice] conjures up the chasm that separates two belligerents in world politics – those who analyse a subject and those who practice it.”</w:t>
      </w:r>
      <w:r w:rsidRPr="00632B0E">
        <w:rPr>
          <w:rStyle w:val="FootnoteReference"/>
          <w:rFonts w:cs="Times New Roman"/>
        </w:rPr>
        <w:footnoteReference w:id="107"/>
      </w:r>
      <w:r w:rsidRPr="00632B0E">
        <w:rPr>
          <w:rFonts w:cs="Times New Roman"/>
        </w:rPr>
        <w:t xml:space="preserve"> Put simply, there is a gap between academic International Relations scholarship and the real-world practice of international relations due to the nature of the interactions (and lack thereof) between the theoretical study of IR and the real-world activities associated with the practice of international relations.</w:t>
      </w:r>
      <w:r w:rsidRPr="00632B0E">
        <w:rPr>
          <w:rStyle w:val="FootnoteReference"/>
          <w:rFonts w:cs="Times New Roman"/>
        </w:rPr>
        <w:footnoteReference w:id="108"/>
      </w:r>
      <w:r w:rsidRPr="00632B0E">
        <w:rPr>
          <w:rFonts w:cs="Times New Roman"/>
        </w:rPr>
        <w:t xml:space="preserve"> In the context of the </w:t>
      </w:r>
      <w:r w:rsidRPr="00632B0E">
        <w:rPr>
          <w:rFonts w:cs="Times New Roman"/>
        </w:rPr>
        <w:lastRenderedPageBreak/>
        <w:t>debate on defining terrorism, I err towards definitions that are predicated on real-world policy relevance because at the end of the day analyses of the ‘success’ or ‘failure’ of terrorism depend on the consequences of policy as states’ actual, manifested responses to terrorism. For this reason, I find specific utility in the conceptual clash that is hinted at by classifications of terrorism as an essentially contested concept.</w:t>
      </w:r>
      <w:r w:rsidRPr="00632B0E">
        <w:rPr>
          <w:rStyle w:val="FootnoteReference"/>
          <w:rFonts w:cs="Times New Roman"/>
        </w:rPr>
        <w:footnoteReference w:id="109"/>
      </w:r>
    </w:p>
    <w:p w14:paraId="7579C8D8" w14:textId="1B73A2EF" w:rsidR="00D03C79" w:rsidRPr="00632B0E" w:rsidRDefault="0051124B" w:rsidP="00130D47">
      <w:pPr>
        <w:ind w:firstLine="567"/>
        <w:rPr>
          <w:rFonts w:cs="Times New Roman"/>
        </w:rPr>
      </w:pPr>
      <w:r w:rsidRPr="00632B0E">
        <w:rPr>
          <w:rFonts w:cs="Times New Roman"/>
        </w:rPr>
        <w:t xml:space="preserve">While identifying the clash associated with defining an “essentially contested concept” like terrorism does not provide for the explicit definition of the concept, it facilitates greater understanding of the definitional challenges associated with that concept. In the case of terrorism, understanding the underlying clash associated with defining terrorism informs my decision to understand the manner in which media coverage of terrorism affects the legitimacy of the state on the basis of the </w:t>
      </w:r>
      <w:r w:rsidRPr="00632B0E">
        <w:rPr>
          <w:rFonts w:cs="Times New Roman"/>
          <w:i/>
          <w:iCs/>
        </w:rPr>
        <w:t>de minimis</w:t>
      </w:r>
      <w:r w:rsidRPr="00632B0E">
        <w:rPr>
          <w:rFonts w:cs="Times New Roman"/>
        </w:rPr>
        <w:t xml:space="preserve"> policy definition of terrorism. This is because the theoretical focus characteristic of the scholarly definitions of terrorism is </w:t>
      </w:r>
      <w:r w:rsidRPr="007852AD">
        <w:rPr>
          <w:rFonts w:cs="Times New Roman"/>
          <w:i/>
          <w:iCs/>
        </w:rPr>
        <w:t>less</w:t>
      </w:r>
      <w:r w:rsidRPr="00632B0E">
        <w:rPr>
          <w:rFonts w:cs="Times New Roman"/>
        </w:rPr>
        <w:t xml:space="preserve"> relevant to facilitating an understanding of </w:t>
      </w:r>
      <w:r w:rsidRPr="007852AD">
        <w:rPr>
          <w:rFonts w:cs="Times New Roman"/>
          <w:i/>
          <w:iCs/>
        </w:rPr>
        <w:t>how</w:t>
      </w:r>
      <w:r w:rsidRPr="00632B0E">
        <w:rPr>
          <w:rFonts w:cs="Times New Roman"/>
        </w:rPr>
        <w:t xml:space="preserve"> terrorism potentially undermines (state) legitimacy in practice. Instances of terrorist activity are not perpetrated to delegitimize or contest theoretical, academic understandings of ‘terrorism.’ Rather, the perpetration of terrorist activity constitutes an actor’s practical attempt to inculcate fear or terror to serve its own interests.</w:t>
      </w:r>
      <w:r w:rsidRPr="00632B0E">
        <w:rPr>
          <w:rStyle w:val="FootnoteReference"/>
          <w:rFonts w:cs="Times New Roman"/>
        </w:rPr>
        <w:footnoteReference w:id="110"/>
      </w:r>
      <w:r w:rsidRPr="00632B0E">
        <w:rPr>
          <w:rFonts w:cs="Times New Roman"/>
        </w:rPr>
        <w:t xml:space="preserve"> </w:t>
      </w:r>
      <w:r w:rsidR="00130D47" w:rsidRPr="00130D47">
        <w:rPr>
          <w:rFonts w:cs="Times New Roman"/>
        </w:rPr>
        <w:t>To put it bluntly, I contend that terrorism is not perpetrated for the benefit of those sitting in the ivory tower. The crux of my argument is that actors perpetrate terrorist activity to further their own interests, which necessarily oppose those of states and their governments. Accordingly, I do not believe that academic debate centering on definitional purity (or the lack thereof) helps achieve this dissertation’s stated goal - to help us understand how terrorism works to undermine state legitimacy.”</w:t>
      </w:r>
    </w:p>
    <w:p w14:paraId="0DBF63F6" w14:textId="77777777" w:rsidR="0051124B" w:rsidRPr="00632B0E" w:rsidRDefault="0051124B" w:rsidP="00787123">
      <w:pPr>
        <w:pStyle w:val="DissertationSection1"/>
      </w:pPr>
      <w:bookmarkStart w:id="27" w:name="_Toc175413132"/>
      <w:r w:rsidRPr="00632B0E">
        <w:t>Terrorism and Post-Modern Warfare</w:t>
      </w:r>
      <w:bookmarkEnd w:id="27"/>
    </w:p>
    <w:p w14:paraId="026A8D2B" w14:textId="77777777" w:rsidR="0051124B" w:rsidRPr="00632B0E" w:rsidRDefault="0051124B" w:rsidP="0051124B">
      <w:pPr>
        <w:ind w:firstLine="720"/>
        <w:rPr>
          <w:rFonts w:cs="Times New Roman"/>
        </w:rPr>
      </w:pPr>
      <w:r w:rsidRPr="00632B0E">
        <w:rPr>
          <w:rFonts w:cs="Times New Roman"/>
        </w:rPr>
        <w:t xml:space="preserve">Understanding that terrorism is perpetrated to further interests that are diametrically and necessarily opposed to those of states </w:t>
      </w:r>
      <w:r w:rsidRPr="00632B0E">
        <w:rPr>
          <w:rFonts w:cs="Times New Roman"/>
          <w:i/>
          <w:iCs/>
        </w:rPr>
        <w:t>as institutions</w:t>
      </w:r>
      <w:r w:rsidRPr="00632B0E">
        <w:rPr>
          <w:rFonts w:cs="Times New Roman"/>
        </w:rPr>
        <w:t xml:space="preserve"> suggests that terrorism is a kind of post-modern warfare. This classification begs the following question: how does terrorism fit into traditional models and understandings of war? Extant scholarly literature seems to implicitly understand terrorism as an action in and of itself. This kind of definition collapses ideas that terrorism can constitute a ‘means,’ a ‘mode,’ or an ‘ends’ of warfare. This dissertation, however, constructs a typology of terrorism as post-modern warfare. In this typology, the ‘means’ refer to </w:t>
      </w:r>
      <w:r w:rsidRPr="00632B0E">
        <w:rPr>
          <w:rFonts w:cs="Times New Roman"/>
          <w:i/>
          <w:iCs/>
        </w:rPr>
        <w:t xml:space="preserve">what </w:t>
      </w:r>
      <w:r w:rsidRPr="00632B0E">
        <w:rPr>
          <w:rFonts w:cs="Times New Roman"/>
        </w:rPr>
        <w:t xml:space="preserve">is used (the specific weapons, tactics, and strategies employed in the context of warfare), the ‘ends’ constitute the ultimate objective or goal that is the desired end result of the war, while the ‘mode’ describes </w:t>
      </w:r>
      <w:r w:rsidRPr="00632B0E">
        <w:rPr>
          <w:rFonts w:cs="Times New Roman"/>
          <w:i/>
          <w:iCs/>
        </w:rPr>
        <w:t>how</w:t>
      </w:r>
      <w:r w:rsidRPr="00632B0E">
        <w:rPr>
          <w:rFonts w:cs="Times New Roman"/>
        </w:rPr>
        <w:t xml:space="preserve"> the use of the ‘means’ results in the realization of the ‘ends.’ This dissertation conceives of terrorism as </w:t>
      </w:r>
      <w:r w:rsidRPr="00632B0E">
        <w:rPr>
          <w:rFonts w:cs="Times New Roman"/>
          <w:i/>
          <w:iCs/>
        </w:rPr>
        <w:t>more</w:t>
      </w:r>
      <w:r w:rsidRPr="00632B0E">
        <w:rPr>
          <w:rFonts w:cs="Times New Roman"/>
        </w:rPr>
        <w:t xml:space="preserve"> than just a descriptive label. Accordingly, the </w:t>
      </w:r>
      <w:r w:rsidRPr="00632B0E">
        <w:rPr>
          <w:rFonts w:cs="Times New Roman"/>
          <w:i/>
          <w:iCs/>
        </w:rPr>
        <w:t>de minimis</w:t>
      </w:r>
      <w:r w:rsidRPr="00632B0E">
        <w:rPr>
          <w:rFonts w:cs="Times New Roman"/>
        </w:rPr>
        <w:t xml:space="preserve"> policy definition of terrorism allows for an understanding of terrorism as a class of activities that are conducted towards the specific ‘end’ of eroding (state) legitimacy in the context of military and/or political conflict. When terrorism is conceptualized in the context of post-modern warfare, its ‘success’ or ‘failure’ becomes predicated on whether its use as a ‘means’ achieves the desired ‘ends’ – its perpetrators’ objectives in engaging in post-modern warfare in the first place. Understanding terrorism in the context of post-modern warfare is thus integral to a </w:t>
      </w:r>
      <w:r w:rsidRPr="00632B0E">
        <w:rPr>
          <w:rFonts w:cs="Times New Roman"/>
        </w:rPr>
        <w:lastRenderedPageBreak/>
        <w:t xml:space="preserve">basic premise of this dissertation: the understanding that terrorism ‘succeeds’ by undermining (state) legitimacy. </w:t>
      </w:r>
    </w:p>
    <w:p w14:paraId="13F884F1" w14:textId="6C6664E7" w:rsidR="00D03C79" w:rsidRPr="00632B0E" w:rsidRDefault="0051124B" w:rsidP="00546721">
      <w:pPr>
        <w:ind w:firstLine="720"/>
        <w:rPr>
          <w:rFonts w:cs="Times New Roman"/>
        </w:rPr>
      </w:pPr>
      <w:r w:rsidRPr="00632B0E">
        <w:rPr>
          <w:rFonts w:cs="Times New Roman"/>
        </w:rPr>
        <w:t>The idea that terrorism’s ‘success’ is predicated on undermining the legitimacy of the state as an institution is further bolstered by critical constructivist perspectives on terrorism. Constructivism assumes a non-fungible, relational nature of power.</w:t>
      </w:r>
      <w:r w:rsidRPr="00632B0E">
        <w:rPr>
          <w:rStyle w:val="FootnoteReference"/>
          <w:rFonts w:cs="Times New Roman"/>
        </w:rPr>
        <w:footnoteReference w:id="111"/>
      </w:r>
      <w:r w:rsidRPr="00632B0E">
        <w:rPr>
          <w:rFonts w:cs="Times New Roman"/>
        </w:rPr>
        <w:t xml:space="preserve"> As such, constructivist scholarship assumes the centrality of the state as an ideational construct in analyzing terrorism.</w:t>
      </w:r>
      <w:r w:rsidRPr="00632B0E">
        <w:rPr>
          <w:rStyle w:val="FootnoteReference"/>
          <w:rFonts w:cs="Times New Roman"/>
        </w:rPr>
        <w:footnoteReference w:id="112"/>
      </w:r>
      <w:r w:rsidRPr="00632B0E">
        <w:rPr>
          <w:rFonts w:cs="Times New Roman"/>
        </w:rPr>
        <w:t xml:space="preserve"> As with constructivist explanations of the state, terrorism is conceived of as an inherently ideational construct. It is in that vein that Colin Wight argues, “terrorism cannot be defined in the absence of some or other account of the state [which can only be understood] in terms of its history.”</w:t>
      </w:r>
      <w:r w:rsidRPr="00632B0E">
        <w:rPr>
          <w:rStyle w:val="FootnoteReference"/>
          <w:rFonts w:cs="Times New Roman"/>
        </w:rPr>
        <w:footnoteReference w:id="113"/>
      </w:r>
      <w:r w:rsidRPr="00632B0E">
        <w:rPr>
          <w:rFonts w:cs="Times New Roman"/>
        </w:rPr>
        <w:t xml:space="preserve"> States define what terrorism is in practice through their actions and inactions. State politicians debate and pass laws that create definitions that result in the labeling of specific instances as ‘terrorism. Police and security services investigate and arrest those charged with specific acts or with inchoate offences such as conspiracy and attempts. Finally, courts, by interpreting laws and rendering judgments in specific cases, can expand or refine what is meant by terrorism. It is this context that policy definitions of terrorism emerge, ultimately dictating the way that states and state agencies, as institutions, interact with terrorism in the context of both </w:t>
      </w:r>
      <w:r>
        <w:rPr>
          <w:rFonts w:cs="Times New Roman"/>
        </w:rPr>
        <w:t>counter- and anti- terrorism policies and laws</w:t>
      </w:r>
      <w:r w:rsidRPr="00632B0E">
        <w:rPr>
          <w:rFonts w:cs="Times New Roman"/>
        </w:rPr>
        <w:t>. Ayşe Zarakol extends the premise of Wight’s argument, contending that terrorism is either “[state] system affirming” (if it claims legitimacy on the basis of local authority) or “[state] system threatening” (if its legitimacy claims are predicated on “</w:t>
      </w:r>
      <w:proofErr w:type="spellStart"/>
      <w:r w:rsidRPr="00632B0E">
        <w:rPr>
          <w:rFonts w:cs="Times New Roman"/>
        </w:rPr>
        <w:t>rejec</w:t>
      </w:r>
      <w:proofErr w:type="spellEnd"/>
      <w:r w:rsidRPr="00632B0E">
        <w:rPr>
          <w:rFonts w:cs="Times New Roman"/>
        </w:rPr>
        <w:t>[ting] all external authority”).</w:t>
      </w:r>
      <w:r w:rsidRPr="00632B0E">
        <w:rPr>
          <w:rStyle w:val="FootnoteReference"/>
          <w:rFonts w:cs="Times New Roman"/>
        </w:rPr>
        <w:footnoteReference w:id="114"/>
      </w:r>
      <w:r w:rsidRPr="00632B0E">
        <w:rPr>
          <w:rFonts w:cs="Times New Roman"/>
        </w:rPr>
        <w:t xml:space="preserve"> The necessarily inverse correlation between terrorism </w:t>
      </w:r>
      <w:r w:rsidRPr="00632B0E">
        <w:rPr>
          <w:rFonts w:cs="Times New Roman"/>
        </w:rPr>
        <w:lastRenderedPageBreak/>
        <w:t xml:space="preserve">and the legitimacy of the state alluded to by Zarakol supports this dissertation’s understanding of terrorism as post-modern warfare, in accordance with its definition per the </w:t>
      </w:r>
      <w:r w:rsidRPr="00632B0E">
        <w:rPr>
          <w:rFonts w:cs="Times New Roman"/>
          <w:i/>
          <w:iCs/>
        </w:rPr>
        <w:t>de minimis</w:t>
      </w:r>
      <w:r w:rsidRPr="00632B0E">
        <w:rPr>
          <w:rFonts w:cs="Times New Roman"/>
        </w:rPr>
        <w:t xml:space="preserve"> policy definition of terrorism that I establish in this chapter.</w:t>
      </w:r>
      <w:r>
        <w:rPr>
          <w:rFonts w:cs="Times New Roman"/>
        </w:rPr>
        <w:t xml:space="preserve"> This is important because it allows for an understanding of terrorism as a type of ‘battle’ for legitimacy in the international system – not just violence for the sake of violence.</w:t>
      </w:r>
    </w:p>
    <w:p w14:paraId="09730BB6" w14:textId="77777777" w:rsidR="0051124B" w:rsidRPr="00632B0E" w:rsidRDefault="0051124B" w:rsidP="00787123">
      <w:pPr>
        <w:pStyle w:val="DissertationSection1"/>
      </w:pPr>
      <w:bookmarkStart w:id="28" w:name="_Toc175413133"/>
      <w:r w:rsidRPr="00632B0E">
        <w:t>Conclusion</w:t>
      </w:r>
      <w:bookmarkEnd w:id="28"/>
    </w:p>
    <w:p w14:paraId="1D94F839" w14:textId="049EA0F3" w:rsidR="0051124B" w:rsidRPr="00632B0E" w:rsidRDefault="0051124B" w:rsidP="0051124B">
      <w:pPr>
        <w:ind w:firstLine="720"/>
        <w:rPr>
          <w:rFonts w:cs="Times New Roman"/>
        </w:rPr>
      </w:pPr>
      <w:r w:rsidRPr="00632B0E">
        <w:rPr>
          <w:rFonts w:cs="Times New Roman"/>
        </w:rPr>
        <w:t xml:space="preserve">Much of the existing academic analysis of terrorism fails to take into account how state actors – the actors who are most affected by terrorism when it succeeds – view and understand terrorism and what actions they take as a result more scholarly, theoretical understandings of terrorism often come into direct conflict with policy definitions. To that end, it must be understood that policy definitions are the ones that </w:t>
      </w:r>
      <w:r w:rsidRPr="00632B0E">
        <w:rPr>
          <w:rFonts w:cs="Times New Roman"/>
          <w:i/>
          <w:iCs/>
        </w:rPr>
        <w:t xml:space="preserve">actually </w:t>
      </w:r>
      <w:r w:rsidRPr="00632B0E">
        <w:rPr>
          <w:rFonts w:cs="Times New Roman"/>
        </w:rPr>
        <w:t xml:space="preserve">have implications for terrorists themselves and state actors who respond to them. This is particularly important because </w:t>
      </w:r>
      <w:r w:rsidRPr="00632B0E">
        <w:rPr>
          <w:rFonts w:eastAsia="Times New Roman" w:cs="Times New Roman"/>
        </w:rPr>
        <w:t>no one definition of ‘terrorism’ has been established within the scholarly literature and international policy either collectively or individually. There is no International Convention on Terrorism with an internationally-agreed upon legal definition, as exists for genocide.</w:t>
      </w:r>
      <w:r w:rsidRPr="00632B0E">
        <w:rPr>
          <w:rStyle w:val="FootnoteReference"/>
          <w:rFonts w:eastAsia="Times New Roman" w:cs="Times New Roman"/>
        </w:rPr>
        <w:footnoteReference w:id="115"/>
      </w:r>
      <w:r w:rsidRPr="00632B0E">
        <w:rPr>
          <w:rFonts w:eastAsia="Times New Roman" w:cs="Times New Roman"/>
        </w:rPr>
        <w:t xml:space="preserve"> As I have outlined in this chapter, this lack of definitional consensus amongst academics and policymakers stems from the diverging focal points around which each of their individual definitions of ‘terrorism’ is conceived. </w:t>
      </w:r>
      <w:r w:rsidRPr="00E24F15">
        <w:rPr>
          <w:rFonts w:eastAsia="Times New Roman" w:cs="Times New Roman"/>
        </w:rPr>
        <w:t>To</w:t>
      </w:r>
      <w:r w:rsidRPr="00632B0E">
        <w:rPr>
          <w:rFonts w:eastAsia="Times New Roman" w:cs="Times New Roman"/>
        </w:rPr>
        <w:t xml:space="preserve"> that end, while certain scholars have used this to suggest that ‘terrorism’ constitutes one of Gallie’s “essentially contested concepts,” I argue that while terrorism does indeed constitute an “essentially contested concept,” it does </w:t>
      </w:r>
      <w:r w:rsidRPr="00632B0E">
        <w:rPr>
          <w:rFonts w:eastAsia="Times New Roman" w:cs="Times New Roman"/>
          <w:i/>
          <w:iCs/>
        </w:rPr>
        <w:t>not</w:t>
      </w:r>
      <w:r w:rsidRPr="00632B0E">
        <w:rPr>
          <w:rFonts w:eastAsia="Times New Roman" w:cs="Times New Roman"/>
        </w:rPr>
        <w:t xml:space="preserve"> do so on the basis of previously established ideas of this notion as a framework or a hypothesis. Rather, I argue that a term or phrase that constitutes an “essentially contested concept” can only be understood </w:t>
      </w:r>
      <w:r w:rsidRPr="00632B0E">
        <w:rPr>
          <w:rFonts w:eastAsia="Times New Roman" w:cs="Times New Roman"/>
          <w:i/>
          <w:iCs/>
        </w:rPr>
        <w:t>if</w:t>
      </w:r>
      <w:r w:rsidRPr="00632B0E">
        <w:rPr>
          <w:rFonts w:eastAsia="Times New Roman" w:cs="Times New Roman"/>
        </w:rPr>
        <w:t xml:space="preserve"> the idea of the clash around which its lack of definition is centered is specifically identified. This is because an understanding of any “essentially contested concept” can only occur if the “essential contestedness” continuum is constructed on the basis of an underlying clash that facilitates an understanding of the range of possible definitions as existing between two extremes. In the context of defining terrorism, I conceive of these extremes as the separate rationales associated </w:t>
      </w:r>
      <w:r w:rsidRPr="00632B0E">
        <w:rPr>
          <w:rFonts w:eastAsia="Times New Roman" w:cs="Times New Roman"/>
        </w:rPr>
        <w:lastRenderedPageBreak/>
        <w:t>with defining terrorism from a purely scholarly perspective on the one hand, and from a policy-oriented perspective on the other. As such, I constitute these extremes as follows:</w:t>
      </w:r>
    </w:p>
    <w:p w14:paraId="77035189" w14:textId="77777777" w:rsidR="0051124B" w:rsidRPr="00632B0E" w:rsidRDefault="0051124B" w:rsidP="0051124B">
      <w:pPr>
        <w:pStyle w:val="ListParagraph"/>
        <w:numPr>
          <w:ilvl w:val="0"/>
          <w:numId w:val="6"/>
        </w:numPr>
        <w:rPr>
          <w:rFonts w:cs="Times New Roman"/>
        </w:rPr>
      </w:pPr>
      <w:r w:rsidRPr="00632B0E">
        <w:rPr>
          <w:rFonts w:cs="Times New Roman"/>
        </w:rPr>
        <w:t xml:space="preserve">the utility of being able to validate actions taken in the context of a zero-sum game; and </w:t>
      </w:r>
    </w:p>
    <w:p w14:paraId="555BE2C3" w14:textId="77777777" w:rsidR="0051124B" w:rsidRPr="00632B0E" w:rsidRDefault="0051124B" w:rsidP="0051124B">
      <w:pPr>
        <w:pStyle w:val="ListParagraph"/>
        <w:numPr>
          <w:ilvl w:val="0"/>
          <w:numId w:val="6"/>
        </w:numPr>
        <w:rPr>
          <w:rFonts w:eastAsia="Times New Roman" w:cs="Times New Roman"/>
        </w:rPr>
      </w:pPr>
      <w:r w:rsidRPr="00632B0E">
        <w:rPr>
          <w:rFonts w:cs="Times New Roman"/>
        </w:rPr>
        <w:t>specifically limiting the scope of the term ‘terrorism,’ in order to bolster a “moral and normative stance against terrorism” and general perception of the international regime.</w:t>
      </w:r>
      <w:r w:rsidRPr="00632B0E">
        <w:rPr>
          <w:rStyle w:val="FootnoteReference"/>
          <w:rFonts w:cs="Times New Roman"/>
        </w:rPr>
        <w:footnoteReference w:id="116"/>
      </w:r>
    </w:p>
    <w:p w14:paraId="4117458E" w14:textId="34CACB79" w:rsidR="0051124B" w:rsidRPr="00632B0E" w:rsidRDefault="0051124B" w:rsidP="0051124B">
      <w:pPr>
        <w:pStyle w:val="NormalWeb"/>
        <w:spacing w:before="0" w:beforeAutospacing="0" w:after="120" w:afterAutospacing="0"/>
      </w:pPr>
      <w:r w:rsidRPr="00632B0E">
        <w:t xml:space="preserve">In this dissertation, I </w:t>
      </w:r>
      <w:r>
        <w:t>favour</w:t>
      </w:r>
      <w:r w:rsidRPr="00632B0E">
        <w:t xml:space="preserve"> a policy-relevant approach in conceptualizing terrorism on the basis of the </w:t>
      </w:r>
      <w:r w:rsidRPr="00632B0E">
        <w:rPr>
          <w:i/>
          <w:iCs/>
        </w:rPr>
        <w:t>de minimis</w:t>
      </w:r>
      <w:r w:rsidRPr="00632B0E">
        <w:t xml:space="preserve"> definition that I infer from definitions of terrorism taken from the domestic legislation of the 193 United Nations member states. The definition that I derive implicitly contextualizes terrorism within the international system </w:t>
      </w:r>
      <w:r>
        <w:t>by conceiving of</w:t>
      </w:r>
      <w:r w:rsidRPr="00632B0E">
        <w:t xml:space="preserve"> states and international organizations as the primary decision-making </w:t>
      </w:r>
      <w:r>
        <w:t xml:space="preserve">and governance </w:t>
      </w:r>
      <w:r w:rsidRPr="00632B0E">
        <w:t xml:space="preserve">bodies </w:t>
      </w:r>
      <w:r>
        <w:t xml:space="preserve">or actors </w:t>
      </w:r>
      <w:r w:rsidRPr="00632B0E">
        <w:t>that terrorist activity aims to influence.</w:t>
      </w:r>
      <w:r>
        <w:t xml:space="preserve"> This emphasis on actors of international import as the targets of terrorist influence attempts accords with liberal approaches to international relations, which understand collectives (states and private groups), and specific influential individuals as the main units of analysis in international politics.</w:t>
      </w:r>
      <w:r w:rsidRPr="00632B0E">
        <w:rPr>
          <w:rStyle w:val="FootnoteReference"/>
        </w:rPr>
        <w:footnoteReference w:id="117"/>
      </w:r>
      <w:r w:rsidRPr="00632B0E">
        <w:t xml:space="preserve"> Consequently, based on the analysis above, I have developed the following definition of terrorism: </w:t>
      </w:r>
    </w:p>
    <w:p w14:paraId="34D435F3" w14:textId="77777777" w:rsidR="0051124B" w:rsidRPr="00632B0E" w:rsidRDefault="0051124B" w:rsidP="0051124B">
      <w:pPr>
        <w:pStyle w:val="NormalWeb"/>
        <w:spacing w:before="0" w:beforeAutospacing="0" w:after="120" w:afterAutospacing="0"/>
        <w:ind w:left="360"/>
      </w:pPr>
      <w:r w:rsidRPr="00632B0E">
        <w:t>the intentional threatening, or taking of criminal action designed to influence a state, an international organization, or another decision-making body’s taking of action or failure to take action by intimidating the general population. (Such actions include, but are not limited to, perpetrating homicide, actions that result in serious physical injury to persons, and the damage or destruction of property.)</w:t>
      </w:r>
      <w:r>
        <w:rPr>
          <w:rStyle w:val="FootnoteReference"/>
        </w:rPr>
        <w:footnoteReference w:id="118"/>
      </w:r>
    </w:p>
    <w:p w14:paraId="4C266B31" w14:textId="77777777" w:rsidR="0051124B" w:rsidRPr="00632B0E" w:rsidRDefault="0051124B" w:rsidP="0051124B">
      <w:pPr>
        <w:pStyle w:val="NormalWeb"/>
        <w:spacing w:before="0" w:beforeAutospacing="0" w:after="120" w:afterAutospacing="0"/>
      </w:pPr>
      <w:r>
        <w:t>It is noteworthy that t</w:t>
      </w:r>
      <w:r w:rsidRPr="00632B0E">
        <w:t>he definition of terrorism that I establish in this chapter</w:t>
      </w:r>
      <w:r>
        <w:t xml:space="preserve"> </w:t>
      </w:r>
      <w:r w:rsidRPr="00632B0E">
        <w:t>concretely establishes the relationship between state(s) and terrorists as diametrically opposed to one another</w:t>
      </w:r>
      <w:r>
        <w:t xml:space="preserve">. Moreover, this definition also </w:t>
      </w:r>
      <w:r w:rsidRPr="00632B0E">
        <w:t>implicitly reinforces that states are the institutions that constitute legitimate actors in the context of the international system.</w:t>
      </w:r>
    </w:p>
    <w:p w14:paraId="78EB0E50" w14:textId="01DBBC90" w:rsidR="0051124B" w:rsidRPr="007852AD" w:rsidRDefault="0051124B" w:rsidP="0051124B">
      <w:pPr>
        <w:pStyle w:val="NormalWeb"/>
        <w:spacing w:before="0" w:beforeAutospacing="0" w:after="120" w:afterAutospacing="0"/>
        <w:ind w:firstLine="720"/>
      </w:pPr>
      <w:r w:rsidRPr="00632B0E">
        <w:t xml:space="preserve">The next chapter (Chapter 4) considers questions of legitimacy and the </w:t>
      </w:r>
      <w:r w:rsidR="00E24F15" w:rsidRPr="00632B0E">
        <w:t>state and</w:t>
      </w:r>
      <w:r w:rsidRPr="00632B0E">
        <w:t xml:space="preserve"> will elaborate upon the implications associated with the type of actors that my definition of terrorism suggests are legitimate in the context of the international system. I then tie the idea of what constitutes a legitimate international actor to the manner in which written media coverage depicts terrorism in Chapter 5. Defining terrorism in the manner established in this chapter also plays a significant role in informing my decision to use data from the Global Terrorism Database (GTD) maintained by the National Consortium for the Study of Terrorism and Responses to Terrorism (START) to test the quantitative correlation between written mass media coverage of terrorism and state legitimacy in Chapter 6. </w:t>
      </w:r>
      <w:r w:rsidRPr="00632B0E">
        <w:rPr>
          <w:bdr w:val="none" w:sz="0" w:space="0" w:color="auto" w:frame="1"/>
        </w:rPr>
        <w:t xml:space="preserve">While the GTD definition of terrorism, at first glance, differs from my policy definition of terrorism in several respects, it ultimately incorporates the </w:t>
      </w:r>
      <w:r w:rsidRPr="00632B0E">
        <w:rPr>
          <w:i/>
          <w:iCs/>
          <w:bdr w:val="none" w:sz="0" w:space="0" w:color="auto" w:frame="1"/>
        </w:rPr>
        <w:t>same</w:t>
      </w:r>
      <w:r w:rsidRPr="00632B0E">
        <w:rPr>
          <w:bdr w:val="none" w:sz="0" w:space="0" w:color="auto" w:frame="1"/>
        </w:rPr>
        <w:t xml:space="preserve"> four core elements included in the definition of terrorism that I established in this chapter.</w:t>
      </w:r>
      <w:r w:rsidRPr="00632B0E">
        <w:rPr>
          <w:rStyle w:val="FootnoteReference"/>
          <w:bdr w:val="none" w:sz="0" w:space="0" w:color="auto" w:frame="1"/>
        </w:rPr>
        <w:footnoteReference w:id="119"/>
      </w:r>
      <w:r w:rsidRPr="00632B0E">
        <w:rPr>
          <w:bdr w:val="none" w:sz="0" w:space="0" w:color="auto" w:frame="1"/>
        </w:rPr>
        <w:t xml:space="preserve"> </w:t>
      </w:r>
      <w:r w:rsidRPr="00632B0E">
        <w:t xml:space="preserve">To </w:t>
      </w:r>
      <w:r w:rsidRPr="00632B0E">
        <w:lastRenderedPageBreak/>
        <w:t>that end, the GTD definition of terrorism is largely in accordance with my understanding of terrorist activity as a means of post-modern warfare perpetrated against the state.</w:t>
      </w:r>
      <w:r w:rsidRPr="00632B0E">
        <w:rPr>
          <w:rStyle w:val="FootnoteReference"/>
        </w:rPr>
        <w:footnoteReference w:id="120"/>
      </w:r>
      <w:r w:rsidRPr="00632B0E">
        <w:t xml:space="preserve"> I will further elaborate on the coherence of the two definitions of terrorism in the context of the quantitative analysis of the correlation between the media coverage of terrorism and state legitimacy described in Chapter 6. Finally, the definition of terrorism that I establish in this chapter informs my qualitative analysis as to </w:t>
      </w:r>
      <w:r w:rsidRPr="00632B0E">
        <w:rPr>
          <w:i/>
          <w:iCs/>
        </w:rPr>
        <w:t>how</w:t>
      </w:r>
      <w:r w:rsidRPr="00632B0E">
        <w:t xml:space="preserve"> the media coverage of terrorism affects state legitimacy in Chapter 8.</w:t>
      </w:r>
    </w:p>
    <w:p w14:paraId="1FDC2ACE" w14:textId="0664E25B" w:rsidR="0051124B" w:rsidRDefault="0051124B">
      <w:pPr>
        <w:rPr>
          <w:rFonts w:cs="Times New Roman"/>
          <w:bCs/>
          <w:color w:val="000000" w:themeColor="text1"/>
        </w:rPr>
      </w:pPr>
      <w:r>
        <w:rPr>
          <w:rFonts w:cs="Times New Roman"/>
          <w:bCs/>
          <w:color w:val="000000" w:themeColor="text1"/>
        </w:rPr>
        <w:br w:type="page"/>
      </w:r>
    </w:p>
    <w:p w14:paraId="2E11C749" w14:textId="77777777" w:rsidR="006C485E" w:rsidRDefault="006C485E" w:rsidP="0039518C">
      <w:pPr>
        <w:pStyle w:val="DissertationChapterName"/>
      </w:pPr>
      <w:bookmarkStart w:id="29" w:name="_Toc175413134"/>
      <w:r w:rsidRPr="0098488D">
        <w:lastRenderedPageBreak/>
        <w:t>Chapter 4 – Terrorism, the State, and International Legitimacy</w:t>
      </w:r>
      <w:bookmarkEnd w:id="29"/>
    </w:p>
    <w:p w14:paraId="5EF048E0" w14:textId="77777777" w:rsidR="00D03C79" w:rsidRPr="0098488D" w:rsidRDefault="00D03C79" w:rsidP="006C485E">
      <w:pPr>
        <w:jc w:val="center"/>
        <w:rPr>
          <w:rFonts w:cs="Times New Roman"/>
          <w:b/>
          <w:bCs/>
        </w:rPr>
      </w:pPr>
    </w:p>
    <w:p w14:paraId="7B1706F8" w14:textId="68F39CC7" w:rsidR="006C485E" w:rsidRDefault="006C485E" w:rsidP="006C485E">
      <w:pPr>
        <w:ind w:firstLine="567"/>
        <w:rPr>
          <w:rFonts w:cs="Times New Roman"/>
        </w:rPr>
      </w:pPr>
      <w:r w:rsidRPr="0098488D">
        <w:rPr>
          <w:rFonts w:cs="Times New Roman"/>
        </w:rPr>
        <w:t>Whether and how terrorism ‘succeeds’ is grounded</w:t>
      </w:r>
      <w:r>
        <w:rPr>
          <w:rFonts w:cs="Times New Roman"/>
        </w:rPr>
        <w:t xml:space="preserve"> </w:t>
      </w:r>
      <w:r w:rsidRPr="0098488D">
        <w:rPr>
          <w:rFonts w:cs="Times New Roman"/>
        </w:rPr>
        <w:t>in</w:t>
      </w:r>
      <w:r>
        <w:rPr>
          <w:rFonts w:cs="Times New Roman"/>
        </w:rPr>
        <w:t xml:space="preserve"> how success (or failure) is defined and measured. </w:t>
      </w:r>
      <w:r w:rsidRPr="0098488D">
        <w:rPr>
          <w:rFonts w:cs="Times New Roman"/>
        </w:rPr>
        <w:t xml:space="preserve"> </w:t>
      </w:r>
      <w:r>
        <w:rPr>
          <w:rFonts w:cs="Times New Roman"/>
        </w:rPr>
        <w:t xml:space="preserve"> </w:t>
      </w:r>
      <w:r w:rsidRPr="0098488D">
        <w:rPr>
          <w:rFonts w:cs="Times New Roman"/>
        </w:rPr>
        <w:t xml:space="preserve">To that end, the definition of terrorism that I establish in Chapter 3 conceives of the relationship between the </w:t>
      </w:r>
      <w:r w:rsidR="00E33E4E">
        <w:rPr>
          <w:rFonts w:cs="Times New Roman"/>
        </w:rPr>
        <w:t>s</w:t>
      </w:r>
      <w:r w:rsidRPr="0098488D">
        <w:rPr>
          <w:rFonts w:cs="Times New Roman"/>
        </w:rPr>
        <w:t xml:space="preserve">tate and terrorists as predicated on their diametric opposition to one another. This relationship is necessarily adversarial precisely </w:t>
      </w:r>
      <w:r w:rsidRPr="0098488D">
        <w:rPr>
          <w:rFonts w:cs="Times New Roman"/>
          <w:i/>
          <w:iCs/>
        </w:rPr>
        <w:t xml:space="preserve">because </w:t>
      </w:r>
      <w:r w:rsidRPr="0098488D">
        <w:rPr>
          <w:rFonts w:cs="Times New Roman"/>
        </w:rPr>
        <w:t>both actors pursue international legitimacy with the aim of establishing themself as an actor of consequence to international relations.</w:t>
      </w:r>
      <w:r w:rsidRPr="0098488D">
        <w:rPr>
          <w:rStyle w:val="FootnoteReference"/>
          <w:rFonts w:cs="Times New Roman"/>
        </w:rPr>
        <w:footnoteReference w:id="121"/>
      </w:r>
      <w:r w:rsidRPr="0098488D">
        <w:rPr>
          <w:rFonts w:cs="Times New Roman"/>
        </w:rPr>
        <w:t xml:space="preserve"> This conception of the relationship between terrorists and the </w:t>
      </w:r>
      <w:r w:rsidR="00E33E4E">
        <w:rPr>
          <w:rFonts w:cs="Times New Roman"/>
        </w:rPr>
        <w:t>s</w:t>
      </w:r>
      <w:r w:rsidRPr="0098488D">
        <w:rPr>
          <w:rFonts w:cs="Times New Roman"/>
        </w:rPr>
        <w:t xml:space="preserve">tate implies </w:t>
      </w:r>
      <w:r w:rsidR="00E33E4E">
        <w:rPr>
          <w:rFonts w:cs="Times New Roman"/>
        </w:rPr>
        <w:t>s</w:t>
      </w:r>
      <w:r w:rsidRPr="0098488D">
        <w:rPr>
          <w:rFonts w:cs="Times New Roman"/>
        </w:rPr>
        <w:t xml:space="preserve">tates are as the </w:t>
      </w:r>
      <w:r w:rsidRPr="0098488D">
        <w:rPr>
          <w:rFonts w:cs="Times New Roman"/>
          <w:i/>
          <w:iCs/>
        </w:rPr>
        <w:t>most internationally legitimate</w:t>
      </w:r>
      <w:r w:rsidRPr="0098488D">
        <w:rPr>
          <w:rFonts w:cs="Times New Roman"/>
        </w:rPr>
        <w:t xml:space="preserve"> of the actors in the international system. Fully understanding how terrorism ‘succeeds’ thus involves revisiting the legitimation claims and processes implicit to the history of the modern </w:t>
      </w:r>
      <w:r w:rsidR="00E33E4E">
        <w:rPr>
          <w:rFonts w:cs="Times New Roman"/>
        </w:rPr>
        <w:t>s</w:t>
      </w:r>
      <w:r w:rsidRPr="0098488D">
        <w:rPr>
          <w:rFonts w:cs="Times New Roman"/>
        </w:rPr>
        <w:t xml:space="preserve">tate. Understanding this relationship is also integral to my hypothesis that media coverage of terrorism erodes and damages the </w:t>
      </w:r>
      <w:r w:rsidR="00E33E4E">
        <w:rPr>
          <w:rFonts w:cs="Times New Roman"/>
        </w:rPr>
        <w:t>s</w:t>
      </w:r>
      <w:r w:rsidRPr="0098488D">
        <w:rPr>
          <w:rFonts w:cs="Times New Roman"/>
        </w:rPr>
        <w:t xml:space="preserve">tate’s international legitimacy because, to be effective, terrorism breaks down the perception that the </w:t>
      </w:r>
      <w:r w:rsidR="00E33E4E">
        <w:rPr>
          <w:rFonts w:cs="Times New Roman"/>
        </w:rPr>
        <w:t>s</w:t>
      </w:r>
      <w:r w:rsidRPr="0098488D">
        <w:rPr>
          <w:rFonts w:cs="Times New Roman"/>
        </w:rPr>
        <w:t xml:space="preserve">tate – as an institution – has the exclusive monopoly over the legitimate use of force. </w:t>
      </w:r>
    </w:p>
    <w:p w14:paraId="3D7354ED" w14:textId="7470552E" w:rsidR="006C485E" w:rsidRPr="0098488D" w:rsidRDefault="006C485E" w:rsidP="006C485E">
      <w:pPr>
        <w:ind w:firstLine="567"/>
        <w:rPr>
          <w:rFonts w:cs="Times New Roman"/>
        </w:rPr>
      </w:pPr>
      <w:r w:rsidRPr="0098488D">
        <w:rPr>
          <w:rFonts w:cs="Times New Roman"/>
        </w:rPr>
        <w:t xml:space="preserve">For the purposes of this hypothesis, I take Max Weber’s definition of the </w:t>
      </w:r>
      <w:r w:rsidR="00E33E4E">
        <w:rPr>
          <w:rFonts w:cs="Times New Roman"/>
        </w:rPr>
        <w:t>s</w:t>
      </w:r>
      <w:r w:rsidRPr="0098488D">
        <w:rPr>
          <w:rFonts w:cs="Times New Roman"/>
        </w:rPr>
        <w:t xml:space="preserve">tate as “the human community that successfully claims the monopoly of the legitimate use of force” as my point of departure in understanding the </w:t>
      </w:r>
      <w:r w:rsidR="00E33E4E">
        <w:rPr>
          <w:rFonts w:cs="Times New Roman"/>
        </w:rPr>
        <w:t>s</w:t>
      </w:r>
      <w:r w:rsidRPr="0098488D">
        <w:rPr>
          <w:rFonts w:cs="Times New Roman"/>
        </w:rPr>
        <w:t>tate as an institution.</w:t>
      </w:r>
      <w:r w:rsidRPr="0098488D">
        <w:rPr>
          <w:rStyle w:val="FootnoteReference"/>
          <w:rFonts w:cs="Times New Roman"/>
        </w:rPr>
        <w:footnoteReference w:id="122"/>
      </w:r>
      <w:r w:rsidRPr="0098488D">
        <w:rPr>
          <w:rFonts w:cs="Times New Roman"/>
        </w:rPr>
        <w:t xml:space="preserve"> I also allude to the continually evolving nature of state interests and identities.</w:t>
      </w:r>
      <w:r w:rsidRPr="0098488D">
        <w:rPr>
          <w:rStyle w:val="FootnoteReference"/>
          <w:rFonts w:cs="Times New Roman"/>
        </w:rPr>
        <w:footnoteReference w:id="123"/>
      </w:r>
      <w:r w:rsidRPr="0098488D">
        <w:rPr>
          <w:rFonts w:cs="Times New Roman"/>
        </w:rPr>
        <w:t xml:space="preserve"> Put simply, the </w:t>
      </w:r>
      <w:r w:rsidR="00E33E4E">
        <w:rPr>
          <w:rFonts w:cs="Times New Roman"/>
        </w:rPr>
        <w:t>s</w:t>
      </w:r>
      <w:r w:rsidRPr="0098488D">
        <w:rPr>
          <w:rFonts w:cs="Times New Roman"/>
        </w:rPr>
        <w:t>tate’s international legitimacy derives from its ability to protect civilians residing in the territory over which sovereignty is claimed.</w:t>
      </w:r>
      <w:r w:rsidRPr="0098488D">
        <w:rPr>
          <w:rStyle w:val="FootnoteReference"/>
          <w:rFonts w:cs="Times New Roman"/>
        </w:rPr>
        <w:footnoteReference w:id="124"/>
      </w:r>
      <w:r w:rsidRPr="0098488D">
        <w:rPr>
          <w:rFonts w:cs="Times New Roman"/>
        </w:rPr>
        <w:t xml:space="preserve"> The </w:t>
      </w:r>
      <w:r w:rsidR="00E33E4E">
        <w:rPr>
          <w:rFonts w:cs="Times New Roman"/>
        </w:rPr>
        <w:t>s</w:t>
      </w:r>
      <w:r w:rsidRPr="0098488D">
        <w:rPr>
          <w:rFonts w:cs="Times New Roman"/>
        </w:rPr>
        <w:t>tate is, in short, an effective and time-tested response to a human security dilemma. Moreover, this correspondence between sovereignty, territory, and legitimacy is integral to the contemporary state as an institution. This correspondence also establishes the international system as constituted by a perceived balance of power that is independent of the recognition of states as clearly defined, centrally controlled, independent entities that recognize one another’s sovereignty and territory.</w:t>
      </w:r>
      <w:r w:rsidRPr="0098488D">
        <w:rPr>
          <w:rStyle w:val="FootnoteReference"/>
          <w:rFonts w:cs="Times New Roman"/>
        </w:rPr>
        <w:footnoteReference w:id="125"/>
      </w:r>
      <w:r w:rsidRPr="0098488D">
        <w:rPr>
          <w:rFonts w:cs="Times New Roman"/>
        </w:rPr>
        <w:t xml:space="preserve">  </w:t>
      </w:r>
    </w:p>
    <w:p w14:paraId="0C8DD341" w14:textId="5315F87D" w:rsidR="006C485E" w:rsidRPr="0098488D" w:rsidRDefault="006C485E" w:rsidP="006C485E">
      <w:pPr>
        <w:ind w:firstLine="567"/>
        <w:rPr>
          <w:rFonts w:cs="Times New Roman"/>
        </w:rPr>
      </w:pPr>
      <w:r w:rsidRPr="0098488D">
        <w:rPr>
          <w:rFonts w:cs="Times New Roman"/>
        </w:rPr>
        <w:t xml:space="preserve">In Chapter 4, I argue that terrorism ‘succeeds’ by breaking down the perception that the </w:t>
      </w:r>
      <w:r w:rsidR="00E33E4E">
        <w:rPr>
          <w:rFonts w:cs="Times New Roman"/>
        </w:rPr>
        <w:t>s</w:t>
      </w:r>
      <w:r w:rsidRPr="0098488D">
        <w:rPr>
          <w:rFonts w:cs="Times New Roman"/>
        </w:rPr>
        <w:t xml:space="preserve">tate has the exclusive monopoly over the legitimate use of force. To that end, I conceptualize international (state) legitimacy as the </w:t>
      </w:r>
      <w:r w:rsidRPr="0098488D">
        <w:rPr>
          <w:rFonts w:cs="Times New Roman"/>
          <w:i/>
          <w:iCs/>
        </w:rPr>
        <w:t>ends</w:t>
      </w:r>
      <w:r w:rsidRPr="0098488D">
        <w:rPr>
          <w:rFonts w:cs="Times New Roman"/>
        </w:rPr>
        <w:t xml:space="preserve"> (objective) of terrorism as a means of post-modern warfare. First, I outline the narrative from the existing literature on statehood that understands states as the critical enterprise of the international system as a whole. This narrative takes the perspective of traditional IR theory (classical realism and liberalism) that sees the Peace of </w:t>
      </w:r>
      <w:r w:rsidRPr="0098488D">
        <w:rPr>
          <w:rFonts w:cs="Times New Roman"/>
        </w:rPr>
        <w:lastRenderedPageBreak/>
        <w:t xml:space="preserve">Westphalia as the starting point for the emergence of the modern </w:t>
      </w:r>
      <w:r w:rsidR="00E33E4E">
        <w:rPr>
          <w:rFonts w:cs="Times New Roman"/>
        </w:rPr>
        <w:t>s</w:t>
      </w:r>
      <w:r w:rsidRPr="0098488D">
        <w:rPr>
          <w:rFonts w:cs="Times New Roman"/>
        </w:rPr>
        <w:t xml:space="preserve">tate. Then, I review extant scholarship on (state) legitimacy. I make the case that extant scholarship generally agrees that </w:t>
      </w:r>
      <w:r w:rsidRPr="0098488D">
        <w:rPr>
          <w:rFonts w:cs="Times New Roman"/>
          <w:i/>
          <w:iCs/>
        </w:rPr>
        <w:t>at least one</w:t>
      </w:r>
      <w:r w:rsidRPr="0098488D">
        <w:rPr>
          <w:rFonts w:cs="Times New Roman"/>
        </w:rPr>
        <w:t xml:space="preserve"> of three underlying components – legality, justification</w:t>
      </w:r>
      <w:r w:rsidR="00525937">
        <w:rPr>
          <w:rFonts w:cs="Times New Roman"/>
        </w:rPr>
        <w:t>,</w:t>
      </w:r>
      <w:r w:rsidRPr="0098488D">
        <w:rPr>
          <w:rFonts w:cs="Times New Roman"/>
        </w:rPr>
        <w:t xml:space="preserve"> and consent – must be incorporated in any proposed definition of (state) legitimacy. I suggest that a significant shortcoming of the existing literature stems from its disproportionate focus on state activity and task performance at the </w:t>
      </w:r>
      <w:r w:rsidRPr="0098488D">
        <w:rPr>
          <w:rFonts w:cs="Times New Roman"/>
          <w:i/>
          <w:iCs/>
        </w:rPr>
        <w:t>domestic</w:t>
      </w:r>
      <w:r w:rsidRPr="0098488D">
        <w:rPr>
          <w:rFonts w:cs="Times New Roman"/>
        </w:rPr>
        <w:t xml:space="preserve"> level. Next, I use insights from this analysis to differentiate between the state’s domestic legitimacy and the international legitimacy of the state </w:t>
      </w:r>
      <w:r w:rsidRPr="0098488D">
        <w:rPr>
          <w:rFonts w:cs="Times New Roman"/>
          <w:i/>
          <w:iCs/>
        </w:rPr>
        <w:t>as an institution.</w:t>
      </w:r>
      <w:r w:rsidRPr="0098488D">
        <w:rPr>
          <w:rFonts w:cs="Times New Roman"/>
        </w:rPr>
        <w:t xml:space="preserve"> To accomplish this, I reconcile David Beetham’s three-fold conception of legitimacy with a </w:t>
      </w:r>
      <w:r w:rsidRPr="008D20AE">
        <w:rPr>
          <w:rFonts w:cs="Times New Roman"/>
        </w:rPr>
        <w:t>critical constructivist framework based on Ay</w:t>
      </w:r>
      <w:r w:rsidRPr="008D20AE">
        <w:rPr>
          <w:rFonts w:eastAsia="Times New Roman" w:cs="Times New Roman"/>
        </w:rPr>
        <w:t>ş</w:t>
      </w:r>
      <w:r w:rsidRPr="008D20AE">
        <w:rPr>
          <w:rFonts w:cs="Times New Roman"/>
        </w:rPr>
        <w:t xml:space="preserve">e Zarakol and Mark </w:t>
      </w:r>
      <w:proofErr w:type="spellStart"/>
      <w:r w:rsidRPr="008D20AE">
        <w:rPr>
          <w:rFonts w:cs="Times New Roman"/>
        </w:rPr>
        <w:t>Shirk’s</w:t>
      </w:r>
      <w:proofErr w:type="spellEnd"/>
      <w:r w:rsidRPr="008D20AE">
        <w:rPr>
          <w:rFonts w:cs="Times New Roman"/>
        </w:rPr>
        <w:t xml:space="preserve"> scholarship addressing the relationship between terrorism and (state) legitimacy, and Ian Clark’s scholarship on legitimacy in international society. This approach allows</w:t>
      </w:r>
      <w:r>
        <w:rPr>
          <w:rFonts w:cs="Times New Roman"/>
        </w:rPr>
        <w:t xml:space="preserve"> me to extend Beetham’s understanding of legitimacy as predicated on its constituent elements to </w:t>
      </w:r>
      <w:r w:rsidRPr="009017EE">
        <w:rPr>
          <w:rFonts w:cs="Times New Roman"/>
          <w:i/>
          <w:iCs/>
        </w:rPr>
        <w:t xml:space="preserve">systemic </w:t>
      </w:r>
      <w:r>
        <w:rPr>
          <w:rFonts w:cs="Times New Roman"/>
        </w:rPr>
        <w:t xml:space="preserve">international (state) legitimacy. </w:t>
      </w:r>
      <w:r w:rsidRPr="0098488D">
        <w:rPr>
          <w:rFonts w:cs="Times New Roman"/>
        </w:rPr>
        <w:t>This supports my hypothesis that international (state) legitimacy is inherently predicated on the (international) public’s perception of states’ abilities to fully ensure their constituents’ security within their sovereign territory.</w:t>
      </w:r>
      <w:r>
        <w:rPr>
          <w:rStyle w:val="FootnoteReference"/>
          <w:rFonts w:cs="Times New Roman"/>
        </w:rPr>
        <w:footnoteReference w:id="126"/>
      </w:r>
      <w:r w:rsidRPr="0098488D">
        <w:rPr>
          <w:rFonts w:cs="Times New Roman"/>
        </w:rPr>
        <w:t xml:space="preserve"> Finally, I conclude Chapter 4 by extending the understanding of terrorism proposed in Chapter 3 to discuss </w:t>
      </w:r>
      <w:r w:rsidRPr="0098488D">
        <w:rPr>
          <w:rFonts w:cs="Times New Roman"/>
          <w:i/>
          <w:iCs/>
        </w:rPr>
        <w:t>why</w:t>
      </w:r>
      <w:r w:rsidRPr="0098488D">
        <w:rPr>
          <w:rFonts w:cs="Times New Roman"/>
        </w:rPr>
        <w:t xml:space="preserve"> terrorism is necessarily detrimental to the state’s international legitimacy. Thus, Chapter 4 ultimately argues that </w:t>
      </w:r>
      <w:r>
        <w:rPr>
          <w:rFonts w:cs="Times New Roman"/>
        </w:rPr>
        <w:t xml:space="preserve">terrorism intrinsically </w:t>
      </w:r>
      <w:r w:rsidRPr="0098488D">
        <w:rPr>
          <w:rFonts w:cs="Times New Roman"/>
        </w:rPr>
        <w:t>challenge</w:t>
      </w:r>
      <w:r>
        <w:rPr>
          <w:rFonts w:cs="Times New Roman"/>
        </w:rPr>
        <w:t>s</w:t>
      </w:r>
      <w:r w:rsidRPr="0098488D">
        <w:rPr>
          <w:rFonts w:cs="Times New Roman"/>
        </w:rPr>
        <w:t xml:space="preserve"> the perception of the state as the </w:t>
      </w:r>
      <w:r w:rsidRPr="0098488D">
        <w:rPr>
          <w:rFonts w:cs="Times New Roman"/>
          <w:i/>
          <w:iCs/>
        </w:rPr>
        <w:t>exclusive</w:t>
      </w:r>
      <w:r w:rsidRPr="0098488D">
        <w:rPr>
          <w:rFonts w:cs="Times New Roman"/>
        </w:rPr>
        <w:t xml:space="preserve"> territorial power</w:t>
      </w:r>
      <w:r>
        <w:rPr>
          <w:rFonts w:cs="Times New Roman"/>
        </w:rPr>
        <w:t xml:space="preserve"> in the international state system</w:t>
      </w:r>
      <w:r w:rsidRPr="0098488D">
        <w:rPr>
          <w:rFonts w:cs="Times New Roman"/>
        </w:rPr>
        <w:t xml:space="preserve"> with the monopoly over the (legitimate) use of force</w:t>
      </w:r>
      <w:r>
        <w:rPr>
          <w:rFonts w:cs="Times New Roman"/>
        </w:rPr>
        <w:t>.</w:t>
      </w:r>
      <w:r w:rsidRPr="0098488D">
        <w:rPr>
          <w:rFonts w:cs="Times New Roman"/>
        </w:rPr>
        <w:t xml:space="preserve"> </w:t>
      </w:r>
    </w:p>
    <w:p w14:paraId="2B229059" w14:textId="2C921F6E" w:rsidR="00CC3E9B" w:rsidRPr="00E01059" w:rsidRDefault="006C485E" w:rsidP="00E01059">
      <w:pPr>
        <w:ind w:firstLine="567"/>
        <w:rPr>
          <w:rFonts w:cs="Times New Roman"/>
        </w:rPr>
      </w:pPr>
      <w:r w:rsidRPr="0098488D">
        <w:rPr>
          <w:rFonts w:cs="Times New Roman"/>
        </w:rPr>
        <w:t xml:space="preserve">Subsequently, Chapter 5 elaborates on the resulting suggestion that terrorism aims to break down perceptions of the state’s international legitimacy, proposing that terrorists seek to delegitimize the state in this manner by provoking media coverage of their violent (political) activities. Crucially, this facilitates an understanding of the state’s international legitimacy that provides the foundation for my Chapter 7 analysis of </w:t>
      </w:r>
      <w:r w:rsidRPr="0098488D">
        <w:rPr>
          <w:rFonts w:cs="Times New Roman"/>
          <w:i/>
          <w:iCs/>
        </w:rPr>
        <w:t>how</w:t>
      </w:r>
      <w:r w:rsidRPr="0098488D">
        <w:rPr>
          <w:rFonts w:cs="Times New Roman"/>
        </w:rPr>
        <w:t xml:space="preserve"> the media coverage of terrorism damages the state’s international legitimacy. This understanding of legitimacy also acts as the foundation for my Chapter 7 analysis of </w:t>
      </w:r>
      <w:r w:rsidRPr="0098488D">
        <w:rPr>
          <w:rFonts w:cs="Times New Roman"/>
          <w:i/>
          <w:iCs/>
        </w:rPr>
        <w:t>how</w:t>
      </w:r>
      <w:r w:rsidRPr="0098488D">
        <w:rPr>
          <w:rFonts w:cs="Times New Roman"/>
        </w:rPr>
        <w:t xml:space="preserve"> the media coverage of terrorism damages the state’s international legitimacy.</w:t>
      </w:r>
    </w:p>
    <w:p w14:paraId="45300FBE" w14:textId="5ECAF4EA" w:rsidR="006C485E" w:rsidRPr="0098488D" w:rsidRDefault="006C485E" w:rsidP="00787123">
      <w:pPr>
        <w:pStyle w:val="DissertationSection1"/>
      </w:pPr>
      <w:bookmarkStart w:id="30" w:name="_Toc175413135"/>
      <w:r w:rsidRPr="0098488D">
        <w:t>Statehood</w:t>
      </w:r>
      <w:bookmarkEnd w:id="30"/>
    </w:p>
    <w:p w14:paraId="5FD8BD8B" w14:textId="44C0AB4C" w:rsidR="006C485E" w:rsidRPr="0098488D" w:rsidRDefault="006C485E" w:rsidP="006C485E">
      <w:pPr>
        <w:ind w:firstLine="567"/>
        <w:rPr>
          <w:rFonts w:cs="Times New Roman"/>
        </w:rPr>
      </w:pPr>
      <w:r w:rsidRPr="0098488D">
        <w:rPr>
          <w:rFonts w:cs="Times New Roman"/>
        </w:rPr>
        <w:t xml:space="preserve">International Relations (IR) scholarship emphasizes the relevance of legitimacy to theories of the state, international regimes, and institutions. Colored by its formal emergence as a </w:t>
      </w:r>
      <w:r w:rsidRPr="0098488D">
        <w:rPr>
          <w:rFonts w:cs="Times New Roman"/>
        </w:rPr>
        <w:lastRenderedPageBreak/>
        <w:t>discipline in the immediate aftermath of World War I, initial IR scholarship sought to understand how power politics caused ‘the war to end all wars.’ Those collective efforts resulted in the interconnected theoretical frameworks that endeavor to explain the behavior, actions, and interactions of states. Consequently, historical IR scholarship conceives of the international system as constituted primarily by the actions and interactions of state actors in their relations with one another.</w:t>
      </w:r>
      <w:r w:rsidRPr="0098488D">
        <w:rPr>
          <w:rStyle w:val="FootnoteReference"/>
          <w:rFonts w:cs="Times New Roman"/>
        </w:rPr>
        <w:footnoteReference w:id="127"/>
      </w:r>
      <w:r w:rsidRPr="0098488D">
        <w:rPr>
          <w:rFonts w:cs="Times New Roman"/>
        </w:rPr>
        <w:t xml:space="preserve"> This scholarship effectively establishes state actors as the dominant </w:t>
      </w:r>
      <w:r w:rsidR="00F7192D">
        <w:rPr>
          <w:rFonts w:cs="Times New Roman"/>
        </w:rPr>
        <w:t>acto</w:t>
      </w:r>
      <w:r w:rsidRPr="0098488D">
        <w:rPr>
          <w:rFonts w:cs="Times New Roman"/>
        </w:rPr>
        <w:t>rs within international relations. Exemplifying this conception of international relations, the creation of the international political system in the aftermath of the First and Second World Wars was premised on this idea of states as the primary actors of relevance in the international arena. For these reasons, older theoretical frameworks such as  classical realism and liberalism focus on states as the primary units of analysis relevant to understanding international politics.</w:t>
      </w:r>
      <w:r w:rsidRPr="0098488D">
        <w:rPr>
          <w:rStyle w:val="FootnoteReference"/>
          <w:rFonts w:cs="Times New Roman"/>
        </w:rPr>
        <w:footnoteReference w:id="128"/>
      </w:r>
      <w:r w:rsidRPr="0098488D">
        <w:rPr>
          <w:rFonts w:cs="Times New Roman"/>
        </w:rPr>
        <w:t xml:space="preserve"> Ultimately, the primacy of the state in this regard supports the argument that the international system is a “(modern) ordering activity:” a way for states to collectively ensure that they retain power and authority.</w:t>
      </w:r>
      <w:r w:rsidRPr="0098488D">
        <w:rPr>
          <w:rStyle w:val="FootnoteReference"/>
          <w:rFonts w:cs="Times New Roman"/>
        </w:rPr>
        <w:footnoteReference w:id="129"/>
      </w:r>
      <w:r w:rsidRPr="0098488D">
        <w:rPr>
          <w:rFonts w:cs="Times New Roman"/>
        </w:rPr>
        <w:t xml:space="preserve"> By retaining </w:t>
      </w:r>
      <w:r>
        <w:rPr>
          <w:rFonts w:cs="Times New Roman"/>
        </w:rPr>
        <w:t xml:space="preserve">both </w:t>
      </w:r>
      <w:r w:rsidRPr="0098488D">
        <w:rPr>
          <w:rFonts w:cs="Times New Roman"/>
        </w:rPr>
        <w:t xml:space="preserve">power and authority, states provide order and security on a predictable and daily level for their citizens. </w:t>
      </w:r>
    </w:p>
    <w:p w14:paraId="18EC6F51" w14:textId="431DE0FD" w:rsidR="006C485E" w:rsidRPr="0098488D" w:rsidRDefault="006C485E" w:rsidP="006C485E">
      <w:pPr>
        <w:ind w:firstLine="567"/>
        <w:rPr>
          <w:rFonts w:cs="Times New Roman"/>
        </w:rPr>
      </w:pPr>
      <w:r w:rsidRPr="0098488D">
        <w:rPr>
          <w:rFonts w:cs="Times New Roman"/>
        </w:rPr>
        <w:t xml:space="preserve">The state’s primacy in the international system begs the following questions: </w:t>
      </w:r>
      <w:r w:rsidRPr="0098488D">
        <w:rPr>
          <w:rFonts w:cs="Times New Roman"/>
          <w:i/>
          <w:iCs/>
        </w:rPr>
        <w:t>how</w:t>
      </w:r>
      <w:r w:rsidRPr="0098488D">
        <w:rPr>
          <w:rFonts w:cs="Times New Roman"/>
        </w:rPr>
        <w:t xml:space="preserve"> did states become the influential actors they are in the global arena? Moreover, </w:t>
      </w:r>
      <w:r w:rsidRPr="0098488D">
        <w:rPr>
          <w:rFonts w:cs="Times New Roman"/>
          <w:i/>
          <w:iCs/>
        </w:rPr>
        <w:t>why</w:t>
      </w:r>
      <w:r w:rsidRPr="0098488D">
        <w:rPr>
          <w:rFonts w:cs="Times New Roman"/>
        </w:rPr>
        <w:t xml:space="preserve"> have states been able to maintain primacy in a system that has continued to evolve and is an increasingly crowded geopolitical space? Prevalent theories of sovereignty propose  that sovereignty, as a practice, involves the “claim [to] the supremacy of the govern[</w:t>
      </w:r>
      <w:proofErr w:type="spellStart"/>
      <w:r w:rsidRPr="0098488D">
        <w:rPr>
          <w:rFonts w:cs="Times New Roman"/>
        </w:rPr>
        <w:t>ing</w:t>
      </w:r>
      <w:proofErr w:type="spellEnd"/>
      <w:r w:rsidRPr="0098488D">
        <w:rPr>
          <w:rFonts w:cs="Times New Roman"/>
        </w:rPr>
        <w:t xml:space="preserve"> authority]… over the people, resources, </w:t>
      </w:r>
      <w:r w:rsidRPr="0098488D">
        <w:rPr>
          <w:rFonts w:cs="Times New Roman"/>
        </w:rPr>
        <w:lastRenderedPageBreak/>
        <w:t>and, ultimately, over all other authorities within the territory it control[s].”</w:t>
      </w:r>
      <w:r w:rsidRPr="0098488D">
        <w:rPr>
          <w:rStyle w:val="FootnoteReference"/>
          <w:rFonts w:cs="Times New Roman"/>
        </w:rPr>
        <w:footnoteReference w:id="130"/>
      </w:r>
      <w:r w:rsidRPr="0098488D">
        <w:rPr>
          <w:rFonts w:cs="Times New Roman"/>
        </w:rPr>
        <w:t xml:space="preserve"> Correspondingly, sovereignty is enshrined in the Charter of the United Nations as “the sovereign equality [of member states].”</w:t>
      </w:r>
      <w:r w:rsidRPr="0098488D">
        <w:rPr>
          <w:rStyle w:val="FootnoteReference"/>
          <w:rFonts w:cs="Times New Roman"/>
        </w:rPr>
        <w:footnoteReference w:id="131"/>
      </w:r>
      <w:r w:rsidRPr="0098488D">
        <w:rPr>
          <w:rFonts w:cs="Times New Roman"/>
        </w:rPr>
        <w:t xml:space="preserve"> (Liberal theorists conceive of the United Nations as an ultimate manifestation of the “open and rule based international order” for which they are proponents.)</w:t>
      </w:r>
      <w:r w:rsidRPr="0098488D">
        <w:rPr>
          <w:rStyle w:val="FootnoteReference"/>
          <w:rFonts w:cs="Times New Roman"/>
        </w:rPr>
        <w:footnoteReference w:id="132"/>
      </w:r>
      <w:r>
        <w:rPr>
          <w:rFonts w:cs="Times New Roman"/>
        </w:rPr>
        <w:t xml:space="preserve"> Put simply, does sovereignty solve a succession problem? Locating sovereignty in the state rather than in the person of a ruler or governing authority means that the state “lives on” regardless of personage or regime type. </w:t>
      </w:r>
    </w:p>
    <w:p w14:paraId="41772688" w14:textId="131ABF56" w:rsidR="006C485E" w:rsidRPr="0098488D" w:rsidRDefault="006C485E" w:rsidP="006C485E">
      <w:pPr>
        <w:ind w:firstLine="567"/>
        <w:rPr>
          <w:rFonts w:cs="Times New Roman"/>
        </w:rPr>
      </w:pPr>
      <w:r w:rsidRPr="0098488D">
        <w:rPr>
          <w:rFonts w:cs="Times New Roman"/>
        </w:rPr>
        <w:t>Classical realists and liberals both con</w:t>
      </w:r>
      <w:r w:rsidR="00525937">
        <w:rPr>
          <w:rFonts w:cs="Times New Roman"/>
        </w:rPr>
        <w:t>sider</w:t>
      </w:r>
      <w:r w:rsidRPr="0098488D">
        <w:rPr>
          <w:rFonts w:cs="Times New Roman"/>
        </w:rPr>
        <w:t xml:space="preserve"> the institutional origins of the modern </w:t>
      </w:r>
      <w:r w:rsidR="00E33E4E">
        <w:rPr>
          <w:rFonts w:cs="Times New Roman"/>
        </w:rPr>
        <w:t>s</w:t>
      </w:r>
      <w:r w:rsidRPr="0098488D">
        <w:rPr>
          <w:rFonts w:cs="Times New Roman"/>
        </w:rPr>
        <w:t>tate as emerging from the 1648 Peace of Westphalia.</w:t>
      </w:r>
      <w:r w:rsidRPr="0098488D">
        <w:rPr>
          <w:rStyle w:val="FootnoteReference"/>
          <w:rFonts w:cs="Times New Roman"/>
        </w:rPr>
        <w:footnoteReference w:id="133"/>
      </w:r>
      <w:r w:rsidRPr="0098488D">
        <w:rPr>
          <w:rFonts w:cs="Times New Roman"/>
        </w:rPr>
        <w:t xml:space="preserve"> This claim is essential not only to notions of statehood in International Relations (IR) but also to my conception of the international politics as an enduring struggle for international legitimacy. In 1648, the Peace of Westphalia ended the Thirty Years War, a war of religion between the Catholics and the Protestants that had resulted in over 7.5 million casualties.</w:t>
      </w:r>
      <w:r w:rsidRPr="0098488D">
        <w:rPr>
          <w:rStyle w:val="FootnoteReference"/>
          <w:rFonts w:cs="Times New Roman"/>
        </w:rPr>
        <w:footnoteReference w:id="134"/>
      </w:r>
      <w:r w:rsidRPr="0098488D">
        <w:rPr>
          <w:rFonts w:cs="Times New Roman"/>
        </w:rPr>
        <w:t xml:space="preserve"> To put the significance of this statistic into context: in Germany, “about 40% of the rural population” and 33% of the urban population lost their lives between 1618 and 1648.</w:t>
      </w:r>
      <w:r w:rsidRPr="0098488D">
        <w:rPr>
          <w:rStyle w:val="FootnoteReference"/>
          <w:rFonts w:cs="Times New Roman"/>
        </w:rPr>
        <w:footnoteReference w:id="135"/>
      </w:r>
      <w:r w:rsidRPr="0098488D">
        <w:rPr>
          <w:rFonts w:cs="Times New Roman"/>
        </w:rPr>
        <w:t xml:space="preserve"> While neither the Catholics nor the Protestants achieved a clear victory in the context of the conflict, the Peace of Westphalia brought order to Europe by formalizing the status quo on the basis of its codification of the conflicting parties’ consensus on the following three principles:</w:t>
      </w:r>
    </w:p>
    <w:p w14:paraId="130DFA6A" w14:textId="77777777" w:rsidR="006C485E" w:rsidRPr="0098488D" w:rsidRDefault="006C485E" w:rsidP="006C485E">
      <w:pPr>
        <w:pStyle w:val="ListParagraph"/>
        <w:numPr>
          <w:ilvl w:val="0"/>
          <w:numId w:val="9"/>
        </w:numPr>
        <w:rPr>
          <w:rFonts w:cs="Times New Roman"/>
        </w:rPr>
      </w:pPr>
      <w:r w:rsidRPr="0098488D">
        <w:rPr>
          <w:rFonts w:cs="Times New Roman"/>
          <w:i/>
          <w:iCs/>
        </w:rPr>
        <w:t xml:space="preserve">Rex </w:t>
      </w:r>
      <w:proofErr w:type="spellStart"/>
      <w:r w:rsidRPr="0098488D">
        <w:rPr>
          <w:rFonts w:cs="Times New Roman"/>
          <w:i/>
          <w:iCs/>
        </w:rPr>
        <w:t>est</w:t>
      </w:r>
      <w:proofErr w:type="spellEnd"/>
      <w:r w:rsidRPr="0098488D">
        <w:rPr>
          <w:rFonts w:cs="Times New Roman"/>
          <w:i/>
          <w:iCs/>
        </w:rPr>
        <w:t xml:space="preserve"> imperator in regno </w:t>
      </w:r>
      <w:proofErr w:type="spellStart"/>
      <w:r w:rsidRPr="0098488D">
        <w:rPr>
          <w:rFonts w:cs="Times New Roman"/>
          <w:i/>
          <w:iCs/>
        </w:rPr>
        <w:t>suo</w:t>
      </w:r>
      <w:proofErr w:type="spellEnd"/>
      <w:r w:rsidRPr="0098488D">
        <w:rPr>
          <w:rFonts w:cs="Times New Roman"/>
        </w:rPr>
        <w:t xml:space="preserve"> (“An emperor in his own realm”): the acknowledgement that a king is the emperor in his own territory and is therefore not subject to any higher political authority.</w:t>
      </w:r>
      <w:r w:rsidRPr="0098488D">
        <w:rPr>
          <w:rStyle w:val="FootnoteReference"/>
          <w:rFonts w:cs="Times New Roman"/>
        </w:rPr>
        <w:footnoteReference w:id="136"/>
      </w:r>
    </w:p>
    <w:p w14:paraId="1A4C612B" w14:textId="77777777" w:rsidR="006C485E" w:rsidRPr="0098488D" w:rsidRDefault="006C485E" w:rsidP="006C485E">
      <w:pPr>
        <w:pStyle w:val="ListParagraph"/>
        <w:numPr>
          <w:ilvl w:val="0"/>
          <w:numId w:val="9"/>
        </w:numPr>
        <w:rPr>
          <w:rFonts w:cs="Times New Roman"/>
        </w:rPr>
      </w:pPr>
      <w:proofErr w:type="spellStart"/>
      <w:r w:rsidRPr="0098488D">
        <w:rPr>
          <w:rFonts w:cs="Times New Roman"/>
          <w:i/>
          <w:iCs/>
        </w:rPr>
        <w:lastRenderedPageBreak/>
        <w:t>Cuius</w:t>
      </w:r>
      <w:proofErr w:type="spellEnd"/>
      <w:r w:rsidRPr="0098488D">
        <w:rPr>
          <w:rFonts w:cs="Times New Roman"/>
          <w:i/>
          <w:iCs/>
        </w:rPr>
        <w:t xml:space="preserve"> </w:t>
      </w:r>
      <w:proofErr w:type="spellStart"/>
      <w:r w:rsidRPr="0098488D">
        <w:rPr>
          <w:rFonts w:cs="Times New Roman"/>
          <w:i/>
          <w:iCs/>
        </w:rPr>
        <w:t>regio</w:t>
      </w:r>
      <w:proofErr w:type="spellEnd"/>
      <w:r w:rsidRPr="0098488D">
        <w:rPr>
          <w:rFonts w:cs="Times New Roman"/>
          <w:i/>
          <w:iCs/>
        </w:rPr>
        <w:t xml:space="preserve">, </w:t>
      </w:r>
      <w:proofErr w:type="spellStart"/>
      <w:r w:rsidRPr="0098488D">
        <w:rPr>
          <w:rFonts w:cs="Times New Roman"/>
          <w:i/>
          <w:iCs/>
        </w:rPr>
        <w:t>eius</w:t>
      </w:r>
      <w:proofErr w:type="spellEnd"/>
      <w:r w:rsidRPr="0098488D">
        <w:rPr>
          <w:rFonts w:cs="Times New Roman"/>
          <w:i/>
          <w:iCs/>
        </w:rPr>
        <w:t xml:space="preserve"> </w:t>
      </w:r>
      <w:proofErr w:type="spellStart"/>
      <w:r w:rsidRPr="0098488D">
        <w:rPr>
          <w:rFonts w:cs="Times New Roman"/>
          <w:i/>
          <w:iCs/>
        </w:rPr>
        <w:t>religio</w:t>
      </w:r>
      <w:proofErr w:type="spellEnd"/>
      <w:r w:rsidRPr="0098488D">
        <w:rPr>
          <w:rFonts w:cs="Times New Roman"/>
        </w:rPr>
        <w:t xml:space="preserve"> (“His realm, his religion”): “the denial of a role for religious authority in secular matters” through the formal recognition that a king is solely responsible for determining the religion that is to be endorsed in his territory.</w:t>
      </w:r>
      <w:r w:rsidRPr="0098488D">
        <w:rPr>
          <w:rStyle w:val="FootnoteReference"/>
          <w:rFonts w:cs="Times New Roman"/>
        </w:rPr>
        <w:footnoteReference w:id="137"/>
      </w:r>
    </w:p>
    <w:p w14:paraId="7F386BFC" w14:textId="77777777" w:rsidR="006C485E" w:rsidRPr="0098488D" w:rsidRDefault="006C485E" w:rsidP="006C485E">
      <w:pPr>
        <w:pStyle w:val="ListParagraph"/>
        <w:numPr>
          <w:ilvl w:val="0"/>
          <w:numId w:val="9"/>
        </w:numPr>
        <w:rPr>
          <w:rFonts w:cs="Times New Roman"/>
        </w:rPr>
      </w:pPr>
      <w:r w:rsidRPr="0098488D">
        <w:rPr>
          <w:rFonts w:cs="Times New Roman"/>
        </w:rPr>
        <w:t>The mutual recognition of sovereignty among states, such that no state should emerge as superior and try to assert control over other states.</w:t>
      </w:r>
      <w:r w:rsidRPr="0098488D">
        <w:rPr>
          <w:rStyle w:val="FootnoteReference"/>
          <w:rFonts w:cs="Times New Roman"/>
        </w:rPr>
        <w:footnoteReference w:id="138"/>
      </w:r>
    </w:p>
    <w:p w14:paraId="329399AF" w14:textId="77777777" w:rsidR="006C485E" w:rsidRPr="0098488D" w:rsidRDefault="006C485E" w:rsidP="006C485E">
      <w:pPr>
        <w:pStyle w:val="NormalWeb"/>
        <w:spacing w:before="0" w:beforeAutospacing="0" w:after="120" w:afterAutospacing="0"/>
      </w:pPr>
    </w:p>
    <w:p w14:paraId="637BA138" w14:textId="24B0A7FC" w:rsidR="006C485E" w:rsidRPr="0098488D" w:rsidRDefault="006C485E" w:rsidP="006C485E">
      <w:pPr>
        <w:pStyle w:val="NormalWeb"/>
        <w:spacing w:before="0" w:beforeAutospacing="0" w:after="120" w:afterAutospacing="0"/>
      </w:pPr>
      <w:r w:rsidRPr="0098488D">
        <w:t xml:space="preserve">These ideas are key to informing modern conceptions of sovereignty. The first principle, </w:t>
      </w:r>
      <w:r w:rsidRPr="0098488D">
        <w:rPr>
          <w:i/>
          <w:iCs/>
        </w:rPr>
        <w:t xml:space="preserve">rex </w:t>
      </w:r>
      <w:proofErr w:type="spellStart"/>
      <w:r w:rsidRPr="0098488D">
        <w:rPr>
          <w:i/>
          <w:iCs/>
        </w:rPr>
        <w:t>est</w:t>
      </w:r>
      <w:proofErr w:type="spellEnd"/>
      <w:r w:rsidRPr="0098488D">
        <w:rPr>
          <w:i/>
          <w:iCs/>
        </w:rPr>
        <w:t xml:space="preserve"> imperator in regno </w:t>
      </w:r>
      <w:proofErr w:type="spellStart"/>
      <w:r w:rsidRPr="0098488D">
        <w:rPr>
          <w:i/>
          <w:iCs/>
        </w:rPr>
        <w:t>suo</w:t>
      </w:r>
      <w:proofErr w:type="spellEnd"/>
      <w:r w:rsidRPr="0098488D">
        <w:t>, formalized the recognition of kings as legitimate, independent</w:t>
      </w:r>
      <w:r w:rsidR="00525937">
        <w:t>,</w:t>
      </w:r>
      <w:r w:rsidRPr="0098488D">
        <w:t xml:space="preserve"> and equal in relation to one another. This represents a transition from hierarchical relationships to more horizontal relationships between polities. The second principle, </w:t>
      </w:r>
      <w:proofErr w:type="spellStart"/>
      <w:r w:rsidRPr="0098488D">
        <w:rPr>
          <w:i/>
          <w:iCs/>
        </w:rPr>
        <w:t>cuius</w:t>
      </w:r>
      <w:proofErr w:type="spellEnd"/>
      <w:r w:rsidRPr="0098488D">
        <w:rPr>
          <w:i/>
          <w:iCs/>
        </w:rPr>
        <w:t xml:space="preserve"> </w:t>
      </w:r>
      <w:proofErr w:type="spellStart"/>
      <w:r w:rsidRPr="0098488D">
        <w:rPr>
          <w:i/>
          <w:iCs/>
        </w:rPr>
        <w:t>regio</w:t>
      </w:r>
      <w:proofErr w:type="spellEnd"/>
      <w:r w:rsidRPr="0098488D">
        <w:rPr>
          <w:i/>
          <w:iCs/>
        </w:rPr>
        <w:t xml:space="preserve">, </w:t>
      </w:r>
      <w:proofErr w:type="spellStart"/>
      <w:r w:rsidRPr="0098488D">
        <w:rPr>
          <w:i/>
          <w:iCs/>
        </w:rPr>
        <w:t>eius</w:t>
      </w:r>
      <w:proofErr w:type="spellEnd"/>
      <w:r w:rsidRPr="0098488D">
        <w:rPr>
          <w:i/>
          <w:iCs/>
        </w:rPr>
        <w:t xml:space="preserve"> </w:t>
      </w:r>
      <w:proofErr w:type="spellStart"/>
      <w:r w:rsidRPr="0098488D">
        <w:rPr>
          <w:i/>
          <w:iCs/>
        </w:rPr>
        <w:t>religio</w:t>
      </w:r>
      <w:proofErr w:type="spellEnd"/>
      <w:r w:rsidRPr="0098488D">
        <w:t xml:space="preserve">, explicitly references religion in establishing that, as the ruler of his own realm, the king has the inherent right to not have others interfere in his decision making and internal state affairs. The final principle inspired states to work to establish a balance of power to preserve this newly established horizontal relationship among themselves. As perhaps the first codified theory of sovereignty theory, the Peace of Westphalia facilitated the </w:t>
      </w:r>
      <w:r w:rsidRPr="0098488D">
        <w:rPr>
          <w:i/>
          <w:iCs/>
        </w:rPr>
        <w:t xml:space="preserve">sharing </w:t>
      </w:r>
      <w:r w:rsidRPr="0098488D">
        <w:t xml:space="preserve">of political authority in a way that enabled the co-existence of states. </w:t>
      </w:r>
    </w:p>
    <w:p w14:paraId="18E4C899" w14:textId="54582B7E" w:rsidR="006C485E" w:rsidRPr="0098488D" w:rsidRDefault="006C485E" w:rsidP="006C485E">
      <w:pPr>
        <w:pStyle w:val="NormalWeb"/>
        <w:spacing w:before="0" w:beforeAutospacing="0" w:after="120" w:afterAutospacing="0"/>
        <w:ind w:firstLine="567"/>
      </w:pPr>
      <w:r w:rsidRPr="0098488D">
        <w:t xml:space="preserve">The evolving Westphalian conception of sovereignty is coherent with the later Weberian definition of the </w:t>
      </w:r>
      <w:r w:rsidR="00E33E4E">
        <w:t>s</w:t>
      </w:r>
      <w:r w:rsidRPr="0098488D">
        <w:t>tate as “the human community that successfully claims the monopoly of the legitimate use of physical force” when it is understood in relation to the role that the nineteenth century “nationalization” and “territorialisation” of culture’s manufacturing of identity play in establishing the nation-state as the “unitary body in which sovereignty rest[s].”</w:t>
      </w:r>
      <w:r w:rsidRPr="0098488D">
        <w:rPr>
          <w:rStyle w:val="FootnoteReference"/>
        </w:rPr>
        <w:footnoteReference w:id="139"/>
      </w:r>
      <w:r w:rsidRPr="0098488D">
        <w:t xml:space="preserve">  Westphalia </w:t>
      </w:r>
      <w:r w:rsidRPr="0098488D">
        <w:lastRenderedPageBreak/>
        <w:t>formalized the norms that went to establishing correspondence between sovereignty, territory and legitimacy. Moreover, the overall, cumulative effects of Westphalia lead to the establishment of states as clearly demarcated, centrally controlled, independent entities that recognize one another’s sovereignty and territory.</w:t>
      </w:r>
      <w:r w:rsidRPr="0098488D">
        <w:rPr>
          <w:rStyle w:val="FootnoteReference"/>
        </w:rPr>
        <w:footnoteReference w:id="140"/>
      </w:r>
      <w:r w:rsidRPr="0098488D">
        <w:t xml:space="preserve"> That being the case, the argument that I make in this dissertation sustains the idea that the enduring legacy of Westphalia is its codification of the existence of a political ordering system premised on co-existing sovereign states. Westphalia is thus not only about statehood and sovereignty, but (international) </w:t>
      </w:r>
      <w:r w:rsidRPr="0098488D">
        <w:rPr>
          <w:i/>
          <w:iCs/>
        </w:rPr>
        <w:t>legitimacy</w:t>
      </w:r>
      <w:r w:rsidRPr="0098488D">
        <w:t xml:space="preserve"> as well.  </w:t>
      </w:r>
      <w:r w:rsidRPr="0098488D">
        <w:tab/>
      </w:r>
    </w:p>
    <w:p w14:paraId="1BF05499" w14:textId="6ADDCF6B" w:rsidR="006C485E" w:rsidRPr="0098488D" w:rsidRDefault="006C485E" w:rsidP="006C485E">
      <w:pPr>
        <w:ind w:firstLine="567"/>
        <w:rPr>
          <w:rFonts w:cs="Times New Roman"/>
        </w:rPr>
      </w:pPr>
      <w:r w:rsidRPr="0098488D">
        <w:rPr>
          <w:rFonts w:cs="Times New Roman"/>
        </w:rPr>
        <w:t xml:space="preserve">Notwithstanding the emphasis on legitimacy as integral to Westphalian statehood, theories of sovereignty also feature significantly in conceiving of the modern </w:t>
      </w:r>
      <w:r w:rsidR="00E33E4E">
        <w:rPr>
          <w:rFonts w:cs="Times New Roman"/>
        </w:rPr>
        <w:t>s</w:t>
      </w:r>
      <w:r w:rsidRPr="0098488D">
        <w:rPr>
          <w:rFonts w:cs="Times New Roman"/>
        </w:rPr>
        <w:t xml:space="preserve">tate. Two distinct theoretical </w:t>
      </w:r>
      <w:r w:rsidRPr="00756456">
        <w:rPr>
          <w:rFonts w:cs="Times New Roman"/>
        </w:rPr>
        <w:t>conceptions of contemporary (state) sovereignty</w:t>
      </w:r>
      <w:r w:rsidRPr="0098488D">
        <w:rPr>
          <w:rFonts w:cs="Times New Roman"/>
        </w:rPr>
        <w:t xml:space="preserve"> have developed out of rationalist and reflectivist IR theory.</w:t>
      </w:r>
      <w:r w:rsidRPr="0098488D">
        <w:rPr>
          <w:rStyle w:val="FootnoteReference"/>
          <w:rFonts w:cs="Times New Roman"/>
        </w:rPr>
        <w:footnoteReference w:id="141"/>
      </w:r>
      <w:r w:rsidRPr="0098488D">
        <w:rPr>
          <w:rFonts w:cs="Times New Roman"/>
        </w:rPr>
        <w:t xml:space="preserve"> Rationalist theory sees sovereignty manufactured through “discourse, practice, and for value satisfaction; and a degree of institutionalization and hierarchy.” This conception of sovereignty suggests that the </w:t>
      </w:r>
      <w:r w:rsidR="00E33E4E">
        <w:rPr>
          <w:rFonts w:cs="Times New Roman"/>
        </w:rPr>
        <w:t>s</w:t>
      </w:r>
      <w:r w:rsidRPr="0098488D">
        <w:rPr>
          <w:rFonts w:cs="Times New Roman"/>
        </w:rPr>
        <w:t xml:space="preserve">tate exists as a polity at the same level as other, similar polities </w:t>
      </w:r>
      <w:r w:rsidR="00525937">
        <w:rPr>
          <w:rFonts w:cs="Times New Roman"/>
        </w:rPr>
        <w:t xml:space="preserve">such </w:t>
      </w:r>
      <w:r w:rsidR="00E33E4E">
        <w:rPr>
          <w:rFonts w:cs="Times New Roman"/>
        </w:rPr>
        <w:t xml:space="preserve">as </w:t>
      </w:r>
      <w:r w:rsidR="00E33E4E" w:rsidRPr="0098488D">
        <w:rPr>
          <w:rFonts w:cs="Times New Roman"/>
        </w:rPr>
        <w:t>“</w:t>
      </w:r>
      <w:r w:rsidRPr="0098488D">
        <w:rPr>
          <w:rFonts w:cs="Times New Roman"/>
        </w:rPr>
        <w:t xml:space="preserve">tribes, empires, corporations, trading leagues, city-states, rebel groups, religions, [and] private groups.”  By contrast, reflectivist sovereignty sees the </w:t>
      </w:r>
      <w:r w:rsidR="00E33E4E">
        <w:rPr>
          <w:rFonts w:cs="Times New Roman"/>
        </w:rPr>
        <w:t>s</w:t>
      </w:r>
      <w:r w:rsidRPr="0098488D">
        <w:rPr>
          <w:rFonts w:cs="Times New Roman"/>
        </w:rPr>
        <w:t xml:space="preserve">tate as a specific type of polity, thus explicitly establishing that the terms “state” and “polity” cannot be understood as synonymous with one another. In this context, the term “polity” refers to an organized political entity, while a “state” is a </w:t>
      </w:r>
      <w:r w:rsidRPr="0098488D">
        <w:rPr>
          <w:rFonts w:cs="Times New Roman"/>
          <w:i/>
          <w:iCs/>
        </w:rPr>
        <w:t xml:space="preserve">specific </w:t>
      </w:r>
      <w:r w:rsidRPr="0098488D">
        <w:rPr>
          <w:rFonts w:cs="Times New Roman"/>
        </w:rPr>
        <w:t>type of polity produced by sovereignty (conceived of, here, as the practice of drawing boundaries around political authority).</w:t>
      </w:r>
      <w:r w:rsidRPr="0098488D">
        <w:rPr>
          <w:rStyle w:val="FootnoteReference"/>
          <w:rFonts w:cs="Times New Roman"/>
        </w:rPr>
        <w:footnoteReference w:id="142"/>
      </w:r>
      <w:r w:rsidRPr="0098488D">
        <w:rPr>
          <w:rFonts w:cs="Times New Roman"/>
        </w:rPr>
        <w:t xml:space="preserve"> This implies that states inherently possess some underlying feature that distinguishes the institution of the </w:t>
      </w:r>
      <w:r w:rsidR="00E33E4E">
        <w:rPr>
          <w:rFonts w:cs="Times New Roman"/>
        </w:rPr>
        <w:t>s</w:t>
      </w:r>
      <w:r w:rsidRPr="0098488D">
        <w:rPr>
          <w:rFonts w:cs="Times New Roman"/>
        </w:rPr>
        <w:t xml:space="preserve">tate from other entities. As well, analyzing sovereignty using a reflectivist framework effectively frames both states and the international system as ideational constructs. In this context, the </w:t>
      </w:r>
      <w:r w:rsidR="00E33E4E">
        <w:rPr>
          <w:rFonts w:cs="Times New Roman"/>
        </w:rPr>
        <w:t>s</w:t>
      </w:r>
      <w:r w:rsidRPr="0098488D">
        <w:rPr>
          <w:rFonts w:cs="Times New Roman"/>
        </w:rPr>
        <w:t>tate is conceived of as having its interests and identity shaped and transformed by the practice of international relations.</w:t>
      </w:r>
      <w:r w:rsidRPr="0098488D">
        <w:rPr>
          <w:rStyle w:val="FootnoteReference"/>
          <w:rFonts w:cs="Times New Roman"/>
        </w:rPr>
        <w:footnoteReference w:id="143"/>
      </w:r>
      <w:r w:rsidRPr="0098488D">
        <w:rPr>
          <w:rFonts w:cs="Times New Roman"/>
        </w:rPr>
        <w:t xml:space="preserve"> </w:t>
      </w:r>
    </w:p>
    <w:p w14:paraId="6DEA4234" w14:textId="7B5D9B56" w:rsidR="006C485E" w:rsidRPr="0098488D" w:rsidRDefault="006C485E" w:rsidP="006C485E">
      <w:pPr>
        <w:ind w:firstLine="567"/>
        <w:rPr>
          <w:rFonts w:cs="Times New Roman"/>
        </w:rPr>
      </w:pPr>
      <w:r w:rsidRPr="0098488D">
        <w:rPr>
          <w:rFonts w:cs="Times New Roman"/>
        </w:rPr>
        <w:t xml:space="preserve">By </w:t>
      </w:r>
      <w:r>
        <w:rPr>
          <w:rFonts w:cs="Times New Roman"/>
        </w:rPr>
        <w:t xml:space="preserve">seeing </w:t>
      </w:r>
      <w:r w:rsidRPr="0098488D">
        <w:rPr>
          <w:rFonts w:cs="Times New Roman"/>
        </w:rPr>
        <w:t xml:space="preserve">the </w:t>
      </w:r>
      <w:r w:rsidR="00E33E4E">
        <w:rPr>
          <w:rFonts w:cs="Times New Roman"/>
        </w:rPr>
        <w:t>s</w:t>
      </w:r>
      <w:r w:rsidRPr="0098488D">
        <w:rPr>
          <w:rFonts w:cs="Times New Roman"/>
        </w:rPr>
        <w:t xml:space="preserve">tate as a continually evolving practice, constructivist scholarship suggests that “the international system is bound by intersubjectively held beliefs about the “social identity of the </w:t>
      </w:r>
      <w:r w:rsidR="00E33E4E">
        <w:rPr>
          <w:rFonts w:cs="Times New Roman"/>
        </w:rPr>
        <w:t>s</w:t>
      </w:r>
      <w:r w:rsidRPr="0098488D">
        <w:rPr>
          <w:rFonts w:cs="Times New Roman"/>
        </w:rPr>
        <w:t xml:space="preserve">tate and the basic parameters of rightful </w:t>
      </w:r>
      <w:r w:rsidR="00E33E4E">
        <w:rPr>
          <w:rFonts w:cs="Times New Roman"/>
        </w:rPr>
        <w:t>s</w:t>
      </w:r>
      <w:r w:rsidRPr="0098488D">
        <w:rPr>
          <w:rFonts w:cs="Times New Roman"/>
        </w:rPr>
        <w:t>tate action.”</w:t>
      </w:r>
      <w:r w:rsidRPr="0098488D">
        <w:rPr>
          <w:rStyle w:val="FootnoteReference"/>
          <w:rFonts w:cs="Times New Roman"/>
        </w:rPr>
        <w:footnoteReference w:id="144"/>
      </w:r>
      <w:r w:rsidRPr="0098488D">
        <w:rPr>
          <w:rFonts w:cs="Times New Roman"/>
        </w:rPr>
        <w:t xml:space="preserve"> For Ayşe Zarakol and Mark </w:t>
      </w:r>
      <w:r w:rsidRPr="0098488D">
        <w:rPr>
          <w:rFonts w:cs="Times New Roman"/>
        </w:rPr>
        <w:lastRenderedPageBreak/>
        <w:t xml:space="preserve">Shirk, the constructivist understanding of the international system amounts to a  “(modern) ordering activity:” the </w:t>
      </w:r>
      <w:r w:rsidR="00E33E4E">
        <w:rPr>
          <w:rFonts w:cs="Times New Roman"/>
        </w:rPr>
        <w:t>s</w:t>
      </w:r>
      <w:r w:rsidRPr="0098488D">
        <w:rPr>
          <w:rFonts w:cs="Times New Roman"/>
        </w:rPr>
        <w:t xml:space="preserve">tate’s “project [to] </w:t>
      </w:r>
      <w:proofErr w:type="spellStart"/>
      <w:r w:rsidRPr="0098488D">
        <w:rPr>
          <w:rFonts w:cs="Times New Roman"/>
        </w:rPr>
        <w:t>reduc</w:t>
      </w:r>
      <w:proofErr w:type="spellEnd"/>
      <w:r w:rsidRPr="0098488D">
        <w:rPr>
          <w:rFonts w:cs="Times New Roman"/>
        </w:rPr>
        <w:t>[e] indeterminacy through classification and comparison.”</w:t>
      </w:r>
      <w:r w:rsidRPr="0098488D">
        <w:rPr>
          <w:rStyle w:val="FootnoteReference"/>
          <w:rFonts w:cs="Times New Roman"/>
        </w:rPr>
        <w:footnoteReference w:id="145"/>
      </w:r>
      <w:r w:rsidRPr="0098488D">
        <w:rPr>
          <w:rFonts w:cs="Times New Roman"/>
        </w:rPr>
        <w:t xml:space="preserve"> Accordingly, </w:t>
      </w:r>
      <w:proofErr w:type="spellStart"/>
      <w:r w:rsidRPr="0098488D">
        <w:rPr>
          <w:rFonts w:cs="Times New Roman"/>
        </w:rPr>
        <w:t>Jef</w:t>
      </w:r>
      <w:proofErr w:type="spellEnd"/>
      <w:r w:rsidRPr="0098488D">
        <w:rPr>
          <w:rFonts w:cs="Times New Roman"/>
        </w:rPr>
        <w:t xml:space="preserve"> </w:t>
      </w:r>
      <w:proofErr w:type="spellStart"/>
      <w:r w:rsidRPr="0098488D">
        <w:rPr>
          <w:rFonts w:cs="Times New Roman"/>
        </w:rPr>
        <w:t>Husymans</w:t>
      </w:r>
      <w:proofErr w:type="spellEnd"/>
      <w:r w:rsidRPr="0098488D">
        <w:rPr>
          <w:rFonts w:cs="Times New Roman"/>
        </w:rPr>
        <w:t xml:space="preserve"> argues that “the state system… aim[s] at… the destruction of strangers, or more generally </w:t>
      </w:r>
      <w:proofErr w:type="spellStart"/>
      <w:r w:rsidRPr="0098488D">
        <w:rPr>
          <w:rFonts w:cs="Times New Roman"/>
        </w:rPr>
        <w:t>strangehood</w:t>
      </w:r>
      <w:proofErr w:type="spellEnd"/>
      <w:r w:rsidRPr="0098488D">
        <w:rPr>
          <w:rFonts w:cs="Times New Roman"/>
        </w:rPr>
        <w:t>,” as a way for states to collectively ensure that they individually retain authority in international relations.</w:t>
      </w:r>
      <w:r w:rsidRPr="0098488D">
        <w:rPr>
          <w:rStyle w:val="FootnoteReference"/>
          <w:rFonts w:cs="Times New Roman"/>
        </w:rPr>
        <w:footnoteReference w:id="146"/>
      </w:r>
      <w:r w:rsidRPr="0098488D">
        <w:rPr>
          <w:rFonts w:cs="Times New Roman"/>
        </w:rPr>
        <w:t xml:space="preserve"> His view of destruction can  be understood as the way that states try to assure their individual security within the wider international system. Moreover, </w:t>
      </w:r>
      <w:proofErr w:type="spellStart"/>
      <w:r w:rsidRPr="0098488D">
        <w:rPr>
          <w:rFonts w:cs="Times New Roman"/>
        </w:rPr>
        <w:t>Husymans</w:t>
      </w:r>
      <w:proofErr w:type="spellEnd"/>
      <w:r w:rsidRPr="0098488D">
        <w:rPr>
          <w:rFonts w:cs="Times New Roman"/>
        </w:rPr>
        <w:t xml:space="preserve">’ claim alludes to post-modern understandings of what Richard Ashley labels “the anarchy </w:t>
      </w:r>
      <w:proofErr w:type="spellStart"/>
      <w:r w:rsidRPr="0098488D">
        <w:rPr>
          <w:rFonts w:cs="Times New Roman"/>
        </w:rPr>
        <w:t>problematique</w:t>
      </w:r>
      <w:proofErr w:type="spellEnd"/>
      <w:r w:rsidRPr="0098488D">
        <w:rPr>
          <w:rFonts w:cs="Times New Roman"/>
        </w:rPr>
        <w:t>” as predicated on “certain assumptions regarding sovereign[ty].”</w:t>
      </w:r>
      <w:r w:rsidRPr="0098488D">
        <w:rPr>
          <w:rStyle w:val="FootnoteReference"/>
          <w:rFonts w:cs="Times New Roman"/>
        </w:rPr>
        <w:footnoteReference w:id="147"/>
      </w:r>
      <w:r w:rsidRPr="0098488D">
        <w:rPr>
          <w:rFonts w:cs="Times New Roman"/>
        </w:rPr>
        <w:t xml:space="preserve"> </w:t>
      </w:r>
    </w:p>
    <w:p w14:paraId="0AE84EE7" w14:textId="48167485" w:rsidR="00D03C79" w:rsidRPr="009D1524" w:rsidRDefault="006C485E" w:rsidP="00B30645">
      <w:pPr>
        <w:ind w:firstLine="567"/>
        <w:rPr>
          <w:rFonts w:cs="Times New Roman"/>
        </w:rPr>
      </w:pPr>
      <w:r w:rsidRPr="0098488D">
        <w:rPr>
          <w:rFonts w:cs="Times New Roman"/>
        </w:rPr>
        <w:t xml:space="preserve">Richard </w:t>
      </w:r>
      <w:proofErr w:type="spellStart"/>
      <w:r w:rsidRPr="0098488D">
        <w:rPr>
          <w:rFonts w:cs="Times New Roman"/>
        </w:rPr>
        <w:t>Devetak</w:t>
      </w:r>
      <w:proofErr w:type="spellEnd"/>
      <w:r w:rsidRPr="0098488D">
        <w:rPr>
          <w:rFonts w:cs="Times New Roman"/>
        </w:rPr>
        <w:t xml:space="preserve"> asserts that claiming “the state system… aim[s] at… the destruction of… </w:t>
      </w:r>
      <w:proofErr w:type="spellStart"/>
      <w:r w:rsidRPr="0098488D">
        <w:rPr>
          <w:rFonts w:cs="Times New Roman"/>
        </w:rPr>
        <w:t>strangehood</w:t>
      </w:r>
      <w:proofErr w:type="spellEnd"/>
      <w:r w:rsidRPr="0098488D">
        <w:rPr>
          <w:rFonts w:cs="Times New Roman"/>
        </w:rPr>
        <w:t>”  assumes that there is an inherent dichotomy between sovereignty and anarchy that is predicated on the understanding of the two terms as “mutually exclusive and exhaustive.”</w:t>
      </w:r>
      <w:r w:rsidRPr="0098488D">
        <w:rPr>
          <w:rStyle w:val="FootnoteReference"/>
          <w:rFonts w:cs="Times New Roman"/>
        </w:rPr>
        <w:footnoteReference w:id="148"/>
      </w:r>
      <w:r w:rsidRPr="0098488D">
        <w:rPr>
          <w:rFonts w:cs="Times New Roman"/>
        </w:rPr>
        <w:t xml:space="preserve"> In making this argument, </w:t>
      </w:r>
      <w:proofErr w:type="spellStart"/>
      <w:r w:rsidRPr="0098488D">
        <w:rPr>
          <w:rFonts w:cs="Times New Roman"/>
        </w:rPr>
        <w:t>Devetak</w:t>
      </w:r>
      <w:proofErr w:type="spellEnd"/>
      <w:r w:rsidRPr="0098488D">
        <w:rPr>
          <w:rFonts w:cs="Times New Roman"/>
        </w:rPr>
        <w:t xml:space="preserve"> concurs with Ashley’s claim that as the opposite of anarchy, sovereignty necessarily requires “a domestic realm of identity, homogeneity, order and process guaranteed by legitimate force.”</w:t>
      </w:r>
      <w:r w:rsidRPr="0098488D">
        <w:rPr>
          <w:rStyle w:val="FootnoteReference"/>
          <w:rFonts w:cs="Times New Roman"/>
        </w:rPr>
        <w:footnoteReference w:id="149"/>
      </w:r>
      <w:r w:rsidRPr="0098488D">
        <w:rPr>
          <w:rFonts w:cs="Times New Roman"/>
        </w:rPr>
        <w:t xml:space="preserve"> Reciprocally, he constitutes the “outside” of the sovereign </w:t>
      </w:r>
      <w:r w:rsidR="00E33E4E">
        <w:rPr>
          <w:rFonts w:cs="Times New Roman"/>
        </w:rPr>
        <w:t>s</w:t>
      </w:r>
      <w:r w:rsidRPr="0098488D">
        <w:rPr>
          <w:rFonts w:cs="Times New Roman"/>
        </w:rPr>
        <w:t>tate – so, the practice of international relations (and, by extension, the international system) – “an anarchical realm of difference, heterogeneity, disorder and threat.”</w:t>
      </w:r>
      <w:r w:rsidRPr="0098488D">
        <w:rPr>
          <w:rStyle w:val="FootnoteReference"/>
          <w:rFonts w:cs="Times New Roman"/>
        </w:rPr>
        <w:footnoteReference w:id="150"/>
      </w:r>
      <w:r w:rsidRPr="0098488D">
        <w:rPr>
          <w:rFonts w:cs="Times New Roman"/>
        </w:rPr>
        <w:t xml:space="preserve"> </w:t>
      </w:r>
      <w:r>
        <w:rPr>
          <w:rFonts w:cs="Times New Roman"/>
        </w:rPr>
        <w:t xml:space="preserve"> </w:t>
      </w:r>
      <w:r w:rsidRPr="0098488D">
        <w:rPr>
          <w:rFonts w:cs="Times New Roman"/>
        </w:rPr>
        <w:t>Similar to the notion that Westphalia established correspondence between sovereignty, territory and legitimacy, Ashley argues that states seek to repress “any traces of anarchy that reside within them” in order to clearly establish the sovereign state as a direct contrast to the anarchy that pervades the international system.</w:t>
      </w:r>
      <w:r w:rsidRPr="0098488D">
        <w:rPr>
          <w:rStyle w:val="FootnoteReference"/>
          <w:rFonts w:cs="Times New Roman"/>
        </w:rPr>
        <w:footnoteReference w:id="151"/>
      </w:r>
      <w:r w:rsidRPr="0098488D">
        <w:rPr>
          <w:rFonts w:cs="Times New Roman"/>
        </w:rPr>
        <w:t xml:space="preserve"> For this reason the </w:t>
      </w:r>
      <w:r w:rsidR="00E33E4E">
        <w:rPr>
          <w:rFonts w:cs="Times New Roman"/>
        </w:rPr>
        <w:t>s</w:t>
      </w:r>
      <w:r w:rsidRPr="0098488D">
        <w:rPr>
          <w:rFonts w:cs="Times New Roman"/>
        </w:rPr>
        <w:t>tate needs to eliminate “transversal struggles” within its borders because these struggles weaken the state as the embodiment of this “clearly identifiable and demarcated sovereign identity.”</w:t>
      </w:r>
      <w:r w:rsidRPr="0098488D">
        <w:rPr>
          <w:rStyle w:val="FootnoteReference"/>
          <w:rFonts w:cs="Times New Roman"/>
        </w:rPr>
        <w:footnoteReference w:id="152"/>
      </w:r>
      <w:r w:rsidRPr="0098488D">
        <w:rPr>
          <w:rFonts w:cs="Times New Roman"/>
        </w:rPr>
        <w:t xml:space="preserve">  The Weberian definition of the </w:t>
      </w:r>
      <w:r w:rsidR="00E33E4E">
        <w:rPr>
          <w:rFonts w:cs="Times New Roman"/>
        </w:rPr>
        <w:t>s</w:t>
      </w:r>
      <w:r w:rsidRPr="0098488D">
        <w:rPr>
          <w:rFonts w:cs="Times New Roman"/>
        </w:rPr>
        <w:t xml:space="preserve">tate as “the human community that successfully claims the monopoly of the legitimate use of physical force” is necessarily one of the assumptions underlying the idea that “transversal struggles” can weaken </w:t>
      </w:r>
      <w:r w:rsidR="00E33E4E">
        <w:rPr>
          <w:rFonts w:cs="Times New Roman"/>
        </w:rPr>
        <w:t>s</w:t>
      </w:r>
      <w:r w:rsidRPr="0098488D">
        <w:rPr>
          <w:rFonts w:cs="Times New Roman"/>
        </w:rPr>
        <w:t>tate sovereignty. This interplay between Weber and Ashley is made evident through their mutual employ</w:t>
      </w:r>
      <w:r w:rsidR="00525937">
        <w:rPr>
          <w:rFonts w:cs="Times New Roman"/>
        </w:rPr>
        <w:t>ment</w:t>
      </w:r>
      <w:r w:rsidRPr="0098488D">
        <w:rPr>
          <w:rFonts w:cs="Times New Roman"/>
        </w:rPr>
        <w:t xml:space="preserve"> of zero-sum thinking in conceiving of sovereignty and “the legitimate use of force” </w:t>
      </w:r>
      <w:r w:rsidRPr="0098488D">
        <w:rPr>
          <w:rFonts w:cs="Times New Roman"/>
        </w:rPr>
        <w:lastRenderedPageBreak/>
        <w:t>as finite resources.</w:t>
      </w:r>
      <w:r w:rsidRPr="0098488D">
        <w:rPr>
          <w:rStyle w:val="FootnoteReference"/>
          <w:rFonts w:cs="Times New Roman"/>
        </w:rPr>
        <w:footnoteReference w:id="153"/>
      </w:r>
      <w:r w:rsidRPr="0098488D">
        <w:rPr>
          <w:rFonts w:cs="Times New Roman"/>
        </w:rPr>
        <w:t xml:space="preserve"> Weber’s definition of the </w:t>
      </w:r>
      <w:r w:rsidR="00E33E4E">
        <w:rPr>
          <w:rFonts w:cs="Times New Roman"/>
        </w:rPr>
        <w:t>s</w:t>
      </w:r>
      <w:r w:rsidRPr="0098488D">
        <w:rPr>
          <w:rFonts w:cs="Times New Roman"/>
        </w:rPr>
        <w:t xml:space="preserve">tate combined with Ashley’s claim that the nature of the state necessitates its elimination of any internal conflicts, buttress my argument that an ultimate objective of a state is to secure </w:t>
      </w:r>
      <w:r w:rsidRPr="0098488D">
        <w:rPr>
          <w:rFonts w:cs="Times New Roman"/>
          <w:i/>
          <w:iCs/>
        </w:rPr>
        <w:t>international legitimacy</w:t>
      </w:r>
      <w:r w:rsidRPr="0098488D">
        <w:rPr>
          <w:rFonts w:cs="Times New Roman"/>
        </w:rPr>
        <w:t>.</w:t>
      </w:r>
      <w:r>
        <w:rPr>
          <w:rFonts w:cs="Times New Roman"/>
        </w:rPr>
        <w:t xml:space="preserve"> To that end, I examine the key IR scholarship on legitimacy in the next section.</w:t>
      </w:r>
    </w:p>
    <w:p w14:paraId="0237A033" w14:textId="42F21D68" w:rsidR="006C485E" w:rsidRPr="00CC3E9B" w:rsidRDefault="006C485E" w:rsidP="00787123">
      <w:pPr>
        <w:pStyle w:val="DissertationSection1"/>
      </w:pPr>
      <w:bookmarkStart w:id="31" w:name="_Toc175413136"/>
      <w:r w:rsidRPr="0098488D">
        <w:t>Legitimacy</w:t>
      </w:r>
      <w:bookmarkEnd w:id="31"/>
    </w:p>
    <w:p w14:paraId="2B096BA4" w14:textId="77777777" w:rsidR="006C485E" w:rsidRDefault="006C485E" w:rsidP="006C485E">
      <w:pPr>
        <w:ind w:firstLine="567"/>
        <w:rPr>
          <w:rFonts w:cs="Times New Roman"/>
        </w:rPr>
      </w:pPr>
      <w:r w:rsidRPr="002E2F1C">
        <w:rPr>
          <w:rFonts w:cs="Times New Roman"/>
        </w:rPr>
        <w:t>IR scholarship emphasizes the relevance of legitimacy not only to theories of the state, but also to the international regimes and institutions that comprise the international system. A “structural condition deriving from social practice,” legitimacy involves a belief in “some sort of external approval” of an actor’s exercise of authority.</w:t>
      </w:r>
      <w:r w:rsidRPr="0098488D">
        <w:rPr>
          <w:rStyle w:val="FootnoteReference"/>
          <w:rFonts w:cs="Times New Roman"/>
        </w:rPr>
        <w:footnoteReference w:id="154"/>
      </w:r>
      <w:r w:rsidRPr="002E2F1C">
        <w:rPr>
          <w:rFonts w:cs="Times New Roman"/>
        </w:rPr>
        <w:t xml:space="preserve"> Broadly speaking, IR scholars tend to agree that legitimacy is an actor’s “right to rule.” </w:t>
      </w:r>
      <w:r w:rsidRPr="0098488D">
        <w:rPr>
          <w:rStyle w:val="FootnoteReference"/>
          <w:rFonts w:cs="Times New Roman"/>
        </w:rPr>
        <w:footnoteReference w:id="155"/>
      </w:r>
      <w:r w:rsidRPr="002E2F1C">
        <w:rPr>
          <w:rFonts w:cs="Times New Roman"/>
        </w:rPr>
        <w:t xml:space="preserve"> However, they have failed to reach a consensus on the specific set of conditions from which the state’s “right to rule” derives.</w:t>
      </w:r>
      <w:r w:rsidRPr="0098488D">
        <w:rPr>
          <w:rStyle w:val="FootnoteReference"/>
          <w:rFonts w:cs="Times New Roman"/>
        </w:rPr>
        <w:footnoteReference w:id="156"/>
      </w:r>
      <w:r w:rsidRPr="002E2F1C">
        <w:rPr>
          <w:rFonts w:cs="Times New Roman"/>
        </w:rPr>
        <w:t xml:space="preserve"> This is a significant shortcoming of extant scholarship on legitimacy. Another problem with existing legitimacy scholarship is that it tends to focus on conceptualizing legitimacy in relation to the authority that the state exercises </w:t>
      </w:r>
      <w:r w:rsidRPr="002E2F1C">
        <w:rPr>
          <w:rFonts w:cs="Times New Roman"/>
          <w:i/>
          <w:iCs/>
        </w:rPr>
        <w:t>domestically</w:t>
      </w:r>
      <w:r w:rsidRPr="002E2F1C">
        <w:rPr>
          <w:rFonts w:cs="Times New Roman"/>
        </w:rPr>
        <w:t>,</w:t>
      </w:r>
      <w:r w:rsidRPr="002E2F1C">
        <w:rPr>
          <w:rFonts w:cs="Times New Roman"/>
          <w:i/>
          <w:iCs/>
        </w:rPr>
        <w:t xml:space="preserve"> </w:t>
      </w:r>
      <w:r w:rsidRPr="002E2F1C">
        <w:rPr>
          <w:rFonts w:cs="Times New Roman"/>
        </w:rPr>
        <w:t>within its sovereign borders.</w:t>
      </w:r>
      <w:r>
        <w:rPr>
          <w:rFonts w:cs="Times New Roman"/>
        </w:rPr>
        <w:t xml:space="preserve"> </w:t>
      </w:r>
    </w:p>
    <w:p w14:paraId="23734561" w14:textId="20F1BE2A" w:rsidR="006C485E" w:rsidRDefault="006C485E" w:rsidP="006C485E">
      <w:pPr>
        <w:ind w:firstLine="567"/>
        <w:rPr>
          <w:rFonts w:cs="Times New Roman"/>
        </w:rPr>
      </w:pPr>
      <w:r>
        <w:rPr>
          <w:rFonts w:cs="Times New Roman"/>
        </w:rPr>
        <w:t>My understanding of i</w:t>
      </w:r>
      <w:r w:rsidRPr="002E2F1C">
        <w:rPr>
          <w:rFonts w:cs="Times New Roman"/>
        </w:rPr>
        <w:t xml:space="preserve">nternational (state) legitimacy depends on the (international) public’s perception of the degree to which states are able to ensure their constituents’ safety within their sovereign territory. Taken in conjunction with one another, these ideas lead me to argue that terrorism – as </w:t>
      </w:r>
      <w:r>
        <w:rPr>
          <w:rFonts w:cs="Times New Roman"/>
        </w:rPr>
        <w:t xml:space="preserve">elaborated </w:t>
      </w:r>
      <w:r w:rsidRPr="002E2F1C">
        <w:rPr>
          <w:rFonts w:cs="Times New Roman"/>
        </w:rPr>
        <w:t>in Chapter 3 – is detrimental to the state’s international legitimacy because terrorist activity implicitly</w:t>
      </w:r>
      <w:r>
        <w:rPr>
          <w:rFonts w:cs="Times New Roman"/>
        </w:rPr>
        <w:t xml:space="preserve"> (</w:t>
      </w:r>
      <w:r w:rsidR="00525937">
        <w:rPr>
          <w:rFonts w:cs="Times New Roman"/>
        </w:rPr>
        <w:t xml:space="preserve">and </w:t>
      </w:r>
      <w:r>
        <w:rPr>
          <w:rFonts w:cs="Times New Roman"/>
        </w:rPr>
        <w:t>also explicitly by the actions undertaken)</w:t>
      </w:r>
      <w:r w:rsidRPr="002E2F1C">
        <w:rPr>
          <w:rFonts w:cs="Times New Roman"/>
        </w:rPr>
        <w:t xml:space="preserve"> challenges the perception that the state is the exclusive territorial </w:t>
      </w:r>
      <w:r w:rsidRPr="0098488D">
        <w:rPr>
          <w:rFonts w:cs="Times New Roman"/>
        </w:rPr>
        <w:t>power with the monopoly over the (legitimate) use of force.</w:t>
      </w:r>
    </w:p>
    <w:p w14:paraId="183959B5" w14:textId="6796B070" w:rsidR="006C485E" w:rsidRPr="002E2F1C" w:rsidRDefault="006C485E" w:rsidP="006C485E">
      <w:pPr>
        <w:ind w:firstLine="567"/>
        <w:rPr>
          <w:rFonts w:cs="Times New Roman"/>
        </w:rPr>
      </w:pPr>
      <w:r w:rsidRPr="002E2F1C">
        <w:rPr>
          <w:rFonts w:cs="Times New Roman"/>
          <w:iCs/>
        </w:rPr>
        <w:t xml:space="preserve">To explain </w:t>
      </w:r>
      <w:r w:rsidRPr="002E2F1C">
        <w:rPr>
          <w:rFonts w:cs="Times New Roman"/>
          <w:i/>
        </w:rPr>
        <w:t>why</w:t>
      </w:r>
      <w:r w:rsidRPr="002E2F1C">
        <w:rPr>
          <w:rFonts w:cs="Times New Roman"/>
          <w:iCs/>
        </w:rPr>
        <w:t xml:space="preserve"> terrorism is detrimental to states, I find it necessary to differentiate between domestic state legitimacy and the international legitimacy of the state </w:t>
      </w:r>
      <w:r w:rsidRPr="002E2F1C">
        <w:rPr>
          <w:rFonts w:cs="Times New Roman"/>
          <w:i/>
        </w:rPr>
        <w:t>as an institution</w:t>
      </w:r>
      <w:r w:rsidRPr="002E2F1C">
        <w:rPr>
          <w:rFonts w:cs="Times New Roman"/>
          <w:iCs/>
        </w:rPr>
        <w:t xml:space="preserve">. </w:t>
      </w:r>
      <w:r w:rsidRPr="002E2F1C">
        <w:rPr>
          <w:rFonts w:cs="Times New Roman"/>
        </w:rPr>
        <w:t xml:space="preserve">I accomplish this by using a critical constructivist framework to reconcile Ian Clark’s work on legitimacy in international society with David Beetham’s three-fold conception of legitimacy. While I appreciate that my definition is not legitimacy in its totality from the perspective of </w:t>
      </w:r>
      <w:r>
        <w:rPr>
          <w:rFonts w:cs="Times New Roman"/>
        </w:rPr>
        <w:t>many</w:t>
      </w:r>
      <w:r w:rsidRPr="002E2F1C">
        <w:rPr>
          <w:rFonts w:cs="Times New Roman"/>
        </w:rPr>
        <w:t xml:space="preserve"> disciplines, for the purposes of this dissertation, international (state) legitimacy is</w:t>
      </w:r>
      <w:r>
        <w:rPr>
          <w:rFonts w:cs="Times New Roman"/>
        </w:rPr>
        <w:t xml:space="preserve"> understood as</w:t>
      </w:r>
      <w:r w:rsidRPr="002E2F1C">
        <w:rPr>
          <w:rFonts w:cs="Times New Roman"/>
        </w:rPr>
        <w:t xml:space="preserve"> the state’s “right to rule</w:t>
      </w:r>
      <w:r>
        <w:rPr>
          <w:rFonts w:cs="Times New Roman"/>
        </w:rPr>
        <w:t>.</w:t>
      </w:r>
      <w:r w:rsidRPr="002E2F1C">
        <w:rPr>
          <w:rFonts w:cs="Times New Roman"/>
        </w:rPr>
        <w:t xml:space="preserve">” </w:t>
      </w:r>
      <w:r>
        <w:rPr>
          <w:rFonts w:cs="Times New Roman"/>
        </w:rPr>
        <w:t xml:space="preserve">Moreover, this view of legitimacy is based </w:t>
      </w:r>
      <w:r w:rsidRPr="002E2F1C">
        <w:rPr>
          <w:rFonts w:cs="Times New Roman"/>
        </w:rPr>
        <w:t xml:space="preserve">on the international community’s perception that </w:t>
      </w:r>
    </w:p>
    <w:p w14:paraId="6B332275" w14:textId="2D996D52" w:rsidR="006C485E" w:rsidRPr="002E2F1C" w:rsidRDefault="006C485E" w:rsidP="006C485E">
      <w:pPr>
        <w:pStyle w:val="ListParagraph"/>
        <w:numPr>
          <w:ilvl w:val="0"/>
          <w:numId w:val="7"/>
        </w:numPr>
        <w:rPr>
          <w:rFonts w:cs="Times New Roman"/>
        </w:rPr>
      </w:pPr>
      <w:r w:rsidRPr="002E2F1C">
        <w:rPr>
          <w:rFonts w:cs="Times New Roman"/>
        </w:rPr>
        <w:t xml:space="preserve">the rules </w:t>
      </w:r>
      <w:r>
        <w:rPr>
          <w:rFonts w:cs="Times New Roman"/>
        </w:rPr>
        <w:t xml:space="preserve">the state </w:t>
      </w:r>
      <w:r w:rsidRPr="002E2F1C">
        <w:rPr>
          <w:rFonts w:cs="Times New Roman"/>
        </w:rPr>
        <w:t>imposes (or tries to impose) are valid (</w:t>
      </w:r>
      <w:r w:rsidRPr="002E2F1C">
        <w:rPr>
          <w:rFonts w:cs="Times New Roman"/>
          <w:i/>
          <w:iCs/>
        </w:rPr>
        <w:t>legality</w:t>
      </w:r>
      <w:r w:rsidRPr="002E2F1C">
        <w:rPr>
          <w:rFonts w:cs="Times New Roman"/>
        </w:rPr>
        <w:t>);</w:t>
      </w:r>
    </w:p>
    <w:p w14:paraId="23BDDB11" w14:textId="77777777" w:rsidR="006C485E" w:rsidRPr="002E2F1C" w:rsidRDefault="006C485E" w:rsidP="006C485E">
      <w:pPr>
        <w:pStyle w:val="ListParagraph"/>
        <w:numPr>
          <w:ilvl w:val="0"/>
          <w:numId w:val="7"/>
        </w:numPr>
        <w:rPr>
          <w:rFonts w:cs="Times New Roman"/>
        </w:rPr>
      </w:pPr>
      <w:r w:rsidRPr="002E2F1C">
        <w:rPr>
          <w:rFonts w:cs="Times New Roman"/>
        </w:rPr>
        <w:t>that its actions accord with accepted societal norms (</w:t>
      </w:r>
      <w:r w:rsidRPr="002E2F1C">
        <w:rPr>
          <w:rFonts w:cs="Times New Roman"/>
          <w:i/>
          <w:iCs/>
        </w:rPr>
        <w:t>justification</w:t>
      </w:r>
      <w:r w:rsidRPr="002E2F1C">
        <w:rPr>
          <w:rFonts w:cs="Times New Roman"/>
        </w:rPr>
        <w:t xml:space="preserve">); and </w:t>
      </w:r>
    </w:p>
    <w:p w14:paraId="4589D8B1" w14:textId="77777777" w:rsidR="006C485E" w:rsidRPr="002E2F1C" w:rsidRDefault="006C485E" w:rsidP="006C485E">
      <w:pPr>
        <w:pStyle w:val="ListParagraph"/>
        <w:numPr>
          <w:ilvl w:val="0"/>
          <w:numId w:val="7"/>
        </w:numPr>
        <w:rPr>
          <w:rFonts w:cs="Times New Roman"/>
        </w:rPr>
      </w:pPr>
      <w:r w:rsidRPr="002E2F1C">
        <w:rPr>
          <w:rFonts w:cs="Times New Roman"/>
        </w:rPr>
        <w:lastRenderedPageBreak/>
        <w:t>that its exercise of authority occurs with the consent and/or support of its constituency (</w:t>
      </w:r>
      <w:r w:rsidRPr="002E2F1C">
        <w:rPr>
          <w:rFonts w:cs="Times New Roman"/>
          <w:i/>
          <w:iCs/>
        </w:rPr>
        <w:t>consent</w:t>
      </w:r>
      <w:r w:rsidRPr="002E2F1C">
        <w:rPr>
          <w:rFonts w:cs="Times New Roman"/>
        </w:rPr>
        <w:t xml:space="preserve">). </w:t>
      </w:r>
    </w:p>
    <w:p w14:paraId="489D9936" w14:textId="36B23F72" w:rsidR="00D03C79" w:rsidRPr="0098488D" w:rsidRDefault="006C485E" w:rsidP="006C485E">
      <w:pPr>
        <w:rPr>
          <w:rFonts w:cs="Times New Roman"/>
        </w:rPr>
      </w:pPr>
      <w:r>
        <w:rPr>
          <w:rFonts w:cs="Times New Roman"/>
        </w:rPr>
        <w:t>My understanding of i</w:t>
      </w:r>
      <w:r w:rsidRPr="002E2F1C">
        <w:rPr>
          <w:rFonts w:cs="Times New Roman"/>
        </w:rPr>
        <w:t xml:space="preserve">nternational (state) legitimacy thus depends on the (international) public’s perception of the degree to which states are able to ensure their constituents’ safety within their sovereign territory. Taken in conjunction with one another, these ideas lead me to argue that terrorism – as I conceive of it in Chapter 3 – is detrimental to the state’s international legitimacy because terrorist activity implicitly challenges the perception that the state is the exclusive territorial </w:t>
      </w:r>
      <w:r w:rsidRPr="0098488D">
        <w:rPr>
          <w:rFonts w:cs="Times New Roman"/>
        </w:rPr>
        <w:t>power with the monopoly over the (legitimate) use of force.</w:t>
      </w:r>
    </w:p>
    <w:p w14:paraId="570D8658" w14:textId="77777777" w:rsidR="006C485E" w:rsidRPr="0098488D" w:rsidRDefault="006C485E" w:rsidP="00B30645">
      <w:pPr>
        <w:pStyle w:val="DissertationSection2"/>
      </w:pPr>
      <w:bookmarkStart w:id="32" w:name="_Toc175413137"/>
      <w:r w:rsidRPr="0098488D">
        <w:t>What is (State) Legitimacy?</w:t>
      </w:r>
      <w:bookmarkEnd w:id="32"/>
    </w:p>
    <w:p w14:paraId="3CE7B808" w14:textId="77777777" w:rsidR="006C485E" w:rsidRPr="0098488D" w:rsidRDefault="006C485E" w:rsidP="006C485E">
      <w:pPr>
        <w:ind w:firstLine="720"/>
        <w:rPr>
          <w:rFonts w:cs="Times New Roman"/>
        </w:rPr>
      </w:pPr>
      <w:r w:rsidRPr="0098488D">
        <w:rPr>
          <w:rFonts w:cs="Times New Roman"/>
        </w:rPr>
        <w:t>The general consensus in IR scholarship is that, broadly speaking, legitimacy is an actor’s “right to rule.”</w:t>
      </w:r>
      <w:r w:rsidRPr="0098488D">
        <w:rPr>
          <w:rStyle w:val="FootnoteReference"/>
          <w:rFonts w:cs="Times New Roman"/>
        </w:rPr>
        <w:footnoteReference w:id="157"/>
      </w:r>
      <w:r w:rsidRPr="0098488D">
        <w:rPr>
          <w:rFonts w:cs="Times New Roman"/>
        </w:rPr>
        <w:t xml:space="preserve"> Notwithstanding, there are discrepancies in how different scholars conceptualize legitimacy because there is no scholarly consensus as to the conditions from which this “right to rule” derives.</w:t>
      </w:r>
      <w:r w:rsidRPr="0098488D">
        <w:rPr>
          <w:rStyle w:val="FootnoteReference"/>
          <w:rFonts w:cs="Times New Roman"/>
        </w:rPr>
        <w:footnoteReference w:id="158"/>
      </w:r>
      <w:r w:rsidRPr="0098488D">
        <w:rPr>
          <w:rFonts w:cs="Times New Roman"/>
        </w:rPr>
        <w:t xml:space="preserve"> A close-reading of more than 30 scholarly definitions of legitimacy suggests that for the most part, IR and political science scholarship conceptualizes this “right to rule” as predicated on at least one of three constituent elements: </w:t>
      </w:r>
    </w:p>
    <w:p w14:paraId="208BF17C" w14:textId="77777777" w:rsidR="006C485E" w:rsidRPr="0098488D" w:rsidRDefault="006C485E" w:rsidP="006C485E">
      <w:pPr>
        <w:pStyle w:val="ListParagraph"/>
        <w:numPr>
          <w:ilvl w:val="0"/>
          <w:numId w:val="8"/>
        </w:numPr>
        <w:rPr>
          <w:rFonts w:cs="Times New Roman"/>
        </w:rPr>
      </w:pPr>
      <w:r w:rsidRPr="0098488D">
        <w:rPr>
          <w:rFonts w:cs="Times New Roman"/>
          <w:i/>
          <w:iCs/>
        </w:rPr>
        <w:t>Legality,</w:t>
      </w:r>
      <w:r w:rsidRPr="0098488D">
        <w:rPr>
          <w:rFonts w:cs="Times New Roman"/>
        </w:rPr>
        <w:t xml:space="preserve"> understood as the recognition of the validity of rules (that the legitimate entity supports or endeavors to impose on its constituents);</w:t>
      </w:r>
      <w:r w:rsidRPr="0098488D">
        <w:rPr>
          <w:rStyle w:val="FootnoteReference"/>
          <w:rFonts w:cs="Times New Roman"/>
        </w:rPr>
        <w:footnoteReference w:id="159"/>
      </w:r>
      <w:r w:rsidRPr="0098488D">
        <w:rPr>
          <w:rFonts w:cs="Times New Roman"/>
        </w:rPr>
        <w:t xml:space="preserve"> </w:t>
      </w:r>
    </w:p>
    <w:p w14:paraId="33BBEF13" w14:textId="77777777" w:rsidR="006C485E" w:rsidRPr="0098488D" w:rsidRDefault="006C485E" w:rsidP="006C485E">
      <w:pPr>
        <w:pStyle w:val="ListParagraph"/>
        <w:numPr>
          <w:ilvl w:val="0"/>
          <w:numId w:val="8"/>
        </w:numPr>
        <w:rPr>
          <w:rFonts w:cs="Times New Roman"/>
        </w:rPr>
      </w:pPr>
      <w:r w:rsidRPr="0098488D">
        <w:rPr>
          <w:rFonts w:cs="Times New Roman"/>
          <w:i/>
          <w:iCs/>
        </w:rPr>
        <w:t>Justification,</w:t>
      </w:r>
      <w:r w:rsidRPr="0098488D">
        <w:rPr>
          <w:rFonts w:cs="Times New Roman"/>
        </w:rPr>
        <w:t xml:space="preserve"> understood as the “generalized perception of the assumption that the actions of an entity are desirable, proper, or appropriate within some socially constructed system of norms, values, beliefs, and definitions;”</w:t>
      </w:r>
      <w:r w:rsidRPr="0098488D">
        <w:rPr>
          <w:rStyle w:val="FootnoteReference"/>
          <w:rFonts w:cs="Times New Roman"/>
        </w:rPr>
        <w:footnoteReference w:id="160"/>
      </w:r>
      <w:r w:rsidRPr="0098488D">
        <w:rPr>
          <w:rFonts w:cs="Times New Roman"/>
        </w:rPr>
        <w:t xml:space="preserve"> </w:t>
      </w:r>
    </w:p>
    <w:p w14:paraId="4BCF7B40" w14:textId="77777777" w:rsidR="006C485E" w:rsidRPr="0098488D" w:rsidRDefault="006C485E" w:rsidP="006C485E">
      <w:pPr>
        <w:pStyle w:val="ListParagraph"/>
        <w:numPr>
          <w:ilvl w:val="0"/>
          <w:numId w:val="8"/>
        </w:numPr>
        <w:rPr>
          <w:rFonts w:cs="Times New Roman"/>
        </w:rPr>
      </w:pPr>
      <w:r w:rsidRPr="0098488D">
        <w:rPr>
          <w:rFonts w:cs="Times New Roman"/>
          <w:i/>
          <w:iCs/>
        </w:rPr>
        <w:lastRenderedPageBreak/>
        <w:t>Consent</w:t>
      </w:r>
      <w:r w:rsidRPr="0098488D">
        <w:rPr>
          <w:rFonts w:cs="Times New Roman"/>
        </w:rPr>
        <w:t>, understood as subordinate (constituent) actions that indicate its acceptance of the dominant’s “right to rule.”</w:t>
      </w:r>
      <w:r w:rsidRPr="0098488D">
        <w:rPr>
          <w:rStyle w:val="FootnoteReference"/>
          <w:rFonts w:cs="Times New Roman"/>
        </w:rPr>
        <w:footnoteReference w:id="161"/>
      </w:r>
      <w:r w:rsidRPr="0098488D">
        <w:rPr>
          <w:rFonts w:cs="Times New Roman"/>
        </w:rPr>
        <w:t xml:space="preserve"> (In other words, “the extent to which [constituents’ acceptance of its governors’ “right to rule” is] confirmed in practices demonstrating compliance.”)</w:t>
      </w:r>
      <w:r w:rsidRPr="0098488D">
        <w:rPr>
          <w:rStyle w:val="FootnoteReference"/>
          <w:rFonts w:cs="Times New Roman"/>
        </w:rPr>
        <w:footnoteReference w:id="162"/>
      </w:r>
    </w:p>
    <w:p w14:paraId="71B82DCC" w14:textId="77777777" w:rsidR="006C485E" w:rsidRPr="0098488D" w:rsidRDefault="006C485E" w:rsidP="006C485E">
      <w:pPr>
        <w:rPr>
          <w:rFonts w:cs="Times New Roman"/>
          <w:shd w:val="clear" w:color="auto" w:fill="FFFFFF"/>
        </w:rPr>
      </w:pPr>
      <w:r w:rsidRPr="0098488D">
        <w:rPr>
          <w:rFonts w:cs="Times New Roman"/>
        </w:rPr>
        <w:t xml:space="preserve">This idea that any of all of the abovementioned three elements play a key role in defining legitimacy is supported by David Beetham’s proposal for a tripartite understanding of legitimacy. </w:t>
      </w:r>
      <w:r w:rsidRPr="0098488D">
        <w:rPr>
          <w:rFonts w:cs="Times New Roman"/>
          <w:shd w:val="clear" w:color="auto" w:fill="FFFFFF"/>
        </w:rPr>
        <w:t>Beetham conceives of legitimacy as an attempt at “justification,” in response to the fundamentally contested nature of political power. He asserts, “[legitimacy as justification]</w:t>
      </w:r>
      <w:r w:rsidRPr="0098488D">
        <w:rPr>
          <w:rFonts w:cs="Times New Roman"/>
        </w:rPr>
        <w:t xml:space="preserve"> is so problematical, societies will seek to subject it to justifiable rules, and the powerful themselves will seek to secure consent to their power from at least the most important among their subordinates.</w:t>
      </w:r>
      <w:r w:rsidRPr="0098488D">
        <w:rPr>
          <w:rFonts w:cs="Times New Roman"/>
          <w:shd w:val="clear" w:color="auto" w:fill="FFFFFF"/>
        </w:rPr>
        <w:t>”</w:t>
      </w:r>
      <w:r w:rsidRPr="0098488D">
        <w:rPr>
          <w:rStyle w:val="FootnoteReference"/>
          <w:rFonts w:cs="Times New Roman"/>
          <w:shd w:val="clear" w:color="auto" w:fill="FFFFFF"/>
        </w:rPr>
        <w:footnoteReference w:id="163"/>
      </w:r>
      <w:r w:rsidRPr="0098488D">
        <w:rPr>
          <w:rFonts w:cs="Times New Roman"/>
          <w:shd w:val="clear" w:color="auto" w:fill="FFFFFF"/>
        </w:rPr>
        <w:t xml:space="preserve"> Aoife McCullough extends this argument, contending that Beetham’s establishment of three dimensions on which “all </w:t>
      </w:r>
      <w:proofErr w:type="spellStart"/>
      <w:r w:rsidRPr="0098488D">
        <w:rPr>
          <w:rFonts w:cs="Times New Roman"/>
          <w:shd w:val="clear" w:color="auto" w:fill="FFFFFF"/>
        </w:rPr>
        <w:t>legitima</w:t>
      </w:r>
      <w:proofErr w:type="spellEnd"/>
      <w:r w:rsidRPr="0098488D">
        <w:rPr>
          <w:rFonts w:cs="Times New Roman"/>
          <w:shd w:val="clear" w:color="auto" w:fill="FFFFFF"/>
        </w:rPr>
        <w:t>[</w:t>
      </w:r>
      <w:proofErr w:type="spellStart"/>
      <w:r w:rsidRPr="0098488D">
        <w:rPr>
          <w:rFonts w:cs="Times New Roman"/>
          <w:shd w:val="clear" w:color="auto" w:fill="FFFFFF"/>
        </w:rPr>
        <w:t>tion</w:t>
      </w:r>
      <w:proofErr w:type="spellEnd"/>
      <w:r w:rsidRPr="0098488D">
        <w:rPr>
          <w:rFonts w:cs="Times New Roman"/>
          <w:shd w:val="clear" w:color="auto" w:fill="FFFFFF"/>
        </w:rPr>
        <w:t xml:space="preserve"> claims] </w:t>
      </w:r>
      <w:proofErr w:type="spellStart"/>
      <w:r w:rsidRPr="0098488D">
        <w:rPr>
          <w:rFonts w:cs="Times New Roman"/>
          <w:shd w:val="clear" w:color="auto" w:fill="FFFFFF"/>
        </w:rPr>
        <w:t>rel</w:t>
      </w:r>
      <w:proofErr w:type="spellEnd"/>
      <w:r w:rsidRPr="0098488D">
        <w:rPr>
          <w:rFonts w:cs="Times New Roman"/>
          <w:shd w:val="clear" w:color="auto" w:fill="FFFFFF"/>
        </w:rPr>
        <w:t>[y]” suggests that “people’s perceptions of legitimacy are influenced by the justifications provided by an authority” and vice versa.</w:t>
      </w:r>
      <w:r w:rsidRPr="0098488D">
        <w:rPr>
          <w:rStyle w:val="FootnoteReference"/>
          <w:rFonts w:cs="Times New Roman"/>
          <w:shd w:val="clear" w:color="auto" w:fill="FFFFFF"/>
        </w:rPr>
        <w:footnoteReference w:id="164"/>
      </w:r>
      <w:r w:rsidRPr="0098488D">
        <w:rPr>
          <w:rFonts w:cs="Times New Roman"/>
          <w:shd w:val="clear" w:color="auto" w:fill="FFFFFF"/>
        </w:rPr>
        <w:t xml:space="preserve"> As such, she outlines Beetham’s argument that legitimate authority “conforms to established rules which are… “justifiable in terms of people’s beliefs” with “evidence of consent by the subordinate.”</w:t>
      </w:r>
      <w:r w:rsidRPr="0098488D">
        <w:rPr>
          <w:rStyle w:val="FootnoteReference"/>
          <w:rFonts w:cs="Times New Roman"/>
          <w:shd w:val="clear" w:color="auto" w:fill="FFFFFF"/>
        </w:rPr>
        <w:footnoteReference w:id="165"/>
      </w:r>
      <w:r w:rsidRPr="0098488D">
        <w:rPr>
          <w:rFonts w:cs="Times New Roman"/>
          <w:shd w:val="clear" w:color="auto" w:fill="FFFFFF"/>
        </w:rPr>
        <w:t xml:space="preserve"> </w:t>
      </w:r>
      <w:r w:rsidRPr="0098488D">
        <w:rPr>
          <w:rFonts w:cs="Times New Roman"/>
        </w:rPr>
        <w:t xml:space="preserve">To that end, both Beetham and McCullough </w:t>
      </w:r>
      <w:r>
        <w:rPr>
          <w:rFonts w:cs="Times New Roman"/>
        </w:rPr>
        <w:t xml:space="preserve">portray </w:t>
      </w:r>
      <w:r w:rsidRPr="0098488D">
        <w:rPr>
          <w:rFonts w:cs="Times New Roman"/>
        </w:rPr>
        <w:t xml:space="preserve">legitimacy </w:t>
      </w:r>
      <w:r>
        <w:rPr>
          <w:rFonts w:cs="Times New Roman"/>
        </w:rPr>
        <w:t xml:space="preserve">as </w:t>
      </w:r>
      <w:r w:rsidRPr="0098488D">
        <w:rPr>
          <w:rFonts w:cs="Times New Roman"/>
        </w:rPr>
        <w:t>an attempted justification of an actor or an entity’s power that endeavors to demonstrate the consent of the actor or entity’s (relevant) subordinates, as well as performatively demonstrate the legality of the actions taken by the actor and what they purport to represent.</w:t>
      </w:r>
    </w:p>
    <w:p w14:paraId="41C1EC5C" w14:textId="18E13479" w:rsidR="006C485E" w:rsidRPr="0098488D" w:rsidRDefault="006C485E" w:rsidP="006C485E">
      <w:pPr>
        <w:ind w:firstLine="720"/>
        <w:rPr>
          <w:rFonts w:cs="Times New Roman"/>
        </w:rPr>
      </w:pPr>
      <w:r w:rsidRPr="0098488D">
        <w:rPr>
          <w:rFonts w:cs="Times New Roman"/>
        </w:rPr>
        <w:t>Notwithstanding the existing scholarship’s tendency to rely on at least one of three constituent elements (legality, justification</w:t>
      </w:r>
      <w:r w:rsidR="00525937">
        <w:rPr>
          <w:rFonts w:cs="Times New Roman"/>
        </w:rPr>
        <w:t>,</w:t>
      </w:r>
      <w:r w:rsidRPr="0098488D">
        <w:rPr>
          <w:rFonts w:cs="Times New Roman"/>
        </w:rPr>
        <w:t xml:space="preserve"> and consent) in defining legitimacy, it can also be categorized in terms of </w:t>
      </w:r>
      <w:r>
        <w:rPr>
          <w:rFonts w:cs="Times New Roman"/>
        </w:rPr>
        <w:t xml:space="preserve">framing </w:t>
      </w:r>
      <w:r w:rsidRPr="0098488D">
        <w:rPr>
          <w:rFonts w:cs="Times New Roman"/>
        </w:rPr>
        <w:t xml:space="preserve">the underlying nature of legitimacy. In this respect, the two dominant schools of thought in the scholarly literature differ due to rationalists’ framing of legitimacy </w:t>
      </w:r>
      <w:r w:rsidRPr="0098488D">
        <w:rPr>
          <w:rFonts w:cs="Times New Roman"/>
          <w:i/>
          <w:iCs/>
        </w:rPr>
        <w:t>as an attribute</w:t>
      </w:r>
      <w:r w:rsidRPr="0098488D">
        <w:rPr>
          <w:rFonts w:cs="Times New Roman"/>
        </w:rPr>
        <w:t xml:space="preserve">, on the one hand, and </w:t>
      </w:r>
      <w:proofErr w:type="spellStart"/>
      <w:r w:rsidRPr="0098488D">
        <w:rPr>
          <w:rFonts w:cs="Times New Roman"/>
        </w:rPr>
        <w:t>reflectivists</w:t>
      </w:r>
      <w:proofErr w:type="spellEnd"/>
      <w:r w:rsidRPr="0098488D">
        <w:rPr>
          <w:rFonts w:cs="Times New Roman"/>
        </w:rPr>
        <w:t xml:space="preserve">’ conception of legitimacy as fundamentally </w:t>
      </w:r>
      <w:r w:rsidRPr="0098488D">
        <w:rPr>
          <w:rFonts w:cs="Times New Roman"/>
          <w:i/>
          <w:iCs/>
        </w:rPr>
        <w:t>relational</w:t>
      </w:r>
      <w:r w:rsidRPr="0098488D">
        <w:rPr>
          <w:rFonts w:cs="Times New Roman"/>
        </w:rPr>
        <w:t xml:space="preserve">, on the other. </w:t>
      </w:r>
    </w:p>
    <w:p w14:paraId="47956C00" w14:textId="57A0E87F" w:rsidR="006C485E" w:rsidRPr="0098488D" w:rsidRDefault="006C485E" w:rsidP="006C485E">
      <w:pPr>
        <w:ind w:firstLine="720"/>
        <w:rPr>
          <w:rFonts w:cs="Times New Roman"/>
        </w:rPr>
      </w:pPr>
      <w:r w:rsidRPr="0098488D">
        <w:rPr>
          <w:rFonts w:cs="Times New Roman"/>
        </w:rPr>
        <w:lastRenderedPageBreak/>
        <w:t xml:space="preserve">Rationalist IR theory (namely, classical realism and liberalism) tends to </w:t>
      </w:r>
      <w:r w:rsidR="00525937">
        <w:rPr>
          <w:rFonts w:cs="Times New Roman"/>
        </w:rPr>
        <w:t xml:space="preserve">regard </w:t>
      </w:r>
      <w:r w:rsidRPr="0098488D">
        <w:rPr>
          <w:rFonts w:cs="Times New Roman"/>
        </w:rPr>
        <w:t xml:space="preserve">international legitimacy as “a property or characteristic of regimes that satisfy criteria laid out by the observer,” which frames legitimacy as predicated on an </w:t>
      </w:r>
      <w:r w:rsidRPr="0098488D">
        <w:rPr>
          <w:rFonts w:cs="Times New Roman"/>
          <w:i/>
          <w:iCs/>
        </w:rPr>
        <w:t>absolute definition</w:t>
      </w:r>
      <w:r w:rsidRPr="0098488D">
        <w:rPr>
          <w:rFonts w:cs="Times New Roman"/>
        </w:rPr>
        <w:t>.</w:t>
      </w:r>
      <w:r w:rsidRPr="0098488D">
        <w:rPr>
          <w:rStyle w:val="FootnoteReference"/>
          <w:rFonts w:cs="Times New Roman"/>
        </w:rPr>
        <w:footnoteReference w:id="166"/>
      </w:r>
      <w:r w:rsidRPr="0098488D">
        <w:rPr>
          <w:rFonts w:cs="Times New Roman"/>
        </w:rPr>
        <w:t xml:space="preserve"> This </w:t>
      </w:r>
      <w:r w:rsidRPr="0098488D">
        <w:rPr>
          <w:rFonts w:cs="Times New Roman"/>
          <w:i/>
          <w:iCs/>
        </w:rPr>
        <w:t>attributional</w:t>
      </w:r>
      <w:r w:rsidRPr="0098488D">
        <w:rPr>
          <w:rFonts w:cs="Times New Roman"/>
        </w:rPr>
        <w:t xml:space="preserve"> understanding of legitimacy is based on an actor’s ability to meet specific, predetermined standards that exist independent of the actions and inactions of the actor itself</w:t>
      </w:r>
      <w:r>
        <w:rPr>
          <w:rFonts w:cs="Times New Roman"/>
        </w:rPr>
        <w:t>. At</w:t>
      </w:r>
      <w:r w:rsidRPr="0098488D">
        <w:rPr>
          <w:rFonts w:cs="Times New Roman"/>
        </w:rPr>
        <w:t>tributional conceptions of legitimacy are implicitly rooted in the assumption that legitimacy is a quasi-material quality to be sought, acquired, and possessed through an actor’s successful employ</w:t>
      </w:r>
      <w:r w:rsidR="00E33E4E">
        <w:rPr>
          <w:rFonts w:cs="Times New Roman"/>
        </w:rPr>
        <w:t>ment</w:t>
      </w:r>
      <w:r w:rsidRPr="0098488D">
        <w:rPr>
          <w:rFonts w:cs="Times New Roman"/>
        </w:rPr>
        <w:t xml:space="preserve"> of power. </w:t>
      </w:r>
      <w:r>
        <w:rPr>
          <w:rFonts w:cs="Times New Roman"/>
        </w:rPr>
        <w:t xml:space="preserve">In the context of rationalist theories that emphasize the roles played by norms and institutions, then, legitimacy is seen as an almost fungible commodity – a quality that can be earned and ‘banked’ so that it can be used at will by the actor in question. </w:t>
      </w:r>
      <w:r w:rsidRPr="0098488D">
        <w:rPr>
          <w:rFonts w:cs="Times New Roman"/>
        </w:rPr>
        <w:t xml:space="preserve">Accordingly, Uriel </w:t>
      </w:r>
      <w:proofErr w:type="spellStart"/>
      <w:r w:rsidRPr="0098488D">
        <w:rPr>
          <w:rFonts w:cs="Times New Roman"/>
        </w:rPr>
        <w:t>Abulof</w:t>
      </w:r>
      <w:proofErr w:type="spellEnd"/>
      <w:r w:rsidRPr="0098488D">
        <w:rPr>
          <w:rFonts w:cs="Times New Roman"/>
        </w:rPr>
        <w:t xml:space="preserve"> asserts “policy legitimates authority and polity, which may then legitimate identity,” summing up rationalist notions of attributional legitimacy by conceiving of legitimacy as a self-perpetuating cycle (a feedback loop).</w:t>
      </w:r>
      <w:r w:rsidRPr="0098488D">
        <w:rPr>
          <w:rStyle w:val="FootnoteReference"/>
          <w:rFonts w:cs="Times New Roman"/>
        </w:rPr>
        <w:footnoteReference w:id="167"/>
      </w:r>
      <w:r w:rsidRPr="0098488D">
        <w:rPr>
          <w:rFonts w:cs="Times New Roman"/>
        </w:rPr>
        <w:t xml:space="preserve"> In other words, actors’ actions and inactions justify their claims to authority and specific territory. This justification then labels them as having the “right” to wield this power and authority going forward. </w:t>
      </w:r>
    </w:p>
    <w:p w14:paraId="4A5D0907" w14:textId="77777777" w:rsidR="006C485E" w:rsidRPr="008D20AE" w:rsidRDefault="006C485E" w:rsidP="006C485E">
      <w:pPr>
        <w:ind w:firstLine="720"/>
        <w:rPr>
          <w:rFonts w:cs="Times New Roman"/>
        </w:rPr>
      </w:pPr>
      <w:r w:rsidRPr="0098488D">
        <w:rPr>
          <w:rFonts w:cs="Times New Roman"/>
        </w:rPr>
        <w:t xml:space="preserve">While rationalist IR theories share a joint conception of legitimacy as </w:t>
      </w:r>
      <w:r w:rsidRPr="0098488D">
        <w:rPr>
          <w:rFonts w:cs="Times New Roman"/>
          <w:i/>
          <w:iCs/>
        </w:rPr>
        <w:t>attributional,</w:t>
      </w:r>
      <w:r w:rsidRPr="0098488D">
        <w:rPr>
          <w:rFonts w:cs="Times New Roman"/>
        </w:rPr>
        <w:t xml:space="preserve"> reflectivist frameworks (namely, constructivism) assert that international legitimacy is inherently </w:t>
      </w:r>
      <w:r w:rsidRPr="0098488D">
        <w:rPr>
          <w:rFonts w:cs="Times New Roman"/>
          <w:i/>
          <w:iCs/>
        </w:rPr>
        <w:t>relational</w:t>
      </w:r>
      <w:r w:rsidRPr="0098488D">
        <w:rPr>
          <w:rFonts w:cs="Times New Roman"/>
        </w:rPr>
        <w:t>. Reflectivist conceptualizations of international legitimacy as relational stem from the idea that legitimacy can only be conferred to an actor by that actor’s constituents – the (subordinate) actors that are directly affected by the actions of the (legitimate) actor, and upon whom that actor exerts power. Similarly, constructivist scholars posit that legitimacy is an ideational construct, conferred on the basis of subordinate beliefs and perceptions of the appropriateness of the actions and inactions of their dominant.</w:t>
      </w:r>
      <w:r w:rsidRPr="0098488D">
        <w:rPr>
          <w:rStyle w:val="FootnoteReference"/>
          <w:rFonts w:cs="Times New Roman"/>
        </w:rPr>
        <w:footnoteReference w:id="168"/>
      </w:r>
      <w:r w:rsidRPr="0098488D">
        <w:rPr>
          <w:rFonts w:cs="Times New Roman"/>
        </w:rPr>
        <w:t xml:space="preserve"> In a constructivist view, perceptions and social meanings constitute the key determinants of behavior relating to international politics.</w:t>
      </w:r>
      <w:r w:rsidRPr="0098488D">
        <w:rPr>
          <w:rStyle w:val="FootnoteReference"/>
          <w:rFonts w:cs="Times New Roman"/>
        </w:rPr>
        <w:footnoteReference w:id="169"/>
      </w:r>
      <w:r w:rsidRPr="000B29AD">
        <w:rPr>
          <w:rFonts w:cs="Times New Roman"/>
        </w:rPr>
        <w:t xml:space="preserve"> </w:t>
      </w:r>
    </w:p>
    <w:p w14:paraId="6E3020E4" w14:textId="77777777" w:rsidR="006C485E" w:rsidRPr="0098488D" w:rsidRDefault="006C485E" w:rsidP="006C485E">
      <w:pPr>
        <w:ind w:firstLine="720"/>
        <w:rPr>
          <w:rFonts w:cs="Times New Roman"/>
        </w:rPr>
      </w:pPr>
      <w:r w:rsidRPr="0098488D">
        <w:rPr>
          <w:rFonts w:cs="Times New Roman"/>
        </w:rPr>
        <w:t>Constructivists define legitimacy as “refer[ring] to the boundaries of the acceptable within a given social community, and… therefore set[ting] out the limits of sustainable social practice.”</w:t>
      </w:r>
      <w:r w:rsidRPr="0098488D">
        <w:rPr>
          <w:rStyle w:val="FootnoteReference"/>
          <w:rFonts w:cs="Times New Roman"/>
        </w:rPr>
        <w:footnoteReference w:id="170"/>
      </w:r>
      <w:r w:rsidRPr="0098488D">
        <w:rPr>
          <w:rFonts w:cs="Times New Roman"/>
        </w:rPr>
        <w:t xml:space="preserve"> On a basic level, legitimacy is the manifestation of an actor’s belief “that [a] rule ought to be obeyed” because it “constitute[s] an appropriate use… of power.”</w:t>
      </w:r>
      <w:r w:rsidRPr="0098488D">
        <w:rPr>
          <w:rStyle w:val="FootnoteReference"/>
          <w:rFonts w:cs="Times New Roman"/>
        </w:rPr>
        <w:footnoteReference w:id="171"/>
      </w:r>
      <w:r w:rsidRPr="0098488D">
        <w:rPr>
          <w:rFonts w:cs="Times New Roman"/>
        </w:rPr>
        <w:t xml:space="preserve"> As such, legitimacy is a norm reflecting a constituent perception and interpretation of the actions of their dominant regime or actor. Thus, as a reflectivist paradigm, constructivism opposes tenets of rationalism that contend that assumptions and structures influence actions and beliefs.</w:t>
      </w:r>
      <w:r w:rsidRPr="0098488D">
        <w:rPr>
          <w:rStyle w:val="FootnoteReference"/>
          <w:rFonts w:cs="Times New Roman"/>
        </w:rPr>
        <w:footnoteReference w:id="172"/>
      </w:r>
      <w:r w:rsidRPr="0098488D">
        <w:rPr>
          <w:rFonts w:cs="Times New Roman"/>
        </w:rPr>
        <w:t xml:space="preserve"> Instead, </w:t>
      </w:r>
      <w:r w:rsidRPr="0098488D">
        <w:rPr>
          <w:rFonts w:cs="Times New Roman"/>
        </w:rPr>
        <w:lastRenderedPageBreak/>
        <w:t xml:space="preserve">constructivists argue, beliefs and actions </w:t>
      </w:r>
      <w:r w:rsidRPr="0098488D">
        <w:rPr>
          <w:rFonts w:cs="Times New Roman"/>
          <w:i/>
          <w:iCs/>
        </w:rPr>
        <w:t>create</w:t>
      </w:r>
      <w:r w:rsidRPr="0098488D">
        <w:rPr>
          <w:rFonts w:cs="Times New Roman"/>
        </w:rPr>
        <w:t xml:space="preserve"> assumptions and structures. </w:t>
      </w:r>
      <w:r>
        <w:rPr>
          <w:rFonts w:cs="Times New Roman"/>
        </w:rPr>
        <w:t>W</w:t>
      </w:r>
      <w:r w:rsidRPr="0098488D">
        <w:rPr>
          <w:rFonts w:cs="Times New Roman"/>
        </w:rPr>
        <w:t xml:space="preserve">hile rationalists </w:t>
      </w:r>
      <w:r>
        <w:rPr>
          <w:rFonts w:cs="Times New Roman"/>
        </w:rPr>
        <w:t>assert</w:t>
      </w:r>
      <w:r w:rsidRPr="0098488D">
        <w:rPr>
          <w:rFonts w:cs="Times New Roman"/>
        </w:rPr>
        <w:t xml:space="preserve"> that states can actively manufacture international legitimacy, constructivists </w:t>
      </w:r>
      <w:r>
        <w:rPr>
          <w:rFonts w:cs="Times New Roman"/>
        </w:rPr>
        <w:t xml:space="preserve">contend </w:t>
      </w:r>
      <w:r w:rsidRPr="0098488D">
        <w:rPr>
          <w:rFonts w:cs="Times New Roman"/>
        </w:rPr>
        <w:t>that the state’s international legitimacy is a consequence of the beliefs that constitute states as states.</w:t>
      </w:r>
      <w:r w:rsidRPr="0098488D">
        <w:rPr>
          <w:rStyle w:val="FootnoteReference"/>
          <w:rFonts w:cs="Times New Roman"/>
        </w:rPr>
        <w:footnoteReference w:id="173"/>
      </w:r>
      <w:r w:rsidRPr="0098488D">
        <w:rPr>
          <w:rFonts w:cs="Times New Roman"/>
        </w:rPr>
        <w:t xml:space="preserve"> So on the one hand, rationalists argue that the “right to rule” that is legitimacy derives from legitimate states’ actions. Reflectivists, on the other hand, emphasize that legitimacy derives from the assumptions that constitute states to begin with. </w:t>
      </w:r>
    </w:p>
    <w:p w14:paraId="476AB261" w14:textId="20AD2129" w:rsidR="006C485E" w:rsidRPr="0098488D" w:rsidRDefault="006C485E" w:rsidP="006C485E">
      <w:pPr>
        <w:ind w:firstLine="720"/>
        <w:rPr>
          <w:rFonts w:cs="Times New Roman"/>
        </w:rPr>
      </w:pPr>
      <w:r w:rsidRPr="0098488D">
        <w:rPr>
          <w:rFonts w:cs="Times New Roman"/>
        </w:rPr>
        <w:t xml:space="preserve">Scholars’ inability to agree on what conditions determine an actor’s “right to rule” is a significant shortcoming of the existing legitimacy scholarship. Such lack of consensus prevents scholars from establishing an explicit definition of legitimacy, which effectively </w:t>
      </w:r>
      <w:r>
        <w:rPr>
          <w:rFonts w:cs="Times New Roman"/>
        </w:rPr>
        <w:t>renders legitimacy into the category as a</w:t>
      </w:r>
      <w:r w:rsidRPr="0098488D">
        <w:rPr>
          <w:rFonts w:cs="Times New Roman"/>
        </w:rPr>
        <w:t xml:space="preserve"> latent concept. </w:t>
      </w:r>
      <w:r>
        <w:rPr>
          <w:rFonts w:cs="Times New Roman"/>
        </w:rPr>
        <w:t>Nevertheless, l</w:t>
      </w:r>
      <w:r w:rsidRPr="0098488D">
        <w:rPr>
          <w:rFonts w:cs="Times New Roman"/>
        </w:rPr>
        <w:t xml:space="preserve">atent concepts cannot be measured directly. The idea that legitimacy is a latent concept thus seems to be a barrier hindering my proposed quantitative analysis of whether and how terrorism affects international (state) legitimacy. Notwithstanding, Kenneth </w:t>
      </w:r>
      <w:proofErr w:type="spellStart"/>
      <w:r w:rsidRPr="0098488D">
        <w:rPr>
          <w:rFonts w:cs="Times New Roman"/>
        </w:rPr>
        <w:t>Bollen</w:t>
      </w:r>
      <w:proofErr w:type="spellEnd"/>
      <w:r w:rsidRPr="0098488D">
        <w:rPr>
          <w:rFonts w:cs="Times New Roman"/>
        </w:rPr>
        <w:t xml:space="preserve"> and Richard Lennox explain that there are, in fact, two different approaches that allow for the measurement of latent concepts so that they can be quantitatively analyzed.”</w:t>
      </w:r>
      <w:r w:rsidRPr="0098488D">
        <w:rPr>
          <w:rStyle w:val="FootnoteReference"/>
          <w:rFonts w:cs="Times New Roman"/>
        </w:rPr>
        <w:footnoteReference w:id="174"/>
      </w:r>
      <w:r w:rsidRPr="0098488D">
        <w:rPr>
          <w:rFonts w:cs="Times New Roman"/>
        </w:rPr>
        <w:t xml:space="preserve"> The first of these methods involves determining and amalgamating the measurement of “lower order constitutive (what they call </w:t>
      </w:r>
      <w:proofErr w:type="spellStart"/>
      <w:r w:rsidRPr="0098488D">
        <w:rPr>
          <w:rFonts w:cs="Times New Roman"/>
        </w:rPr>
        <w:t>‘cause</w:t>
      </w:r>
      <w:proofErr w:type="spellEnd"/>
      <w:r w:rsidRPr="0098488D">
        <w:rPr>
          <w:rFonts w:cs="Times New Roman"/>
        </w:rPr>
        <w:t xml:space="preserve">’) variables that conceptually </w:t>
      </w:r>
      <w:r w:rsidRPr="0098488D">
        <w:rPr>
          <w:rFonts w:cs="Times New Roman"/>
          <w:i/>
          <w:iCs/>
        </w:rPr>
        <w:t>define</w:t>
      </w:r>
      <w:r w:rsidRPr="0098488D">
        <w:rPr>
          <w:rFonts w:cs="Times New Roman"/>
        </w:rPr>
        <w:t xml:space="preserve"> the higher order concept.”</w:t>
      </w:r>
      <w:r w:rsidRPr="0098488D">
        <w:rPr>
          <w:rStyle w:val="FootnoteReference"/>
          <w:rFonts w:cs="Times New Roman"/>
        </w:rPr>
        <w:footnoteReference w:id="175"/>
      </w:r>
      <w:r w:rsidRPr="0098488D">
        <w:rPr>
          <w:rFonts w:cs="Times New Roman"/>
        </w:rPr>
        <w:t xml:space="preserve"> This method provides an effective way to measure a latent concept as long as we have found data that reliably and validly captures the subtypes themselves… and properly aggregated it.”</w:t>
      </w:r>
      <w:r w:rsidRPr="0098488D">
        <w:rPr>
          <w:rStyle w:val="FootnoteReference"/>
          <w:rFonts w:cs="Times New Roman"/>
        </w:rPr>
        <w:footnoteReference w:id="176"/>
      </w:r>
      <w:r w:rsidRPr="0098488D">
        <w:rPr>
          <w:rFonts w:cs="Times New Roman"/>
        </w:rPr>
        <w:t xml:space="preserve"> The second way to measure a latent concept is by identifying “substitutable (what they call ‘effect’) variables… [that] are… posited [to have a] close correlation to the invisible concept we are trying to measure.”</w:t>
      </w:r>
      <w:r w:rsidRPr="0098488D">
        <w:rPr>
          <w:rStyle w:val="FootnoteReference"/>
          <w:rFonts w:cs="Times New Roman"/>
        </w:rPr>
        <w:footnoteReference w:id="177"/>
      </w:r>
      <w:r w:rsidRPr="0098488D">
        <w:rPr>
          <w:rFonts w:cs="Times New Roman"/>
        </w:rPr>
        <w:t xml:space="preserve"> This second method is said to “</w:t>
      </w:r>
      <w:proofErr w:type="spellStart"/>
      <w:r w:rsidRPr="0098488D">
        <w:rPr>
          <w:rFonts w:cs="Times New Roman"/>
        </w:rPr>
        <w:t>provid</w:t>
      </w:r>
      <w:proofErr w:type="spellEnd"/>
      <w:r w:rsidRPr="0098488D">
        <w:rPr>
          <w:rFonts w:cs="Times New Roman"/>
        </w:rPr>
        <w:t>[e]… an empirical solution to the aggregation problem” because it weights “ indicators that seem to ‘clump’ together in factor analysis or correlation matrices.”</w:t>
      </w:r>
      <w:r w:rsidRPr="0098488D">
        <w:rPr>
          <w:rStyle w:val="FootnoteReference"/>
          <w:rFonts w:cs="Times New Roman"/>
        </w:rPr>
        <w:footnoteReference w:id="178"/>
      </w:r>
      <w:r w:rsidR="008E375F">
        <w:rPr>
          <w:rFonts w:cs="Times New Roman"/>
        </w:rPr>
        <w:t xml:space="preserve"> </w:t>
      </w:r>
      <w:r w:rsidRPr="0098488D">
        <w:rPr>
          <w:rFonts w:cs="Times New Roman"/>
        </w:rPr>
        <w:t>These two approaches are widely considered to result in effective operational definitions because “measures can be viewed as causes of latent constructs.”</w:t>
      </w:r>
      <w:r w:rsidRPr="0098488D">
        <w:rPr>
          <w:rStyle w:val="FootnoteReference"/>
          <w:rFonts w:cs="Times New Roman"/>
        </w:rPr>
        <w:footnoteReference w:id="179"/>
      </w:r>
      <w:r w:rsidRPr="0098488D">
        <w:rPr>
          <w:rFonts w:cs="Times New Roman"/>
        </w:rPr>
        <w:t xml:space="preserve"> </w:t>
      </w:r>
    </w:p>
    <w:p w14:paraId="767A5BB6" w14:textId="6F38BF38" w:rsidR="00D03C79" w:rsidRPr="009D1524" w:rsidRDefault="006C485E" w:rsidP="00B30645">
      <w:pPr>
        <w:ind w:firstLine="720"/>
        <w:rPr>
          <w:rFonts w:cs="Times New Roman"/>
        </w:rPr>
      </w:pPr>
      <w:r w:rsidRPr="0098488D">
        <w:rPr>
          <w:rFonts w:cs="Times New Roman"/>
        </w:rPr>
        <w:t xml:space="preserve">The methodological validity of this approach is widely accepted by quantitative IR scholars and political scientists. Moreover, the first method described by </w:t>
      </w:r>
      <w:proofErr w:type="spellStart"/>
      <w:r w:rsidRPr="0098488D">
        <w:rPr>
          <w:rFonts w:cs="Times New Roman"/>
        </w:rPr>
        <w:t>Bollen</w:t>
      </w:r>
      <w:proofErr w:type="spellEnd"/>
      <w:r w:rsidRPr="0098488D">
        <w:rPr>
          <w:rFonts w:cs="Times New Roman"/>
        </w:rPr>
        <w:t xml:space="preserve"> and Lennox (using constitutive variables to measure a latent concept) is already used to quantify </w:t>
      </w:r>
      <w:r w:rsidRPr="0098488D">
        <w:rPr>
          <w:rFonts w:cs="Times New Roman"/>
          <w:i/>
          <w:iCs/>
        </w:rPr>
        <w:t>domestic</w:t>
      </w:r>
      <w:r w:rsidRPr="0098488D">
        <w:rPr>
          <w:rFonts w:cs="Times New Roman"/>
        </w:rPr>
        <w:t xml:space="preserve"> state legitimacy in extant IR and political science </w:t>
      </w:r>
      <w:r w:rsidRPr="002E2F1C">
        <w:rPr>
          <w:rFonts w:cs="Times New Roman"/>
        </w:rPr>
        <w:t>research.</w:t>
      </w:r>
      <w:r w:rsidRPr="002E2F1C">
        <w:rPr>
          <w:rStyle w:val="FootnoteReference"/>
          <w:rFonts w:cs="Times New Roman"/>
        </w:rPr>
        <w:footnoteReference w:id="180"/>
      </w:r>
      <w:r w:rsidRPr="002E2F1C">
        <w:rPr>
          <w:rFonts w:cs="Times New Roman"/>
        </w:rPr>
        <w:t xml:space="preserve"> Appreciating that there are many </w:t>
      </w:r>
      <w:r w:rsidRPr="002E2F1C">
        <w:rPr>
          <w:rFonts w:cs="Times New Roman"/>
        </w:rPr>
        <w:lastRenderedPageBreak/>
        <w:t xml:space="preserve">different perspectives on what constitutes legitimacy, I use </w:t>
      </w:r>
      <w:r w:rsidRPr="002E2F1C">
        <w:rPr>
          <w:rFonts w:cs="Times New Roman"/>
          <w:i/>
          <w:iCs/>
        </w:rPr>
        <w:t>legality</w:t>
      </w:r>
      <w:r w:rsidRPr="0098488D">
        <w:rPr>
          <w:rFonts w:cs="Times New Roman"/>
        </w:rPr>
        <w:t xml:space="preserve">, </w:t>
      </w:r>
      <w:r w:rsidRPr="0098488D">
        <w:rPr>
          <w:rFonts w:cs="Times New Roman"/>
          <w:i/>
          <w:iCs/>
        </w:rPr>
        <w:t xml:space="preserve">justification </w:t>
      </w:r>
      <w:r w:rsidRPr="0098488D">
        <w:rPr>
          <w:rFonts w:cs="Times New Roman"/>
        </w:rPr>
        <w:t xml:space="preserve">and </w:t>
      </w:r>
      <w:r w:rsidRPr="0098488D">
        <w:rPr>
          <w:rFonts w:cs="Times New Roman"/>
          <w:i/>
          <w:iCs/>
        </w:rPr>
        <w:t>consent</w:t>
      </w:r>
      <w:r w:rsidRPr="0098488D">
        <w:rPr>
          <w:rFonts w:cs="Times New Roman"/>
        </w:rPr>
        <w:t xml:space="preserve"> – the three </w:t>
      </w:r>
      <w:proofErr w:type="spellStart"/>
      <w:r w:rsidRPr="0098488D">
        <w:rPr>
          <w:rFonts w:cs="Times New Roman"/>
        </w:rPr>
        <w:t>‘cause</w:t>
      </w:r>
      <w:proofErr w:type="spellEnd"/>
      <w:r w:rsidRPr="0098488D">
        <w:rPr>
          <w:rFonts w:cs="Times New Roman"/>
        </w:rPr>
        <w:t xml:space="preserve">’ variables associated with legitimacy that I identify in this chapter – </w:t>
      </w:r>
      <w:r>
        <w:rPr>
          <w:rFonts w:cs="Times New Roman"/>
        </w:rPr>
        <w:t xml:space="preserve">as proxies through which </w:t>
      </w:r>
      <w:r w:rsidRPr="0098488D">
        <w:rPr>
          <w:rFonts w:cs="Times New Roman"/>
        </w:rPr>
        <w:t xml:space="preserve">to quantify international (state) legitimacy in accordance with </w:t>
      </w:r>
      <w:proofErr w:type="spellStart"/>
      <w:r w:rsidRPr="0098488D">
        <w:rPr>
          <w:rFonts w:cs="Times New Roman"/>
        </w:rPr>
        <w:t>Bollen</w:t>
      </w:r>
      <w:proofErr w:type="spellEnd"/>
      <w:r w:rsidRPr="0098488D">
        <w:rPr>
          <w:rFonts w:cs="Times New Roman"/>
        </w:rPr>
        <w:t xml:space="preserve"> and Lennox’s first method in Chapter 6.</w:t>
      </w:r>
    </w:p>
    <w:p w14:paraId="2B1287DF" w14:textId="77777777" w:rsidR="006C485E" w:rsidRPr="0098488D" w:rsidRDefault="006C485E" w:rsidP="00B30645">
      <w:pPr>
        <w:pStyle w:val="DissertationSection2"/>
      </w:pPr>
      <w:bookmarkStart w:id="33" w:name="_Toc175413138"/>
      <w:r w:rsidRPr="0098488D">
        <w:t>Domestic vs. International (State) Legitimacy</w:t>
      </w:r>
      <w:bookmarkEnd w:id="33"/>
    </w:p>
    <w:p w14:paraId="00F333D5" w14:textId="77777777" w:rsidR="006C485E" w:rsidRPr="00B64D42" w:rsidRDefault="006C485E" w:rsidP="008E375F">
      <w:pPr>
        <w:ind w:firstLine="720"/>
        <w:rPr>
          <w:rFonts w:ascii="Segoe UI" w:eastAsia="Times New Roman" w:hAnsi="Segoe UI" w:cs="Segoe UI"/>
          <w:color w:val="000000"/>
          <w:sz w:val="21"/>
          <w:szCs w:val="21"/>
        </w:rPr>
      </w:pPr>
      <w:r w:rsidRPr="0098488D">
        <w:rPr>
          <w:rFonts w:cs="Times New Roman"/>
          <w:iCs/>
        </w:rPr>
        <w:t xml:space="preserve">Another shortcoming of the extant legitimacy scholarship is its tendency to focus on </w:t>
      </w:r>
      <w:r w:rsidRPr="0098488D">
        <w:rPr>
          <w:rFonts w:cs="Times New Roman"/>
          <w:i/>
        </w:rPr>
        <w:t>domestic</w:t>
      </w:r>
      <w:r w:rsidRPr="0098488D">
        <w:rPr>
          <w:rFonts w:cs="Times New Roman"/>
          <w:iCs/>
        </w:rPr>
        <w:t xml:space="preserve"> state legitimacy. </w:t>
      </w:r>
      <w:r w:rsidRPr="0098488D">
        <w:rPr>
          <w:rFonts w:cs="Times New Roman"/>
        </w:rPr>
        <w:t xml:space="preserve">That is, the authority that state actors exercise within the territory over which they individually claim sovereignty – </w:t>
      </w:r>
      <w:r w:rsidRPr="0098488D">
        <w:rPr>
          <w:rFonts w:cs="Times New Roman"/>
          <w:i/>
          <w:iCs/>
        </w:rPr>
        <w:t>inside</w:t>
      </w:r>
      <w:r w:rsidRPr="0098488D">
        <w:rPr>
          <w:rFonts w:cs="Times New Roman"/>
        </w:rPr>
        <w:t xml:space="preserve"> what Ashley terms the “realm of identity, homogeneity, order and process.”</w:t>
      </w:r>
      <w:r w:rsidRPr="0098488D">
        <w:rPr>
          <w:rStyle w:val="FootnoteReference"/>
          <w:rFonts w:cs="Times New Roman"/>
        </w:rPr>
        <w:footnoteReference w:id="181"/>
      </w:r>
      <w:r w:rsidRPr="0098488D">
        <w:rPr>
          <w:rFonts w:cs="Times New Roman"/>
        </w:rPr>
        <w:t xml:space="preserve"> In the context of rationalist legitimacy scholarship, some of this narrow focus can be attributed to rationalist IR theory’s implicit conception of international relations from the perspective of states. Classical realism and liberalism conceive of state legitimacy from a domestic perspective because of their shared understanding that the focus of international relations is ensuring that states adhere to rules, norms, and commitments.</w:t>
      </w:r>
      <w:r w:rsidRPr="0098488D">
        <w:rPr>
          <w:rStyle w:val="FootnoteReference"/>
          <w:rFonts w:cs="Times New Roman"/>
        </w:rPr>
        <w:footnoteReference w:id="182"/>
      </w:r>
      <w:r w:rsidRPr="0098488D">
        <w:rPr>
          <w:rFonts w:cs="Times New Roman"/>
        </w:rPr>
        <w:t xml:space="preserve"> This joint </w:t>
      </w:r>
      <w:r w:rsidRPr="00B64D42">
        <w:rPr>
          <w:rFonts w:cs="Times New Roman"/>
        </w:rPr>
        <w:t xml:space="preserve">premise places states at the center of International Relations, assuming that state motivations constitute the point of departure for any discussion of concepts relating to international relations. </w:t>
      </w:r>
      <w:r w:rsidRPr="00B64D42">
        <w:rPr>
          <w:rFonts w:eastAsia="Times New Roman" w:cs="Times New Roman"/>
          <w:color w:val="000000"/>
        </w:rPr>
        <w:t>Reflectivist scholarship (particularly constructivism) opposes the essentialist view of inherent and timeless features to the international system. Reflectivism in IR rose to prominence as the foil of rationalist IR paradigms in the aftermath of the Cold War and placed an overwhelming focus on state behaviour and motivation.</w:t>
      </w:r>
      <w:r w:rsidRPr="00B64D42">
        <w:rPr>
          <w:rFonts w:cs="Times New Roman"/>
          <w:color w:val="000000"/>
        </w:rPr>
        <w:t xml:space="preserve"> </w:t>
      </w:r>
      <w:r w:rsidRPr="00B64D42">
        <w:rPr>
          <w:rFonts w:eastAsia="Times New Roman" w:cs="Times New Roman"/>
          <w:color w:val="000000"/>
        </w:rPr>
        <w:t>Constructivism, then, understands the behaviour of states as constituted by the actions and motivations of their lower order (constituent) actors.</w:t>
      </w:r>
    </w:p>
    <w:p w14:paraId="0D18203D" w14:textId="77777777" w:rsidR="006C485E" w:rsidRPr="0098488D" w:rsidRDefault="006C485E" w:rsidP="006C485E">
      <w:pPr>
        <w:ind w:firstLine="720"/>
        <w:rPr>
          <w:rFonts w:cs="Times New Roman"/>
        </w:rPr>
      </w:pPr>
      <w:r w:rsidRPr="0098488D">
        <w:rPr>
          <w:rFonts w:cs="Times New Roman"/>
          <w:iCs/>
        </w:rPr>
        <w:t xml:space="preserve">By contrast, my research specifically discusses </w:t>
      </w:r>
      <w:r w:rsidRPr="0098488D">
        <w:rPr>
          <w:rFonts w:cs="Times New Roman"/>
          <w:i/>
        </w:rPr>
        <w:t>international</w:t>
      </w:r>
      <w:r w:rsidRPr="0098488D">
        <w:rPr>
          <w:rFonts w:cs="Times New Roman"/>
          <w:iCs/>
        </w:rPr>
        <w:t xml:space="preserve"> (state) legitimacy – the legitimacy of the state as the primary international institution of note in international relations. I distinguish between </w:t>
      </w:r>
      <w:r w:rsidRPr="0098488D">
        <w:rPr>
          <w:rFonts w:cs="Times New Roman"/>
        </w:rPr>
        <w:t>understandings of legitimacy specific to domestic authority and conceptualizations of legitimacy within the international system and the conduct of international relations. To that end, English School theory plays a key role in my understanding and conception of (state) legitimacy.</w:t>
      </w:r>
    </w:p>
    <w:p w14:paraId="71997DEE" w14:textId="70FB8744" w:rsidR="006C485E" w:rsidRPr="0098488D" w:rsidRDefault="006C485E" w:rsidP="006C485E">
      <w:pPr>
        <w:ind w:firstLine="720"/>
        <w:rPr>
          <w:rFonts w:cs="Times New Roman"/>
        </w:rPr>
      </w:pPr>
      <w:r w:rsidRPr="0098488D">
        <w:rPr>
          <w:rFonts w:cs="Times New Roman"/>
        </w:rPr>
        <w:t xml:space="preserve">English School legitimacy scholarship focuses on </w:t>
      </w:r>
      <w:r w:rsidRPr="0098488D">
        <w:rPr>
          <w:rFonts w:cs="Times New Roman"/>
          <w:i/>
          <w:iCs/>
        </w:rPr>
        <w:t>international society</w:t>
      </w:r>
      <w:r w:rsidRPr="0098488D">
        <w:rPr>
          <w:rFonts w:cs="Times New Roman"/>
        </w:rPr>
        <w:t xml:space="preserve"> as the framework in </w:t>
      </w:r>
      <w:r w:rsidR="00525937">
        <w:rPr>
          <w:rFonts w:cs="Times New Roman"/>
        </w:rPr>
        <w:t xml:space="preserve">and through </w:t>
      </w:r>
      <w:r w:rsidRPr="0098488D">
        <w:rPr>
          <w:rFonts w:cs="Times New Roman"/>
        </w:rPr>
        <w:t>which legitimacy is affected. As such, English School theory does not view states as “rational actors” that are able to form beliefs. Instead, English School scholars suggest that the state’s international legitimacy necessarily involves the inference of assumptions underlying state decision-making on the basis of actions that the state has undertaken (and conversely, refrained from taking).</w:t>
      </w:r>
      <w:r w:rsidRPr="0098488D">
        <w:rPr>
          <w:rStyle w:val="FootnoteReference"/>
          <w:rFonts w:cs="Times New Roman"/>
        </w:rPr>
        <w:footnoteReference w:id="183"/>
      </w:r>
      <w:r w:rsidRPr="0098488D">
        <w:rPr>
          <w:rFonts w:cs="Times New Roman"/>
        </w:rPr>
        <w:t xml:space="preserve"> English School scholarship on legitimacy is also notable because it is the seminal scholarship that specifically conceptualizes </w:t>
      </w:r>
      <w:r w:rsidRPr="0098488D">
        <w:rPr>
          <w:rFonts w:cs="Times New Roman"/>
          <w:i/>
          <w:iCs/>
        </w:rPr>
        <w:t>international</w:t>
      </w:r>
      <w:r w:rsidRPr="0098488D">
        <w:rPr>
          <w:rFonts w:cs="Times New Roman"/>
        </w:rPr>
        <w:t xml:space="preserve"> legitimacy (as opposed to the domestic legitimacy associated with a specific state and its governance</w:t>
      </w:r>
      <w:r>
        <w:rPr>
          <w:rFonts w:cs="Times New Roman"/>
        </w:rPr>
        <w:t xml:space="preserve">). </w:t>
      </w:r>
      <w:r w:rsidRPr="0098488D">
        <w:rPr>
          <w:rFonts w:cs="Times New Roman"/>
        </w:rPr>
        <w:t xml:space="preserve">English School theory extends understandings as to the types of actors, actions and interactions that comprise of international relations, amalgamating classical realist and liberal perspectives. Thus, the English School is </w:t>
      </w:r>
      <w:r w:rsidRPr="0098488D">
        <w:rPr>
          <w:rFonts w:cs="Times New Roman"/>
        </w:rPr>
        <w:lastRenderedPageBreak/>
        <w:t>premised on the central claim that the international system, while anarchical in structure, forms a “society of states” wherein interests play integral roles in shaping international politics.</w:t>
      </w:r>
      <w:r w:rsidRPr="0098488D">
        <w:rPr>
          <w:rStyle w:val="FootnoteReference"/>
          <w:rFonts w:cs="Times New Roman"/>
        </w:rPr>
        <w:footnoteReference w:id="184"/>
      </w:r>
      <w:r w:rsidRPr="0098488D">
        <w:rPr>
          <w:rFonts w:cs="Times New Roman"/>
        </w:rPr>
        <w:t xml:space="preserve"> </w:t>
      </w:r>
    </w:p>
    <w:p w14:paraId="2880FA87" w14:textId="01E9ACC9" w:rsidR="006C485E" w:rsidRPr="0098488D" w:rsidRDefault="006C485E" w:rsidP="006C485E">
      <w:pPr>
        <w:ind w:firstLine="720"/>
        <w:rPr>
          <w:rFonts w:cs="Times New Roman"/>
        </w:rPr>
      </w:pPr>
      <w:r w:rsidRPr="0098488D">
        <w:rPr>
          <w:rFonts w:cs="Times New Roman"/>
        </w:rPr>
        <w:t>Integral for discussions about legitimacy, the English School conceives of a “triad,” consisting of a realist “international system,” a rationalist “international society,” and a revolutionist “world society” as three distinct but interconnected spheres that operate simultaneously to constitute international relations.</w:t>
      </w:r>
      <w:r w:rsidRPr="0098488D">
        <w:rPr>
          <w:rStyle w:val="FootnoteReference"/>
          <w:rFonts w:cs="Times New Roman"/>
        </w:rPr>
        <w:footnoteReference w:id="185"/>
      </w:r>
      <w:r w:rsidRPr="0098488D">
        <w:rPr>
          <w:rFonts w:cs="Times New Roman"/>
        </w:rPr>
        <w:t xml:space="preserve"> In this way, the English School expands the classical realist and liberal conceptions of the material capabilities of states, suggesting that roles played by ideas, norms and interests to be taken into account.</w:t>
      </w:r>
    </w:p>
    <w:p w14:paraId="7717CDDA" w14:textId="1F61B977" w:rsidR="006C485E" w:rsidRPr="0098488D" w:rsidRDefault="006C485E" w:rsidP="006C485E">
      <w:pPr>
        <w:ind w:firstLine="709"/>
        <w:rPr>
          <w:rFonts w:cs="Times New Roman"/>
        </w:rPr>
      </w:pPr>
      <w:r w:rsidRPr="0098488D">
        <w:rPr>
          <w:rFonts w:cs="Times New Roman"/>
        </w:rPr>
        <w:t>In accordance with the tenets of English School theory, Ian Clark categorically separates between “principles and practices of international legitimacy” and “principles and practices of domestic legitimacy.”</w:t>
      </w:r>
      <w:r w:rsidRPr="0098488D">
        <w:rPr>
          <w:rStyle w:val="FootnoteReference"/>
          <w:rFonts w:cs="Times New Roman"/>
        </w:rPr>
        <w:footnoteReference w:id="186"/>
      </w:r>
      <w:r w:rsidRPr="0098488D">
        <w:rPr>
          <w:rFonts w:cs="Times New Roman"/>
        </w:rPr>
        <w:t xml:space="preserve"> Clark’s conception of legitimacy has “two faces”</w:t>
      </w:r>
      <w:r w:rsidR="00525937">
        <w:rPr>
          <w:rFonts w:cs="Times New Roman"/>
        </w:rPr>
        <w:t>—</w:t>
      </w:r>
      <w:r w:rsidRPr="0098488D">
        <w:rPr>
          <w:rFonts w:cs="Times New Roman"/>
        </w:rPr>
        <w:t xml:space="preserve"> “rightful membership,” and “rightful conduct.”</w:t>
      </w:r>
      <w:r w:rsidRPr="0098488D">
        <w:rPr>
          <w:rStyle w:val="FootnoteReference"/>
          <w:rFonts w:cs="Times New Roman"/>
        </w:rPr>
        <w:footnoteReference w:id="187"/>
      </w:r>
      <w:r w:rsidRPr="0098488D">
        <w:rPr>
          <w:rFonts w:cs="Times New Roman"/>
        </w:rPr>
        <w:t xml:space="preserve"> Clark understands these “two faces” of legitimacy as </w:t>
      </w:r>
      <w:r w:rsidRPr="0098488D">
        <w:rPr>
          <w:rFonts w:cs="Times New Roman"/>
          <w:i/>
          <w:iCs/>
        </w:rPr>
        <w:t>mutually constitutive</w:t>
      </w:r>
      <w:r w:rsidRPr="0098488D">
        <w:rPr>
          <w:rFonts w:cs="Times New Roman"/>
        </w:rPr>
        <w:t>: per Clark, legitimacy “possess[es]… both an inward [(domestic)] and an outward [international] dimension” that are inherently interrelated and interdependent.</w:t>
      </w:r>
      <w:r w:rsidRPr="0098488D">
        <w:rPr>
          <w:rStyle w:val="FootnoteReference"/>
          <w:rFonts w:cs="Times New Roman"/>
        </w:rPr>
        <w:footnoteReference w:id="188"/>
      </w:r>
      <w:r w:rsidRPr="0098488D">
        <w:rPr>
          <w:rFonts w:cs="Times New Roman"/>
        </w:rPr>
        <w:t xml:space="preserve"> Clark further extends this two-fold conceptualization of legitimacy, ultimately suggesting that “rightful membership” is “the key instrument for generating ‘rightful conduct.’”</w:t>
      </w:r>
      <w:r w:rsidRPr="0098488D">
        <w:rPr>
          <w:rStyle w:val="FootnoteReference"/>
          <w:rFonts w:cs="Times New Roman"/>
        </w:rPr>
        <w:footnoteReference w:id="189"/>
      </w:r>
      <w:r w:rsidRPr="0098488D">
        <w:rPr>
          <w:rFonts w:cs="Times New Roman"/>
        </w:rPr>
        <w:t xml:space="preserve"> In simple terms, Clark argues that the structure of international society embodies rules for identifying which actors get to ‘count’ as members (whose consent matters), which is inherently tied to ‘rules’ governing the types of member conduct that are appropriate on a domestic level. </w:t>
      </w:r>
    </w:p>
    <w:p w14:paraId="674128F7" w14:textId="5059642D" w:rsidR="006C485E" w:rsidRPr="0098488D" w:rsidRDefault="006C485E" w:rsidP="006C485E">
      <w:pPr>
        <w:ind w:firstLine="567"/>
        <w:rPr>
          <w:rFonts w:cs="Times New Roman"/>
        </w:rPr>
      </w:pPr>
      <w:r w:rsidRPr="0098488D">
        <w:rPr>
          <w:rFonts w:cs="Times New Roman"/>
        </w:rPr>
        <w:t>Clark’s claim that legitimacy has two mutually constitutive “faces” is ultimately compatible with this notion of legality, justification, and consent as the constituent elements comprising international legitimacy. While Clark’s “rightful membership” directly corresponds with the “consent” described in the IR scholarship, and his “rightful conduct” is</w:t>
      </w:r>
      <w:r w:rsidR="00525937">
        <w:rPr>
          <w:rFonts w:cs="Times New Roman"/>
        </w:rPr>
        <w:t xml:space="preserve"> based</w:t>
      </w:r>
      <w:r w:rsidRPr="0098488D">
        <w:rPr>
          <w:rFonts w:cs="Times New Roman"/>
        </w:rPr>
        <w:t xml:space="preserve"> on notions of the validity of any rules and requirements legitimately imposed on subordinates, the relevance of justification is less immediately evident. In terms of its practical manifestation, justification is necessarily a post-hoc attribute. That is to say, the idea that “the actions of an entity are desirable, proper, or appropriate…” can only be established in the aftermath of the actions themselves having been undertaken, if such a determination is “confirmed in [constituent] practices demonstrating compliance”.</w:t>
      </w:r>
      <w:r w:rsidRPr="0098488D">
        <w:rPr>
          <w:rStyle w:val="FootnoteReference"/>
          <w:rFonts w:cs="Times New Roman"/>
        </w:rPr>
        <w:footnoteReference w:id="190"/>
      </w:r>
      <w:r w:rsidRPr="0098488D">
        <w:rPr>
          <w:rFonts w:cs="Times New Roman"/>
        </w:rPr>
        <w:t xml:space="preserve"> Justification </w:t>
      </w:r>
      <w:r w:rsidR="00525937" w:rsidRPr="0098488D">
        <w:rPr>
          <w:rFonts w:cs="Times New Roman"/>
        </w:rPr>
        <w:t>establishes</w:t>
      </w:r>
      <w:r w:rsidRPr="0098488D">
        <w:rPr>
          <w:rFonts w:cs="Times New Roman"/>
        </w:rPr>
        <w:t xml:space="preserve"> a reaction to actions and inactions used to substantiate international legitimacy claims, and is thus less intrinsic to conceptualizing </w:t>
      </w:r>
      <w:r w:rsidRPr="0098488D">
        <w:rPr>
          <w:rFonts w:cs="Times New Roman"/>
        </w:rPr>
        <w:lastRenderedPageBreak/>
        <w:t>legitimation claims (practices of international legitimacy as they manifest in process), specifically in the context of international relations.</w:t>
      </w:r>
    </w:p>
    <w:p w14:paraId="49CD86D6" w14:textId="6B54B93D" w:rsidR="006C485E" w:rsidRPr="0098488D" w:rsidRDefault="006C485E" w:rsidP="006C485E">
      <w:pPr>
        <w:ind w:firstLine="567"/>
        <w:rPr>
          <w:rFonts w:cs="Times New Roman"/>
          <w:shd w:val="clear" w:color="auto" w:fill="FFFFFF"/>
        </w:rPr>
      </w:pPr>
      <w:r w:rsidRPr="0098488D">
        <w:rPr>
          <w:rFonts w:cs="Times New Roman"/>
        </w:rPr>
        <w:t>Like Clark, Ay</w:t>
      </w:r>
      <w:r w:rsidRPr="0098488D">
        <w:rPr>
          <w:rFonts w:cs="Times New Roman"/>
          <w:shd w:val="clear" w:color="auto" w:fill="FFFFFF"/>
        </w:rPr>
        <w:t xml:space="preserve">şe Zarakol also differentiates between domestic and international (state) legitimacy. She analyzes the historical trajectory of the state’s international legitimacy, </w:t>
      </w:r>
      <w:r w:rsidRPr="0098488D">
        <w:rPr>
          <w:rFonts w:cs="Times New Roman"/>
        </w:rPr>
        <w:t>arguing that the modern state eclipsed the religious and localised modes of authority by claiming political authority on the basis of “the consent of the governed” – its constituents. She contends that Westphalian statehood overrode the personal mode of authority by appropriating the jurisdiction that had previously been reserved for religious authorities, rationalizing its increasing interference in its citizens’ private lives by “</w:t>
      </w:r>
      <w:proofErr w:type="spellStart"/>
      <w:r w:rsidRPr="0098488D">
        <w:rPr>
          <w:rFonts w:cs="Times New Roman"/>
        </w:rPr>
        <w:t>promis</w:t>
      </w:r>
      <w:proofErr w:type="spellEnd"/>
      <w:r w:rsidRPr="0098488D">
        <w:rPr>
          <w:rFonts w:cs="Times New Roman"/>
        </w:rPr>
        <w:t>[</w:t>
      </w:r>
      <w:proofErr w:type="spellStart"/>
      <w:r w:rsidRPr="0098488D">
        <w:rPr>
          <w:rFonts w:cs="Times New Roman"/>
        </w:rPr>
        <w:t>ing</w:t>
      </w:r>
      <w:proofErr w:type="spellEnd"/>
      <w:r w:rsidRPr="0098488D">
        <w:rPr>
          <w:rFonts w:cs="Times New Roman"/>
        </w:rPr>
        <w:t>] a more stable, better, peaceful… society.”</w:t>
      </w:r>
      <w:r w:rsidRPr="0098488D">
        <w:rPr>
          <w:rStyle w:val="FootnoteReference"/>
          <w:rFonts w:cs="Times New Roman"/>
        </w:rPr>
        <w:footnoteReference w:id="191"/>
      </w:r>
      <w:r w:rsidRPr="0098488D">
        <w:rPr>
          <w:rFonts w:cs="Times New Roman"/>
        </w:rPr>
        <w:t xml:space="preserve"> Ultimately, Zarakol categorizes terrorism as either “system affirming” or “system threatening” based on of the type of legitimacy claimed by its perpetrators.</w:t>
      </w:r>
      <w:r w:rsidRPr="0098488D">
        <w:rPr>
          <w:rStyle w:val="FootnoteReference"/>
          <w:rFonts w:cs="Times New Roman"/>
        </w:rPr>
        <w:footnoteReference w:id="192"/>
      </w:r>
      <w:r w:rsidRPr="0098488D">
        <w:rPr>
          <w:rFonts w:cs="Times New Roman"/>
        </w:rPr>
        <w:t xml:space="preserve"> Terrorism based on local authority is “system affirming,” because “these claims to legitimacy can be accommodated within the modern state system’s ordering principles.”</w:t>
      </w:r>
      <w:r w:rsidRPr="0098488D">
        <w:rPr>
          <w:rStyle w:val="FootnoteReference"/>
          <w:rFonts w:cs="Times New Roman"/>
        </w:rPr>
        <w:footnoteReference w:id="193"/>
      </w:r>
      <w:r w:rsidRPr="0098488D">
        <w:rPr>
          <w:rFonts w:cs="Times New Roman"/>
        </w:rPr>
        <w:t xml:space="preserve"> Per Zarakol, this type of terrorism tends to constitute “a contained problem,” targeting only the legitimacy of specific </w:t>
      </w:r>
      <w:r w:rsidRPr="0098488D">
        <w:rPr>
          <w:rFonts w:cs="Times New Roman"/>
          <w:i/>
          <w:iCs/>
        </w:rPr>
        <w:t>states.</w:t>
      </w:r>
      <w:r w:rsidRPr="0098488D">
        <w:rPr>
          <w:rFonts w:cs="Times New Roman"/>
        </w:rPr>
        <w:t xml:space="preserve"> </w:t>
      </w:r>
      <w:r w:rsidR="00F92578">
        <w:rPr>
          <w:rFonts w:cs="Times New Roman"/>
        </w:rPr>
        <w:t>For example, nationalist-secessionist organizations like the Provisional Irish Republican Army (IRA) and the Irgun that emerged as “quasi-rational response[s] to contradictions in the modern state project.”</w:t>
      </w:r>
      <w:r w:rsidR="00F92578">
        <w:rPr>
          <w:rStyle w:val="FootnoteReference"/>
          <w:rFonts w:cs="Times New Roman"/>
        </w:rPr>
        <w:footnoteReference w:id="194"/>
      </w:r>
      <w:r w:rsidR="00F92578">
        <w:rPr>
          <w:rFonts w:cs="Times New Roman"/>
        </w:rPr>
        <w:t xml:space="preserve"> Per Zarakol, while the terrorism perpetrated by these organizations does “superficially threaten” the security of the state “by creating uncertainty and muddling the stranger/enemy distinction,” this kind of terrorist activity “does not endanger the ontological security of states at a profound level.”</w:t>
      </w:r>
      <w:r w:rsidR="00F92578">
        <w:rPr>
          <w:rStyle w:val="FootnoteReference"/>
          <w:rFonts w:cs="Times New Roman"/>
        </w:rPr>
        <w:footnoteReference w:id="195"/>
      </w:r>
    </w:p>
    <w:p w14:paraId="6CBAAA4A" w14:textId="46348EA3" w:rsidR="006C485E" w:rsidRPr="0098488D" w:rsidRDefault="006C485E" w:rsidP="006C485E">
      <w:pPr>
        <w:ind w:firstLine="567"/>
        <w:rPr>
          <w:rFonts w:cs="Times New Roman"/>
        </w:rPr>
      </w:pPr>
      <w:r w:rsidRPr="0098488D">
        <w:rPr>
          <w:rFonts w:cs="Times New Roman"/>
        </w:rPr>
        <w:t>Zarakol contrasts “system affirming” terrorism with “system threatening” terrorism, which she conceives of as “rejecting the ontology of [the] modern state… system altogether” by dismissing all notions of external authority over the individual.</w:t>
      </w:r>
      <w:r w:rsidRPr="0098488D">
        <w:rPr>
          <w:rStyle w:val="FootnoteReference"/>
          <w:rFonts w:cs="Times New Roman"/>
        </w:rPr>
        <w:footnoteReference w:id="196"/>
      </w:r>
      <w:r w:rsidRPr="0098488D">
        <w:rPr>
          <w:rFonts w:cs="Times New Roman"/>
        </w:rPr>
        <w:t xml:space="preserve"> In light of this rejection of the state as an institution, “system threatening” terrorism derives from claims of personal authority and religious authority.</w:t>
      </w:r>
      <w:r w:rsidRPr="0098488D">
        <w:rPr>
          <w:rStyle w:val="FootnoteReference"/>
          <w:rFonts w:cs="Times New Roman"/>
        </w:rPr>
        <w:footnoteReference w:id="197"/>
      </w:r>
      <w:r w:rsidRPr="0098488D">
        <w:rPr>
          <w:rFonts w:cs="Times New Roman"/>
        </w:rPr>
        <w:t xml:space="preserve"> </w:t>
      </w:r>
      <w:r w:rsidR="00D41F30">
        <w:rPr>
          <w:rFonts w:cs="Times New Roman"/>
        </w:rPr>
        <w:t>For example, Al Qaeda</w:t>
      </w:r>
      <w:r w:rsidR="00AF48A6">
        <w:rPr>
          <w:rFonts w:cs="Times New Roman"/>
        </w:rPr>
        <w:t>:</w:t>
      </w:r>
      <w:r w:rsidR="00D41F30">
        <w:rPr>
          <w:rFonts w:cs="Times New Roman"/>
        </w:rPr>
        <w:t xml:space="preserve"> an organization whose leadership</w:t>
      </w:r>
      <w:r w:rsidR="00AF48A6">
        <w:rPr>
          <w:rFonts w:cs="Times New Roman"/>
        </w:rPr>
        <w:t>, Zarakol asserts,</w:t>
      </w:r>
      <w:r w:rsidR="00D41F30">
        <w:rPr>
          <w:rFonts w:cs="Times New Roman"/>
        </w:rPr>
        <w:t xml:space="preserve"> is “rhetorically clear in the fact that it has no interest in maintaining the organizing principle of Westphalian sovereignty in the event of its triumph.”</w:t>
      </w:r>
      <w:r w:rsidR="00D41F30">
        <w:rPr>
          <w:rStyle w:val="FootnoteReference"/>
          <w:rFonts w:cs="Times New Roman"/>
        </w:rPr>
        <w:footnoteReference w:id="198"/>
      </w:r>
      <w:r w:rsidR="00D41F30">
        <w:rPr>
          <w:rFonts w:cs="Times New Roman"/>
        </w:rPr>
        <w:t xml:space="preserve"> </w:t>
      </w:r>
      <w:r w:rsidRPr="0098488D">
        <w:rPr>
          <w:rFonts w:cs="Times New Roman"/>
        </w:rPr>
        <w:t xml:space="preserve">Thus, for Zarakol, the difference between “system affirming” domestic legitimacy and “system threatening” </w:t>
      </w:r>
      <w:r w:rsidRPr="0098488D">
        <w:rPr>
          <w:rFonts w:cs="Times New Roman"/>
          <w:i/>
          <w:iCs/>
        </w:rPr>
        <w:t>international</w:t>
      </w:r>
      <w:r w:rsidRPr="0098488D">
        <w:rPr>
          <w:rFonts w:cs="Times New Roman"/>
        </w:rPr>
        <w:t xml:space="preserve"> legitimacy is tantamount to whether or not the type of authority claimed by the terrorists can be accommodated within the Westphalian order.</w:t>
      </w:r>
      <w:r w:rsidRPr="0098488D">
        <w:rPr>
          <w:rStyle w:val="FootnoteReference"/>
          <w:rFonts w:cs="Times New Roman"/>
        </w:rPr>
        <w:footnoteReference w:id="199"/>
      </w:r>
      <w:r w:rsidR="00525937">
        <w:rPr>
          <w:rFonts w:cs="Times New Roman"/>
        </w:rPr>
        <w:t xml:space="preserve"> </w:t>
      </w:r>
    </w:p>
    <w:p w14:paraId="5023BDF6" w14:textId="7A71567C" w:rsidR="006C485E" w:rsidRPr="0098488D" w:rsidRDefault="006C485E" w:rsidP="006C485E">
      <w:pPr>
        <w:ind w:firstLine="567"/>
        <w:rPr>
          <w:rFonts w:cs="Times New Roman"/>
        </w:rPr>
      </w:pPr>
      <w:r w:rsidRPr="0098488D">
        <w:rPr>
          <w:rFonts w:cs="Times New Roman"/>
        </w:rPr>
        <w:t xml:space="preserve">In the context of this dissertation, terrorism’s ‘success’ is predicated on its efficacy, which intrinsically relates to its ability to undermine the legitimation claims that support the state’s “right to rule.” The definition of terrorism that I establish in Chapter 3 </w:t>
      </w:r>
      <w:r>
        <w:rPr>
          <w:rFonts w:cs="Times New Roman"/>
        </w:rPr>
        <w:t xml:space="preserve">establishes </w:t>
      </w:r>
      <w:r w:rsidRPr="0098488D">
        <w:rPr>
          <w:rFonts w:cs="Times New Roman"/>
        </w:rPr>
        <w:t>that terrorism ‘succeeds’ when it influences a state or an influential international actor’s decision-making processes by constituting itself a threat to the state or organization’s constituents. The question of whether and how terrorism ‘succeeds’ thus refers to whether</w:t>
      </w:r>
      <w:r>
        <w:rPr>
          <w:rFonts w:cs="Times New Roman"/>
        </w:rPr>
        <w:t xml:space="preserve"> and how</w:t>
      </w:r>
      <w:r w:rsidRPr="0098488D">
        <w:rPr>
          <w:rFonts w:cs="Times New Roman"/>
        </w:rPr>
        <w:t xml:space="preserve"> terrorism furthers the legitimation claims of its perpetrators. Conceiving of terrorist activity in this manner, in </w:t>
      </w:r>
      <w:r w:rsidRPr="0098488D">
        <w:rPr>
          <w:rFonts w:cs="Times New Roman"/>
        </w:rPr>
        <w:lastRenderedPageBreak/>
        <w:t xml:space="preserve">conjunction with Weber’s understanding of the state as “the human community that successfully claims the monopoly of the legitimate use of physical force” suggests that (state) legitimacy is </w:t>
      </w:r>
      <w:r w:rsidR="00525937" w:rsidRPr="0098488D">
        <w:rPr>
          <w:rFonts w:cs="Times New Roman"/>
        </w:rPr>
        <w:t>grounded</w:t>
      </w:r>
      <w:r w:rsidRPr="0098488D">
        <w:rPr>
          <w:rFonts w:cs="Times New Roman"/>
        </w:rPr>
        <w:t xml:space="preserve"> on constituent perceptions of the state’s ability to protect them in the territory over which it claims sovereignty. </w:t>
      </w:r>
    </w:p>
    <w:p w14:paraId="333C7E17" w14:textId="370BA834" w:rsidR="00D03C79" w:rsidRPr="00B30645" w:rsidRDefault="006C485E" w:rsidP="00B30645">
      <w:pPr>
        <w:ind w:firstLine="567"/>
        <w:rPr>
          <w:rFonts w:cs="Times New Roman"/>
        </w:rPr>
      </w:pPr>
      <w:r w:rsidRPr="0098488D">
        <w:rPr>
          <w:rFonts w:cs="Times New Roman"/>
        </w:rPr>
        <w:t xml:space="preserve">To that end, ‘successful’ terrorist activity necessarily demonstrates that the state is unable to effectively secure its territory, </w:t>
      </w:r>
      <w:r>
        <w:rPr>
          <w:rFonts w:cs="Times New Roman"/>
        </w:rPr>
        <w:t xml:space="preserve">which </w:t>
      </w:r>
      <w:r w:rsidRPr="0098488D">
        <w:rPr>
          <w:rFonts w:cs="Times New Roman"/>
        </w:rPr>
        <w:t xml:space="preserve">to an extent </w:t>
      </w:r>
      <w:r>
        <w:rPr>
          <w:rFonts w:cs="Times New Roman"/>
        </w:rPr>
        <w:t xml:space="preserve">amounts to </w:t>
      </w:r>
      <w:r w:rsidRPr="0098488D">
        <w:rPr>
          <w:rFonts w:cs="Times New Roman"/>
        </w:rPr>
        <w:t xml:space="preserve">revoking </w:t>
      </w:r>
      <w:r>
        <w:rPr>
          <w:rFonts w:cs="Times New Roman"/>
        </w:rPr>
        <w:t xml:space="preserve">a </w:t>
      </w:r>
      <w:r w:rsidRPr="0098488D">
        <w:rPr>
          <w:rFonts w:cs="Times New Roman"/>
        </w:rPr>
        <w:t xml:space="preserve">legitimation claim as having monopolized the use of force within its borders. </w:t>
      </w:r>
      <w:r w:rsidRPr="0098488D">
        <w:rPr>
          <w:rFonts w:cs="Times New Roman"/>
          <w:spacing w:val="-4"/>
        </w:rPr>
        <w:t xml:space="preserve">This is because </w:t>
      </w:r>
      <w:r w:rsidRPr="0098488D">
        <w:rPr>
          <w:rFonts w:cs="Times New Roman"/>
        </w:rPr>
        <w:t xml:space="preserve">territorial sovereignty and state authority based on the monopoly of the legitimate use of force have replaced the traditional personal, local, and religious modes of authority upon which legitimacy and legitimation claims were predicated prior to </w:t>
      </w:r>
      <w:r w:rsidRPr="00BA4366">
        <w:rPr>
          <w:rFonts w:cs="Times New Roman"/>
        </w:rPr>
        <w:t xml:space="preserve">the 1648 Peace of Westphalia. For that reason, the perpetration of terrorist activity is </w:t>
      </w:r>
      <w:r w:rsidRPr="00451F65">
        <w:rPr>
          <w:rFonts w:cs="Times New Roman"/>
          <w:i/>
          <w:iCs/>
        </w:rPr>
        <w:t>also</w:t>
      </w:r>
      <w:r w:rsidRPr="00BA4366">
        <w:rPr>
          <w:rFonts w:cs="Times New Roman"/>
        </w:rPr>
        <w:t xml:space="preserve"> a pursuit of legitimacy</w:t>
      </w:r>
      <w:r w:rsidR="00525937">
        <w:rPr>
          <w:rFonts w:cs="Times New Roman"/>
        </w:rPr>
        <w:t>: one</w:t>
      </w:r>
      <w:r w:rsidRPr="00BA4366">
        <w:rPr>
          <w:rFonts w:cs="Times New Roman"/>
        </w:rPr>
        <w:t xml:space="preserve"> that necessarily comes at the expense of the legitimacy of the state as an institution. This conception of the pursuit of international legitimacy as a zero-sum game </w:t>
      </w:r>
      <w:r>
        <w:rPr>
          <w:rFonts w:cs="Times New Roman"/>
        </w:rPr>
        <w:t>exists</w:t>
      </w:r>
      <w:r w:rsidRPr="00BA4366">
        <w:rPr>
          <w:rFonts w:cs="Times New Roman"/>
        </w:rPr>
        <w:t xml:space="preserve"> by virtue of the </w:t>
      </w:r>
      <w:r>
        <w:rPr>
          <w:rFonts w:cs="Times New Roman"/>
        </w:rPr>
        <w:t xml:space="preserve">modern </w:t>
      </w:r>
      <w:r w:rsidRPr="00BA4366">
        <w:rPr>
          <w:rFonts w:cs="Times New Roman"/>
        </w:rPr>
        <w:t xml:space="preserve">Westphalian state </w:t>
      </w:r>
      <w:r>
        <w:rPr>
          <w:rFonts w:cs="Times New Roman"/>
        </w:rPr>
        <w:t>replacing</w:t>
      </w:r>
      <w:r w:rsidRPr="00BA4366">
        <w:rPr>
          <w:rFonts w:cs="Times New Roman"/>
        </w:rPr>
        <w:t xml:space="preserve"> </w:t>
      </w:r>
      <w:r>
        <w:rPr>
          <w:rFonts w:cs="Times New Roman"/>
        </w:rPr>
        <w:t xml:space="preserve">and discarding </w:t>
      </w:r>
      <w:r w:rsidRPr="00BA4366">
        <w:rPr>
          <w:rFonts w:cs="Times New Roman"/>
        </w:rPr>
        <w:t xml:space="preserve">the traditional personal, local, and religious modes of authority upon which pre-modern legitimation claims </w:t>
      </w:r>
      <w:r>
        <w:rPr>
          <w:rFonts w:cs="Times New Roman"/>
        </w:rPr>
        <w:t>a</w:t>
      </w:r>
      <w:r w:rsidRPr="00BA4366">
        <w:rPr>
          <w:rFonts w:cs="Times New Roman"/>
        </w:rPr>
        <w:t>re based.</w:t>
      </w:r>
    </w:p>
    <w:p w14:paraId="2F1A6099" w14:textId="77777777" w:rsidR="006C485E" w:rsidRPr="0098488D" w:rsidRDefault="006C485E" w:rsidP="00787123">
      <w:pPr>
        <w:pStyle w:val="DissertationSection1"/>
      </w:pPr>
      <w:bookmarkStart w:id="34" w:name="_Toc175413139"/>
      <w:r w:rsidRPr="0098488D">
        <w:t>Conclusion</w:t>
      </w:r>
      <w:bookmarkEnd w:id="34"/>
    </w:p>
    <w:p w14:paraId="21F8A985" w14:textId="1A59251A" w:rsidR="006C485E" w:rsidRPr="0098488D" w:rsidRDefault="006C485E" w:rsidP="006C485E">
      <w:pPr>
        <w:ind w:firstLine="567"/>
        <w:rPr>
          <w:rFonts w:cs="Times New Roman"/>
        </w:rPr>
      </w:pPr>
      <w:r w:rsidRPr="0098488D">
        <w:rPr>
          <w:rFonts w:cs="Times New Roman"/>
        </w:rPr>
        <w:t>In this dissertation, I conceive of whether or not terrorism succeeds as predicated on its efficacy in achieving its objectives, which intrinsically relate to its ability to undermine the legitimacy claims that support the state’s “right to rule.” As specified both earlier in this chapter and in Chapter 3’s definition of terrorism, terrorism succeeds when it influences the state’s decision-making processes by constituting itself a threat to the constituents of the state. Taken in conjunction with the Weberian understanding of the state as “the human community that successfully claims the monopoly of the legitimate use of physical force,” the state’s international legitimacy is predicated on its subordinates’ perceptions of its ability (as the</w:t>
      </w:r>
      <w:r w:rsidRPr="0098488D">
        <w:rPr>
          <w:rFonts w:cs="Times New Roman"/>
          <w:i/>
          <w:iCs/>
        </w:rPr>
        <w:t xml:space="preserve"> legitimate</w:t>
      </w:r>
      <w:r w:rsidRPr="0098488D">
        <w:rPr>
          <w:rFonts w:cs="Times New Roman"/>
        </w:rPr>
        <w:t xml:space="preserve"> governing power) to protect them in its sovereign territory. Thus, the perpetration of ‘successful’ terrorism, by its very existence and continued success as by violent and ongoing stabilization, demonstrates that the state does not hold the </w:t>
      </w:r>
      <w:r w:rsidRPr="0098488D">
        <w:rPr>
          <w:rFonts w:cs="Times New Roman"/>
          <w:i/>
          <w:iCs/>
        </w:rPr>
        <w:t>exclusive</w:t>
      </w:r>
      <w:r w:rsidRPr="0098488D">
        <w:rPr>
          <w:rFonts w:cs="Times New Roman"/>
        </w:rPr>
        <w:t xml:space="preserve"> monopoly over the legitimate use of force in its territory.</w:t>
      </w:r>
      <w:r w:rsidR="00525937">
        <w:rPr>
          <w:rFonts w:cs="Times New Roman"/>
        </w:rPr>
        <w:t xml:space="preserve"> If it did, there would be no terrorism.</w:t>
      </w:r>
      <w:r w:rsidRPr="0098488D">
        <w:rPr>
          <w:rFonts w:cs="Times New Roman"/>
        </w:rPr>
        <w:t xml:space="preserve"> </w:t>
      </w:r>
      <w:r>
        <w:rPr>
          <w:rFonts w:cs="Times New Roman"/>
        </w:rPr>
        <w:t xml:space="preserve">Notions of </w:t>
      </w:r>
      <w:r w:rsidRPr="0098488D">
        <w:rPr>
          <w:rFonts w:cs="Times New Roman"/>
        </w:rPr>
        <w:t>Westphalian statehood have</w:t>
      </w:r>
      <w:r>
        <w:rPr>
          <w:rFonts w:cs="Times New Roman"/>
        </w:rPr>
        <w:t xml:space="preserve"> effectively</w:t>
      </w:r>
      <w:r w:rsidRPr="0098488D">
        <w:rPr>
          <w:rFonts w:cs="Times New Roman"/>
        </w:rPr>
        <w:t xml:space="preserve"> institutionalized the values that supported the establishment of the modern state is having subsumed the traditional personal, local, and religious modes of authority underlying legitimacy claims, particularly in the aftermath of the Peace of Westphalia. </w:t>
      </w:r>
    </w:p>
    <w:p w14:paraId="5B8C2849" w14:textId="58AB4F1C" w:rsidR="006C485E" w:rsidRPr="0098488D" w:rsidRDefault="006C485E" w:rsidP="006C485E">
      <w:pPr>
        <w:ind w:firstLine="567"/>
        <w:rPr>
          <w:rFonts w:cs="Times New Roman"/>
        </w:rPr>
      </w:pPr>
      <w:r w:rsidRPr="0098488D">
        <w:rPr>
          <w:rFonts w:cs="Times New Roman"/>
        </w:rPr>
        <w:t xml:space="preserve">For that reason, I argue that terrorism inherently </w:t>
      </w:r>
      <w:r>
        <w:rPr>
          <w:rFonts w:cs="Times New Roman"/>
        </w:rPr>
        <w:t xml:space="preserve">involves </w:t>
      </w:r>
      <w:r w:rsidRPr="0098488D">
        <w:rPr>
          <w:rFonts w:cs="Times New Roman"/>
        </w:rPr>
        <w:t>violent sub-state actors’ pursuit of international legitimacy, which necessarily erodes the state’s international legitimacy. Given this intrinsic connection between terrorism and historical accounts of the state, the integral feature of terrorism, as a phenomenon, is not the means by which it is perpetrated, the modes of violence that it employs, its indiscriminate fear-inducing nature, or the motivations underlying its perception. Instead, the crucial factor implicit in any conceptualization of terrorism is the sub-state actor’s demonstrated use or threatened use of force that undermines the state’s international legitimacy (therefore constituting what Zarakol terms “system threatening”).</w:t>
      </w:r>
      <w:r w:rsidRPr="0098488D">
        <w:rPr>
          <w:rStyle w:val="FootnoteReference"/>
          <w:rFonts w:cs="Times New Roman"/>
        </w:rPr>
        <w:footnoteReference w:id="200"/>
      </w:r>
      <w:r w:rsidRPr="0098488D">
        <w:rPr>
          <w:rFonts w:cs="Times New Roman"/>
        </w:rPr>
        <w:t xml:space="preserve"> Ultimately, terrorism undermines the state’s international legitimacy because its (international) legitimacy claims cite the traditional personal and religious modes of authority that the establishment of the state necessarily rendered obsolete.</w:t>
      </w:r>
      <w:r w:rsidRPr="0098488D">
        <w:rPr>
          <w:rStyle w:val="FootnoteReference"/>
          <w:rFonts w:cs="Times New Roman"/>
        </w:rPr>
        <w:footnoteReference w:id="201"/>
      </w:r>
      <w:r w:rsidRPr="0098488D">
        <w:rPr>
          <w:rFonts w:cs="Times New Roman"/>
        </w:rPr>
        <w:t xml:space="preserve"> </w:t>
      </w:r>
    </w:p>
    <w:p w14:paraId="2AF2519C" w14:textId="30183F1E" w:rsidR="006C485E" w:rsidRPr="0098488D" w:rsidRDefault="006C485E" w:rsidP="006C485E">
      <w:pPr>
        <w:ind w:firstLine="567"/>
        <w:rPr>
          <w:rFonts w:cs="Times New Roman"/>
        </w:rPr>
      </w:pPr>
      <w:r w:rsidRPr="0098488D">
        <w:rPr>
          <w:rFonts w:cs="Times New Roman"/>
        </w:rPr>
        <w:lastRenderedPageBreak/>
        <w:t xml:space="preserve">The next chapter (Chapter 5) moves to a </w:t>
      </w:r>
      <w:r>
        <w:rPr>
          <w:rFonts w:cs="Times New Roman"/>
        </w:rPr>
        <w:t xml:space="preserve">practical </w:t>
      </w:r>
      <w:r w:rsidRPr="0098488D">
        <w:rPr>
          <w:rFonts w:cs="Times New Roman"/>
        </w:rPr>
        <w:t>discussion of media coverage as constituting the operational level (</w:t>
      </w:r>
      <w:r w:rsidRPr="0098488D">
        <w:rPr>
          <w:rFonts w:cs="Times New Roman"/>
          <w:i/>
          <w:iCs/>
        </w:rPr>
        <w:t>mode</w:t>
      </w:r>
      <w:r w:rsidRPr="0098488D">
        <w:rPr>
          <w:rFonts w:cs="Times New Roman"/>
        </w:rPr>
        <w:t xml:space="preserve">) that provides for terrorism’s ability to affect the state’s international legitimacy. To that effect, Chapter 5 deconstructs the manner in which </w:t>
      </w:r>
      <w:r w:rsidR="00BF5892">
        <w:rPr>
          <w:rFonts w:cs="Times New Roman"/>
        </w:rPr>
        <w:t xml:space="preserve">print </w:t>
      </w:r>
      <w:r w:rsidRPr="0098488D">
        <w:rPr>
          <w:rFonts w:cs="Times New Roman"/>
        </w:rPr>
        <w:t>media coverage</w:t>
      </w:r>
      <w:r>
        <w:rPr>
          <w:rFonts w:cs="Times New Roman"/>
        </w:rPr>
        <w:t xml:space="preserve"> ha</w:t>
      </w:r>
      <w:r w:rsidR="00525937">
        <w:rPr>
          <w:rFonts w:cs="Times New Roman"/>
        </w:rPr>
        <w:t>s</w:t>
      </w:r>
      <w:r>
        <w:rPr>
          <w:rFonts w:cs="Times New Roman"/>
        </w:rPr>
        <w:t xml:space="preserve"> and ha</w:t>
      </w:r>
      <w:r w:rsidR="00525937">
        <w:rPr>
          <w:rFonts w:cs="Times New Roman"/>
        </w:rPr>
        <w:t>d</w:t>
      </w:r>
      <w:r w:rsidRPr="0098488D">
        <w:rPr>
          <w:rFonts w:cs="Times New Roman"/>
        </w:rPr>
        <w:t xml:space="preserve"> depict</w:t>
      </w:r>
      <w:r>
        <w:rPr>
          <w:rFonts w:cs="Times New Roman"/>
        </w:rPr>
        <w:t>ed</w:t>
      </w:r>
      <w:r w:rsidRPr="0098488D">
        <w:rPr>
          <w:rFonts w:cs="Times New Roman"/>
        </w:rPr>
        <w:t xml:space="preserve"> terrorism</w:t>
      </w:r>
      <w:r>
        <w:rPr>
          <w:rFonts w:cs="Times New Roman"/>
        </w:rPr>
        <w:t xml:space="preserve">. In order to do this, such coverage is </w:t>
      </w:r>
      <w:r w:rsidRPr="0098488D">
        <w:rPr>
          <w:rFonts w:cs="Times New Roman"/>
        </w:rPr>
        <w:t xml:space="preserve">contextualized within the media production cycle. The understanding of international legitimacy established in this chapter (Chapter 4) informs both the quantitative analysis that I undertake in Chapter 6 (which analyzes </w:t>
      </w:r>
      <w:r w:rsidRPr="0098488D">
        <w:rPr>
          <w:rFonts w:cs="Times New Roman"/>
          <w:i/>
          <w:iCs/>
        </w:rPr>
        <w:t>whether</w:t>
      </w:r>
      <w:r w:rsidRPr="0098488D">
        <w:rPr>
          <w:rFonts w:cs="Times New Roman"/>
        </w:rPr>
        <w:t xml:space="preserve"> media coverage of terrorism affects the state’s international legitimacy), and the mixed methods analysis that I undertake in Chapter 7 (which examines </w:t>
      </w:r>
      <w:r w:rsidRPr="0098488D">
        <w:rPr>
          <w:rFonts w:cs="Times New Roman"/>
          <w:i/>
          <w:iCs/>
        </w:rPr>
        <w:t>how</w:t>
      </w:r>
      <w:r w:rsidRPr="0098488D">
        <w:rPr>
          <w:rFonts w:cs="Times New Roman"/>
        </w:rPr>
        <w:t xml:space="preserve"> media depictions of terrorism affect the state’s international legitimacy). More specifically, the theoretical foundation established in this chapter (Chapter 4) informs my quantitative operational definition of the state’s international legitimacy as predicated equally on its three constitutive variables: legality, justification, and consent. As I explain in further detail in Chapter 6, I derive the values for ‘legality’ and ‘justification’ using data from the Fragile States Index (FSI) maintained by the Fund for Peace, on the basis of the conception of international legitimacy as the normative expression of the justification for an actor’s “right to rule” that I establish in this chapter (Chapter 4). (Significantly, FSI bases its state legitimacy measure on factors relating to government effectiveness and international perceptions thereof, in accordance with an understanding of legitimacy as a form of social contract deriving from consent.) Meanwhile, I use member state voting attendance at substantive United Nations General Assembly votes to establish the values used to quantify ‘consent’. </w:t>
      </w:r>
    </w:p>
    <w:p w14:paraId="674C7F11" w14:textId="2E83B3CD" w:rsidR="006C485E" w:rsidRDefault="006C485E">
      <w:pPr>
        <w:rPr>
          <w:rFonts w:cs="Times New Roman"/>
          <w:bCs/>
          <w:color w:val="000000" w:themeColor="text1"/>
        </w:rPr>
      </w:pPr>
      <w:r>
        <w:rPr>
          <w:rFonts w:cs="Times New Roman"/>
          <w:bCs/>
          <w:color w:val="000000" w:themeColor="text1"/>
        </w:rPr>
        <w:br w:type="page"/>
      </w:r>
    </w:p>
    <w:p w14:paraId="422020C5" w14:textId="77777777" w:rsidR="00BE0E9B" w:rsidRDefault="00BE0E9B" w:rsidP="0039518C">
      <w:pPr>
        <w:pStyle w:val="DissertationChapterName"/>
      </w:pPr>
      <w:bookmarkStart w:id="35" w:name="_Toc175413140"/>
      <w:r w:rsidRPr="005C6E5B">
        <w:lastRenderedPageBreak/>
        <w:t>Chapter 5 – Terrorism and the Media</w:t>
      </w:r>
      <w:bookmarkEnd w:id="35"/>
    </w:p>
    <w:p w14:paraId="3DB09DA9" w14:textId="77777777" w:rsidR="00D03C79" w:rsidRPr="005C6E5B" w:rsidRDefault="00D03C79" w:rsidP="00BE0E9B">
      <w:pPr>
        <w:jc w:val="center"/>
        <w:rPr>
          <w:rFonts w:cs="Times New Roman"/>
          <w:b/>
          <w:bCs/>
        </w:rPr>
      </w:pPr>
    </w:p>
    <w:p w14:paraId="6595FD01" w14:textId="1A46E737" w:rsidR="00BE0E9B" w:rsidRPr="005C6E5B" w:rsidRDefault="00BE0E9B" w:rsidP="00BE0E9B">
      <w:pPr>
        <w:ind w:firstLine="720"/>
        <w:rPr>
          <w:rFonts w:cs="Times New Roman"/>
        </w:rPr>
      </w:pPr>
      <w:r w:rsidRPr="005C6E5B">
        <w:rPr>
          <w:rFonts w:cs="Times New Roman"/>
        </w:rPr>
        <w:t xml:space="preserve">In Chapter 4, I argue that challenges to the perception of the state as the </w:t>
      </w:r>
      <w:r w:rsidRPr="005C6E5B">
        <w:rPr>
          <w:rFonts w:cs="Times New Roman"/>
          <w:i/>
          <w:iCs/>
        </w:rPr>
        <w:t>exclusive</w:t>
      </w:r>
      <w:r w:rsidRPr="005C6E5B">
        <w:rPr>
          <w:rFonts w:cs="Times New Roman"/>
        </w:rPr>
        <w:t xml:space="preserve"> territorial power with the monopoly over the legitimate use of force are an intrinsic feature of terrorism. Terrorism’s ability to mount this challenge depends on the messaging that perpetrators impart to the state’s constituents.</w:t>
      </w:r>
      <w:r w:rsidRPr="005C6E5B">
        <w:rPr>
          <w:rStyle w:val="FootnoteReference"/>
          <w:rFonts w:cs="Times New Roman"/>
        </w:rPr>
        <w:footnoteReference w:id="202"/>
      </w:r>
      <w:r w:rsidRPr="005C6E5B">
        <w:rPr>
          <w:rFonts w:cs="Times New Roman"/>
        </w:rPr>
        <w:t xml:space="preserve"> This begs the following question: how do terrorists communicate with a state’s population to persuade them that the state cannot fully control the use of violence within its borders? Media and terrorism scholars tend to either focus their analyses </w:t>
      </w:r>
      <w:r w:rsidR="0098324B" w:rsidRPr="005C6E5B">
        <w:rPr>
          <w:rFonts w:cs="Times New Roman"/>
        </w:rPr>
        <w:t>on</w:t>
      </w:r>
      <w:r w:rsidRPr="005C6E5B">
        <w:rPr>
          <w:rFonts w:cs="Times New Roman"/>
        </w:rPr>
        <w:t xml:space="preserve"> a conception of terrorism as “propaganda of the deed,” or, argue that there is a ‘symbiotic relationship’ between terrorism and the mass media. Both these scholarly foci suggest that media coverage of terrorism serves to amplify the immediate effects of the incidents of terrorism. The analysis of the interplay between terrorism and the media undertaken here aligns with this general view but differs in conceiving of media coverage as the ‘operational level’ through which terrorism (as the ‘means’) is able to affect the ‘ends’ of damaging the state’s international legitimacy. Put simply, the media coverage of terrorism amplifies the message that the terrorists are trying to convey by perpetrating violent incidents. To that end, I argue that media coverage is ultimately the factor that makes terrorism effective because it facilitates terrorism’s ability to damage the state’s international legitimacy. As established in Chapter 4, terrorism aims to break down perceptions that the state, as an institution, has a monopoly over the legitimate use of force by provoking media coverage of its violent (political) activities. In this chapter, I argue that media coverage of terrorism facilitates this objective by amplifying the impact of terrorism, as well as its perpetrators’ grievances and/or demands. It is this amplification that ultimately delegitimizes the state as an institution. Moreover, media coverage of terrorism provides terrorists with an (internationally legitimate) platform and makes space for terrorists’ talking points within the hierarchy of the public agenda. This contributes to the international public’s perception of terrorists’ legitimacy, which necessarily detracts from the state’s international legitimacy (the legitimacy of the state as an institution).</w:t>
      </w:r>
      <w:r w:rsidRPr="005C6E5B">
        <w:rPr>
          <w:rStyle w:val="FootnoteReference"/>
          <w:rFonts w:cs="Times New Roman"/>
        </w:rPr>
        <w:footnoteReference w:id="203"/>
      </w:r>
    </w:p>
    <w:p w14:paraId="46180E97" w14:textId="572B8EBF" w:rsidR="00BE0E9B" w:rsidRPr="005C6E5B" w:rsidRDefault="00BE0E9B" w:rsidP="00BE0E9B">
      <w:pPr>
        <w:ind w:firstLine="720"/>
        <w:rPr>
          <w:rFonts w:cs="Times New Roman"/>
        </w:rPr>
      </w:pPr>
      <w:r w:rsidRPr="005C6E5B">
        <w:rPr>
          <w:rFonts w:cs="Times New Roman"/>
        </w:rPr>
        <w:t xml:space="preserve">This chapter also centres on my argument that media coverage’s amplification of terrorism’s effects is ultimately what makes terrorism </w:t>
      </w:r>
      <w:r w:rsidR="0098324B" w:rsidRPr="005C6E5B">
        <w:rPr>
          <w:rFonts w:cs="Times New Roman"/>
        </w:rPr>
        <w:t>effective and</w:t>
      </w:r>
      <w:r w:rsidRPr="005C6E5B">
        <w:rPr>
          <w:rFonts w:cs="Times New Roman"/>
        </w:rPr>
        <w:t xml:space="preserve"> allows it to succeed. To that end, I deconstruct the way that the written media coverage of terrorism depicts terrorism and situates it within public discourse. First, I review existing scholarship on the media coverage of terrorism and the nature of the relationship between terrorists and the mass media. Here, I stress the issues that arise from the literature’s overwhelming focus on conceptions of terrorism either as “propaganda of the deed,” or in the context of the so-called ‘symbiosis’ between terrorism and the media. I argue that this narrow focus on only two facets of the interplay between terrorism </w:t>
      </w:r>
      <w:r w:rsidRPr="005C6E5B">
        <w:rPr>
          <w:rFonts w:cs="Times New Roman"/>
        </w:rPr>
        <w:lastRenderedPageBreak/>
        <w:t xml:space="preserve">and media coverage contributes to extant scholarship’s failure to explicitly link media coverage’s ability to amplify the effects of terrorism to terrorism’s ability to succeed. Then, I build on this argument by examining how the publication of written news influences both public opinion and discourse about terrorism. My resulting understanding of media influence leads me to consider media coverage the “line of communication” between terrorists and the state’s </w:t>
      </w:r>
      <w:r w:rsidR="00A448D2">
        <w:rPr>
          <w:rFonts w:cs="Times New Roman"/>
        </w:rPr>
        <w:t>constituents</w:t>
      </w:r>
      <w:r w:rsidRPr="005C6E5B">
        <w:rPr>
          <w:rFonts w:cs="Times New Roman"/>
        </w:rPr>
        <w:t xml:space="preserve">. This perspective on the interplay between terrorism and media coverage supports my conception of media coverage as the ‘mode’ that corresponds to terrorism as the ‘means’ (and international legitimacy as the ‘ends’) of post-modern warfare. Next, I identify and discuss mechanisms through which media coverage exerts influence. More specifically, I examine the interplay between media bias and framing. I conclude that bias can manifest as framing in media coverage, which informs the way that I depict media coverage’s creation, codification and circulation of narratives surrounding terrorist activity in this dissertation. I also </w:t>
      </w:r>
      <w:r w:rsidR="0098324B">
        <w:rPr>
          <w:rFonts w:cs="Times New Roman"/>
        </w:rPr>
        <w:t xml:space="preserve">utilize </w:t>
      </w:r>
      <w:r w:rsidRPr="005C6E5B">
        <w:rPr>
          <w:rFonts w:cs="Times New Roman"/>
        </w:rPr>
        <w:t xml:space="preserve">communications, linguistics, and English literary scholarship to identify different types of bias indicators that I use to argue that the media coverage of terrorism damages the state’s international legitimacy in Chapter 7. Finally, I </w:t>
      </w:r>
      <w:r w:rsidR="0098324B">
        <w:rPr>
          <w:rFonts w:cs="Times New Roman"/>
        </w:rPr>
        <w:t>examine</w:t>
      </w:r>
      <w:r w:rsidRPr="005C6E5B">
        <w:rPr>
          <w:rFonts w:cs="Times New Roman"/>
        </w:rPr>
        <w:t xml:space="preserve"> the way that bias and framing come into play in the different stages of the media production cycle. My analysis of this process calls attention to specific actors’ abilities to inject bias into media coverage at different stages of the production process, specifically highlighting the role that international news agencies and their respective style guides play in the creation and global dissemination of English language news. This overview of the media production process justifies my decision to focus the analysis in Chapters 6, 7 and 8 on media coverage of terrorism produced by </w:t>
      </w:r>
      <w:r w:rsidRPr="005C6E5B">
        <w:rPr>
          <w:rFonts w:cs="Times New Roman"/>
          <w:i/>
          <w:iCs/>
        </w:rPr>
        <w:t>Reuters</w:t>
      </w:r>
      <w:r w:rsidRPr="005C6E5B">
        <w:rPr>
          <w:rFonts w:cs="Times New Roman"/>
        </w:rPr>
        <w:t xml:space="preserve">, the </w:t>
      </w:r>
      <w:r w:rsidRPr="005C6E5B">
        <w:rPr>
          <w:rFonts w:cs="Times New Roman"/>
          <w:i/>
          <w:iCs/>
        </w:rPr>
        <w:t xml:space="preserve">Associated Press </w:t>
      </w:r>
      <w:r w:rsidRPr="005C6E5B">
        <w:rPr>
          <w:rFonts w:cs="Times New Roman"/>
        </w:rPr>
        <w:t xml:space="preserve">(AP) and </w:t>
      </w:r>
      <w:proofErr w:type="spellStart"/>
      <w:r w:rsidRPr="005C6E5B">
        <w:rPr>
          <w:rFonts w:cs="Times New Roman"/>
          <w:i/>
          <w:iCs/>
        </w:rPr>
        <w:t>Agence</w:t>
      </w:r>
      <w:proofErr w:type="spellEnd"/>
      <w:r w:rsidRPr="005C6E5B">
        <w:rPr>
          <w:rFonts w:cs="Times New Roman"/>
          <w:i/>
          <w:iCs/>
        </w:rPr>
        <w:t xml:space="preserve"> France-Presse</w:t>
      </w:r>
      <w:r w:rsidRPr="005C6E5B">
        <w:rPr>
          <w:rFonts w:cs="Times New Roman"/>
        </w:rPr>
        <w:t xml:space="preserve"> (AFP) – the three “outfit[s]… of global reach” essential to the production of global news.</w:t>
      </w:r>
      <w:r w:rsidRPr="005C6E5B">
        <w:rPr>
          <w:rStyle w:val="FootnoteReference"/>
          <w:rFonts w:cs="Times New Roman"/>
        </w:rPr>
        <w:footnoteReference w:id="204"/>
      </w:r>
    </w:p>
    <w:p w14:paraId="17BDDE6A" w14:textId="420E27BA" w:rsidR="00D03C79" w:rsidRPr="005C6E5B" w:rsidRDefault="00BE0E9B" w:rsidP="00F42AC3">
      <w:pPr>
        <w:ind w:firstLine="720"/>
        <w:rPr>
          <w:rFonts w:cs="Times New Roman"/>
        </w:rPr>
      </w:pPr>
      <w:r w:rsidRPr="005C6E5B">
        <w:rPr>
          <w:rFonts w:cs="Times New Roman"/>
        </w:rPr>
        <w:t>Chapter 5 thus builds on the understanding of terrorism established in Chapter 3, and the conception of the relationship between terrorism and the state’s international legitimacy put forward in Chapter 4 to argue that media coverage of terrorism – terrorists’ behavior, actions, and inactions – erodes the state’s international legitimacy by exposing the general population to the implication that the state is no longer the power with the monopoly on the legitimate use of force in its territory.</w:t>
      </w:r>
      <w:r w:rsidRPr="005C6E5B">
        <w:rPr>
          <w:rFonts w:cs="Times New Roman"/>
          <w:b/>
          <w:bCs/>
        </w:rPr>
        <w:t xml:space="preserve"> </w:t>
      </w:r>
      <w:r w:rsidRPr="005C6E5B">
        <w:rPr>
          <w:rFonts w:cs="Times New Roman"/>
        </w:rPr>
        <w:t>Crucially, this chapter</w:t>
      </w:r>
      <w:r w:rsidRPr="005C6E5B">
        <w:rPr>
          <w:rFonts w:cs="Times New Roman"/>
          <w:b/>
          <w:bCs/>
        </w:rPr>
        <w:t xml:space="preserve"> </w:t>
      </w:r>
      <w:r w:rsidRPr="005C6E5B">
        <w:rPr>
          <w:rFonts w:cs="Times New Roman"/>
        </w:rPr>
        <w:t xml:space="preserve">establishes AP, AFP and </w:t>
      </w:r>
      <w:r w:rsidRPr="005C6E5B">
        <w:rPr>
          <w:rFonts w:cs="Times New Roman"/>
          <w:i/>
          <w:iCs/>
        </w:rPr>
        <w:t>Reuters</w:t>
      </w:r>
      <w:r w:rsidRPr="005C6E5B">
        <w:rPr>
          <w:rFonts w:cs="Times New Roman"/>
        </w:rPr>
        <w:t xml:space="preserve"> as the discourse units whose media coverage of terrorism I use to analyze whether and how media coverage of terrorism affects international (state) legitimacy in this dissertation.</w:t>
      </w:r>
    </w:p>
    <w:p w14:paraId="7AD27224" w14:textId="77777777" w:rsidR="00BE0E9B" w:rsidRPr="005C6E5B" w:rsidRDefault="00BE0E9B" w:rsidP="00787123">
      <w:pPr>
        <w:pStyle w:val="DissertationSection1"/>
      </w:pPr>
      <w:bookmarkStart w:id="36" w:name="_Toc175413141"/>
      <w:r w:rsidRPr="005C6E5B">
        <w:t>Propaganda of the Deed</w:t>
      </w:r>
      <w:bookmarkEnd w:id="36"/>
    </w:p>
    <w:p w14:paraId="7671BECB" w14:textId="77777777" w:rsidR="00BE0E9B" w:rsidRPr="005C6E5B" w:rsidRDefault="00BE0E9B" w:rsidP="00BE0E9B">
      <w:pPr>
        <w:ind w:firstLine="720"/>
        <w:rPr>
          <w:rFonts w:cs="Times New Roman"/>
        </w:rPr>
      </w:pPr>
      <w:r w:rsidRPr="005C6E5B">
        <w:rPr>
          <w:rFonts w:cs="Times New Roman"/>
        </w:rPr>
        <w:t>A significant subset of existing scholarly literature that addresses the connection between the mass media and terrorists conceives of terrorism as “propaganda of the deed.”</w:t>
      </w:r>
      <w:r w:rsidRPr="005C6E5B">
        <w:rPr>
          <w:rStyle w:val="FootnoteReference"/>
          <w:rFonts w:cs="Times New Roman"/>
        </w:rPr>
        <w:footnoteReference w:id="205"/>
      </w:r>
      <w:r w:rsidRPr="005C6E5B">
        <w:rPr>
          <w:rFonts w:cs="Times New Roman"/>
        </w:rPr>
        <w:t xml:space="preserve"> This conceptual tradition involves the strategic use of symbolic violence, implying that an inherent objective of terrorists is to garner media attention.</w:t>
      </w:r>
      <w:r w:rsidRPr="005C6E5B">
        <w:rPr>
          <w:rStyle w:val="FootnoteReference"/>
          <w:rFonts w:cs="Times New Roman"/>
        </w:rPr>
        <w:footnoteReference w:id="206"/>
      </w:r>
      <w:r w:rsidRPr="005C6E5B">
        <w:rPr>
          <w:rFonts w:cs="Times New Roman"/>
        </w:rPr>
        <w:t xml:space="preserve"> Historically, notions of “propaganda of the deed” originate in the same time period that saw the introduction of anarchism in Italy. However, it is important to note that the ideological genesis of “propaganda of the deed” significantly </w:t>
      </w:r>
      <w:r w:rsidRPr="005C6E5B">
        <w:rPr>
          <w:rFonts w:cs="Times New Roman"/>
        </w:rPr>
        <w:lastRenderedPageBreak/>
        <w:t>predates the establishment of the term itself.</w:t>
      </w:r>
      <w:r w:rsidRPr="005C6E5B">
        <w:rPr>
          <w:rStyle w:val="FootnoteReference"/>
          <w:rFonts w:cs="Times New Roman"/>
        </w:rPr>
        <w:footnoteReference w:id="207"/>
      </w:r>
      <w:r w:rsidRPr="005C6E5B">
        <w:rPr>
          <w:rFonts w:cs="Times New Roman"/>
        </w:rPr>
        <w:t xml:space="preserve"> Significantly, the historical genesis of “propaganda of the deed” clarifies the motivations underlying its inception, which serve to distinguish the </w:t>
      </w:r>
      <w:r w:rsidRPr="005C6E5B">
        <w:rPr>
          <w:rFonts w:cs="Times New Roman"/>
          <w:i/>
          <w:iCs/>
        </w:rPr>
        <w:t>anarchist</w:t>
      </w:r>
      <w:r w:rsidRPr="005C6E5B">
        <w:rPr>
          <w:rFonts w:cs="Times New Roman"/>
        </w:rPr>
        <w:t xml:space="preserve"> “propaganda of the deed” from arguments relating to the media coverage of terrorism.</w:t>
      </w:r>
    </w:p>
    <w:p w14:paraId="04B16B5C" w14:textId="3559563B" w:rsidR="00BE0E9B" w:rsidRPr="005C6E5B" w:rsidRDefault="00BE0E9B" w:rsidP="00BE0E9B">
      <w:pPr>
        <w:ind w:firstLine="720"/>
        <w:rPr>
          <w:rFonts w:cs="Times New Roman"/>
        </w:rPr>
      </w:pPr>
      <w:r w:rsidRPr="005C6E5B">
        <w:rPr>
          <w:rFonts w:cs="Times New Roman"/>
        </w:rPr>
        <w:t xml:space="preserve">The evolution of “propaganda of the deed” dates back to 1857, when Carlo </w:t>
      </w:r>
      <w:proofErr w:type="spellStart"/>
      <w:r w:rsidRPr="005C6E5B">
        <w:rPr>
          <w:rFonts w:cs="Times New Roman"/>
        </w:rPr>
        <w:t>Pisacane</w:t>
      </w:r>
      <w:proofErr w:type="spellEnd"/>
      <w:r w:rsidRPr="005C6E5B">
        <w:rPr>
          <w:rFonts w:cs="Times New Roman"/>
        </w:rPr>
        <w:t>, the Neapolitan revolutionary who initiated the uprisings that ultimately provided for the overthrow of the Bourbon Monarchy in 1859, argued against “propaganda of the idea.” This suggested “ideas spring from deeds and not the other way around.”</w:t>
      </w:r>
      <w:r w:rsidRPr="005C6E5B">
        <w:rPr>
          <w:rStyle w:val="FootnoteReference"/>
          <w:rFonts w:cs="Times New Roman"/>
        </w:rPr>
        <w:footnoteReference w:id="208"/>
      </w:r>
      <w:r w:rsidRPr="005C6E5B">
        <w:rPr>
          <w:rFonts w:cs="Times New Roman"/>
        </w:rPr>
        <w:t xml:space="preserve"> Instead, </w:t>
      </w:r>
      <w:proofErr w:type="spellStart"/>
      <w:r w:rsidRPr="005C6E5B">
        <w:rPr>
          <w:rFonts w:cs="Times New Roman"/>
        </w:rPr>
        <w:t>Pisacane</w:t>
      </w:r>
      <w:proofErr w:type="spellEnd"/>
      <w:r w:rsidRPr="005C6E5B">
        <w:rPr>
          <w:rFonts w:cs="Times New Roman"/>
        </w:rPr>
        <w:t xml:space="preserve"> advocated for “cooperating with the material revolution,” which, he specified, involves participating in “conspiracies, plots, [and] attempts.”</w:t>
      </w:r>
      <w:r w:rsidRPr="005C6E5B">
        <w:rPr>
          <w:rStyle w:val="FootnoteReference"/>
          <w:rFonts w:cs="Times New Roman"/>
        </w:rPr>
        <w:footnoteReference w:id="209"/>
      </w:r>
      <w:r w:rsidRPr="005C6E5B">
        <w:rPr>
          <w:rFonts w:cs="Times New Roman"/>
        </w:rPr>
        <w:t xml:space="preserve"> While </w:t>
      </w:r>
      <w:proofErr w:type="spellStart"/>
      <w:r w:rsidRPr="005C6E5B">
        <w:rPr>
          <w:rFonts w:cs="Times New Roman"/>
        </w:rPr>
        <w:t>Pisacane</w:t>
      </w:r>
      <w:proofErr w:type="spellEnd"/>
      <w:r w:rsidRPr="005C6E5B">
        <w:rPr>
          <w:rFonts w:cs="Times New Roman"/>
        </w:rPr>
        <w:t xml:space="preserve"> was a casualty of the 1857 uprising, his notion of “propaganda of the deed” proliferated. The notion was further developed by anarchists </w:t>
      </w:r>
      <w:proofErr w:type="spellStart"/>
      <w:r w:rsidRPr="005C6E5B">
        <w:rPr>
          <w:rFonts w:cs="Times New Roman"/>
        </w:rPr>
        <w:t>Errico</w:t>
      </w:r>
      <w:proofErr w:type="spellEnd"/>
      <w:r w:rsidRPr="005C6E5B">
        <w:rPr>
          <w:rFonts w:cs="Times New Roman"/>
        </w:rPr>
        <w:t xml:space="preserve"> Malatesta, Carlo </w:t>
      </w:r>
      <w:proofErr w:type="spellStart"/>
      <w:r w:rsidRPr="005C6E5B">
        <w:rPr>
          <w:rFonts w:cs="Times New Roman"/>
        </w:rPr>
        <w:t>Cafiero</w:t>
      </w:r>
      <w:proofErr w:type="spellEnd"/>
      <w:r w:rsidRPr="005C6E5B">
        <w:rPr>
          <w:rFonts w:cs="Times New Roman"/>
        </w:rPr>
        <w:t xml:space="preserve">, and Emilio </w:t>
      </w:r>
      <w:proofErr w:type="spellStart"/>
      <w:r w:rsidRPr="005C6E5B">
        <w:rPr>
          <w:rFonts w:cs="Times New Roman"/>
        </w:rPr>
        <w:t>Covelli</w:t>
      </w:r>
      <w:proofErr w:type="spellEnd"/>
      <w:r w:rsidRPr="005C6E5B">
        <w:rPr>
          <w:rFonts w:cs="Times New Roman"/>
        </w:rPr>
        <w:t xml:space="preserve">, as evidenced by Malatesta and </w:t>
      </w:r>
      <w:proofErr w:type="spellStart"/>
      <w:r w:rsidRPr="005C6E5B">
        <w:rPr>
          <w:rFonts w:cs="Times New Roman"/>
        </w:rPr>
        <w:t>Cafiero’s</w:t>
      </w:r>
      <w:proofErr w:type="spellEnd"/>
      <w:r w:rsidRPr="005C6E5B">
        <w:rPr>
          <w:rFonts w:cs="Times New Roman"/>
        </w:rPr>
        <w:t xml:space="preserve"> failed Benevento insurrection in 1877.</w:t>
      </w:r>
      <w:r w:rsidRPr="005C6E5B">
        <w:rPr>
          <w:rStyle w:val="FootnoteReference"/>
          <w:rFonts w:cs="Times New Roman"/>
        </w:rPr>
        <w:footnoteReference w:id="210"/>
      </w:r>
      <w:r w:rsidRPr="005C6E5B">
        <w:rPr>
          <w:rFonts w:cs="Times New Roman"/>
        </w:rPr>
        <w:t xml:space="preserve"> Although the Italian theory of “propaganda by the deed” played a significant and influential role in anarchists’ discussion</w:t>
      </w:r>
      <w:r w:rsidR="0098324B">
        <w:rPr>
          <w:rFonts w:cs="Times New Roman"/>
        </w:rPr>
        <w:t>s</w:t>
      </w:r>
      <w:r w:rsidRPr="005C6E5B">
        <w:rPr>
          <w:rFonts w:cs="Times New Roman"/>
        </w:rPr>
        <w:t xml:space="preserve"> of various types of revolutionary propaganda in the 1870s, it involved “a method of insurrection not political assassination.”</w:t>
      </w:r>
      <w:r w:rsidRPr="005C6E5B">
        <w:rPr>
          <w:rStyle w:val="FootnoteReference"/>
          <w:rFonts w:cs="Times New Roman"/>
        </w:rPr>
        <w:footnoteReference w:id="211"/>
      </w:r>
      <w:r w:rsidRPr="005C6E5B">
        <w:rPr>
          <w:rFonts w:cs="Times New Roman"/>
        </w:rPr>
        <w:t xml:space="preserve"> Indeed, the 1880s saw “a very broad acceptance of the term [propaganda of the deed]” that “extended far beyond political violence.”</w:t>
      </w:r>
      <w:r w:rsidRPr="005C6E5B">
        <w:rPr>
          <w:rStyle w:val="FootnoteReference"/>
          <w:rFonts w:cs="Times New Roman"/>
        </w:rPr>
        <w:footnoteReference w:id="212"/>
      </w:r>
      <w:r w:rsidRPr="005C6E5B">
        <w:rPr>
          <w:rFonts w:cs="Times New Roman"/>
        </w:rPr>
        <w:t xml:space="preserve"> </w:t>
      </w:r>
      <w:r w:rsidR="00A448D2">
        <w:rPr>
          <w:rFonts w:cs="Times New Roman"/>
        </w:rPr>
        <w:t>At that time</w:t>
      </w:r>
      <w:r w:rsidRPr="005C6E5B">
        <w:rPr>
          <w:rFonts w:cs="Times New Roman"/>
        </w:rPr>
        <w:t>, “propaganda of the deed” was understood to refer to “any act of revolt, even when the act was not performed consciously to elicit support for the anarchist cause.”</w:t>
      </w:r>
      <w:r w:rsidRPr="005C6E5B">
        <w:rPr>
          <w:rStyle w:val="FootnoteReference"/>
          <w:rFonts w:cs="Times New Roman"/>
        </w:rPr>
        <w:footnoteReference w:id="213"/>
      </w:r>
      <w:r w:rsidRPr="005C6E5B">
        <w:rPr>
          <w:rFonts w:cs="Times New Roman"/>
        </w:rPr>
        <w:t xml:space="preserve"> </w:t>
      </w:r>
    </w:p>
    <w:p w14:paraId="25705468" w14:textId="53B33F0C" w:rsidR="00BE0E9B" w:rsidRPr="005C6E5B" w:rsidRDefault="00BE0E9B" w:rsidP="00BE0E9B">
      <w:pPr>
        <w:ind w:firstLine="720"/>
        <w:rPr>
          <w:rFonts w:cs="Times New Roman"/>
        </w:rPr>
      </w:pPr>
      <w:r w:rsidRPr="005C6E5B">
        <w:rPr>
          <w:rFonts w:cs="Times New Roman"/>
        </w:rPr>
        <w:t xml:space="preserve">Outside of Italy, “propaganda of the deed” surfaced in “Letters to a Frenchman on the Present Crisis,” an 1859 collection of writings that comprise the contributions of Russian revolutionary anarchist Mikhail Bakunin to the theory and practice of revolution.  Regarding the importance of “propaganda of the deed,” Bakunin asserts “we must spread our principles, not with words but with deeds, for this is the most popular, the most potent, and the most irresistible </w:t>
      </w:r>
      <w:r w:rsidRPr="005C6E5B">
        <w:rPr>
          <w:rFonts w:cs="Times New Roman"/>
        </w:rPr>
        <w:lastRenderedPageBreak/>
        <w:t>form of propaganda.”</w:t>
      </w:r>
      <w:r w:rsidRPr="005C6E5B">
        <w:rPr>
          <w:rStyle w:val="FootnoteReference"/>
          <w:rFonts w:cs="Times New Roman"/>
        </w:rPr>
        <w:footnoteReference w:id="214"/>
      </w:r>
      <w:r w:rsidRPr="005C6E5B">
        <w:rPr>
          <w:rFonts w:cs="Times New Roman"/>
        </w:rPr>
        <w:t xml:space="preserve"> Practically, the “propaganda of the deed” proposed by Bakunin originated with Sergei </w:t>
      </w:r>
      <w:proofErr w:type="spellStart"/>
      <w:r w:rsidRPr="005C6E5B">
        <w:rPr>
          <w:rFonts w:cs="Times New Roman"/>
        </w:rPr>
        <w:t>Nechayev’s</w:t>
      </w:r>
      <w:proofErr w:type="spellEnd"/>
      <w:r w:rsidRPr="005C6E5B">
        <w:rPr>
          <w:rFonts w:cs="Times New Roman"/>
        </w:rPr>
        <w:t xml:space="preserve"> development and implementation of the ideas of revolution conspiracy, and propaganda.</w:t>
      </w:r>
      <w:r w:rsidRPr="005C6E5B">
        <w:rPr>
          <w:rStyle w:val="FootnoteReference"/>
          <w:rFonts w:cs="Times New Roman"/>
        </w:rPr>
        <w:footnoteReference w:id="215"/>
      </w:r>
      <w:r w:rsidRPr="005C6E5B">
        <w:rPr>
          <w:rFonts w:cs="Times New Roman"/>
        </w:rPr>
        <w:t xml:space="preserve"> Bakunin and </w:t>
      </w:r>
      <w:proofErr w:type="spellStart"/>
      <w:r w:rsidRPr="005C6E5B">
        <w:rPr>
          <w:rFonts w:cs="Times New Roman"/>
        </w:rPr>
        <w:t>Nechayev’s</w:t>
      </w:r>
      <w:proofErr w:type="spellEnd"/>
      <w:r w:rsidRPr="005C6E5B">
        <w:rPr>
          <w:rFonts w:cs="Times New Roman"/>
        </w:rPr>
        <w:t xml:space="preserve"> conception of “propaganda of the deed” served as inspiration for Nikolai Morozov’s </w:t>
      </w:r>
      <w:proofErr w:type="spellStart"/>
      <w:r w:rsidRPr="005C6E5B">
        <w:rPr>
          <w:rFonts w:cs="Times New Roman"/>
          <w:i/>
          <w:iCs/>
        </w:rPr>
        <w:t>Narodnaya</w:t>
      </w:r>
      <w:proofErr w:type="spellEnd"/>
      <w:r w:rsidRPr="005C6E5B">
        <w:rPr>
          <w:rFonts w:cs="Times New Roman"/>
          <w:i/>
          <w:iCs/>
        </w:rPr>
        <w:t xml:space="preserve"> </w:t>
      </w:r>
      <w:proofErr w:type="spellStart"/>
      <w:r w:rsidRPr="005C6E5B">
        <w:rPr>
          <w:rFonts w:cs="Times New Roman"/>
          <w:i/>
          <w:iCs/>
        </w:rPr>
        <w:t>Volya</w:t>
      </w:r>
      <w:proofErr w:type="spellEnd"/>
      <w:r w:rsidRPr="005C6E5B">
        <w:rPr>
          <w:rFonts w:cs="Times New Roman"/>
        </w:rPr>
        <w:t xml:space="preserve"> (trans. </w:t>
      </w:r>
      <w:r w:rsidRPr="005C6E5B">
        <w:rPr>
          <w:rFonts w:cs="Times New Roman"/>
          <w:i/>
          <w:iCs/>
        </w:rPr>
        <w:t>The People’s Will</w:t>
      </w:r>
      <w:r w:rsidRPr="005C6E5B">
        <w:rPr>
          <w:rFonts w:cs="Times New Roman"/>
        </w:rPr>
        <w:t>), a revolutionary political organization that operated in the Russian Empire in the mid-to-late 19</w:t>
      </w:r>
      <w:r w:rsidRPr="005C6E5B">
        <w:rPr>
          <w:rFonts w:cs="Times New Roman"/>
          <w:vertAlign w:val="superscript"/>
        </w:rPr>
        <w:t>th</w:t>
      </w:r>
      <w:r w:rsidRPr="005C6E5B">
        <w:rPr>
          <w:rFonts w:cs="Times New Roman"/>
        </w:rPr>
        <w:t xml:space="preserve"> century.</w:t>
      </w:r>
      <w:r w:rsidRPr="005C6E5B">
        <w:rPr>
          <w:rStyle w:val="FootnoteReference"/>
          <w:rFonts w:cs="Times New Roman"/>
        </w:rPr>
        <w:footnoteReference w:id="216"/>
      </w:r>
      <w:r w:rsidRPr="005C6E5B">
        <w:rPr>
          <w:rFonts w:cs="Times New Roman"/>
        </w:rPr>
        <w:t xml:space="preserve"> The first modern terrorist group, </w:t>
      </w:r>
      <w:proofErr w:type="spellStart"/>
      <w:r w:rsidRPr="005C6E5B">
        <w:rPr>
          <w:rFonts w:cs="Times New Roman"/>
          <w:i/>
          <w:iCs/>
        </w:rPr>
        <w:t>Narodnaya</w:t>
      </w:r>
      <w:proofErr w:type="spellEnd"/>
      <w:r w:rsidRPr="005C6E5B">
        <w:rPr>
          <w:rFonts w:cs="Times New Roman"/>
          <w:i/>
          <w:iCs/>
        </w:rPr>
        <w:t xml:space="preserve"> </w:t>
      </w:r>
      <w:proofErr w:type="spellStart"/>
      <w:r w:rsidRPr="005C6E5B">
        <w:rPr>
          <w:rFonts w:cs="Times New Roman"/>
          <w:i/>
          <w:iCs/>
        </w:rPr>
        <w:t>Volya</w:t>
      </w:r>
      <w:proofErr w:type="spellEnd"/>
      <w:r w:rsidRPr="005C6E5B">
        <w:rPr>
          <w:rFonts w:cs="Times New Roman"/>
        </w:rPr>
        <w:t xml:space="preserve"> often employed “propaganda of the deed” methods. </w:t>
      </w:r>
      <w:r w:rsidR="001E0842">
        <w:rPr>
          <w:rFonts w:cs="Times New Roman"/>
        </w:rPr>
        <w:t>A notable example of this is</w:t>
      </w:r>
      <w:r w:rsidRPr="005C6E5B">
        <w:rPr>
          <w:rFonts w:cs="Times New Roman"/>
        </w:rPr>
        <w:t xml:space="preserve"> </w:t>
      </w:r>
      <w:proofErr w:type="spellStart"/>
      <w:r w:rsidRPr="005C6E5B">
        <w:rPr>
          <w:rFonts w:cs="Times New Roman"/>
          <w:i/>
          <w:iCs/>
        </w:rPr>
        <w:t>Narodnaya</w:t>
      </w:r>
      <w:proofErr w:type="spellEnd"/>
      <w:r w:rsidRPr="005C6E5B">
        <w:rPr>
          <w:rFonts w:cs="Times New Roman"/>
          <w:i/>
          <w:iCs/>
        </w:rPr>
        <w:t xml:space="preserve"> </w:t>
      </w:r>
      <w:proofErr w:type="spellStart"/>
      <w:r w:rsidRPr="005C6E5B">
        <w:rPr>
          <w:rFonts w:cs="Times New Roman"/>
          <w:i/>
          <w:iCs/>
        </w:rPr>
        <w:t>Volya</w:t>
      </w:r>
      <w:r w:rsidR="001E0842">
        <w:rPr>
          <w:rFonts w:cs="Times New Roman"/>
          <w:i/>
          <w:iCs/>
        </w:rPr>
        <w:t>’s</w:t>
      </w:r>
      <w:proofErr w:type="spellEnd"/>
      <w:r w:rsidRPr="005C6E5B">
        <w:rPr>
          <w:rFonts w:cs="Times New Roman"/>
        </w:rPr>
        <w:t xml:space="preserve"> </w:t>
      </w:r>
      <w:r w:rsidR="001E0842">
        <w:rPr>
          <w:rFonts w:cs="Times New Roman"/>
        </w:rPr>
        <w:t>employment of</w:t>
      </w:r>
      <w:r w:rsidRPr="005C6E5B">
        <w:rPr>
          <w:rFonts w:cs="Times New Roman"/>
        </w:rPr>
        <w:t xml:space="preserve"> “propaganda of the deed” in connection with both its 1881 attempted assassination of Tsar Alexander II, and its successful assassination of the Tsar later that year.</w:t>
      </w:r>
      <w:r w:rsidRPr="005C6E5B">
        <w:rPr>
          <w:rStyle w:val="FootnoteReference"/>
          <w:rFonts w:cs="Times New Roman"/>
        </w:rPr>
        <w:footnoteReference w:id="217"/>
      </w:r>
    </w:p>
    <w:p w14:paraId="6162E528" w14:textId="77777777" w:rsidR="00BE0E9B" w:rsidRPr="005C6E5B" w:rsidRDefault="00BE0E9B" w:rsidP="00BE0E9B">
      <w:pPr>
        <w:ind w:firstLine="720"/>
        <w:rPr>
          <w:rFonts w:cs="Times New Roman"/>
        </w:rPr>
      </w:pPr>
      <w:r w:rsidRPr="005C6E5B">
        <w:rPr>
          <w:rFonts w:cs="Times New Roman"/>
        </w:rPr>
        <w:t>Anarchists officially endorsed “propaganda of the deed” at the London Social Revolutionary Congress in 1881. The Congress resulted in the adoption of the resolution that “the time has come, to shift from the period of assertion to the period of action, and to add to verbal and written propaganda… propaganda by the deed and insurrectional action.”</w:t>
      </w:r>
      <w:r w:rsidRPr="005C6E5B">
        <w:rPr>
          <w:rStyle w:val="FootnoteReference"/>
          <w:rFonts w:cs="Times New Roman"/>
        </w:rPr>
        <w:footnoteReference w:id="218"/>
      </w:r>
      <w:r w:rsidRPr="005C6E5B">
        <w:rPr>
          <w:rFonts w:cs="Times New Roman"/>
        </w:rPr>
        <w:t xml:space="preserve"> The Congress’s endorsement formalized “the very broad acceptance of the term… [that] prevailed in the early 1880s” in anarchist circles.</w:t>
      </w:r>
      <w:r w:rsidRPr="005C6E5B">
        <w:rPr>
          <w:rStyle w:val="FootnoteReference"/>
          <w:rFonts w:cs="Times New Roman"/>
        </w:rPr>
        <w:footnoteReference w:id="219"/>
      </w:r>
      <w:r w:rsidRPr="005C6E5B">
        <w:rPr>
          <w:rFonts w:cs="Times New Roman"/>
        </w:rPr>
        <w:t xml:space="preserve"> Significantly, as scholars like Constance </w:t>
      </w:r>
      <w:proofErr w:type="spellStart"/>
      <w:r w:rsidRPr="005C6E5B">
        <w:rPr>
          <w:rFonts w:cs="Times New Roman"/>
        </w:rPr>
        <w:t>Bantman</w:t>
      </w:r>
      <w:proofErr w:type="spellEnd"/>
      <w:r w:rsidRPr="005C6E5B">
        <w:rPr>
          <w:rFonts w:cs="Times New Roman"/>
        </w:rPr>
        <w:t xml:space="preserve"> and Marie Fleming note, this conception of propaganda of the deed as “any act of revolt, even when the act was not performed consciously to elicit support for the anarchist cause” extended far beyond political violence.”</w:t>
      </w:r>
      <w:r w:rsidRPr="005C6E5B">
        <w:rPr>
          <w:rStyle w:val="FootnoteReference"/>
          <w:rFonts w:cs="Times New Roman"/>
        </w:rPr>
        <w:footnoteReference w:id="220"/>
      </w:r>
      <w:r w:rsidRPr="005C6E5B">
        <w:rPr>
          <w:rFonts w:cs="Times New Roman"/>
        </w:rPr>
        <w:t xml:space="preserve"> This understanding of propaganda of the deed is in accordance with theories of illegalism. While, as </w:t>
      </w:r>
      <w:proofErr w:type="spellStart"/>
      <w:r w:rsidRPr="005C6E5B">
        <w:rPr>
          <w:rFonts w:cs="Times New Roman"/>
        </w:rPr>
        <w:t>Bantman</w:t>
      </w:r>
      <w:proofErr w:type="spellEnd"/>
      <w:r w:rsidRPr="005C6E5B">
        <w:rPr>
          <w:rFonts w:cs="Times New Roman"/>
        </w:rPr>
        <w:t xml:space="preserve"> asserts, illegalism is generally “closely connected with early twentieth century French individualist anarchism,” the theory was also used near the end of the nineteenth century to refer to “the anarchist tolerance of a wide range of unlawful actions” that went towards undermining the capitalist order.</w:t>
      </w:r>
      <w:r w:rsidRPr="005C6E5B">
        <w:rPr>
          <w:rStyle w:val="FootnoteReference"/>
          <w:rFonts w:cs="Times New Roman"/>
        </w:rPr>
        <w:footnoteReference w:id="221"/>
      </w:r>
    </w:p>
    <w:p w14:paraId="29FE2565" w14:textId="77777777" w:rsidR="00BE0E9B" w:rsidRPr="005C6E5B" w:rsidRDefault="00BE0E9B" w:rsidP="00BE0E9B">
      <w:pPr>
        <w:pStyle w:val="NormalWeb"/>
        <w:spacing w:before="0" w:beforeAutospacing="0" w:after="120" w:afterAutospacing="0"/>
        <w:ind w:firstLine="720"/>
      </w:pPr>
      <w:r w:rsidRPr="005C6E5B">
        <w:t>The 1880s played a significant role in the trajectory of “propaganda of the deed,” in that this time period saw the notion of propaganda of the deed “transfer from theory to action.”</w:t>
      </w:r>
      <w:r w:rsidRPr="005C6E5B">
        <w:rPr>
          <w:rStyle w:val="FootnoteReference"/>
        </w:rPr>
        <w:footnoteReference w:id="222"/>
      </w:r>
      <w:r w:rsidRPr="005C6E5B">
        <w:t xml:space="preserve"> </w:t>
      </w:r>
      <w:proofErr w:type="spellStart"/>
      <w:r w:rsidRPr="005C6E5B">
        <w:rPr>
          <w:i/>
          <w:iCs/>
        </w:rPr>
        <w:t>Narodnaya</w:t>
      </w:r>
      <w:proofErr w:type="spellEnd"/>
      <w:r w:rsidRPr="005C6E5B">
        <w:rPr>
          <w:i/>
          <w:iCs/>
        </w:rPr>
        <w:t xml:space="preserve"> </w:t>
      </w:r>
      <w:proofErr w:type="spellStart"/>
      <w:r w:rsidRPr="005C6E5B">
        <w:rPr>
          <w:i/>
          <w:iCs/>
        </w:rPr>
        <w:t>Volya</w:t>
      </w:r>
      <w:r w:rsidRPr="005C6E5B">
        <w:t>’s</w:t>
      </w:r>
      <w:proofErr w:type="spellEnd"/>
      <w:r w:rsidRPr="005C6E5B">
        <w:t xml:space="preserve"> successful assassination of Tsar Alexander II at the end of 1881 marked the inception of a series of violent attacks that scholars like Max </w:t>
      </w:r>
      <w:proofErr w:type="spellStart"/>
      <w:r w:rsidRPr="005C6E5B">
        <w:t>Nettlau</w:t>
      </w:r>
      <w:proofErr w:type="spellEnd"/>
      <w:r w:rsidRPr="005C6E5B">
        <w:t xml:space="preserve"> have described as “attacks </w:t>
      </w:r>
      <w:r w:rsidRPr="005C6E5B">
        <w:lastRenderedPageBreak/>
        <w:t>by contagion.”</w:t>
      </w:r>
      <w:r w:rsidRPr="005C6E5B">
        <w:rPr>
          <w:rStyle w:val="FootnoteReference"/>
        </w:rPr>
        <w:footnoteReference w:id="223"/>
      </w:r>
      <w:r w:rsidRPr="005C6E5B">
        <w:t xml:space="preserve"> Indeed, French anarchist Antoine </w:t>
      </w:r>
      <w:proofErr w:type="spellStart"/>
      <w:r w:rsidRPr="005C6E5B">
        <w:t>Cyvogt</w:t>
      </w:r>
      <w:proofErr w:type="spellEnd"/>
      <w:r w:rsidRPr="005C6E5B">
        <w:t xml:space="preserve"> set off a bomb in a Paris café less than a year after the assassination of the Tsar, and “a series of bomb plots and assassinations in [took place in] Germany” between 1883 and 1885.</w:t>
      </w:r>
      <w:r w:rsidRPr="005C6E5B">
        <w:rPr>
          <w:rStyle w:val="FootnoteReference"/>
        </w:rPr>
        <w:footnoteReference w:id="224"/>
      </w:r>
      <w:r w:rsidRPr="005C6E5B">
        <w:t xml:space="preserve"> Subsequent to the incidents in Germany, anarchist Charles Gallo perpetrated an attack on the Paris stock exchange in 1886.</w:t>
      </w:r>
      <w:r w:rsidRPr="005C6E5B">
        <w:rPr>
          <w:rStyle w:val="FootnoteReference"/>
        </w:rPr>
        <w:footnoteReference w:id="225"/>
      </w:r>
      <w:r w:rsidRPr="005C6E5B">
        <w:t xml:space="preserve"> “Anarchists” in the United States also executed the Haymarket bombing in Chicago that same year.</w:t>
      </w:r>
      <w:r w:rsidRPr="005C6E5B">
        <w:rPr>
          <w:rStyle w:val="FootnoteReference"/>
        </w:rPr>
        <w:footnoteReference w:id="226"/>
      </w:r>
      <w:r w:rsidRPr="005C6E5B">
        <w:t xml:space="preserve"> In accordance with </w:t>
      </w:r>
      <w:proofErr w:type="spellStart"/>
      <w:r w:rsidRPr="005C6E5B">
        <w:t>Nettlau’s</w:t>
      </w:r>
      <w:proofErr w:type="spellEnd"/>
      <w:r w:rsidRPr="005C6E5B">
        <w:t xml:space="preserve"> description of these attacks as “attacks by contagion,” Richard Bach Jensen argues that although the aforementioned violent incidents “had little direct connection with anarchist ideology” they “came to be seen as anarchist” due to the support that their perpetrators received within anarchist circles.</w:t>
      </w:r>
      <w:r w:rsidRPr="005C6E5B">
        <w:rPr>
          <w:rStyle w:val="FootnoteReference"/>
        </w:rPr>
        <w:footnoteReference w:id="227"/>
      </w:r>
      <w:r w:rsidRPr="005C6E5B">
        <w:t xml:space="preserve"> Supporting Jensen’s argument, Fleming notes that the early 1880s saw “a very broad acceptance of the term [propaganda of the deed]”… as ‘any act of revolt, even when the act was not performed consciously to elicit support for the anarchist cause.”</w:t>
      </w:r>
      <w:r w:rsidRPr="005C6E5B">
        <w:rPr>
          <w:rStyle w:val="FootnoteReference"/>
        </w:rPr>
        <w:footnoteReference w:id="228"/>
      </w:r>
      <w:r w:rsidRPr="005C6E5B">
        <w:t xml:space="preserve"> Ultimately, the support that the sporadic instances of “propaganda of the deed” of the 1880s received from the anarchist community writ large, in turn, facilitated these incidents’ influence on “subsequent anarchist views on the use of violence.”</w:t>
      </w:r>
      <w:r w:rsidRPr="005C6E5B">
        <w:rPr>
          <w:rStyle w:val="FootnoteReference"/>
        </w:rPr>
        <w:footnoteReference w:id="229"/>
      </w:r>
      <w:r w:rsidRPr="005C6E5B">
        <w:t xml:space="preserve"> </w:t>
      </w:r>
    </w:p>
    <w:p w14:paraId="15ED62D2" w14:textId="77777777" w:rsidR="00BE0E9B" w:rsidRPr="005C6E5B" w:rsidRDefault="00BE0E9B" w:rsidP="00BE0E9B">
      <w:pPr>
        <w:ind w:firstLine="709"/>
        <w:rPr>
          <w:rFonts w:cs="Times New Roman"/>
        </w:rPr>
      </w:pPr>
      <w:r w:rsidRPr="005C6E5B">
        <w:rPr>
          <w:rFonts w:cs="Times New Roman"/>
        </w:rPr>
        <w:tab/>
        <w:t>Manifestations of propaganda of the deed in the 1890s – which Jensen terms “the decade of regicide”– came in stark contrast with the sporadic violent attacks that had been characterized as “propaganda of the deed” in the 1880s.</w:t>
      </w:r>
      <w:r w:rsidRPr="005C6E5B">
        <w:rPr>
          <w:rStyle w:val="FootnoteReference"/>
          <w:rFonts w:cs="Times New Roman"/>
        </w:rPr>
        <w:footnoteReference w:id="230"/>
      </w:r>
      <w:r w:rsidRPr="005C6E5B">
        <w:rPr>
          <w:rFonts w:cs="Times New Roman"/>
        </w:rPr>
        <w:t xml:space="preserve"> Between 1894 and 1901, propaganda of the deed claimed the lives of French President </w:t>
      </w:r>
      <w:proofErr w:type="spellStart"/>
      <w:r w:rsidRPr="005C6E5B">
        <w:rPr>
          <w:rFonts w:cs="Times New Roman"/>
        </w:rPr>
        <w:t>Sardi</w:t>
      </w:r>
      <w:proofErr w:type="spellEnd"/>
      <w:r w:rsidRPr="005C6E5B">
        <w:rPr>
          <w:rFonts w:cs="Times New Roman"/>
        </w:rPr>
        <w:t xml:space="preserve"> Carnot; Spanish Prime Minister Antonio Canovas; King Umberto I of Italy; and United States’ President, William McKinley.</w:t>
      </w:r>
      <w:r w:rsidRPr="005C6E5B">
        <w:rPr>
          <w:rStyle w:val="FootnoteReference"/>
          <w:rFonts w:cs="Times New Roman"/>
        </w:rPr>
        <w:footnoteReference w:id="231"/>
      </w:r>
      <w:r w:rsidRPr="005C6E5B">
        <w:rPr>
          <w:rFonts w:cs="Times New Roman"/>
        </w:rPr>
        <w:t xml:space="preserve"> Austrian Empress Elisabeth also became a victim of “anarchist” propaganda of the deed during the same time period.</w:t>
      </w:r>
      <w:r w:rsidRPr="005C6E5B">
        <w:rPr>
          <w:rStyle w:val="FootnoteReference"/>
          <w:rFonts w:cs="Times New Roman"/>
        </w:rPr>
        <w:footnoteReference w:id="232"/>
      </w:r>
      <w:r w:rsidRPr="005C6E5B">
        <w:rPr>
          <w:rFonts w:cs="Times New Roman"/>
        </w:rPr>
        <w:t xml:space="preserve"> In addition to the role that it played in the assassinations of the aforementioned heads of state, propaganda of the deed resulted in the deaths of over 200 people throughout the Western </w:t>
      </w:r>
      <w:r w:rsidRPr="005C6E5B">
        <w:rPr>
          <w:rFonts w:cs="Times New Roman"/>
        </w:rPr>
        <w:lastRenderedPageBreak/>
        <w:t>world between 1878 and 1914.</w:t>
      </w:r>
      <w:r w:rsidRPr="005C6E5B">
        <w:rPr>
          <w:rStyle w:val="FootnoteReference"/>
          <w:rFonts w:cs="Times New Roman"/>
        </w:rPr>
        <w:footnoteReference w:id="233"/>
      </w:r>
      <w:r w:rsidRPr="005C6E5B">
        <w:rPr>
          <w:rFonts w:cs="Times New Roman"/>
        </w:rPr>
        <w:t xml:space="preserve"> The same instances of propaganda of the deed were also responsible for injuring more than 750 people – the vast majority of whom were “illegitimate [civilian[ targets such as ‘innocent men, women, and children.’”</w:t>
      </w:r>
      <w:r w:rsidRPr="005C6E5B">
        <w:rPr>
          <w:rStyle w:val="FootnoteReference"/>
          <w:rFonts w:cs="Times New Roman"/>
        </w:rPr>
        <w:footnoteReference w:id="234"/>
      </w:r>
      <w:r w:rsidRPr="005C6E5B">
        <w:rPr>
          <w:rFonts w:cs="Times New Roman"/>
        </w:rPr>
        <w:t xml:space="preserve"> While propaganda of the deed had “always [been] a minority creed and pursuit” within the greater anarchist community, the human cost associated with its implementation rendered “political violence… one of the most polarising issues within the [anarchist] movement.”</w:t>
      </w:r>
      <w:r w:rsidRPr="005C6E5B">
        <w:rPr>
          <w:rStyle w:val="FootnoteReference"/>
          <w:rFonts w:cs="Times New Roman"/>
        </w:rPr>
        <w:footnoteReference w:id="235"/>
      </w:r>
      <w:r w:rsidRPr="005C6E5B">
        <w:rPr>
          <w:rFonts w:cs="Times New Roman"/>
        </w:rPr>
        <w:t xml:space="preserve"> This caused the anarchist community at large to “mostly – if not unanimously – reject… [propaganda by the deed] from the mid-1890s onwards.”</w:t>
      </w:r>
      <w:r w:rsidRPr="005C6E5B">
        <w:rPr>
          <w:rStyle w:val="FootnoteReference"/>
          <w:rFonts w:cs="Times New Roman"/>
        </w:rPr>
        <w:footnoteReference w:id="236"/>
      </w:r>
      <w:r w:rsidRPr="005C6E5B">
        <w:rPr>
          <w:rFonts w:cs="Times New Roman"/>
        </w:rPr>
        <w:t xml:space="preserve"> </w:t>
      </w:r>
    </w:p>
    <w:p w14:paraId="4EF4BE92" w14:textId="405D857E" w:rsidR="00BE0E9B" w:rsidRPr="005C6E5B" w:rsidRDefault="00BE0E9B" w:rsidP="00BE0E9B">
      <w:pPr>
        <w:ind w:firstLine="720"/>
        <w:rPr>
          <w:rFonts w:cs="Times New Roman"/>
          <w:b/>
          <w:bCs/>
        </w:rPr>
      </w:pPr>
      <w:r w:rsidRPr="005C6E5B">
        <w:rPr>
          <w:rFonts w:cs="Times New Roman"/>
        </w:rPr>
        <w:t>Ultimately, the anarchist community’s widespread rejection of propaganda of the deed in the 1890s hearkens to the schisms that formed amongst anarchist factions when initial conceptions of “propaganda of the deed” brought about questions as to whether violence is one of its necessarily inherent features. It thus makes sense that there are differing conceptualizations of the interplay between violence and “propaganda of the deed” in existing scholarship. As well, the resurgence of “propaganda of the deed” scholarship in the aftermath of the September 11 attacks has generated considerable discussion as to the nature of any relationship between terrorism and “propaganda of the deed.”</w:t>
      </w:r>
      <w:r w:rsidRPr="005C6E5B">
        <w:rPr>
          <w:rStyle w:val="FootnoteReference"/>
          <w:rFonts w:cs="Times New Roman"/>
        </w:rPr>
        <w:footnoteReference w:id="237"/>
      </w:r>
      <w:r w:rsidRPr="005C6E5B">
        <w:rPr>
          <w:rFonts w:cs="Times New Roman"/>
        </w:rPr>
        <w:t xml:space="preserve"> In arguing that the relationship between terrorism and media coverage is necessarily different from historical understandings of “propaganda of the deed,” I challenge the claims that terrorist strategy involves the employ of “propaganda of the deed” that are pervasive to the scholarly literature.</w:t>
      </w:r>
    </w:p>
    <w:p w14:paraId="1E3FCE4B" w14:textId="77777777" w:rsidR="00BE0E9B" w:rsidRPr="005C6E5B" w:rsidRDefault="00BE0E9B" w:rsidP="00BE0E9B">
      <w:pPr>
        <w:ind w:firstLine="720"/>
        <w:rPr>
          <w:rFonts w:cs="Times New Roman"/>
        </w:rPr>
      </w:pPr>
      <w:r w:rsidRPr="005C6E5B">
        <w:rPr>
          <w:rFonts w:cs="Times New Roman"/>
        </w:rPr>
        <w:t>Extant scholarship generally accepts that propaganda of the deed and terrorism can work in tandem.</w:t>
      </w:r>
      <w:r w:rsidRPr="005C6E5B">
        <w:rPr>
          <w:rStyle w:val="FootnoteReference"/>
          <w:rFonts w:cs="Times New Roman"/>
        </w:rPr>
        <w:footnoteReference w:id="238"/>
      </w:r>
      <w:r w:rsidRPr="005C6E5B">
        <w:rPr>
          <w:rFonts w:cs="Times New Roman"/>
        </w:rPr>
        <w:t xml:space="preserve"> This compatibility is explained by Neville Bolt’s claim, “Today’s war is a war of words and ideas” – violent acts only have longevity within public consciousness if they are explicitly tied to a specific cause or objective.</w:t>
      </w:r>
      <w:r w:rsidRPr="005C6E5B">
        <w:rPr>
          <w:rStyle w:val="FootnoteReference"/>
          <w:rFonts w:cs="Times New Roman"/>
        </w:rPr>
        <w:t xml:space="preserve"> </w:t>
      </w:r>
      <w:r w:rsidRPr="005C6E5B">
        <w:rPr>
          <w:rStyle w:val="FootnoteReference"/>
          <w:rFonts w:cs="Times New Roman"/>
        </w:rPr>
        <w:footnoteReference w:id="239"/>
      </w:r>
      <w:r w:rsidRPr="005C6E5B">
        <w:rPr>
          <w:rStyle w:val="FootnoteReference"/>
          <w:rFonts w:cs="Times New Roman"/>
        </w:rPr>
        <w:t xml:space="preserve"> </w:t>
      </w:r>
      <w:r w:rsidRPr="005C6E5B">
        <w:rPr>
          <w:rFonts w:cs="Times New Roman"/>
        </w:rPr>
        <w:t>Accordingly, scholars like Randall Law, Matt Carr, Gerard Chaliand and Arnaud Blin conceive of propaganda of the deed as constituting a strategy that informs the actions that revolutionaries take in an effort to affect change.</w:t>
      </w:r>
      <w:r w:rsidRPr="005C6E5B">
        <w:rPr>
          <w:rStyle w:val="FootnoteReference"/>
          <w:rFonts w:cs="Times New Roman"/>
        </w:rPr>
        <w:footnoteReference w:id="240"/>
      </w:r>
      <w:r w:rsidRPr="005C6E5B">
        <w:rPr>
          <w:rFonts w:cs="Times New Roman"/>
        </w:rPr>
        <w:t xml:space="preserve"> Similarly, Ariel Merari argues that propaganda of the deed represents the first stage of an insurgency struggle.</w:t>
      </w:r>
      <w:r w:rsidRPr="005C6E5B">
        <w:rPr>
          <w:rStyle w:val="FootnoteReference"/>
          <w:rFonts w:cs="Times New Roman"/>
        </w:rPr>
        <w:footnoteReference w:id="241"/>
      </w:r>
      <w:r w:rsidRPr="005C6E5B">
        <w:rPr>
          <w:rFonts w:cs="Times New Roman"/>
        </w:rPr>
        <w:t xml:space="preserve"> By contrast, scholars including James </w:t>
      </w:r>
      <w:proofErr w:type="spellStart"/>
      <w:r w:rsidRPr="005C6E5B">
        <w:rPr>
          <w:rFonts w:cs="Times New Roman"/>
        </w:rPr>
        <w:t>Billington</w:t>
      </w:r>
      <w:proofErr w:type="spellEnd"/>
      <w:r w:rsidRPr="005C6E5B">
        <w:rPr>
          <w:rFonts w:cs="Times New Roman"/>
        </w:rPr>
        <w:t xml:space="preserve">, Marie Fleming and Walter </w:t>
      </w:r>
      <w:proofErr w:type="spellStart"/>
      <w:r w:rsidRPr="005C6E5B">
        <w:rPr>
          <w:rFonts w:cs="Times New Roman"/>
        </w:rPr>
        <w:t>Lacqueur</w:t>
      </w:r>
      <w:proofErr w:type="spellEnd"/>
      <w:r w:rsidRPr="005C6E5B">
        <w:rPr>
          <w:rFonts w:cs="Times New Roman"/>
        </w:rPr>
        <w:t xml:space="preserve"> assert that propaganda of the deed is used to </w:t>
      </w:r>
      <w:r w:rsidRPr="00451F65">
        <w:rPr>
          <w:rFonts w:cs="Times New Roman"/>
          <w:i/>
          <w:iCs/>
        </w:rPr>
        <w:t>rationalize</w:t>
      </w:r>
      <w:r w:rsidRPr="005C6E5B">
        <w:rPr>
          <w:rFonts w:cs="Times New Roman"/>
        </w:rPr>
        <w:t xml:space="preserve"> revolutionaries’ decision to employ violent means.</w:t>
      </w:r>
      <w:r w:rsidRPr="005C6E5B">
        <w:rPr>
          <w:rStyle w:val="FootnoteReference"/>
          <w:rFonts w:cs="Times New Roman"/>
        </w:rPr>
        <w:footnoteReference w:id="242"/>
      </w:r>
      <w:r w:rsidRPr="005C6E5B">
        <w:rPr>
          <w:rFonts w:cs="Times New Roman"/>
        </w:rPr>
        <w:t xml:space="preserve"> Laqueur, in particular, views propaganda of the deed as a </w:t>
      </w:r>
      <w:r w:rsidRPr="005C6E5B">
        <w:rPr>
          <w:rFonts w:cs="Times New Roman"/>
          <w:i/>
          <w:iCs/>
        </w:rPr>
        <w:lastRenderedPageBreak/>
        <w:t xml:space="preserve">post hoc </w:t>
      </w:r>
      <w:r w:rsidRPr="005C6E5B">
        <w:rPr>
          <w:rFonts w:cs="Times New Roman"/>
        </w:rPr>
        <w:t>justification for terroristic violence.</w:t>
      </w:r>
      <w:r w:rsidRPr="005C6E5B">
        <w:rPr>
          <w:rStyle w:val="FootnoteReference"/>
          <w:rFonts w:cs="Times New Roman"/>
        </w:rPr>
        <w:footnoteReference w:id="243"/>
      </w:r>
      <w:r w:rsidRPr="005C6E5B">
        <w:rPr>
          <w:rFonts w:cs="Times New Roman"/>
        </w:rPr>
        <w:t xml:space="preserve"> As such, notions of propaganda of the deed as a rationale for using violence implicitly assume that violence begets propaganda of the deed. Conversely, the argument that propaganda of the deed constitutes a strategy conceives of violence as a consequence of propaganda of the deed.</w:t>
      </w:r>
    </w:p>
    <w:p w14:paraId="10D9D244" w14:textId="54892B2E" w:rsidR="00BE0E9B" w:rsidRPr="005C6E5B" w:rsidRDefault="00BE0E9B" w:rsidP="00BE0E9B">
      <w:pPr>
        <w:ind w:firstLine="720"/>
        <w:rPr>
          <w:rFonts w:cs="Times New Roman"/>
        </w:rPr>
      </w:pPr>
      <w:r w:rsidRPr="005C6E5B">
        <w:rPr>
          <w:rFonts w:cs="Times New Roman"/>
        </w:rPr>
        <w:t>There are also differing scholarly treatments of propaganda of the deed.  The dominant conception of propaganda of the deed considers it a strategy. Indeed, scholars including Matt Carr, Kristy Kate Campion, Gerard Chaliand and Arnaud Blin conceptualise propaganda of the deed as informing terrorist actions so that they ultimately serve a larger objective.</w:t>
      </w:r>
      <w:r w:rsidRPr="005C6E5B">
        <w:rPr>
          <w:rStyle w:val="FootnoteReference"/>
          <w:rFonts w:cs="Times New Roman"/>
        </w:rPr>
        <w:footnoteReference w:id="244"/>
      </w:r>
      <w:r w:rsidRPr="005C6E5B">
        <w:rPr>
          <w:rFonts w:cs="Times New Roman"/>
        </w:rPr>
        <w:t xml:space="preserve"> Similarly, Randall Law asserts that propaganda of the deed is a “cornerstone of terrorist strategy.”</w:t>
      </w:r>
      <w:r w:rsidRPr="005C6E5B">
        <w:rPr>
          <w:rStyle w:val="FootnoteReference"/>
          <w:rFonts w:cs="Times New Roman"/>
        </w:rPr>
        <w:footnoteReference w:id="245"/>
      </w:r>
      <w:r w:rsidRPr="005C6E5B">
        <w:rPr>
          <w:rFonts w:cs="Times New Roman"/>
        </w:rPr>
        <w:t xml:space="preserve"> Notwithstanding, there are dissenting scholarly opinions that consider propaganda of the deed a concept, or alternatively, a strategy. Notably, the Royal United Services Institute (RUSI) conceives of propaganda of the deed as a “multi-event narrative with symbolic and rhetorical significance [that] trigger[s] deep-seated grievances.”</w:t>
      </w:r>
      <w:r w:rsidRPr="005C6E5B">
        <w:rPr>
          <w:rStyle w:val="FootnoteReference"/>
          <w:rFonts w:cs="Times New Roman"/>
        </w:rPr>
        <w:footnoteReference w:id="246"/>
      </w:r>
      <w:r w:rsidRPr="005C6E5B">
        <w:rPr>
          <w:rFonts w:cs="Times New Roman"/>
        </w:rPr>
        <w:t xml:space="preserve"> RUSI asserts that propaganda of the deed “transcends an operational technique.”</w:t>
      </w:r>
      <w:r w:rsidRPr="005C6E5B">
        <w:rPr>
          <w:rStyle w:val="FootnoteReference"/>
          <w:rFonts w:cs="Times New Roman"/>
        </w:rPr>
        <w:footnoteReference w:id="247"/>
      </w:r>
      <w:r w:rsidRPr="005C6E5B">
        <w:rPr>
          <w:rFonts w:cs="Times New Roman"/>
        </w:rPr>
        <w:t xml:space="preserve"> Also of note is Nicholas </w:t>
      </w:r>
      <w:proofErr w:type="spellStart"/>
      <w:r w:rsidRPr="005C6E5B">
        <w:rPr>
          <w:rFonts w:cs="Times New Roman"/>
        </w:rPr>
        <w:t>O’Shaunessy</w:t>
      </w:r>
      <w:proofErr w:type="spellEnd"/>
      <w:r w:rsidRPr="005C6E5B">
        <w:rPr>
          <w:rFonts w:cs="Times New Roman"/>
        </w:rPr>
        <w:t xml:space="preserve"> and Paul </w:t>
      </w:r>
      <w:proofErr w:type="spellStart"/>
      <w:r w:rsidRPr="005C6E5B">
        <w:rPr>
          <w:rFonts w:cs="Times New Roman"/>
        </w:rPr>
        <w:t>Blaines</w:t>
      </w:r>
      <w:proofErr w:type="spellEnd"/>
      <w:r w:rsidRPr="005C6E5B">
        <w:rPr>
          <w:rFonts w:cs="Times New Roman"/>
        </w:rPr>
        <w:t>’ argument that propaganda of the deed should be considered a “genre of symbolic communication.”</w:t>
      </w:r>
      <w:r w:rsidRPr="005C6E5B">
        <w:rPr>
          <w:rStyle w:val="FootnoteReference"/>
          <w:rFonts w:cs="Times New Roman"/>
        </w:rPr>
        <w:footnoteReference w:id="248"/>
      </w:r>
    </w:p>
    <w:p w14:paraId="0F6424F7" w14:textId="77777777" w:rsidR="00BE0E9B" w:rsidRPr="005C6E5B" w:rsidRDefault="00BE0E9B" w:rsidP="00BE0E9B">
      <w:pPr>
        <w:ind w:firstLine="720"/>
        <w:rPr>
          <w:rFonts w:cs="Times New Roman"/>
        </w:rPr>
      </w:pPr>
      <w:r w:rsidRPr="005C6E5B">
        <w:rPr>
          <w:rFonts w:cs="Times New Roman"/>
        </w:rPr>
        <w:t>Conceiving of terrorism as propaganda of the deed is problematic first and foremost because doing so perpetuates historical misunderstandings of the relationship between anarchy and violence. Such misunderstandings tend to stem from an underlying misconception that conflates anarchy and violence (and, in a similar vein, anarchy and terrorism).</w:t>
      </w:r>
      <w:r w:rsidRPr="005C6E5B">
        <w:rPr>
          <w:rStyle w:val="FootnoteReference"/>
          <w:rFonts w:cs="Times New Roman"/>
        </w:rPr>
        <w:footnoteReference w:id="249"/>
      </w:r>
      <w:r w:rsidRPr="005C6E5B">
        <w:rPr>
          <w:rFonts w:cs="Times New Roman"/>
        </w:rPr>
        <w:t xml:space="preserve"> These misunderstandings become further entrenched when terrorism is conceptualized as propaganda of the deed because propaganda of the deed originates in the anarchist movement.</w:t>
      </w:r>
      <w:r w:rsidRPr="005C6E5B">
        <w:rPr>
          <w:rStyle w:val="FootnoteReference"/>
          <w:rFonts w:cs="Times New Roman"/>
        </w:rPr>
        <w:footnoteReference w:id="250"/>
      </w:r>
      <w:r w:rsidRPr="005C6E5B">
        <w:rPr>
          <w:rFonts w:cs="Times New Roman"/>
        </w:rPr>
        <w:t xml:space="preserve"> Further exacerbating this conflation, propaganda of the deed first achieved general recognition during a time period that saw the anarchist movement as a whole blamed for the actions of select individuals that used bombs and violent acts in an attempt to further their (anarchist) political goals.</w:t>
      </w:r>
      <w:r w:rsidRPr="005C6E5B">
        <w:rPr>
          <w:rStyle w:val="FootnoteReference"/>
          <w:rFonts w:cs="Times New Roman"/>
        </w:rPr>
        <w:footnoteReference w:id="251"/>
      </w:r>
      <w:r w:rsidRPr="005C6E5B">
        <w:rPr>
          <w:rFonts w:cs="Times New Roman"/>
        </w:rPr>
        <w:t xml:space="preserve"> </w:t>
      </w:r>
    </w:p>
    <w:p w14:paraId="7A8E3D7B" w14:textId="3C6A530B" w:rsidR="00D03C79" w:rsidRPr="005C6E5B" w:rsidRDefault="00BE0E9B" w:rsidP="00F42AC3">
      <w:pPr>
        <w:ind w:firstLine="720"/>
        <w:rPr>
          <w:rFonts w:cs="Times New Roman"/>
        </w:rPr>
      </w:pPr>
      <w:r w:rsidRPr="005C6E5B">
        <w:rPr>
          <w:rFonts w:cs="Times New Roman"/>
        </w:rPr>
        <w:t>On an ideological level, anarchists and terrorists conceive of terrorism – and the use of violence in general – very differently from each other. For some anarchists, terrorism is one of a variety of possible strategies that can be employed in furtherance of their opposition to “hierarchical forms of government associated with the nation state.”</w:t>
      </w:r>
      <w:r w:rsidRPr="005C6E5B">
        <w:rPr>
          <w:rStyle w:val="FootnoteReference"/>
          <w:rFonts w:cs="Times New Roman"/>
        </w:rPr>
        <w:footnoteReference w:id="252"/>
      </w:r>
      <w:r w:rsidRPr="005C6E5B">
        <w:rPr>
          <w:rFonts w:cs="Times New Roman"/>
        </w:rPr>
        <w:t xml:space="preserve"> Moreover, “propaganda of the deed was always a minority creed and pursuit” within the greater anarchist movement – a consequence of many anarchists’ rejection of violence.</w:t>
      </w:r>
      <w:r w:rsidRPr="005C6E5B">
        <w:rPr>
          <w:rStyle w:val="FootnoteReference"/>
          <w:rFonts w:cs="Times New Roman"/>
        </w:rPr>
        <w:footnoteReference w:id="253"/>
      </w:r>
      <w:r w:rsidRPr="005C6E5B">
        <w:rPr>
          <w:rFonts w:cs="Times New Roman"/>
        </w:rPr>
        <w:t xml:space="preserve"> Conversely, violence – terrorism – is </w:t>
      </w:r>
      <w:r w:rsidRPr="005C6E5B">
        <w:rPr>
          <w:rFonts w:cs="Times New Roman"/>
        </w:rPr>
        <w:lastRenderedPageBreak/>
        <w:t xml:space="preserve">terrorists’ tactic of choice in their efforts to damage the state’s international legitimacy. Thus, “parallels between” anarchism and terrorism “lie less in the perpetrators’ ideology and </w:t>
      </w:r>
      <w:r w:rsidRPr="005C6E5B">
        <w:rPr>
          <w:rFonts w:cs="Times New Roman"/>
          <w:i/>
          <w:iCs/>
        </w:rPr>
        <w:t>modus operandi</w:t>
      </w:r>
      <w:r w:rsidRPr="005C6E5B">
        <w:rPr>
          <w:rFonts w:cs="Times New Roman"/>
        </w:rPr>
        <w:t xml:space="preserve"> than in the [state’s] reception and instrumentalisation of” instances of violence that anarchists and terrorists perpetrate in furtherance of their respective causes.</w:t>
      </w:r>
      <w:r w:rsidRPr="005C6E5B">
        <w:rPr>
          <w:rStyle w:val="FootnoteReference"/>
          <w:rFonts w:cs="Times New Roman"/>
        </w:rPr>
        <w:footnoteReference w:id="254"/>
      </w:r>
      <w:r w:rsidRPr="005C6E5B">
        <w:rPr>
          <w:rFonts w:cs="Times New Roman"/>
        </w:rPr>
        <w:t xml:space="preserve"> Terrorism is perpetrated against the (innocent) inhabitants of the state, generating fear. As elaborated upon in the previous chapter (Chapter 4), I hypothesize that this threatened or realized perpetration of violence affects the state’s inhabitants’ support of the state and its policies. I argue that this diminished level of support for the state occurs because on a theoretical level ‘successful’ terrorism undermines the international legitimacy that is implicitly granted to the state by the consent of the international </w:t>
      </w:r>
      <w:r>
        <w:rPr>
          <w:rFonts w:cs="Times New Roman"/>
        </w:rPr>
        <w:t>communit</w:t>
      </w:r>
      <w:r w:rsidRPr="00451F65">
        <w:rPr>
          <w:rFonts w:cs="Times New Roman"/>
        </w:rPr>
        <w:t>y.</w:t>
      </w:r>
      <w:r w:rsidRPr="005C6E5B">
        <w:rPr>
          <w:rFonts w:cs="Times New Roman"/>
        </w:rPr>
        <w:t xml:space="preserve"> Terrorists conceive of the international public as targets that can be weaponized against the enemy constituted by the state. Anarchists, on the other hand, aim to ignite the “spirit of revolt” in the general population by “demonstrating that the state is not omnipotent.”</w:t>
      </w:r>
      <w:r w:rsidRPr="005C6E5B">
        <w:rPr>
          <w:rStyle w:val="FootnoteReference"/>
          <w:rFonts w:cs="Times New Roman"/>
        </w:rPr>
        <w:footnoteReference w:id="255"/>
      </w:r>
      <w:r w:rsidRPr="005C6E5B">
        <w:rPr>
          <w:rFonts w:cs="Times New Roman"/>
        </w:rPr>
        <w:t xml:space="preserve"> To that end, anarchists conceive of the general population as potential allies and seek their ‘enlightenment,’ rather than to terrorize, kill, or destroy them because they are the constituents of the state.</w:t>
      </w:r>
    </w:p>
    <w:p w14:paraId="4011E471" w14:textId="77777777" w:rsidR="00BE0E9B" w:rsidRPr="005C6E5B" w:rsidRDefault="00BE0E9B" w:rsidP="00787123">
      <w:pPr>
        <w:pStyle w:val="DissertationSection1"/>
      </w:pPr>
      <w:bookmarkStart w:id="37" w:name="_Toc175413142"/>
      <w:r w:rsidRPr="005C6E5B">
        <w:t>The Symbiosis between Terrorism and the Mass Media</w:t>
      </w:r>
      <w:bookmarkEnd w:id="37"/>
    </w:p>
    <w:p w14:paraId="09758990" w14:textId="77777777" w:rsidR="00BE0E9B" w:rsidRPr="005C6E5B" w:rsidRDefault="00BE0E9B" w:rsidP="00BE0E9B">
      <w:pPr>
        <w:ind w:firstLine="720"/>
        <w:rPr>
          <w:rFonts w:cs="Times New Roman"/>
        </w:rPr>
      </w:pPr>
      <w:r w:rsidRPr="005C6E5B">
        <w:rPr>
          <w:rFonts w:cs="Times New Roman"/>
        </w:rPr>
        <w:t>A second recurrent theme in the existing literature about the media coverage of terrorism characterizes the interplay between terrorism and the mass media as a “symbiotic relationship.”</w:t>
      </w:r>
      <w:r w:rsidRPr="005C6E5B">
        <w:rPr>
          <w:rStyle w:val="FootnoteReference"/>
          <w:rFonts w:cs="Times New Roman"/>
        </w:rPr>
        <w:footnoteReference w:id="256"/>
      </w:r>
      <w:r w:rsidRPr="005C6E5B">
        <w:rPr>
          <w:rFonts w:cs="Times New Roman"/>
        </w:rPr>
        <w:t xml:space="preserve"> This scholarship tends to focus on the centrality of violence to terrorism’s manifestation </w:t>
      </w:r>
      <w:r w:rsidRPr="005C6E5B">
        <w:rPr>
          <w:rFonts w:cs="Times New Roman"/>
          <w:i/>
          <w:iCs/>
        </w:rPr>
        <w:t>as a communication technique</w:t>
      </w:r>
      <w:r w:rsidRPr="005C6E5B">
        <w:rPr>
          <w:rFonts w:cs="Times New Roman"/>
        </w:rPr>
        <w:t xml:space="preserve">. After the perpetration of terrorism, the media then amplifies the terrorists’ message by disseminating information about the incident. Michel </w:t>
      </w:r>
      <w:proofErr w:type="spellStart"/>
      <w:r w:rsidRPr="005C6E5B">
        <w:rPr>
          <w:rFonts w:cs="Times New Roman"/>
        </w:rPr>
        <w:t>Wieviorka</w:t>
      </w:r>
      <w:proofErr w:type="spellEnd"/>
      <w:r w:rsidRPr="005C6E5B">
        <w:rPr>
          <w:rFonts w:cs="Times New Roman"/>
        </w:rPr>
        <w:t xml:space="preserve"> notes that this perspective dates contemporary terrorism to the series of Popular Front for the Liberation of Palestine (PFLP) hijackings that opened with the attack on El Al flight 426 in 1968.</w:t>
      </w:r>
      <w:r w:rsidRPr="005C6E5B">
        <w:rPr>
          <w:rStyle w:val="FootnoteReference"/>
          <w:rFonts w:cs="Times New Roman"/>
        </w:rPr>
        <w:footnoteReference w:id="257"/>
      </w:r>
      <w:r w:rsidRPr="005C6E5B">
        <w:rPr>
          <w:rFonts w:cs="Times New Roman"/>
        </w:rPr>
        <w:t xml:space="preserve"> According to </w:t>
      </w:r>
      <w:proofErr w:type="spellStart"/>
      <w:r w:rsidRPr="005C6E5B">
        <w:rPr>
          <w:rFonts w:cs="Times New Roman"/>
        </w:rPr>
        <w:t>Wieviorka</w:t>
      </w:r>
      <w:proofErr w:type="spellEnd"/>
      <w:r w:rsidRPr="005C6E5B">
        <w:rPr>
          <w:rFonts w:cs="Times New Roman"/>
        </w:rPr>
        <w:t>, the PFLP hijackings exemplify the notion of reciprocal interest that assertions of the “symbiotic relationship” between terrorists and the media are ultimately based upon, in that “terrorists provide the media with the sort of public spectacle they need to satisfy their audience… while the media, for their part, supply the terrorists with an immediate audience… on a potentially planetary scale.”</w:t>
      </w:r>
      <w:r w:rsidRPr="005C6E5B">
        <w:rPr>
          <w:rStyle w:val="FootnoteReference"/>
          <w:rFonts w:cs="Times New Roman"/>
        </w:rPr>
        <w:footnoteReference w:id="258"/>
      </w:r>
      <w:r w:rsidRPr="005C6E5B">
        <w:rPr>
          <w:rFonts w:cs="Times New Roman"/>
        </w:rPr>
        <w:t xml:space="preserve"> Here, scholars like Brigitte L. </w:t>
      </w:r>
      <w:proofErr w:type="spellStart"/>
      <w:r w:rsidRPr="005C6E5B">
        <w:rPr>
          <w:rFonts w:cs="Times New Roman"/>
        </w:rPr>
        <w:t>Nacos</w:t>
      </w:r>
      <w:proofErr w:type="spellEnd"/>
      <w:r w:rsidRPr="005C6E5B">
        <w:rPr>
          <w:rFonts w:cs="Times New Roman"/>
        </w:rPr>
        <w:t xml:space="preserve"> disagree with </w:t>
      </w:r>
      <w:proofErr w:type="spellStart"/>
      <w:r w:rsidRPr="005C6E5B">
        <w:rPr>
          <w:rFonts w:cs="Times New Roman"/>
        </w:rPr>
        <w:t>Wieviorka</w:t>
      </w:r>
      <w:proofErr w:type="spellEnd"/>
      <w:r w:rsidRPr="005C6E5B">
        <w:rPr>
          <w:rFonts w:cs="Times New Roman"/>
        </w:rPr>
        <w:t xml:space="preserve">. </w:t>
      </w:r>
      <w:proofErr w:type="spellStart"/>
      <w:r w:rsidRPr="005C6E5B">
        <w:rPr>
          <w:rFonts w:cs="Times New Roman"/>
        </w:rPr>
        <w:lastRenderedPageBreak/>
        <w:t>Nacos</w:t>
      </w:r>
      <w:proofErr w:type="spellEnd"/>
      <w:r w:rsidRPr="005C6E5B">
        <w:rPr>
          <w:rFonts w:cs="Times New Roman"/>
        </w:rPr>
        <w:t xml:space="preserve"> specifically argues that, prior to Hezbollah’s 1985 hijacking of Trans World Airlines flight 847, international terrorism was regarded as “merely a nuisance.”</w:t>
      </w:r>
      <w:r w:rsidRPr="005C6E5B">
        <w:rPr>
          <w:rStyle w:val="FootnoteReference"/>
          <w:rFonts w:cs="Times New Roman"/>
        </w:rPr>
        <w:footnoteReference w:id="259"/>
      </w:r>
      <w:r w:rsidRPr="005C6E5B">
        <w:rPr>
          <w:rFonts w:cs="Times New Roman"/>
        </w:rPr>
        <w:t xml:space="preserve"> </w:t>
      </w:r>
      <w:proofErr w:type="spellStart"/>
      <w:r w:rsidRPr="005C6E5B">
        <w:rPr>
          <w:rFonts w:cs="Times New Roman"/>
        </w:rPr>
        <w:t>Nacos</w:t>
      </w:r>
      <w:proofErr w:type="spellEnd"/>
      <w:r w:rsidRPr="005C6E5B">
        <w:rPr>
          <w:rFonts w:cs="Times New Roman"/>
        </w:rPr>
        <w:t xml:space="preserve"> provides statistics to substantiate this claim: viewed from the perspective of the United States (US), the effect of the international terrorism of the 1970s and 1980s was inconsequential when contrasted with the homicide statistics in major US cities.</w:t>
      </w:r>
      <w:r w:rsidRPr="005C6E5B">
        <w:rPr>
          <w:rStyle w:val="FootnoteReference"/>
          <w:rFonts w:cs="Times New Roman"/>
        </w:rPr>
        <w:footnoteReference w:id="260"/>
      </w:r>
      <w:r w:rsidRPr="005C6E5B">
        <w:rPr>
          <w:rFonts w:cs="Times New Roman"/>
        </w:rPr>
        <w:t xml:space="preserve"> At a point when the effects of terrorism were, for the most part, limited to casualties resulting from terrorist incidents, the 387 American citizens killed by terrorist attacks in 1983 (at the time, an astronomical statistic), was a mere half of the nearly 800 homicides perpetrated that year in the city of Chicago alone.</w:t>
      </w:r>
      <w:r w:rsidRPr="005C6E5B">
        <w:rPr>
          <w:rStyle w:val="FootnoteReference"/>
          <w:rFonts w:cs="Times New Roman"/>
        </w:rPr>
        <w:footnoteReference w:id="261"/>
      </w:r>
      <w:r w:rsidRPr="005C6E5B">
        <w:rPr>
          <w:rFonts w:cs="Times New Roman"/>
        </w:rPr>
        <w:t xml:space="preserve"> Notwithstanding, </w:t>
      </w:r>
      <w:proofErr w:type="spellStart"/>
      <w:r w:rsidRPr="005C6E5B">
        <w:rPr>
          <w:rFonts w:cs="Times New Roman"/>
        </w:rPr>
        <w:t>Nacos</w:t>
      </w:r>
      <w:proofErr w:type="spellEnd"/>
      <w:r w:rsidRPr="005C6E5B">
        <w:rPr>
          <w:rFonts w:cs="Times New Roman"/>
        </w:rPr>
        <w:t xml:space="preserve"> and </w:t>
      </w:r>
      <w:proofErr w:type="spellStart"/>
      <w:r w:rsidRPr="005C6E5B">
        <w:rPr>
          <w:rFonts w:cs="Times New Roman"/>
        </w:rPr>
        <w:t>Wieviorka</w:t>
      </w:r>
      <w:proofErr w:type="spellEnd"/>
      <w:r w:rsidRPr="005C6E5B">
        <w:rPr>
          <w:rFonts w:cs="Times New Roman"/>
        </w:rPr>
        <w:t xml:space="preserve"> concur that hijacking incidents are ultimately the factor that catalysed the increase in both policymakers and scholars’ focus on terrorism. </w:t>
      </w:r>
      <w:proofErr w:type="spellStart"/>
      <w:r w:rsidRPr="005C6E5B">
        <w:rPr>
          <w:rFonts w:cs="Times New Roman"/>
        </w:rPr>
        <w:t>Wieviorka</w:t>
      </w:r>
      <w:proofErr w:type="spellEnd"/>
      <w:r w:rsidRPr="005C6E5B">
        <w:rPr>
          <w:rFonts w:cs="Times New Roman"/>
        </w:rPr>
        <w:t xml:space="preserve"> posits that this “may be explained in terms of the reactions that the media… provoke in response to [terrorist] acts which are, intrinsically, of limited immediate impact.”</w:t>
      </w:r>
      <w:r w:rsidRPr="005C6E5B">
        <w:rPr>
          <w:rStyle w:val="FootnoteReference"/>
          <w:rFonts w:cs="Times New Roman"/>
        </w:rPr>
        <w:footnoteReference w:id="262"/>
      </w:r>
    </w:p>
    <w:p w14:paraId="7D2B09DD" w14:textId="77777777" w:rsidR="00BE0E9B" w:rsidRPr="005C6E5B" w:rsidRDefault="00BE0E9B" w:rsidP="00BE0E9B">
      <w:pPr>
        <w:ind w:firstLine="720"/>
        <w:rPr>
          <w:rFonts w:cs="Times New Roman"/>
        </w:rPr>
      </w:pPr>
      <w:proofErr w:type="spellStart"/>
      <w:r w:rsidRPr="005C6E5B">
        <w:rPr>
          <w:rFonts w:cs="Times New Roman"/>
        </w:rPr>
        <w:t>Wieviorka</w:t>
      </w:r>
      <w:proofErr w:type="spellEnd"/>
      <w:r w:rsidRPr="005C6E5B">
        <w:rPr>
          <w:rFonts w:cs="Times New Roman"/>
        </w:rPr>
        <w:t xml:space="preserve"> also differs from scholars like </w:t>
      </w:r>
      <w:proofErr w:type="spellStart"/>
      <w:r w:rsidRPr="005C6E5B">
        <w:rPr>
          <w:rFonts w:cs="Times New Roman"/>
        </w:rPr>
        <w:t>Nacos</w:t>
      </w:r>
      <w:proofErr w:type="spellEnd"/>
      <w:r w:rsidRPr="005C6E5B">
        <w:rPr>
          <w:rFonts w:cs="Times New Roman"/>
        </w:rPr>
        <w:t xml:space="preserve"> in that he challenges the notion of a symbiosis between terrorists and the media altogether. Instead, </w:t>
      </w:r>
      <w:proofErr w:type="spellStart"/>
      <w:r w:rsidRPr="005C6E5B">
        <w:rPr>
          <w:rFonts w:cs="Times New Roman"/>
        </w:rPr>
        <w:t>Wieviorka</w:t>
      </w:r>
      <w:proofErr w:type="spellEnd"/>
      <w:r w:rsidRPr="005C6E5B">
        <w:rPr>
          <w:rFonts w:cs="Times New Roman"/>
        </w:rPr>
        <w:t xml:space="preserve"> proposes a four-fold typology of “relational modes” that can exist between the two sets of actors, from the perspective of the terrorists: pure indifference, relative indifference, media-oriented strategy, and a total break with the broader community.</w:t>
      </w:r>
      <w:r w:rsidRPr="005C6E5B">
        <w:rPr>
          <w:rStyle w:val="FootnoteReference"/>
          <w:rFonts w:cs="Times New Roman"/>
        </w:rPr>
        <w:footnoteReference w:id="263"/>
      </w:r>
      <w:r w:rsidRPr="005C6E5B">
        <w:rPr>
          <w:rFonts w:cs="Times New Roman"/>
        </w:rPr>
        <w:t xml:space="preserve"> To an extent, </w:t>
      </w:r>
      <w:proofErr w:type="spellStart"/>
      <w:r w:rsidRPr="005C6E5B">
        <w:rPr>
          <w:rFonts w:cs="Times New Roman"/>
        </w:rPr>
        <w:t>Wieviorka</w:t>
      </w:r>
      <w:proofErr w:type="spellEnd"/>
      <w:r w:rsidRPr="005C6E5B">
        <w:rPr>
          <w:rFonts w:cs="Times New Roman"/>
        </w:rPr>
        <w:t xml:space="preserve"> subscribes to the view that doubts whether the media serves as an important factor in the formulation of terrorists’ operational strategies, because it is unclear to what extent public opinion influences decision makers, especially in connection with matters of foreign affairs and security.</w:t>
      </w:r>
      <w:r w:rsidRPr="005C6E5B">
        <w:rPr>
          <w:rStyle w:val="FootnoteReference"/>
          <w:rFonts w:cs="Times New Roman"/>
        </w:rPr>
        <w:footnoteReference w:id="264"/>
      </w:r>
    </w:p>
    <w:p w14:paraId="77265818" w14:textId="77777777" w:rsidR="00BE0E9B" w:rsidRPr="005C6E5B" w:rsidRDefault="00BE0E9B" w:rsidP="00BE0E9B">
      <w:pPr>
        <w:ind w:firstLine="720"/>
        <w:rPr>
          <w:rFonts w:cs="Times New Roman"/>
        </w:rPr>
      </w:pPr>
      <w:r w:rsidRPr="005C6E5B">
        <w:rPr>
          <w:rFonts w:cs="Times New Roman"/>
        </w:rPr>
        <w:t>In 1997, Paul Wilkinson published a specific challenge to “</w:t>
      </w:r>
      <w:proofErr w:type="spellStart"/>
      <w:r w:rsidRPr="005C6E5B">
        <w:rPr>
          <w:rFonts w:cs="Times New Roman"/>
        </w:rPr>
        <w:t>Wieviorka’s</w:t>
      </w:r>
      <w:proofErr w:type="spellEnd"/>
      <w:r w:rsidRPr="005C6E5B">
        <w:rPr>
          <w:rFonts w:cs="Times New Roman"/>
        </w:rPr>
        <w:t xml:space="preserve"> dismissal of the claim that there is a symbiotic relationship between terrorism and the media.”</w:t>
      </w:r>
      <w:r w:rsidRPr="005C6E5B">
        <w:rPr>
          <w:rStyle w:val="FootnoteReference"/>
          <w:rFonts w:cs="Times New Roman"/>
        </w:rPr>
        <w:footnoteReference w:id="265"/>
      </w:r>
      <w:r w:rsidRPr="005C6E5B">
        <w:rPr>
          <w:rFonts w:cs="Times New Roman"/>
        </w:rPr>
        <w:t xml:space="preserve"> To that end, Wilkinson refutes </w:t>
      </w:r>
      <w:proofErr w:type="spellStart"/>
      <w:r w:rsidRPr="005C6E5B">
        <w:rPr>
          <w:rFonts w:cs="Times New Roman"/>
        </w:rPr>
        <w:t>Wieviorka’s</w:t>
      </w:r>
      <w:proofErr w:type="spellEnd"/>
      <w:r w:rsidRPr="005C6E5B">
        <w:rPr>
          <w:rFonts w:cs="Times New Roman"/>
        </w:rPr>
        <w:t xml:space="preserve"> claim as to the four distinct types of relationships that can exist between terrorists and the media, arguing that the “spectacular acts of destruction or atrocity” of attempts to bolster the credibility of their threats inherently and necessarily attract media attention because they provide “an endless source of sensational and visually compelling news stories capable of boosting audience/readership figures.”</w:t>
      </w:r>
      <w:r w:rsidRPr="005C6E5B">
        <w:rPr>
          <w:rStyle w:val="FootnoteReference"/>
          <w:rFonts w:cs="Times New Roman"/>
        </w:rPr>
        <w:footnoteReference w:id="266"/>
      </w:r>
      <w:r w:rsidRPr="005C6E5B">
        <w:rPr>
          <w:rFonts w:cs="Times New Roman"/>
        </w:rPr>
        <w:t xml:space="preserve"> Notably, Wilkinson asserts that in “attempting to spread terror… some channel or medium of transmitting information… will inevitably be involved,” because perpetrators of terrorist activity “want… to obtain… the aura of legitimation that… media attention gains for them.”</w:t>
      </w:r>
      <w:r w:rsidRPr="005C6E5B">
        <w:rPr>
          <w:rStyle w:val="FootnoteReference"/>
          <w:rFonts w:cs="Times New Roman"/>
        </w:rPr>
        <w:footnoteReference w:id="267"/>
      </w:r>
      <w:r w:rsidRPr="005C6E5B">
        <w:rPr>
          <w:rFonts w:cs="Times New Roman"/>
        </w:rPr>
        <w:t xml:space="preserve"> </w:t>
      </w:r>
      <w:proofErr w:type="spellStart"/>
      <w:r w:rsidRPr="005C6E5B">
        <w:rPr>
          <w:rFonts w:cs="Times New Roman"/>
        </w:rPr>
        <w:t>Nacos</w:t>
      </w:r>
      <w:proofErr w:type="spellEnd"/>
      <w:r w:rsidRPr="005C6E5B">
        <w:rPr>
          <w:rFonts w:cs="Times New Roman"/>
        </w:rPr>
        <w:t xml:space="preserve"> extends Wilkinson’s argument, coining the term “mass-mediated terrorism” to describe a phenomenon wherein “most terrorists calculate the consequences of their carefully planned strikes” and in doing so, endeavor to hijack the “media [in its capacity of] </w:t>
      </w:r>
      <w:proofErr w:type="spellStart"/>
      <w:r w:rsidRPr="005C6E5B">
        <w:rPr>
          <w:rFonts w:cs="Times New Roman"/>
        </w:rPr>
        <w:t>provid</w:t>
      </w:r>
      <w:proofErr w:type="spellEnd"/>
      <w:r w:rsidRPr="005C6E5B">
        <w:rPr>
          <w:rFonts w:cs="Times New Roman"/>
        </w:rPr>
        <w:t>[</w:t>
      </w:r>
      <w:proofErr w:type="spellStart"/>
      <w:r w:rsidRPr="005C6E5B">
        <w:rPr>
          <w:rFonts w:cs="Times New Roman"/>
        </w:rPr>
        <w:t>ing</w:t>
      </w:r>
      <w:proofErr w:type="spellEnd"/>
      <w:r w:rsidRPr="005C6E5B">
        <w:rPr>
          <w:rFonts w:cs="Times New Roman"/>
        </w:rPr>
        <w:t xml:space="preserve">] lines of communication between public officials and </w:t>
      </w:r>
      <w:r w:rsidRPr="005C6E5B">
        <w:rPr>
          <w:rFonts w:cs="Times New Roman"/>
        </w:rPr>
        <w:lastRenderedPageBreak/>
        <w:t>the general public.”</w:t>
      </w:r>
      <w:r w:rsidRPr="005C6E5B">
        <w:rPr>
          <w:rStyle w:val="FootnoteReference"/>
          <w:rFonts w:cs="Times New Roman"/>
        </w:rPr>
        <w:footnoteReference w:id="268"/>
      </w:r>
      <w:r w:rsidRPr="005C6E5B">
        <w:rPr>
          <w:rFonts w:cs="Times New Roman"/>
        </w:rPr>
        <w:t xml:space="preserve"> Accordingly, </w:t>
      </w:r>
      <w:proofErr w:type="spellStart"/>
      <w:r w:rsidRPr="005C6E5B">
        <w:rPr>
          <w:rFonts w:cs="Times New Roman"/>
        </w:rPr>
        <w:t>Nacos</w:t>
      </w:r>
      <w:proofErr w:type="spellEnd"/>
      <w:r w:rsidRPr="005C6E5B">
        <w:rPr>
          <w:rFonts w:cs="Times New Roman"/>
        </w:rPr>
        <w:t xml:space="preserve"> conceives of a “triangle of communication” that depends upon the role played by the media in facilitating communication between domestic publics and their governments. </w:t>
      </w:r>
    </w:p>
    <w:p w14:paraId="150E97D1" w14:textId="2CC01C20" w:rsidR="00BE0E9B" w:rsidRPr="005C6E5B" w:rsidRDefault="00BE0E9B" w:rsidP="00BE0E9B">
      <w:pPr>
        <w:ind w:firstLine="720"/>
        <w:rPr>
          <w:rFonts w:cs="Times New Roman"/>
        </w:rPr>
      </w:pPr>
      <w:r w:rsidRPr="005C6E5B">
        <w:rPr>
          <w:rFonts w:cs="Times New Roman"/>
        </w:rPr>
        <w:t xml:space="preserve">Wilkinson and </w:t>
      </w:r>
      <w:proofErr w:type="spellStart"/>
      <w:r w:rsidRPr="005C6E5B">
        <w:rPr>
          <w:rFonts w:cs="Times New Roman"/>
        </w:rPr>
        <w:t>Nacos</w:t>
      </w:r>
      <w:proofErr w:type="spellEnd"/>
      <w:r w:rsidRPr="005C6E5B">
        <w:rPr>
          <w:rFonts w:cs="Times New Roman"/>
        </w:rPr>
        <w:t xml:space="preserve"> both argue that terrorists make use of a multi-phase, rational strategy that involves perpetrating an attack in order to achieve widespread media coverage.</w:t>
      </w:r>
      <w:r w:rsidRPr="005C6E5B">
        <w:rPr>
          <w:rStyle w:val="FootnoteReference"/>
          <w:rFonts w:cs="Times New Roman"/>
        </w:rPr>
        <w:footnoteReference w:id="269"/>
      </w:r>
      <w:r w:rsidRPr="005C6E5B">
        <w:rPr>
          <w:rFonts w:cs="Times New Roman"/>
        </w:rPr>
        <w:t xml:space="preserve"> Scholars that take this position – like Wilkinson and </w:t>
      </w:r>
      <w:proofErr w:type="spellStart"/>
      <w:r w:rsidRPr="005C6E5B">
        <w:rPr>
          <w:rFonts w:cs="Times New Roman"/>
        </w:rPr>
        <w:t>Nacos</w:t>
      </w:r>
      <w:proofErr w:type="spellEnd"/>
      <w:r w:rsidRPr="005C6E5B">
        <w:rPr>
          <w:rFonts w:cs="Times New Roman"/>
        </w:rPr>
        <w:t xml:space="preserve"> – believe that the changes in communication technology that occurred throughout the 1990s are a key reason that a “new terrorism” has emerged.</w:t>
      </w:r>
      <w:r w:rsidRPr="005C6E5B">
        <w:rPr>
          <w:rStyle w:val="FootnoteReference"/>
          <w:rFonts w:cs="Times New Roman"/>
        </w:rPr>
        <w:footnoteReference w:id="270"/>
      </w:r>
      <w:r w:rsidRPr="005C6E5B">
        <w:rPr>
          <w:rFonts w:cs="Times New Roman"/>
        </w:rPr>
        <w:t xml:space="preserve"> Conceived of in this manner, the strategic goal of “new terrorism” is to intimidate the public and affect pressure to influence decision-makers’ enacting of policies to help further the terrorists’ agenda.</w:t>
      </w:r>
      <w:r w:rsidRPr="005C6E5B">
        <w:rPr>
          <w:rStyle w:val="FootnoteReference"/>
          <w:rFonts w:cs="Times New Roman"/>
        </w:rPr>
        <w:footnoteReference w:id="271"/>
      </w:r>
      <w:r w:rsidRPr="005C6E5B">
        <w:rPr>
          <w:rFonts w:cs="Times New Roman"/>
        </w:rPr>
        <w:t xml:space="preserve"> Wilkinson’s perspective on the relationship between terrorist activity and media coverage is also representative of key scholarly claims about mass-mediated contagion relating to terrorist activity.</w:t>
      </w:r>
      <w:r w:rsidRPr="005C6E5B">
        <w:rPr>
          <w:rStyle w:val="FootnoteReference"/>
          <w:rFonts w:cs="Times New Roman"/>
        </w:rPr>
        <w:footnoteReference w:id="272"/>
      </w:r>
      <w:r w:rsidRPr="005C6E5B">
        <w:rPr>
          <w:rFonts w:cs="Times New Roman"/>
        </w:rPr>
        <w:t xml:space="preserve"> “A contagion effect,” Brian Jenkins explains, with “heavy media coverage of hijackings, kidnappings and other hostile seizures carried out by terrorists </w:t>
      </w:r>
      <w:proofErr w:type="spellStart"/>
      <w:r w:rsidRPr="005C6E5B">
        <w:rPr>
          <w:rFonts w:cs="Times New Roman"/>
        </w:rPr>
        <w:t>increas</w:t>
      </w:r>
      <w:proofErr w:type="spellEnd"/>
      <w:r w:rsidRPr="005C6E5B">
        <w:rPr>
          <w:rFonts w:cs="Times New Roman"/>
        </w:rPr>
        <w:t>[</w:t>
      </w:r>
      <w:r w:rsidR="00B947E3">
        <w:rPr>
          <w:rFonts w:cs="Times New Roman"/>
        </w:rPr>
        <w:t>es</w:t>
      </w:r>
      <w:r w:rsidRPr="005C6E5B">
        <w:rPr>
          <w:rFonts w:cs="Times New Roman"/>
        </w:rPr>
        <w:t>] the likelihood that similar incidents will occur in the period immediately following.”</w:t>
      </w:r>
      <w:r w:rsidRPr="005C6E5B">
        <w:rPr>
          <w:rStyle w:val="FootnoteReference"/>
          <w:rFonts w:cs="Times New Roman"/>
        </w:rPr>
        <w:footnoteReference w:id="273"/>
      </w:r>
      <w:r w:rsidRPr="005C6E5B">
        <w:rPr>
          <w:rFonts w:cs="Times New Roman"/>
        </w:rPr>
        <w:t xml:space="preserve"> Notably, the contagion effect hypothesis is substantiated by Gabriel </w:t>
      </w:r>
      <w:proofErr w:type="spellStart"/>
      <w:r w:rsidRPr="005C6E5B">
        <w:rPr>
          <w:rFonts w:cs="Times New Roman"/>
        </w:rPr>
        <w:t>Weimann</w:t>
      </w:r>
      <w:proofErr w:type="spellEnd"/>
      <w:r w:rsidRPr="005C6E5B">
        <w:rPr>
          <w:rFonts w:cs="Times New Roman"/>
        </w:rPr>
        <w:t xml:space="preserve"> and Conrad Winn’s quantitative analysis of media reporting of terrorist incidents, which concludes that there is “considerable evidence of a contagion effect wrought by [media] coverage [of terrorism].”</w:t>
      </w:r>
      <w:r w:rsidRPr="005C6E5B">
        <w:rPr>
          <w:rStyle w:val="FootnoteReference"/>
          <w:rFonts w:cs="Times New Roman"/>
        </w:rPr>
        <w:footnoteReference w:id="274"/>
      </w:r>
    </w:p>
    <w:p w14:paraId="6BE2F395" w14:textId="2AAA2415" w:rsidR="00BE0E9B" w:rsidRPr="005C6E5B" w:rsidRDefault="00BE0E9B" w:rsidP="00BE0E9B">
      <w:pPr>
        <w:ind w:firstLine="720"/>
        <w:rPr>
          <w:rFonts w:cs="Times New Roman"/>
        </w:rPr>
      </w:pPr>
      <w:r w:rsidRPr="005C6E5B">
        <w:rPr>
          <w:rFonts w:cs="Times New Roman"/>
        </w:rPr>
        <w:t xml:space="preserve">The interplay between Wilkinson and </w:t>
      </w:r>
      <w:proofErr w:type="spellStart"/>
      <w:r w:rsidRPr="005C6E5B">
        <w:rPr>
          <w:rFonts w:cs="Times New Roman"/>
        </w:rPr>
        <w:t>Wieviorka</w:t>
      </w:r>
      <w:proofErr w:type="spellEnd"/>
      <w:r w:rsidRPr="005C6E5B">
        <w:rPr>
          <w:rFonts w:cs="Times New Roman"/>
        </w:rPr>
        <w:t xml:space="preserve"> represents one of the two predominant schools of thought as to whether terrorists collectively, consciously and strategically solicit media attention. A second debate that </w:t>
      </w:r>
      <w:r w:rsidR="00477459">
        <w:rPr>
          <w:rFonts w:cs="Times New Roman"/>
        </w:rPr>
        <w:t>emerges</w:t>
      </w:r>
      <w:r w:rsidRPr="005C6E5B">
        <w:rPr>
          <w:rFonts w:cs="Times New Roman"/>
        </w:rPr>
        <w:t xml:space="preserve"> in the scholarship relating to the “symbiotic relationship” between terrorists and the media involves arguments as to the emergence of a “new” terrorism. Proponents of the “new terrorism” thesis argue that “new” terrorism is “more lethal, more likely to inflict catastrophic harm on target societies, and more often the work of religious or pseudo-religious groups or individuals.”</w:t>
      </w:r>
      <w:r w:rsidRPr="005C6E5B">
        <w:rPr>
          <w:rStyle w:val="FootnoteReference"/>
          <w:rFonts w:cs="Times New Roman"/>
        </w:rPr>
        <w:footnoteReference w:id="275"/>
      </w:r>
      <w:r w:rsidRPr="005C6E5B">
        <w:rPr>
          <w:rFonts w:cs="Times New Roman"/>
        </w:rPr>
        <w:t xml:space="preserve"> A terrorist organization that is considered to have perpetrated “new” terrorism is Aum Shinrikyo, the Japanese doomsday cult whose membership carried out </w:t>
      </w:r>
      <w:r w:rsidRPr="005C6E5B">
        <w:rPr>
          <w:rFonts w:cs="Times New Roman"/>
        </w:rPr>
        <w:lastRenderedPageBreak/>
        <w:t>the 1994 Matsumoto and 1995 Tokyo subway sarin attacks.</w:t>
      </w:r>
      <w:r w:rsidRPr="005C6E5B">
        <w:rPr>
          <w:rStyle w:val="FootnoteReference"/>
          <w:rFonts w:cs="Times New Roman"/>
        </w:rPr>
        <w:footnoteReference w:id="276"/>
      </w:r>
      <w:r w:rsidRPr="005C6E5B">
        <w:rPr>
          <w:rFonts w:cs="Times New Roman"/>
        </w:rPr>
        <w:t xml:space="preserve"> In contrast, “old terrorism” is characterized as having negotiable and limited goals.</w:t>
      </w:r>
      <w:r w:rsidRPr="005C6E5B">
        <w:rPr>
          <w:rStyle w:val="FootnoteReference"/>
          <w:rFonts w:cs="Times New Roman"/>
        </w:rPr>
        <w:footnoteReference w:id="277"/>
      </w:r>
      <w:r w:rsidRPr="005C6E5B">
        <w:rPr>
          <w:rFonts w:cs="Times New Roman"/>
        </w:rPr>
        <w:t xml:space="preserve"> To that end, an often-cited example of  “old” terrorism is the Provisional Irish Republican Army (IRA).</w:t>
      </w:r>
      <w:r w:rsidRPr="005C6E5B">
        <w:rPr>
          <w:rStyle w:val="FootnoteReference"/>
          <w:rFonts w:cs="Times New Roman"/>
        </w:rPr>
        <w:footnoteReference w:id="278"/>
      </w:r>
      <w:r w:rsidRPr="005C6E5B">
        <w:rPr>
          <w:rFonts w:cs="Times New Roman"/>
        </w:rPr>
        <w:t xml:space="preserve"> Martha Crenshaw suggests that proponents of the “new terrorism” thesis view perpetrators of “old terrorism” as “presumably sensible terrorists whose objectives were realistic and pragmatic.”</w:t>
      </w:r>
      <w:r w:rsidRPr="005C6E5B">
        <w:rPr>
          <w:rStyle w:val="FootnoteReference"/>
          <w:rFonts w:cs="Times New Roman"/>
        </w:rPr>
        <w:footnoteReference w:id="279"/>
      </w:r>
      <w:r w:rsidRPr="005C6E5B">
        <w:rPr>
          <w:rFonts w:cs="Times New Roman"/>
        </w:rPr>
        <w:t xml:space="preserve"> Hoffman’s assertion that “secular [“old”] terrorists regard violence either as a way of instigating the correction of a flaw in a system that is basically good or as a means to foment the creation of a new system” further supports this point.</w:t>
      </w:r>
      <w:r w:rsidRPr="005C6E5B">
        <w:rPr>
          <w:rStyle w:val="FootnoteReference"/>
          <w:rFonts w:cs="Times New Roman"/>
        </w:rPr>
        <w:footnoteReference w:id="280"/>
      </w:r>
      <w:r w:rsidRPr="005C6E5B">
        <w:rPr>
          <w:rFonts w:cs="Times New Roman"/>
        </w:rPr>
        <w:t xml:space="preserve"> The violence initiated by the IRA is considered “old” terrorism because it was perpetrated in pursuit of “nationalism and territorial autonomy” – what Crenshaw deems “understandable and tangible” goals.</w:t>
      </w:r>
      <w:r w:rsidRPr="005C6E5B">
        <w:rPr>
          <w:rStyle w:val="FootnoteReference"/>
          <w:rFonts w:cs="Times New Roman"/>
        </w:rPr>
        <w:footnoteReference w:id="281"/>
      </w:r>
      <w:r w:rsidRPr="005C6E5B">
        <w:rPr>
          <w:rFonts w:cs="Times New Roman"/>
        </w:rPr>
        <w:t xml:space="preserve"> Moreover, the IRA instigated violence using tactics that </w:t>
      </w:r>
      <w:r w:rsidR="00365923">
        <w:rPr>
          <w:rFonts w:cs="Times New Roman"/>
        </w:rPr>
        <w:t xml:space="preserve">were </w:t>
      </w:r>
      <w:r w:rsidRPr="005C6E5B">
        <w:rPr>
          <w:rFonts w:cs="Times New Roman"/>
        </w:rPr>
        <w:t xml:space="preserve"> proportionate to their stated objectives. Namely, in their conflict with the United Kingdom – a State – the IRA employed similar tactics to those that States tend to use in the context of conventional (inter-state) warfare. </w:t>
      </w:r>
    </w:p>
    <w:p w14:paraId="7CA77FFB" w14:textId="5C370155" w:rsidR="00BE0E9B" w:rsidRPr="005C6E5B" w:rsidRDefault="00BE0E9B" w:rsidP="00BE0E9B">
      <w:pPr>
        <w:ind w:firstLine="720"/>
        <w:rPr>
          <w:rFonts w:cs="Times New Roman"/>
        </w:rPr>
      </w:pPr>
      <w:r w:rsidRPr="005C6E5B">
        <w:rPr>
          <w:rFonts w:cs="Times New Roman"/>
        </w:rPr>
        <w:t>To further elaborate: the “new terrorism” thesis suggests that a “distinctively religious terrorism” emerged in the early 1990s.</w:t>
      </w:r>
      <w:r w:rsidRPr="005C6E5B">
        <w:rPr>
          <w:rStyle w:val="FootnoteReference"/>
          <w:rFonts w:cs="Times New Roman"/>
        </w:rPr>
        <w:footnoteReference w:id="282"/>
      </w:r>
      <w:r w:rsidRPr="005C6E5B">
        <w:rPr>
          <w:rFonts w:cs="Times New Roman"/>
        </w:rPr>
        <w:t xml:space="preserve"> Asserting that the ‘ends’ of “new” terrorism are both unlimited and non-negotiable, proponents suggested the objectives of “new terrorism” as originating in religious doctrines that center on “transformational and apocalyptic beliefs</w:t>
      </w:r>
      <w:r w:rsidRPr="005C6E5B">
        <w:rPr>
          <w:rFonts w:cs="Times New Roman"/>
          <w:i/>
          <w:iCs/>
        </w:rPr>
        <w:t>.</w:t>
      </w:r>
      <w:r w:rsidRPr="005C6E5B">
        <w:rPr>
          <w:rStyle w:val="FootnoteReference"/>
          <w:rFonts w:cs="Times New Roman"/>
        </w:rPr>
        <w:footnoteReference w:id="283"/>
      </w:r>
      <w:r w:rsidRPr="005C6E5B">
        <w:rPr>
          <w:rFonts w:cs="Times New Roman"/>
          <w:i/>
          <w:iCs/>
        </w:rPr>
        <w:t xml:space="preserve"> </w:t>
      </w:r>
      <w:r w:rsidRPr="005C6E5B">
        <w:rPr>
          <w:rFonts w:cs="Times New Roman"/>
        </w:rPr>
        <w:t xml:space="preserve">This scholarship assumes that “new terrorists” exist in diametric opposition to the values and culture </w:t>
      </w:r>
      <w:r w:rsidRPr="005C6E5B">
        <w:rPr>
          <w:rFonts w:cs="Times New Roman"/>
        </w:rPr>
        <w:lastRenderedPageBreak/>
        <w:t>associated with Western civilization.</w:t>
      </w:r>
      <w:r w:rsidRPr="005C6E5B">
        <w:rPr>
          <w:rStyle w:val="FootnoteReference"/>
          <w:rFonts w:cs="Times New Roman"/>
        </w:rPr>
        <w:footnoteReference w:id="284"/>
      </w:r>
      <w:r w:rsidRPr="005C6E5B">
        <w:rPr>
          <w:rFonts w:cs="Times New Roman"/>
        </w:rPr>
        <w:t xml:space="preserve"> In this vein, Steven Simon and Daniel Benjamin emphasize that “the new terrorism differs fundamentally from the more familiar politically motivated terrorism” on the basis of its lack of two specific features: “a plausible political agenda,” and “constraints on violence.”</w:t>
      </w:r>
      <w:r w:rsidRPr="005C6E5B">
        <w:rPr>
          <w:rStyle w:val="FootnoteReference"/>
          <w:rFonts w:cs="Times New Roman"/>
        </w:rPr>
        <w:footnoteReference w:id="285"/>
      </w:r>
      <w:r w:rsidRPr="005C6E5B">
        <w:rPr>
          <w:rFonts w:cs="Times New Roman"/>
        </w:rPr>
        <w:t xml:space="preserve"> Likewise, Laqueur observes that “new” terrorism is “indiscriminate in the choice of its victims” because it aims to inflict “maximum destruction.”</w:t>
      </w:r>
      <w:r w:rsidRPr="005C6E5B">
        <w:rPr>
          <w:rStyle w:val="FootnoteReference"/>
          <w:rFonts w:cs="Times New Roman"/>
        </w:rPr>
        <w:footnoteReference w:id="286"/>
      </w:r>
      <w:r w:rsidRPr="005C6E5B">
        <w:rPr>
          <w:rFonts w:cs="Times New Roman"/>
        </w:rPr>
        <w:t xml:space="preserve"> Laqueur attributes this objective to the religious fanaticism of “new” terrorists, who, he argues, suffer from delusion and persecution mania.</w:t>
      </w:r>
      <w:r w:rsidRPr="005C6E5B">
        <w:rPr>
          <w:rStyle w:val="FootnoteReference"/>
          <w:rFonts w:cs="Times New Roman"/>
        </w:rPr>
        <w:footnoteReference w:id="287"/>
      </w:r>
      <w:r w:rsidRPr="005C6E5B">
        <w:rPr>
          <w:rFonts w:cs="Times New Roman"/>
        </w:rPr>
        <w:t xml:space="preserve"> To an extent, Hoffman also concurs with the “new terrorism” thesis, concluding that “new terrorist organizations embrace far more amorphous religious and millenarian aims, and wrap themselves in less-cohesive organizational entities, with more diffuse structure and membership.”</w:t>
      </w:r>
      <w:r w:rsidRPr="005C6E5B">
        <w:rPr>
          <w:rStyle w:val="FootnoteReference"/>
          <w:rFonts w:cs="Times New Roman"/>
        </w:rPr>
        <w:footnoteReference w:id="288"/>
      </w:r>
      <w:r w:rsidRPr="005C6E5B">
        <w:rPr>
          <w:rFonts w:cs="Times New Roman"/>
        </w:rPr>
        <w:t xml:space="preserve"> Aum Shinrikyo</w:t>
      </w:r>
      <w:r w:rsidR="00365923">
        <w:rPr>
          <w:rFonts w:cs="Times New Roman"/>
        </w:rPr>
        <w:t>’s</w:t>
      </w:r>
      <w:r w:rsidR="00477459">
        <w:rPr>
          <w:rFonts w:cs="Times New Roman"/>
        </w:rPr>
        <w:t xml:space="preserve"> </w:t>
      </w:r>
      <w:r w:rsidRPr="005C6E5B">
        <w:rPr>
          <w:rFonts w:cs="Times New Roman"/>
        </w:rPr>
        <w:t>decision to deploy a chemical weapon against civilians conforms with the idea that “new” terrorists are “eager to cause the largest possible number of casualties among their enemies and also be willing to sacrifice any number of their own in the process.”</w:t>
      </w:r>
      <w:r w:rsidRPr="005C6E5B">
        <w:rPr>
          <w:rStyle w:val="FootnoteReference"/>
          <w:rFonts w:cs="Times New Roman"/>
        </w:rPr>
        <w:footnoteReference w:id="289"/>
      </w:r>
      <w:r w:rsidRPr="005C6E5B">
        <w:rPr>
          <w:rFonts w:cs="Times New Roman"/>
        </w:rPr>
        <w:t xml:space="preserve"> To that end, the violence enacted by Aum Shinrikyo befits the kind of “unprecedented lethality” that is said to characterize “new” terrorism because, for “new” terrorists, “the means have become an end in themselves, not a way of reaching an audience other than the[</w:t>
      </w:r>
      <w:proofErr w:type="spellStart"/>
      <w:r w:rsidRPr="005C6E5B">
        <w:rPr>
          <w:rFonts w:cs="Times New Roman"/>
        </w:rPr>
        <w:t>ir</w:t>
      </w:r>
      <w:proofErr w:type="spellEnd"/>
      <w:r w:rsidRPr="005C6E5B">
        <w:rPr>
          <w:rFonts w:cs="Times New Roman"/>
        </w:rPr>
        <w:t>] deity.”</w:t>
      </w:r>
      <w:r w:rsidRPr="005C6E5B">
        <w:rPr>
          <w:rStyle w:val="FootnoteReference"/>
          <w:rFonts w:cs="Times New Roman"/>
        </w:rPr>
        <w:footnoteReference w:id="290"/>
      </w:r>
      <w:r w:rsidRPr="005C6E5B">
        <w:rPr>
          <w:rFonts w:cs="Times New Roman"/>
        </w:rPr>
        <w:t xml:space="preserve"> In the case of Aum Shinrikyo, the “unprecedented lethality” of the sarin attack is often attributed to their desire to, in accordance with their religious beliefs, instigate a final conflict that would culminate in a nuclear Armageddon and usher in the End of Times.</w:t>
      </w:r>
      <w:r w:rsidRPr="005C6E5B">
        <w:rPr>
          <w:rStyle w:val="FootnoteReference"/>
          <w:rFonts w:cs="Times New Roman"/>
        </w:rPr>
        <w:footnoteReference w:id="291"/>
      </w:r>
    </w:p>
    <w:p w14:paraId="40E5ACE8" w14:textId="77777777" w:rsidR="00BE0E9B" w:rsidRPr="005C6E5B" w:rsidRDefault="00BE0E9B" w:rsidP="00BE0E9B">
      <w:pPr>
        <w:ind w:firstLine="720"/>
        <w:rPr>
          <w:rFonts w:cs="Times New Roman"/>
          <w:b/>
          <w:bCs/>
          <w:i/>
          <w:iCs/>
        </w:rPr>
      </w:pPr>
      <w:r w:rsidRPr="005C6E5B">
        <w:rPr>
          <w:rFonts w:cs="Times New Roman"/>
        </w:rPr>
        <w:t>Crenshaw and other critics of the “new terrorism” thesis argue that contemporary terrorism “is not a fundamentally or qualitatively new phenomenon but grounded in an evolving historical context.” Crenshaw argues that differences in the method and manifestation of twenty-first century terrorism are “of degree rather than kind.”</w:t>
      </w:r>
      <w:r w:rsidRPr="005C6E5B">
        <w:rPr>
          <w:rStyle w:val="FootnoteReference"/>
          <w:rFonts w:cs="Times New Roman"/>
        </w:rPr>
        <w:footnoteReference w:id="292"/>
      </w:r>
      <w:r w:rsidRPr="005C6E5B">
        <w:rPr>
          <w:rFonts w:cs="Times New Roman"/>
        </w:rPr>
        <w:t xml:space="preserve"> She criticizes Hoffman’s argument that the “new” “religious” terrorists constitute uniquely isolated “outsiders” that do not see themselves as “components of a system worth preserving, arguing that “accounts of a “new” terrorism… [are] not… grounded in sufficient knowledge of history or understanding of contemporary terrorism.”</w:t>
      </w:r>
      <w:r w:rsidRPr="005C6E5B">
        <w:rPr>
          <w:rStyle w:val="FootnoteReference"/>
          <w:rFonts w:cs="Times New Roman"/>
        </w:rPr>
        <w:footnoteReference w:id="293"/>
      </w:r>
      <w:r w:rsidRPr="005C6E5B">
        <w:rPr>
          <w:rFonts w:cs="Times New Roman"/>
        </w:rPr>
        <w:t xml:space="preserve"> Crenshaw also notes that Hoffman and other proponents of the “new terrorism” thesis make a false equivalency between the “creation of a new system” and “fundamental changes in the existing system,” in part because “it is not clear whether there is a chronological dimension [to the “new” vs. “old” terrorism debate”].”</w:t>
      </w:r>
      <w:r w:rsidRPr="005C6E5B">
        <w:rPr>
          <w:rStyle w:val="FootnoteReference"/>
          <w:rFonts w:cs="Times New Roman"/>
        </w:rPr>
        <w:footnoteReference w:id="294"/>
      </w:r>
      <w:r w:rsidRPr="005C6E5B">
        <w:rPr>
          <w:rFonts w:cs="Times New Roman"/>
        </w:rPr>
        <w:t xml:space="preserve">  As such, Crenshaw queries whether we should “assume that the “new” [terrorism has] </w:t>
      </w:r>
      <w:proofErr w:type="spellStart"/>
      <w:r w:rsidRPr="005C6E5B">
        <w:rPr>
          <w:rFonts w:cs="Times New Roman"/>
        </w:rPr>
        <w:t>replac</w:t>
      </w:r>
      <w:proofErr w:type="spellEnd"/>
      <w:r w:rsidRPr="005C6E5B">
        <w:rPr>
          <w:rFonts w:cs="Times New Roman"/>
        </w:rPr>
        <w:t xml:space="preserve">[ed] the old? [If so,] </w:t>
      </w:r>
      <w:r w:rsidRPr="005C6E5B">
        <w:rPr>
          <w:rFonts w:cs="Times New Roman"/>
        </w:rPr>
        <w:lastRenderedPageBreak/>
        <w:t>when was the transition [between the two]?”</w:t>
      </w:r>
      <w:r w:rsidRPr="005C6E5B">
        <w:rPr>
          <w:rStyle w:val="FootnoteReference"/>
          <w:rFonts w:cs="Times New Roman"/>
        </w:rPr>
        <w:footnoteReference w:id="295"/>
      </w:r>
      <w:r w:rsidRPr="005C6E5B">
        <w:rPr>
          <w:rFonts w:cs="Times New Roman"/>
        </w:rPr>
        <w:t xml:space="preserve"> Gideon Rose also questions the historicity of the “new terrorism” thesis, asserting that it “would have been accurate… a century earlier, when a loose-knit transnational movement quite literally devoted to the promotion of anarchy wreaked havoc across the globe.”</w:t>
      </w:r>
      <w:r w:rsidRPr="005C6E5B">
        <w:rPr>
          <w:rStyle w:val="FootnoteReference"/>
          <w:rFonts w:cs="Times New Roman"/>
        </w:rPr>
        <w:footnoteReference w:id="296"/>
      </w:r>
      <w:r w:rsidRPr="005C6E5B">
        <w:rPr>
          <w:rFonts w:cs="Times New Roman"/>
        </w:rPr>
        <w:t xml:space="preserve"> Additionally, Niall Ferguson bolsters Crenshaw and Rose’s arguments in asserting, “there are [historical] precedents for nearly all the elements of the attacks of September 11; the only real novelty was their </w:t>
      </w:r>
      <w:r w:rsidRPr="005C6E5B">
        <w:rPr>
          <w:rFonts w:cs="Times New Roman"/>
          <w:i/>
          <w:iCs/>
        </w:rPr>
        <w:t>combination</w:t>
      </w:r>
      <w:r w:rsidRPr="005C6E5B">
        <w:rPr>
          <w:rFonts w:cs="Times New Roman"/>
        </w:rPr>
        <w:t>.”</w:t>
      </w:r>
      <w:r w:rsidRPr="005C6E5B">
        <w:rPr>
          <w:rStyle w:val="FootnoteReference"/>
          <w:rFonts w:cs="Times New Roman"/>
        </w:rPr>
        <w:footnoteReference w:id="297"/>
      </w:r>
    </w:p>
    <w:p w14:paraId="46270956" w14:textId="497CDFB5" w:rsidR="00BE0E9B" w:rsidRPr="005C6E5B" w:rsidRDefault="00BE0E9B" w:rsidP="00BE0E9B">
      <w:pPr>
        <w:ind w:firstLine="709"/>
        <w:rPr>
          <w:rFonts w:cs="Times New Roman"/>
        </w:rPr>
      </w:pPr>
      <w:r w:rsidRPr="005C6E5B">
        <w:rPr>
          <w:rFonts w:cs="Times New Roman"/>
        </w:rPr>
        <w:tab/>
        <w:t xml:space="preserve">Another theme that recurs in scholarship that addresses the symbiosis between terrorism and the media involves the nature of the media’s role in its relationship with terrorism. In this regard, David L. </w:t>
      </w:r>
      <w:proofErr w:type="spellStart"/>
      <w:r w:rsidRPr="005C6E5B">
        <w:rPr>
          <w:rFonts w:cs="Times New Roman"/>
        </w:rPr>
        <w:t>Paletz</w:t>
      </w:r>
      <w:proofErr w:type="spellEnd"/>
      <w:r w:rsidRPr="005C6E5B">
        <w:rPr>
          <w:rFonts w:cs="Times New Roman"/>
        </w:rPr>
        <w:t xml:space="preserve"> and John </w:t>
      </w:r>
      <w:proofErr w:type="spellStart"/>
      <w:r w:rsidRPr="005C6E5B">
        <w:rPr>
          <w:rFonts w:cs="Times New Roman"/>
        </w:rPr>
        <w:t>Boiney</w:t>
      </w:r>
      <w:proofErr w:type="spellEnd"/>
      <w:r w:rsidRPr="005C6E5B">
        <w:rPr>
          <w:rFonts w:cs="Times New Roman"/>
        </w:rPr>
        <w:t xml:space="preserve"> note the existence of “two diametrically opposed camps: those that indict the media as pro-terrorist and those that indict the media as antiterrorist.”</w:t>
      </w:r>
      <w:r w:rsidRPr="005C6E5B">
        <w:rPr>
          <w:rStyle w:val="FootnoteReference"/>
          <w:rFonts w:cs="Times New Roman"/>
        </w:rPr>
        <w:footnoteReference w:id="298"/>
      </w:r>
      <w:r w:rsidRPr="005C6E5B">
        <w:rPr>
          <w:rFonts w:cs="Times New Roman"/>
        </w:rPr>
        <w:t xml:space="preserve"> Kevin </w:t>
      </w:r>
      <w:proofErr w:type="spellStart"/>
      <w:r w:rsidRPr="005C6E5B">
        <w:rPr>
          <w:rFonts w:cs="Times New Roman"/>
        </w:rPr>
        <w:t>Barnhurst</w:t>
      </w:r>
      <w:proofErr w:type="spellEnd"/>
      <w:r w:rsidRPr="005C6E5B">
        <w:rPr>
          <w:rFonts w:cs="Times New Roman"/>
        </w:rPr>
        <w:t xml:space="preserve"> identifies scholars that “see… the media as ‘culpable,’ instrumental to terrorism,” while others “</w:t>
      </w:r>
      <w:proofErr w:type="spellStart"/>
      <w:r w:rsidRPr="005C6E5B">
        <w:rPr>
          <w:rFonts w:cs="Times New Roman"/>
        </w:rPr>
        <w:t>argu</w:t>
      </w:r>
      <w:proofErr w:type="spellEnd"/>
      <w:r w:rsidRPr="005C6E5B">
        <w:rPr>
          <w:rFonts w:cs="Times New Roman"/>
        </w:rPr>
        <w:t>[es] that the media are ‘vulnerable,’ victims themselves of the manipulation by terrorists, yet not directly responsible for their deeds.”</w:t>
      </w:r>
      <w:r w:rsidRPr="005C6E5B">
        <w:rPr>
          <w:rStyle w:val="FootnoteReference"/>
          <w:rFonts w:cs="Times New Roman"/>
        </w:rPr>
        <w:footnoteReference w:id="299"/>
      </w:r>
      <w:r w:rsidRPr="005C6E5B">
        <w:rPr>
          <w:rFonts w:cs="Times New Roman"/>
        </w:rPr>
        <w:t xml:space="preserve"> Moreover, scholars like Alex P. Schmid and Yonah Alexander </w:t>
      </w:r>
      <w:r w:rsidR="00365923">
        <w:rPr>
          <w:rFonts w:cs="Times New Roman"/>
        </w:rPr>
        <w:t xml:space="preserve">argue for </w:t>
      </w:r>
      <w:r w:rsidRPr="005C6E5B">
        <w:rPr>
          <w:rFonts w:cs="Times New Roman"/>
        </w:rPr>
        <w:t xml:space="preserve"> media’s culpability, arguing that the media become “co-participants” in the terrorism that is perpetrated.</w:t>
      </w:r>
      <w:r w:rsidRPr="005C6E5B">
        <w:rPr>
          <w:rStyle w:val="FootnoteReference"/>
          <w:rFonts w:cs="Times New Roman"/>
        </w:rPr>
        <w:footnoteReference w:id="300"/>
      </w:r>
      <w:r w:rsidRPr="005C6E5B">
        <w:rPr>
          <w:rFonts w:cs="Times New Roman"/>
        </w:rPr>
        <w:t xml:space="preserve"> Similarly, Raphael Cohen-</w:t>
      </w:r>
      <w:proofErr w:type="spellStart"/>
      <w:r w:rsidRPr="005C6E5B">
        <w:rPr>
          <w:rFonts w:cs="Times New Roman"/>
        </w:rPr>
        <w:t>Almagor</w:t>
      </w:r>
      <w:proofErr w:type="spellEnd"/>
      <w:r w:rsidRPr="005C6E5B">
        <w:rPr>
          <w:rFonts w:cs="Times New Roman"/>
        </w:rPr>
        <w:t xml:space="preserve"> </w:t>
      </w:r>
      <w:r w:rsidR="00365923">
        <w:rPr>
          <w:rFonts w:cs="Times New Roman"/>
        </w:rPr>
        <w:t xml:space="preserve">suggests </w:t>
      </w:r>
      <w:r w:rsidRPr="005C6E5B">
        <w:rPr>
          <w:rFonts w:cs="Times New Roman"/>
        </w:rPr>
        <w:t xml:space="preserve">  a weaker variant of this hypothesis. Thus, Cohen-</w:t>
      </w:r>
      <w:proofErr w:type="spellStart"/>
      <w:r w:rsidRPr="005C6E5B">
        <w:rPr>
          <w:rFonts w:cs="Times New Roman"/>
        </w:rPr>
        <w:t>Almagor</w:t>
      </w:r>
      <w:proofErr w:type="spellEnd"/>
      <w:r w:rsidRPr="005C6E5B">
        <w:rPr>
          <w:rFonts w:cs="Times New Roman"/>
        </w:rPr>
        <w:t xml:space="preserve"> s</w:t>
      </w:r>
      <w:r w:rsidR="00365923">
        <w:rPr>
          <w:rFonts w:cs="Times New Roman"/>
        </w:rPr>
        <w:t xml:space="preserve">tates </w:t>
      </w:r>
      <w:r w:rsidRPr="005C6E5B">
        <w:rPr>
          <w:rFonts w:cs="Times New Roman"/>
        </w:rPr>
        <w:t>that “problematic and irresponsible” media coverage of terrorism has resulted in the media furthering the terrorists’ objectives, and acting contrary to the interests of the government in combatting terrorism.</w:t>
      </w:r>
      <w:r w:rsidRPr="005C6E5B">
        <w:rPr>
          <w:rStyle w:val="FootnoteReference"/>
          <w:rFonts w:cs="Times New Roman"/>
        </w:rPr>
        <w:footnoteReference w:id="301"/>
      </w:r>
      <w:r w:rsidRPr="005C6E5B">
        <w:rPr>
          <w:rFonts w:cs="Times New Roman"/>
        </w:rPr>
        <w:t xml:space="preserve"> To that end, such scholarship tends to place overwhelmingly critical focus on problems caused or perpetuated by the mass media. Extant scholarship on the interplay between terrorism and media coverage has gotten sidelined from what it </w:t>
      </w:r>
      <w:r w:rsidRPr="005C6E5B">
        <w:rPr>
          <w:rFonts w:cs="Times New Roman"/>
          <w:i/>
          <w:iCs/>
        </w:rPr>
        <w:t>ought</w:t>
      </w:r>
      <w:r w:rsidRPr="005C6E5B">
        <w:rPr>
          <w:rFonts w:cs="Times New Roman"/>
        </w:rPr>
        <w:t xml:space="preserve"> to be focusing on. I diverge from this trend by arguing that properly understanding both the interaction between terrorism and media coverage, </w:t>
      </w:r>
      <w:r w:rsidRPr="005C6E5B">
        <w:rPr>
          <w:rFonts w:cs="Times New Roman"/>
          <w:i/>
          <w:iCs/>
        </w:rPr>
        <w:t>and</w:t>
      </w:r>
      <w:r w:rsidRPr="005C6E5B">
        <w:rPr>
          <w:rFonts w:cs="Times New Roman"/>
        </w:rPr>
        <w:t xml:space="preserve"> how terrorism works in a more general sense necessitates understanding that media coverage of terrorism is ultimately the ‘mode’ that provides for terrorism’s efficacy.</w:t>
      </w:r>
    </w:p>
    <w:p w14:paraId="629E05E7" w14:textId="29B17329" w:rsidR="00BE0E9B" w:rsidRPr="005C6E5B" w:rsidRDefault="00BE0E9B" w:rsidP="00BE0E9B">
      <w:pPr>
        <w:ind w:firstLine="709"/>
        <w:rPr>
          <w:rFonts w:cs="Times New Roman"/>
          <w:b/>
          <w:bCs/>
          <w:i/>
          <w:iCs/>
        </w:rPr>
      </w:pPr>
      <w:r w:rsidRPr="005C6E5B">
        <w:rPr>
          <w:rFonts w:cs="Times New Roman"/>
        </w:rPr>
        <w:tab/>
        <w:t>The scholarship focused on the interplay between terrorism and the media as a “symbiotic relationship” is a fundamental misunderstanding, and to that end also a misrepresentation of the nature of the mass media</w:t>
      </w:r>
      <w:r w:rsidRPr="005C6E5B">
        <w:rPr>
          <w:rFonts w:cs="Times New Roman"/>
          <w:b/>
          <w:bCs/>
          <w:i/>
          <w:iCs/>
        </w:rPr>
        <w:t>.</w:t>
      </w:r>
      <w:r w:rsidRPr="005C6E5B">
        <w:rPr>
          <w:rFonts w:cs="Times New Roman"/>
        </w:rPr>
        <w:t xml:space="preserve"> Most significantly, this errant conception of the media emerges in extant scholarship’s use of the term “media” in an indistinct manner that ultimately “conflate[s] communication technologies, content carried by media platforms, and media organizations.”</w:t>
      </w:r>
      <w:r w:rsidRPr="005C6E5B">
        <w:rPr>
          <w:rStyle w:val="FootnoteReference"/>
          <w:rFonts w:cs="Times New Roman"/>
        </w:rPr>
        <w:footnoteReference w:id="302"/>
      </w:r>
      <w:r w:rsidRPr="005C6E5B">
        <w:rPr>
          <w:rFonts w:cs="Times New Roman"/>
        </w:rPr>
        <w:t xml:space="preserve"> Moreover, indistinctly defining “media” in the context of discussions about its relationship with terrorism facilitates scholars’ mistaken constitution of media as a unitary and rational actor. By virtue of comprising many different organizations, institutions, individuals and processes, the media cannot be reduced or understood in this manner. This </w:t>
      </w:r>
      <w:r w:rsidRPr="005C6E5B">
        <w:rPr>
          <w:rFonts w:cs="Times New Roman"/>
        </w:rPr>
        <w:lastRenderedPageBreak/>
        <w:t>differentiated nature of the sources that comprise the media is further compounded by other factors including differing ownership structures and diverging perspectives that characterize different media outlets. Indeed, the media cannot be considered either a unitary actor or a rational actor because it does not possess a single, centralized decision-making authority.</w:t>
      </w:r>
      <w:r w:rsidRPr="005C6E5B">
        <w:rPr>
          <w:rStyle w:val="FootnoteReference"/>
          <w:rFonts w:cs="Times New Roman"/>
        </w:rPr>
        <w:footnoteReference w:id="303"/>
      </w:r>
      <w:r w:rsidRPr="005C6E5B">
        <w:rPr>
          <w:rFonts w:cs="Times New Roman"/>
        </w:rPr>
        <w:t xml:space="preserve">  Overbroad generalizations of the terrorism and media symbiosis thesis notwithstanding, the media </w:t>
      </w:r>
      <w:r w:rsidR="00365923">
        <w:rPr>
          <w:rFonts w:cs="Times New Roman"/>
        </w:rPr>
        <w:t xml:space="preserve">also </w:t>
      </w:r>
      <w:r w:rsidRPr="005C6E5B">
        <w:rPr>
          <w:rFonts w:cs="Times New Roman"/>
        </w:rPr>
        <w:t>does not have universal, standardized objectives or a streamlined thought process.</w:t>
      </w:r>
      <w:r w:rsidRPr="005C6E5B">
        <w:rPr>
          <w:rStyle w:val="FootnoteReference"/>
          <w:rFonts w:cs="Times New Roman"/>
        </w:rPr>
        <w:footnoteReference w:id="304"/>
      </w:r>
      <w:r w:rsidRPr="005C6E5B">
        <w:rPr>
          <w:rFonts w:cs="Times New Roman"/>
        </w:rPr>
        <w:t xml:space="preserve"> Disproving the notion that the media is a unitary and rational actor ultimately undercuts a key tenet undergirding the media-terrorism symbiosis scholarship. Doing so also exposes the existing scholarship’s failure to integrate insights from the media and communications studies literatures. Indeed, much of the literature addressing the purported symbiosis between terrorism and the media “is stuck in the [twentieth] century”, in that it relies on ideas analogous to theory that communications and media scholars have since “deemed unsatisfactory… and replaced [with] more nuanced models.”</w:t>
      </w:r>
      <w:r w:rsidRPr="005C6E5B">
        <w:rPr>
          <w:rStyle w:val="FootnoteReference"/>
          <w:rFonts w:cs="Times New Roman"/>
        </w:rPr>
        <w:footnoteReference w:id="305"/>
      </w:r>
      <w:r w:rsidRPr="005C6E5B">
        <w:rPr>
          <w:rFonts w:cs="Times New Roman"/>
        </w:rPr>
        <w:t xml:space="preserve"> The communication and media studies literatures are explicitly relevant to the media-terrorism symbiosis scholarship because they largely focus on the role that the media plays in connection with public opinion, and the role of propaganda, which is conceived of as a form of deliberate control of narrative and the proliferation of information.</w:t>
      </w:r>
      <w:r w:rsidRPr="005C6E5B">
        <w:rPr>
          <w:rStyle w:val="FootnoteReference"/>
          <w:rFonts w:cs="Times New Roman"/>
        </w:rPr>
        <w:footnoteReference w:id="306"/>
      </w:r>
      <w:r w:rsidRPr="005C6E5B">
        <w:rPr>
          <w:rFonts w:cs="Times New Roman"/>
        </w:rPr>
        <w:t xml:space="preserve"> To that end, the existing </w:t>
      </w:r>
      <w:r w:rsidRPr="005C6E5B">
        <w:rPr>
          <w:rFonts w:cs="Times New Roman"/>
        </w:rPr>
        <w:lastRenderedPageBreak/>
        <w:t>scholarship’s failure to integrate connections from these literatures is surprising, given Wilkinson’s argument that “when one says terrorism… one also says media… [because terrorism] depends on communicating a threat to the wider society.”</w:t>
      </w:r>
      <w:r w:rsidRPr="005C6E5B">
        <w:rPr>
          <w:rStyle w:val="FootnoteReference"/>
          <w:rFonts w:cs="Times New Roman"/>
        </w:rPr>
        <w:footnoteReference w:id="307"/>
      </w:r>
    </w:p>
    <w:p w14:paraId="63554AB4" w14:textId="12062591" w:rsidR="00BE0E9B" w:rsidRPr="005C6E5B" w:rsidRDefault="00BE0E9B" w:rsidP="00BE0E9B">
      <w:pPr>
        <w:ind w:firstLine="709"/>
        <w:rPr>
          <w:rFonts w:cs="Times New Roman"/>
        </w:rPr>
      </w:pPr>
      <w:r w:rsidRPr="005C6E5B">
        <w:rPr>
          <w:rFonts w:cs="Times New Roman"/>
        </w:rPr>
        <w:tab/>
        <w:t>The academic literature also assumes a truism that media amplif</w:t>
      </w:r>
      <w:r w:rsidR="00365923">
        <w:rPr>
          <w:rFonts w:cs="Times New Roman"/>
        </w:rPr>
        <w:t>y</w:t>
      </w:r>
      <w:r w:rsidRPr="005C6E5B">
        <w:rPr>
          <w:rFonts w:cs="Times New Roman"/>
        </w:rPr>
        <w:t xml:space="preserve"> the effects of terrorism.</w:t>
      </w:r>
      <w:r w:rsidR="00A573EE">
        <w:rPr>
          <w:rFonts w:cs="Times New Roman"/>
        </w:rPr>
        <w:t xml:space="preserve"> </w:t>
      </w:r>
      <w:r w:rsidRPr="005C6E5B">
        <w:rPr>
          <w:rFonts w:cs="Times New Roman"/>
        </w:rPr>
        <w:t>To wit, L. John Martin asserts that terrorists seek to reach a “large audience” and further, that in their quest to reach this audience, terrorists “have learned to exploit the media’s own modus operandi to maximize their reach.”</w:t>
      </w:r>
      <w:r w:rsidRPr="005C6E5B">
        <w:rPr>
          <w:rStyle w:val="FootnoteReference"/>
          <w:rFonts w:cs="Times New Roman"/>
        </w:rPr>
        <w:footnoteReference w:id="308"/>
      </w:r>
      <w:r w:rsidRPr="005C6E5B">
        <w:rPr>
          <w:rFonts w:cs="Times New Roman"/>
        </w:rPr>
        <w:t xml:space="preserve"> Notwithstanding, both Martin and extant scholarship in general fail to deconstruct the amplification process itself. Moreover, scholars have long neglected to focus on the role that the amplification process by its very nature plays in terrorism’s realization of its objectives. Instead, the literature tends to focus on the outcome of the media’s having amplified the terrorist message. This suggests the enduring relevance of Marshall McLuhan’s argument that “the medium is the message.”</w:t>
      </w:r>
      <w:r w:rsidRPr="005C6E5B">
        <w:rPr>
          <w:rStyle w:val="FootnoteReference"/>
          <w:rFonts w:cs="Times New Roman"/>
        </w:rPr>
        <w:footnoteReference w:id="309"/>
      </w:r>
      <w:r w:rsidRPr="005C6E5B">
        <w:rPr>
          <w:rFonts w:cs="Times New Roman"/>
        </w:rPr>
        <w:t xml:space="preserve"> To elaborate, this McLuhanesque view understands information transmitted as media coverage as ultimately comprising two layers: the message manifested by its substantive content, and the often-overlooked message conveyed by the character of the medium used to relay the content itself.</w:t>
      </w:r>
      <w:r w:rsidRPr="005C6E5B">
        <w:rPr>
          <w:rStyle w:val="FootnoteReference"/>
          <w:rFonts w:cs="Times New Roman"/>
        </w:rPr>
        <w:footnoteReference w:id="310"/>
      </w:r>
      <w:r w:rsidRPr="005C6E5B">
        <w:rPr>
          <w:rFonts w:cs="Times New Roman"/>
        </w:rPr>
        <w:t xml:space="preserve"> As such, media coverage’s amplification of terrorism constitutes a message that the terrorism itself (as well as its perpetrators’ grievances and objectives) is important enough to warrant space on the public agenda. Indeed, the status conferral function of media coverage proposed by Paul </w:t>
      </w:r>
      <w:proofErr w:type="spellStart"/>
      <w:r w:rsidRPr="005C6E5B">
        <w:rPr>
          <w:rFonts w:cs="Times New Roman"/>
        </w:rPr>
        <w:t>Lazarsfeld</w:t>
      </w:r>
      <w:proofErr w:type="spellEnd"/>
      <w:r w:rsidRPr="005C6E5B">
        <w:rPr>
          <w:rFonts w:cs="Times New Roman"/>
        </w:rPr>
        <w:t xml:space="preserve"> and Robert K. Merton parallels this approach by suggesting that media attention increases the prestige of specific issues in the eyes of the public by legitimizing specific events and occurrences.</w:t>
      </w:r>
      <w:r w:rsidRPr="005C6E5B">
        <w:rPr>
          <w:rStyle w:val="FootnoteReference"/>
          <w:rFonts w:cs="Times New Roman"/>
        </w:rPr>
        <w:footnoteReference w:id="311"/>
      </w:r>
      <w:r w:rsidRPr="005C6E5B">
        <w:rPr>
          <w:rFonts w:cs="Times New Roman"/>
        </w:rPr>
        <w:t xml:space="preserve"> </w:t>
      </w:r>
      <w:r w:rsidR="00821F36">
        <w:rPr>
          <w:rFonts w:cs="Times New Roman"/>
        </w:rPr>
        <w:t>As p</w:t>
      </w:r>
      <w:r w:rsidRPr="005C6E5B">
        <w:rPr>
          <w:rFonts w:cs="Times New Roman"/>
        </w:rPr>
        <w:t xml:space="preserve">er </w:t>
      </w:r>
      <w:proofErr w:type="spellStart"/>
      <w:r w:rsidRPr="005C6E5B">
        <w:rPr>
          <w:rFonts w:cs="Times New Roman"/>
        </w:rPr>
        <w:t>Lazarsfeld</w:t>
      </w:r>
      <w:proofErr w:type="spellEnd"/>
      <w:r w:rsidRPr="005C6E5B">
        <w:rPr>
          <w:rFonts w:cs="Times New Roman"/>
        </w:rPr>
        <w:t xml:space="preserve"> and Merton, this legitimization is bolstered by the media’s extensive and repetitive highlighting of terrorism and terrorist incidents.</w:t>
      </w:r>
      <w:r w:rsidRPr="005C6E5B">
        <w:rPr>
          <w:rStyle w:val="FootnoteReference"/>
          <w:rFonts w:cs="Times New Roman"/>
        </w:rPr>
        <w:footnoteReference w:id="312"/>
      </w:r>
      <w:r w:rsidRPr="005C6E5B">
        <w:rPr>
          <w:rFonts w:cs="Times New Roman"/>
        </w:rPr>
        <w:t xml:space="preserve"> One of the more noteworthy, contemporary examples of media coverage’s ability to elevate the prestige of an incident is the September 11, 2001 terrorist attacks in the United States. T</w:t>
      </w:r>
      <w:r w:rsidRPr="005C6E5B">
        <w:rPr>
          <w:rFonts w:cs="Times New Roman"/>
          <w:color w:val="0D0D0D"/>
          <w:shd w:val="clear" w:color="auto" w:fill="FFFFFF"/>
        </w:rPr>
        <w:t xml:space="preserve">he extensive and repetitive coverage of these attacks by news outlets around the world not only informed the public about the events but also amplified the impact of the attacks on a global scale. The continuous airing of footage showing the planes crashing into the World Trade Center towers, along with interviews with survivors, experts, and policymakers, reinforced the perception of terrorism as a grave threat to national security. The repetitive coverage of the September 11 attacks </w:t>
      </w:r>
      <w:r w:rsidR="00F60B44">
        <w:rPr>
          <w:rFonts w:cs="Times New Roman"/>
          <w:color w:val="0D0D0D"/>
          <w:shd w:val="clear" w:color="auto" w:fill="FFFFFF"/>
        </w:rPr>
        <w:t xml:space="preserve">across broadcast, print and online media </w:t>
      </w:r>
      <w:r w:rsidRPr="005C6E5B">
        <w:rPr>
          <w:rFonts w:cs="Times New Roman"/>
          <w:color w:val="0D0D0D"/>
          <w:shd w:val="clear" w:color="auto" w:fill="FFFFFF"/>
        </w:rPr>
        <w:t xml:space="preserve">also contributed to legitimizing the War on Terror and shaping public attitudes and policy responses towards counterterrorism efforts. </w:t>
      </w:r>
      <w:r w:rsidR="00F60B44">
        <w:rPr>
          <w:rFonts w:cs="Times New Roman"/>
        </w:rPr>
        <w:t>T</w:t>
      </w:r>
      <w:r w:rsidRPr="005C6E5B">
        <w:rPr>
          <w:rFonts w:cs="Times New Roman"/>
        </w:rPr>
        <w:t xml:space="preserve">he disproportionate media attention afforded this subject matter </w:t>
      </w:r>
      <w:r w:rsidR="00F60B44">
        <w:rPr>
          <w:rFonts w:cs="Times New Roman"/>
        </w:rPr>
        <w:t xml:space="preserve">also </w:t>
      </w:r>
      <w:r w:rsidRPr="005C6E5B">
        <w:rPr>
          <w:rFonts w:cs="Times New Roman"/>
        </w:rPr>
        <w:t>provides for terrorism’s prominence on the public agenda’s hierarchy of issues and incidents that are considered important.</w:t>
      </w:r>
      <w:r w:rsidRPr="005C6E5B">
        <w:rPr>
          <w:rStyle w:val="FootnoteReference"/>
          <w:rFonts w:cs="Times New Roman"/>
        </w:rPr>
        <w:footnoteReference w:id="313"/>
      </w:r>
      <w:r w:rsidRPr="005C6E5B">
        <w:rPr>
          <w:rFonts w:cs="Times New Roman"/>
        </w:rPr>
        <w:t xml:space="preserve"> To that end, agenda setting theory is also relevant to proposals that media coverage draws public attention to certain topics, issues, and ideas and thereby increases their visibility and </w:t>
      </w:r>
      <w:r w:rsidRPr="005C6E5B">
        <w:rPr>
          <w:rFonts w:cs="Times New Roman"/>
        </w:rPr>
        <w:lastRenderedPageBreak/>
        <w:t>relevance.</w:t>
      </w:r>
      <w:r w:rsidRPr="005C6E5B">
        <w:rPr>
          <w:rStyle w:val="FootnoteReference"/>
          <w:rFonts w:cs="Times New Roman"/>
        </w:rPr>
        <w:footnoteReference w:id="314"/>
      </w:r>
      <w:r w:rsidRPr="005C6E5B">
        <w:rPr>
          <w:rFonts w:cs="Times New Roman"/>
        </w:rPr>
        <w:t xml:space="preserve"> In basic terms, it does not matter </w:t>
      </w:r>
      <w:r w:rsidRPr="005C6E5B">
        <w:rPr>
          <w:rFonts w:cs="Times New Roman"/>
          <w:i/>
          <w:iCs/>
        </w:rPr>
        <w:t>what</w:t>
      </w:r>
      <w:r w:rsidRPr="005C6E5B">
        <w:rPr>
          <w:rFonts w:cs="Times New Roman"/>
        </w:rPr>
        <w:t xml:space="preserve"> the media is saying about terrorism. The fact that time and attention is devoted to terrorism </w:t>
      </w:r>
      <w:r w:rsidRPr="005C6E5B">
        <w:rPr>
          <w:rFonts w:cs="Times New Roman"/>
          <w:i/>
          <w:iCs/>
        </w:rPr>
        <w:t>at all</w:t>
      </w:r>
      <w:r w:rsidRPr="005C6E5B">
        <w:rPr>
          <w:rFonts w:cs="Times New Roman"/>
        </w:rPr>
        <w:t xml:space="preserve"> keeps terrorists relevant to the public and legitimizes them, their actions, and their cause.</w:t>
      </w:r>
      <w:r w:rsidR="00821F36">
        <w:rPr>
          <w:rFonts w:cs="Times New Roman"/>
        </w:rPr>
        <w:t xml:space="preserve"> </w:t>
      </w:r>
      <w:r w:rsidR="00F60B44">
        <w:rPr>
          <w:rFonts w:cs="Times New Roman"/>
        </w:rPr>
        <w:t>Moreover, such coverage also securitizes terrorism as a threat.</w:t>
      </w:r>
    </w:p>
    <w:p w14:paraId="6017AC09" w14:textId="569F0BE1" w:rsidR="00D03C79" w:rsidRPr="005C6E5B" w:rsidRDefault="00BE0E9B" w:rsidP="00F42AC3">
      <w:pPr>
        <w:ind w:firstLine="720"/>
        <w:rPr>
          <w:rFonts w:cs="Times New Roman"/>
        </w:rPr>
      </w:pPr>
      <w:r w:rsidRPr="005C6E5B">
        <w:rPr>
          <w:rFonts w:cs="Times New Roman"/>
        </w:rPr>
        <w:t xml:space="preserve">To conclude: neither the scholarly literature that addresses the purported ‘symbiosis’ between terrorism and the media nor the “propaganda of the deed” literature facilitates a complete and fulsome understanding of the interplay between media coverage, terrorism, and public sentiment. Specifically, these literatures are underdeveloped and lack nuance. Notably, they fail to explicitly link the role that the media plays as an amplifying factor for terrorism to any ‘success’ that it achieves. The most problematic aspect of the extant literature is an implicit conceptualization of media amplification of the effects of terrorism and underlying messages as a mere by-product of the relationship between terrorism and media. To rectify this flaw, I integrate theoretical insights from the communications and media studies literatures, as well as methodology and operational definitions from existing linguistics and English literary scholarship. This interdisciplinarity ultimately illustrates my argument that media coverage is the </w:t>
      </w:r>
      <w:r w:rsidRPr="005C6E5B">
        <w:rPr>
          <w:rFonts w:cs="Times New Roman"/>
          <w:i/>
          <w:iCs/>
        </w:rPr>
        <w:t>‘mode’</w:t>
      </w:r>
      <w:r w:rsidRPr="005C6E5B">
        <w:rPr>
          <w:rFonts w:cs="Times New Roman"/>
        </w:rPr>
        <w:t xml:space="preserve"> corresponding to the ‘means’ of post-modern warfare constituted by terrorism.</w:t>
      </w:r>
      <w:r w:rsidRPr="005C6E5B">
        <w:rPr>
          <w:rStyle w:val="FootnoteReference"/>
          <w:rFonts w:cs="Times New Roman"/>
        </w:rPr>
        <w:footnoteReference w:id="315"/>
      </w:r>
      <w:r w:rsidRPr="005C6E5B">
        <w:rPr>
          <w:rFonts w:cs="Times New Roman"/>
        </w:rPr>
        <w:t xml:space="preserve"> For this reason, I argue that media coverage’s amplification of the effects of terrorism is ultimately what makes terrorism effective.</w:t>
      </w:r>
    </w:p>
    <w:p w14:paraId="1066A85B" w14:textId="77777777" w:rsidR="00BE0E9B" w:rsidRPr="005C6E5B" w:rsidRDefault="00BE0E9B" w:rsidP="00787123">
      <w:pPr>
        <w:pStyle w:val="DissertationSection1"/>
      </w:pPr>
      <w:bookmarkStart w:id="38" w:name="_Toc175413143"/>
      <w:r w:rsidRPr="005C6E5B">
        <w:t>The Media and Political Communication</w:t>
      </w:r>
      <w:bookmarkEnd w:id="38"/>
    </w:p>
    <w:p w14:paraId="4D555CA9" w14:textId="77777777" w:rsidR="00BE0E9B" w:rsidRPr="005C6E5B" w:rsidRDefault="00BE0E9B" w:rsidP="00BE0E9B">
      <w:pPr>
        <w:ind w:firstLine="709"/>
        <w:rPr>
          <w:rFonts w:cs="Times New Roman"/>
        </w:rPr>
      </w:pPr>
      <w:r w:rsidRPr="005C6E5B">
        <w:rPr>
          <w:rFonts w:cs="Times New Roman"/>
        </w:rPr>
        <w:t>The effect that terrorist activity has on the state’s international legitimacy depends on its perpetrators’ ability to communicate with a wider audience through their behavior, actions, and inactions. The media plays an integral role to this communication process because of the role that it plays in mediating between important actors (particularly governments) and their constituencies.</w:t>
      </w:r>
      <w:r w:rsidRPr="005C6E5B">
        <w:rPr>
          <w:rStyle w:val="FootnoteReference"/>
          <w:rFonts w:cs="Times New Roman"/>
        </w:rPr>
        <w:footnoteReference w:id="316"/>
      </w:r>
      <w:r w:rsidRPr="005C6E5B">
        <w:rPr>
          <w:rFonts w:cs="Times New Roman"/>
        </w:rPr>
        <w:t xml:space="preserve">  Media coverage – news stories produced, framed and disseminated to the international public by the journalists, editors and publishers that comprise the communications industry – exerts significant influence on the shaping of public opinion, which, in turn, affects public policy decision-making.</w:t>
      </w:r>
      <w:r w:rsidRPr="005C6E5B">
        <w:rPr>
          <w:rStyle w:val="FootnoteReference"/>
          <w:rFonts w:cs="Times New Roman"/>
        </w:rPr>
        <w:footnoteReference w:id="317"/>
      </w:r>
      <w:r w:rsidRPr="005C6E5B">
        <w:rPr>
          <w:rFonts w:cs="Times New Roman"/>
        </w:rPr>
        <w:t xml:space="preserve"> Media coverage exerts this influence largely through its description and framing of terrorism, which is presented as news. Thus, as an institution the media has not just influence but actual power in the traditional International Relations (IR) sense of the word.</w:t>
      </w:r>
      <w:r w:rsidRPr="005C6E5B">
        <w:rPr>
          <w:rStyle w:val="FootnoteReference"/>
          <w:rFonts w:cs="Times New Roman"/>
        </w:rPr>
        <w:footnoteReference w:id="318"/>
      </w:r>
    </w:p>
    <w:p w14:paraId="5ED0A2AC" w14:textId="066A548E" w:rsidR="00BE0E9B" w:rsidRPr="005C6E5B" w:rsidRDefault="00BE0E9B" w:rsidP="00BE0E9B">
      <w:pPr>
        <w:ind w:firstLine="709"/>
        <w:rPr>
          <w:rFonts w:cs="Times New Roman"/>
        </w:rPr>
      </w:pPr>
      <w:r w:rsidRPr="005C6E5B">
        <w:rPr>
          <w:rFonts w:cs="Times New Roman"/>
        </w:rPr>
        <w:t xml:space="preserve">Political scientists </w:t>
      </w:r>
      <w:r w:rsidR="002A7192">
        <w:rPr>
          <w:rFonts w:cs="Times New Roman"/>
        </w:rPr>
        <w:t xml:space="preserve">like </w:t>
      </w:r>
      <w:r w:rsidR="003E0A5F">
        <w:rPr>
          <w:rFonts w:cs="Times New Roman"/>
        </w:rPr>
        <w:t xml:space="preserve">Peter </w:t>
      </w:r>
      <w:r w:rsidR="002A7192">
        <w:rPr>
          <w:rFonts w:cs="Times New Roman"/>
        </w:rPr>
        <w:t xml:space="preserve">Bachrach and </w:t>
      </w:r>
      <w:r w:rsidR="003E0A5F">
        <w:rPr>
          <w:rFonts w:cs="Times New Roman"/>
        </w:rPr>
        <w:t xml:space="preserve">Morton </w:t>
      </w:r>
      <w:proofErr w:type="spellStart"/>
      <w:r w:rsidR="003E0A5F">
        <w:rPr>
          <w:rFonts w:cs="Times New Roman"/>
        </w:rPr>
        <w:t>B</w:t>
      </w:r>
      <w:r w:rsidR="002A7192">
        <w:rPr>
          <w:rFonts w:cs="Times New Roman"/>
        </w:rPr>
        <w:t>aratz</w:t>
      </w:r>
      <w:proofErr w:type="spellEnd"/>
      <w:r w:rsidR="002A7192">
        <w:rPr>
          <w:rFonts w:cs="Times New Roman"/>
        </w:rPr>
        <w:t xml:space="preserve"> </w:t>
      </w:r>
      <w:r w:rsidRPr="005C6E5B">
        <w:rPr>
          <w:rFonts w:cs="Times New Roman"/>
        </w:rPr>
        <w:t>conceive of power as “participation in decision-making.”</w:t>
      </w:r>
      <w:r w:rsidRPr="005C6E5B">
        <w:rPr>
          <w:rStyle w:val="FootnoteReference"/>
          <w:rFonts w:cs="Times New Roman"/>
        </w:rPr>
        <w:footnoteReference w:id="319"/>
      </w:r>
      <w:r w:rsidRPr="005C6E5B">
        <w:rPr>
          <w:rFonts w:cs="Times New Roman"/>
        </w:rPr>
        <w:t xml:space="preserve"> Power, as reflected and constituted in and through the media context, goes one step further: rather than simply “participating” in decision-making, the media at least partially defines the </w:t>
      </w:r>
      <w:r w:rsidRPr="005C6E5B">
        <w:rPr>
          <w:rFonts w:cs="Times New Roman"/>
          <w:i/>
          <w:iCs/>
        </w:rPr>
        <w:t>trajectory</w:t>
      </w:r>
      <w:r w:rsidRPr="005C6E5B">
        <w:rPr>
          <w:rFonts w:cs="Times New Roman"/>
        </w:rPr>
        <w:t xml:space="preserve"> of the decision-making processes through an ability </w:t>
      </w:r>
      <w:r w:rsidRPr="005C6E5B">
        <w:rPr>
          <w:rFonts w:cs="Times New Roman"/>
        </w:rPr>
        <w:lastRenderedPageBreak/>
        <w:t xml:space="preserve">to determine the type and scope of discussion about “important” and “unimportant” policy issues. Thus, the amount of influence that the media potentially has over the state’s </w:t>
      </w:r>
      <w:r w:rsidR="00F74D09">
        <w:rPr>
          <w:rFonts w:cs="Times New Roman"/>
        </w:rPr>
        <w:t>constituents</w:t>
      </w:r>
      <w:r w:rsidRPr="005C6E5B">
        <w:rPr>
          <w:rFonts w:cs="Times New Roman"/>
        </w:rPr>
        <w:t xml:space="preserve"> is greater than the </w:t>
      </w:r>
      <w:r>
        <w:rPr>
          <w:rFonts w:cs="Times New Roman"/>
        </w:rPr>
        <w:t>influence</w:t>
      </w:r>
      <w:r w:rsidRPr="005C6E5B">
        <w:rPr>
          <w:rFonts w:cs="Times New Roman"/>
        </w:rPr>
        <w:t xml:space="preserve"> that politicians might be able to realize in the same context. As per agenda setting theory, “the media salience of political issues increases the salience of those issues in public opinion.”</w:t>
      </w:r>
      <w:r w:rsidRPr="005C6E5B">
        <w:rPr>
          <w:rStyle w:val="FootnoteReference"/>
          <w:rFonts w:cs="Times New Roman"/>
        </w:rPr>
        <w:footnoteReference w:id="320"/>
      </w:r>
      <w:r w:rsidRPr="005C6E5B">
        <w:rPr>
          <w:rFonts w:cs="Times New Roman"/>
        </w:rPr>
        <w:t xml:space="preserve"> Thus, the media both </w:t>
      </w:r>
      <w:r w:rsidRPr="005C6E5B">
        <w:rPr>
          <w:rFonts w:cs="Times New Roman"/>
          <w:i/>
          <w:iCs/>
        </w:rPr>
        <w:t>have</w:t>
      </w:r>
      <w:r w:rsidRPr="005C6E5B">
        <w:rPr>
          <w:rFonts w:cs="Times New Roman"/>
        </w:rPr>
        <w:t xml:space="preserve"> power and are in control of the medium (sphere) in which this power can be operationalized effectively. </w:t>
      </w:r>
      <w:r w:rsidRPr="005C6E5B">
        <w:rPr>
          <w:rStyle w:val="PageNumber"/>
          <w:rFonts w:cs="Times New Roman"/>
        </w:rPr>
        <w:t xml:space="preserve">Put in different terms, the media constitute </w:t>
      </w:r>
      <w:r w:rsidRPr="005C6E5B">
        <w:rPr>
          <w:rFonts w:cs="Times New Roman"/>
        </w:rPr>
        <w:t xml:space="preserve">both the </w:t>
      </w:r>
      <w:r w:rsidRPr="005C6E5B">
        <w:rPr>
          <w:rFonts w:cs="Times New Roman"/>
          <w:i/>
          <w:iCs/>
        </w:rPr>
        <w:t>means</w:t>
      </w:r>
      <w:r w:rsidRPr="005C6E5B">
        <w:rPr>
          <w:rFonts w:cs="Times New Roman"/>
        </w:rPr>
        <w:t xml:space="preserve"> and the </w:t>
      </w:r>
      <w:r w:rsidRPr="005C6E5B">
        <w:rPr>
          <w:rFonts w:cs="Times New Roman"/>
          <w:i/>
          <w:iCs/>
        </w:rPr>
        <w:t>mode</w:t>
      </w:r>
      <w:r w:rsidRPr="005C6E5B">
        <w:rPr>
          <w:rFonts w:cs="Times New Roman"/>
        </w:rPr>
        <w:t xml:space="preserve"> of power. In this context, bias – the media’s demonstration of its inclination in favor of or against the incidents of terrorism that it describes – also plays a significant role. While manifold and systemic biases are inherent in the structure of any political ecosystem, ultimately determining what can be debated and discussed, the media has the power to change the structure of the system itself.</w:t>
      </w:r>
      <w:r w:rsidRPr="005C6E5B">
        <w:rPr>
          <w:rStyle w:val="FootnoteReference"/>
          <w:rFonts w:cs="Times New Roman"/>
        </w:rPr>
        <w:footnoteReference w:id="321"/>
      </w:r>
      <w:r w:rsidRPr="005C6E5B">
        <w:rPr>
          <w:rFonts w:cs="Times New Roman"/>
        </w:rPr>
        <w:t xml:space="preserve"> </w:t>
      </w:r>
      <w:r w:rsidR="00111A81">
        <w:rPr>
          <w:rFonts w:cs="Times New Roman"/>
        </w:rPr>
        <w:t xml:space="preserve">Of </w:t>
      </w:r>
      <w:r w:rsidR="002A7192">
        <w:rPr>
          <w:rFonts w:cs="Times New Roman"/>
        </w:rPr>
        <w:t>course,</w:t>
      </w:r>
      <w:r w:rsidR="002A7192" w:rsidRPr="005C6E5B">
        <w:rPr>
          <w:rFonts w:cs="Times New Roman"/>
        </w:rPr>
        <w:t xml:space="preserve"> </w:t>
      </w:r>
      <w:r w:rsidRPr="005C6E5B">
        <w:rPr>
          <w:rFonts w:cs="Times New Roman"/>
        </w:rPr>
        <w:t>the media only have this ability in jurisdictions where states do not directly or independently control the mass media.</w:t>
      </w:r>
      <w:r w:rsidR="000F1AFA">
        <w:rPr>
          <w:rFonts w:cs="Times New Roman"/>
        </w:rPr>
        <w:t xml:space="preserve"> </w:t>
      </w:r>
      <w:r w:rsidRPr="005C6E5B">
        <w:rPr>
          <w:rFonts w:cs="Times New Roman"/>
        </w:rPr>
        <w:t>While this understanding of bias seemingly gives the media a tremendous amount of agency, the media can only report on “information that is actually being generated by social processes.”</w:t>
      </w:r>
      <w:r w:rsidRPr="005C6E5B">
        <w:rPr>
          <w:rStyle w:val="FootnoteReference"/>
          <w:rFonts w:cs="Times New Roman"/>
        </w:rPr>
        <w:footnoteReference w:id="322"/>
      </w:r>
      <w:r w:rsidRPr="005C6E5B">
        <w:rPr>
          <w:rFonts w:cs="Times New Roman"/>
        </w:rPr>
        <w:t xml:space="preserve"> While media may provide and privilege an amount of commentary and embellishment, media coverage is necessarily reflective of trends in societal discourse and, most significantly: of what is going on in the world.</w:t>
      </w:r>
      <w:r w:rsidRPr="005C6E5B">
        <w:rPr>
          <w:rStyle w:val="FootnoteReference"/>
          <w:rFonts w:cs="Times New Roman"/>
        </w:rPr>
        <w:footnoteReference w:id="323"/>
      </w:r>
      <w:r w:rsidRPr="005C6E5B">
        <w:rPr>
          <w:rFonts w:cs="Times New Roman"/>
        </w:rPr>
        <w:t xml:space="preserve"> </w:t>
      </w:r>
    </w:p>
    <w:p w14:paraId="50627D09" w14:textId="670E00B8" w:rsidR="00D03C79" w:rsidRPr="005C6E5B" w:rsidRDefault="00BE0E9B" w:rsidP="009B1E33">
      <w:pPr>
        <w:ind w:firstLine="709"/>
        <w:rPr>
          <w:rFonts w:cs="Times New Roman"/>
        </w:rPr>
      </w:pPr>
      <w:r w:rsidRPr="005C6E5B">
        <w:rPr>
          <w:rFonts w:cs="Times New Roman"/>
        </w:rPr>
        <w:t>This dissertation is informed by Neo-Marxist conceptions of the media as tending to support and reinforce elite (in this context, state) control at a societal level. This classic Neo-Marxist conception of the media is an extension of Gramsci’s argument</w:t>
      </w:r>
      <w:r w:rsidR="00111A81">
        <w:rPr>
          <w:rFonts w:cs="Times New Roman"/>
        </w:rPr>
        <w:t xml:space="preserve"> about hegemony, where</w:t>
      </w:r>
      <w:r w:rsidRPr="005C6E5B">
        <w:rPr>
          <w:rFonts w:cs="Times New Roman"/>
        </w:rPr>
        <w:t xml:space="preserve"> elites control cultural sensibilities</w:t>
      </w:r>
      <w:r>
        <w:rPr>
          <w:rFonts w:cs="Times New Roman"/>
        </w:rPr>
        <w:t xml:space="preserve">, </w:t>
      </w:r>
      <w:r w:rsidRPr="005C6E5B">
        <w:rPr>
          <w:rFonts w:cs="Times New Roman"/>
        </w:rPr>
        <w:t xml:space="preserve">and that this control facilitates elite domination over the working class. I use an extension of Fanon’s work because it not only bolsters my conception of the media as a tool, but also supports </w:t>
      </w:r>
      <w:proofErr w:type="spellStart"/>
      <w:r w:rsidRPr="005C6E5B">
        <w:rPr>
          <w:rFonts w:cs="Times New Roman"/>
        </w:rPr>
        <w:t>Zarakol’s</w:t>
      </w:r>
      <w:proofErr w:type="spellEnd"/>
      <w:r w:rsidRPr="005C6E5B">
        <w:rPr>
          <w:rFonts w:cs="Times New Roman"/>
        </w:rPr>
        <w:t xml:space="preserve"> argument as to “system threatening terrorism” being necessarily predicated on localized authority. This conceives of terrorists’ successful exercise of influence in connection with the media as a demonstration of terrorists’ local authority in the context of the international system.</w:t>
      </w:r>
      <w:r w:rsidRPr="005C6E5B">
        <w:rPr>
          <w:rStyle w:val="FootnoteReference"/>
          <w:rFonts w:cs="Times New Roman"/>
        </w:rPr>
        <w:footnoteReference w:id="324"/>
      </w:r>
      <w:r w:rsidRPr="005C6E5B">
        <w:rPr>
          <w:rFonts w:cs="Times New Roman"/>
        </w:rPr>
        <w:t xml:space="preserve"> Accordingly, I extend Frantz Fanon’s claims about the relevance of language and the reformation of discourse when it comes to ending colonialism to apply in the context of the conflict between terrorism and the state.</w:t>
      </w:r>
      <w:r w:rsidRPr="005C6E5B">
        <w:rPr>
          <w:rStyle w:val="FootnoteReference"/>
          <w:rFonts w:cs="Times New Roman"/>
        </w:rPr>
        <w:footnoteReference w:id="325"/>
      </w:r>
      <w:r w:rsidRPr="005C6E5B">
        <w:rPr>
          <w:rFonts w:cs="Times New Roman"/>
        </w:rPr>
        <w:t xml:space="preserve"> In </w:t>
      </w:r>
      <w:r w:rsidRPr="005C6E5B">
        <w:rPr>
          <w:rFonts w:cs="Times New Roman"/>
          <w:i/>
          <w:iCs/>
        </w:rPr>
        <w:t>Black Skin, White Masks,</w:t>
      </w:r>
      <w:r w:rsidRPr="005C6E5B">
        <w:rPr>
          <w:rFonts w:cs="Times New Roman"/>
        </w:rPr>
        <w:t xml:space="preserve"> Fanon asserts that when an individual subject to colonialism masters their </w:t>
      </w:r>
      <w:r w:rsidRPr="005C6E5B">
        <w:rPr>
          <w:rFonts w:cs="Times New Roman"/>
        </w:rPr>
        <w:lastRenderedPageBreak/>
        <w:t>colonizer’s language, this effort toward recognition as being “like” their oppressor subordinates the colonized individual’s humanity.</w:t>
      </w:r>
      <w:r w:rsidRPr="005C6E5B">
        <w:rPr>
          <w:rStyle w:val="FootnoteReference"/>
          <w:rFonts w:cs="Times New Roman"/>
        </w:rPr>
        <w:footnoteReference w:id="326"/>
      </w:r>
      <w:r w:rsidRPr="005C6E5B">
        <w:rPr>
          <w:rFonts w:cs="Times New Roman"/>
        </w:rPr>
        <w:t xml:space="preserve"> </w:t>
      </w:r>
      <w:r w:rsidR="00111A81">
        <w:rPr>
          <w:rFonts w:cs="Times New Roman"/>
        </w:rPr>
        <w:t>In my analysis,</w:t>
      </w:r>
      <w:r w:rsidRPr="005C6E5B">
        <w:rPr>
          <w:rFonts w:cs="Times New Roman"/>
        </w:rPr>
        <w:t xml:space="preserve">, Fanon’s colonizer becomes my state, and his colonized people are thus analogous to my terrorists. This facilitates my understanding that terrorists’ use of both violence and, to a lesser extent, the media as a “line of communication” with the state’s </w:t>
      </w:r>
      <w:r w:rsidR="00F74D09">
        <w:rPr>
          <w:rFonts w:cs="Times New Roman"/>
        </w:rPr>
        <w:t>constituents</w:t>
      </w:r>
      <w:r w:rsidRPr="005C6E5B">
        <w:rPr>
          <w:rFonts w:cs="Times New Roman"/>
        </w:rPr>
        <w:t xml:space="preserve"> is seen by the state as “predatory and not transformative.” This also supports my understanding of the media as an implement employed by both the state and terrorists in their respective quests to influence public perceptions of systemic power. I thus conceive of the media as a ‘mode’ with the ability to influence international public opinion of the state as the societal superstructure.</w:t>
      </w:r>
    </w:p>
    <w:p w14:paraId="0F2A4736" w14:textId="77777777" w:rsidR="00BE0E9B" w:rsidRPr="005C6E5B" w:rsidRDefault="00BE0E9B" w:rsidP="00787123">
      <w:pPr>
        <w:pStyle w:val="DissertationSection1"/>
      </w:pPr>
      <w:bookmarkStart w:id="39" w:name="_Toc175413144"/>
      <w:r w:rsidRPr="005C6E5B">
        <w:t>Media Bias and Framing</w:t>
      </w:r>
      <w:bookmarkEnd w:id="39"/>
    </w:p>
    <w:p w14:paraId="63FA9352" w14:textId="49CACB92" w:rsidR="00BE0E9B" w:rsidRPr="005C6E5B" w:rsidRDefault="00BE0E9B" w:rsidP="00BE0E9B">
      <w:pPr>
        <w:ind w:firstLine="709"/>
        <w:rPr>
          <w:rFonts w:cs="Times New Roman"/>
        </w:rPr>
      </w:pPr>
      <w:r w:rsidRPr="005C6E5B">
        <w:rPr>
          <w:rFonts w:cs="Times New Roman"/>
        </w:rPr>
        <w:t>A notable mechanism through which media coverage can influence the international public with regard to the perception of the state and terrorism involves the injection of bias into news content through framing during the media production process, to either the benefit or detriment of the state and/or terrorist(s) in question. Generally, the term ‘bias’ refers to ““an inclination or prejudice for or against one person or group, especially in a way considered to be unfair”, and as “a concentration on or interest in one particular area or subject.””</w:t>
      </w:r>
      <w:r w:rsidRPr="005C6E5B">
        <w:rPr>
          <w:rStyle w:val="FootnoteReference"/>
          <w:rFonts w:cs="Times New Roman"/>
        </w:rPr>
        <w:footnoteReference w:id="327"/>
      </w:r>
      <w:r w:rsidRPr="005C6E5B">
        <w:rPr>
          <w:rFonts w:cs="Times New Roman"/>
        </w:rPr>
        <w:t xml:space="preserve"> Conceiving of bias in connection with both news content produced by journalists and the media as an institution seems counterintuitive to notions of journalistic neutrality, as there is near-consensus in journalism scholarship that a journalist’s key professional responsibility involves reporting the news in an accurate and objective manner.</w:t>
      </w:r>
      <w:r w:rsidRPr="005C6E5B">
        <w:rPr>
          <w:rStyle w:val="FootnoteReference"/>
          <w:rFonts w:cs="Times New Roman"/>
        </w:rPr>
        <w:footnoteReference w:id="328"/>
      </w:r>
      <w:r w:rsidRPr="005C6E5B">
        <w:rPr>
          <w:rFonts w:cs="Times New Roman"/>
        </w:rPr>
        <w:t xml:space="preserve"> Nevertheless, academic literature outside of journalism tends to minimize</w:t>
      </w:r>
      <w:r w:rsidR="00D03C79">
        <w:rPr>
          <w:rFonts w:cs="Times New Roman"/>
        </w:rPr>
        <w:t xml:space="preserve"> </w:t>
      </w:r>
      <w:r w:rsidRPr="005C6E5B">
        <w:rPr>
          <w:rFonts w:cs="Times New Roman"/>
        </w:rPr>
        <w:t xml:space="preserve">and/or challenge the idea of media neutrality. Indeed, Killian J. McCarthy and Wilfred </w:t>
      </w:r>
      <w:proofErr w:type="spellStart"/>
      <w:r w:rsidRPr="005C6E5B">
        <w:rPr>
          <w:rFonts w:cs="Times New Roman"/>
        </w:rPr>
        <w:t>Dolfsma</w:t>
      </w:r>
      <w:proofErr w:type="spellEnd"/>
      <w:r w:rsidRPr="005C6E5B">
        <w:rPr>
          <w:rFonts w:cs="Times New Roman"/>
        </w:rPr>
        <w:t xml:space="preserve"> suggest </w:t>
      </w:r>
      <w:r w:rsidR="00111A81" w:rsidRPr="005C6E5B">
        <w:rPr>
          <w:rFonts w:cs="Times New Roman"/>
        </w:rPr>
        <w:t>that</w:t>
      </w:r>
      <w:r w:rsidRPr="005C6E5B">
        <w:rPr>
          <w:rFonts w:cs="Times New Roman"/>
        </w:rPr>
        <w:t xml:space="preserve"> “by choosing what event to report, how much and how frequent[</w:t>
      </w:r>
      <w:proofErr w:type="spellStart"/>
      <w:r w:rsidRPr="005C6E5B">
        <w:rPr>
          <w:rFonts w:cs="Times New Roman"/>
        </w:rPr>
        <w:t>ly</w:t>
      </w:r>
      <w:proofErr w:type="spellEnd"/>
      <w:r w:rsidRPr="005C6E5B">
        <w:rPr>
          <w:rFonts w:cs="Times New Roman"/>
        </w:rPr>
        <w:t>] to report an event, and by choosing what descriptive tone to adopt in their coverage, the media has a non-neutral impact on the economy” and thus “shapes the world in which we live.”</w:t>
      </w:r>
      <w:r w:rsidRPr="005C6E5B">
        <w:rPr>
          <w:rStyle w:val="FootnoteReference"/>
          <w:rFonts w:cs="Times New Roman"/>
        </w:rPr>
        <w:footnoteReference w:id="329"/>
      </w:r>
      <w:r w:rsidRPr="005C6E5B">
        <w:rPr>
          <w:rFonts w:cs="Times New Roman"/>
        </w:rPr>
        <w:t xml:space="preserve"> Bias plays a key role in facilitating the media’s influence in this regard.</w:t>
      </w:r>
    </w:p>
    <w:p w14:paraId="1EF28D2E" w14:textId="15230687" w:rsidR="00BE0E9B" w:rsidRPr="005C6E5B" w:rsidRDefault="00BE0E9B" w:rsidP="00BE0E9B">
      <w:pPr>
        <w:pStyle w:val="FootnoteText"/>
        <w:ind w:firstLine="709"/>
        <w:rPr>
          <w:rFonts w:cs="Times New Roman"/>
          <w:sz w:val="24"/>
          <w:szCs w:val="24"/>
        </w:rPr>
      </w:pPr>
      <w:r w:rsidRPr="005C6E5B">
        <w:rPr>
          <w:rFonts w:cs="Times New Roman"/>
          <w:sz w:val="24"/>
          <w:szCs w:val="24"/>
        </w:rPr>
        <w:t xml:space="preserve">“Bias” in media suggests a disproportionate slant in favor of (or against) an actor or an idea </w:t>
      </w:r>
      <w:r w:rsidR="00111A81">
        <w:rPr>
          <w:rFonts w:cs="Times New Roman"/>
          <w:sz w:val="24"/>
          <w:szCs w:val="24"/>
        </w:rPr>
        <w:t xml:space="preserve">in </w:t>
      </w:r>
      <w:r w:rsidRPr="005C6E5B">
        <w:rPr>
          <w:rFonts w:cs="Times New Roman"/>
          <w:sz w:val="24"/>
          <w:szCs w:val="24"/>
        </w:rPr>
        <w:t xml:space="preserve">news coverage that can influence news consumers’ perception of that actor or idea. Here, it is important to note that media influence is not unidirectional. This adds an additional layer to the issue of bias, as new content should be understood as a by-product of interactions between journalists and relevant actors to their subject matter, </w:t>
      </w:r>
      <w:r w:rsidRPr="005C6E5B">
        <w:rPr>
          <w:rFonts w:cs="Times New Roman"/>
          <w:sz w:val="24"/>
          <w:szCs w:val="24"/>
        </w:rPr>
        <w:lastRenderedPageBreak/>
        <w:t>with both parties “impacting one another throughout the process.”</w:t>
      </w:r>
      <w:r w:rsidRPr="005C6E5B">
        <w:rPr>
          <w:rStyle w:val="FootnoteReference"/>
          <w:rFonts w:cs="Times New Roman"/>
          <w:sz w:val="24"/>
          <w:szCs w:val="24"/>
        </w:rPr>
        <w:footnoteReference w:id="330"/>
      </w:r>
      <w:r w:rsidRPr="005C6E5B">
        <w:rPr>
          <w:rFonts w:cs="Times New Roman"/>
          <w:sz w:val="24"/>
          <w:szCs w:val="24"/>
        </w:rPr>
        <w:t xml:space="preserve"> In contrast with general bias, Alden Williams’ classical definition of “media bias” establishes that it must be both intentional and sustained.</w:t>
      </w:r>
      <w:r w:rsidRPr="005C6E5B">
        <w:rPr>
          <w:rStyle w:val="FootnoteReference"/>
          <w:rFonts w:cs="Times New Roman"/>
          <w:sz w:val="24"/>
          <w:szCs w:val="24"/>
        </w:rPr>
        <w:footnoteReference w:id="331"/>
      </w:r>
      <w:r w:rsidRPr="005C6E5B">
        <w:rPr>
          <w:rFonts w:cs="Times New Roman"/>
          <w:sz w:val="24"/>
          <w:szCs w:val="24"/>
        </w:rPr>
        <w:t xml:space="preserve">  Felix </w:t>
      </w:r>
      <w:proofErr w:type="spellStart"/>
      <w:r w:rsidRPr="005C6E5B">
        <w:rPr>
          <w:rFonts w:cs="Times New Roman"/>
          <w:sz w:val="24"/>
          <w:szCs w:val="24"/>
        </w:rPr>
        <w:t>Hamborg</w:t>
      </w:r>
      <w:proofErr w:type="spellEnd"/>
      <w:r w:rsidRPr="005C6E5B">
        <w:rPr>
          <w:rFonts w:cs="Times New Roman"/>
          <w:sz w:val="24"/>
          <w:szCs w:val="24"/>
        </w:rPr>
        <w:t xml:space="preserve">, </w:t>
      </w:r>
      <w:proofErr w:type="spellStart"/>
      <w:r w:rsidRPr="005C6E5B">
        <w:rPr>
          <w:rFonts w:cs="Times New Roman"/>
          <w:sz w:val="24"/>
          <w:szCs w:val="24"/>
        </w:rPr>
        <w:t>Karsten</w:t>
      </w:r>
      <w:proofErr w:type="spellEnd"/>
      <w:r w:rsidRPr="005C6E5B">
        <w:rPr>
          <w:rFonts w:cs="Times New Roman"/>
          <w:sz w:val="24"/>
          <w:szCs w:val="24"/>
        </w:rPr>
        <w:t xml:space="preserve"> Donnay, and Bela </w:t>
      </w:r>
      <w:proofErr w:type="spellStart"/>
      <w:r w:rsidRPr="005C6E5B">
        <w:rPr>
          <w:rFonts w:cs="Times New Roman"/>
          <w:sz w:val="24"/>
          <w:szCs w:val="24"/>
        </w:rPr>
        <w:t>Gipp</w:t>
      </w:r>
      <w:proofErr w:type="spellEnd"/>
      <w:r w:rsidRPr="005C6E5B">
        <w:rPr>
          <w:rFonts w:cs="Times New Roman"/>
          <w:sz w:val="24"/>
          <w:szCs w:val="24"/>
        </w:rPr>
        <w:t xml:space="preserve"> elaborate on this definition, asserting that for media bias to be considered “intentional” by Williams’ standards, it must “reflect a conscious act or choice.”</w:t>
      </w:r>
      <w:r w:rsidRPr="005C6E5B">
        <w:rPr>
          <w:rStyle w:val="FootnoteReference"/>
          <w:rFonts w:cs="Times New Roman"/>
          <w:sz w:val="24"/>
          <w:szCs w:val="24"/>
        </w:rPr>
        <w:footnoteReference w:id="332"/>
      </w:r>
      <w:r w:rsidRPr="005C6E5B">
        <w:rPr>
          <w:rFonts w:cs="Times New Roman"/>
          <w:sz w:val="24"/>
          <w:szCs w:val="24"/>
        </w:rPr>
        <w:t xml:space="preserve"> Moreover, they interpret Williams’ “sustained” requirement to indicate that the media bias in question must “represent a systematic tendency rather than an isolated incident.”</w:t>
      </w:r>
      <w:r w:rsidRPr="005C6E5B">
        <w:rPr>
          <w:rStyle w:val="FootnoteReference"/>
          <w:rFonts w:cs="Times New Roman"/>
          <w:sz w:val="24"/>
          <w:szCs w:val="24"/>
        </w:rPr>
        <w:footnoteReference w:id="333"/>
      </w:r>
      <w:r w:rsidRPr="005C6E5B">
        <w:rPr>
          <w:rFonts w:cs="Times New Roman"/>
          <w:sz w:val="24"/>
          <w:szCs w:val="24"/>
        </w:rPr>
        <w:t xml:space="preserve"> Thus, their conception of “media bias” necessarily involves violations of journalistic standards that suggest a pervasive tendency within the media </w:t>
      </w:r>
      <w:r w:rsidRPr="005C6E5B">
        <w:rPr>
          <w:rFonts w:cs="Times New Roman"/>
          <w:i/>
          <w:iCs/>
          <w:sz w:val="24"/>
          <w:szCs w:val="24"/>
        </w:rPr>
        <w:t>as an institution</w:t>
      </w:r>
      <w:r w:rsidRPr="005C6E5B">
        <w:rPr>
          <w:rFonts w:cs="Times New Roman"/>
          <w:sz w:val="24"/>
          <w:szCs w:val="24"/>
        </w:rPr>
        <w:t>, rather than efforts by individual news outlets or journalists.</w:t>
      </w:r>
      <w:r w:rsidRPr="005C6E5B">
        <w:rPr>
          <w:rStyle w:val="FootnoteReference"/>
          <w:rFonts w:cs="Times New Roman"/>
          <w:sz w:val="24"/>
          <w:szCs w:val="24"/>
        </w:rPr>
        <w:footnoteReference w:id="334"/>
      </w:r>
      <w:r w:rsidRPr="005C6E5B">
        <w:rPr>
          <w:rFonts w:cs="Times New Roman"/>
          <w:sz w:val="24"/>
          <w:szCs w:val="24"/>
        </w:rPr>
        <w:t xml:space="preserve"> This diverges from mainstream conceptions of bias, which distinguish between “the actual message that is being transmitted through the media” and media bias as “problems with, or implications of, the ways in which the message is being communicated.”</w:t>
      </w:r>
      <w:r w:rsidRPr="005C6E5B">
        <w:rPr>
          <w:rStyle w:val="FootnoteReference"/>
          <w:rFonts w:cs="Times New Roman"/>
          <w:sz w:val="24"/>
          <w:szCs w:val="24"/>
        </w:rPr>
        <w:footnoteReference w:id="335"/>
      </w:r>
    </w:p>
    <w:p w14:paraId="5A1ECFC3" w14:textId="7FBF7A47" w:rsidR="00BE0E9B" w:rsidRPr="005C6E5B" w:rsidRDefault="00BE0E9B" w:rsidP="00BE0E9B">
      <w:pPr>
        <w:ind w:firstLine="709"/>
        <w:rPr>
          <w:rFonts w:cs="Times New Roman"/>
        </w:rPr>
      </w:pPr>
      <w:r w:rsidRPr="005C6E5B">
        <w:rPr>
          <w:rFonts w:cs="Times New Roman"/>
        </w:rPr>
        <w:t xml:space="preserve">Notwithstanding </w:t>
      </w:r>
      <w:proofErr w:type="spellStart"/>
      <w:r w:rsidRPr="005C6E5B">
        <w:rPr>
          <w:rFonts w:cs="Times New Roman"/>
        </w:rPr>
        <w:t>Hamborg</w:t>
      </w:r>
      <w:proofErr w:type="spellEnd"/>
      <w:r w:rsidRPr="005C6E5B">
        <w:rPr>
          <w:rFonts w:cs="Times New Roman"/>
        </w:rPr>
        <w:t xml:space="preserve"> et. al.’s standalone definition of the term, “media bias” tends to </w:t>
      </w:r>
      <w:r w:rsidR="00111A81" w:rsidRPr="005C6E5B">
        <w:rPr>
          <w:rFonts w:cs="Times New Roman"/>
        </w:rPr>
        <w:t>emerge</w:t>
      </w:r>
      <w:r w:rsidRPr="005C6E5B">
        <w:rPr>
          <w:rFonts w:cs="Times New Roman"/>
        </w:rPr>
        <w:t xml:space="preserve"> as a trend indicating (general) bias. It is important to identify different types of bias and the different ways that it manifests in news content. To that end, </w:t>
      </w:r>
      <w:proofErr w:type="spellStart"/>
      <w:r w:rsidRPr="005C6E5B">
        <w:rPr>
          <w:rFonts w:cs="Times New Roman"/>
        </w:rPr>
        <w:t>Sendhil</w:t>
      </w:r>
      <w:proofErr w:type="spellEnd"/>
      <w:r w:rsidRPr="005C6E5B">
        <w:rPr>
          <w:rFonts w:cs="Times New Roman"/>
        </w:rPr>
        <w:t xml:space="preserve"> Mullainathan and Andrei </w:t>
      </w:r>
      <w:proofErr w:type="spellStart"/>
      <w:r w:rsidRPr="005C6E5B">
        <w:rPr>
          <w:rFonts w:cs="Times New Roman"/>
        </w:rPr>
        <w:t>Shliefer’s</w:t>
      </w:r>
      <w:proofErr w:type="spellEnd"/>
      <w:r w:rsidRPr="005C6E5B">
        <w:rPr>
          <w:rFonts w:cs="Times New Roman"/>
        </w:rPr>
        <w:t xml:space="preserve"> categorize two types of bias – “ideological bias” and “spin bias” – which both occur during the writing stage described by </w:t>
      </w:r>
      <w:proofErr w:type="spellStart"/>
      <w:r w:rsidRPr="005C6E5B">
        <w:rPr>
          <w:rFonts w:cs="Times New Roman"/>
        </w:rPr>
        <w:t>Hamborg</w:t>
      </w:r>
      <w:proofErr w:type="spellEnd"/>
      <w:r w:rsidRPr="005C6E5B">
        <w:rPr>
          <w:rFonts w:cs="Times New Roman"/>
        </w:rPr>
        <w:t xml:space="preserve"> et. al.</w:t>
      </w:r>
      <w:r w:rsidRPr="005C6E5B">
        <w:rPr>
          <w:rStyle w:val="FootnoteReference"/>
          <w:rFonts w:cs="Times New Roman"/>
        </w:rPr>
        <w:footnoteReference w:id="336"/>
      </w:r>
      <w:r w:rsidRPr="005C6E5B">
        <w:rPr>
          <w:rFonts w:cs="Times New Roman"/>
        </w:rPr>
        <w:t xml:space="preserve"> “Ideological bias” occurs when news is reported in a manner designed to promote a specific opinion on a given topic.</w:t>
      </w:r>
      <w:r w:rsidRPr="005C6E5B">
        <w:rPr>
          <w:rStyle w:val="FootnoteReference"/>
          <w:rFonts w:cs="Times New Roman"/>
        </w:rPr>
        <w:footnoteReference w:id="337"/>
      </w:r>
      <w:r w:rsidRPr="005C6E5B">
        <w:rPr>
          <w:rFonts w:cs="Times New Roman"/>
        </w:rPr>
        <w:t xml:space="preserve"> </w:t>
      </w:r>
      <w:r w:rsidR="00CD6768">
        <w:rPr>
          <w:rFonts w:cs="Times New Roman"/>
        </w:rPr>
        <w:t xml:space="preserve">Per Mullainathan and </w:t>
      </w:r>
      <w:proofErr w:type="spellStart"/>
      <w:r w:rsidR="00CD6768">
        <w:rPr>
          <w:rFonts w:cs="Times New Roman"/>
        </w:rPr>
        <w:t>Shliefer</w:t>
      </w:r>
      <w:proofErr w:type="spellEnd"/>
      <w:r w:rsidR="00CD6768">
        <w:rPr>
          <w:rFonts w:cs="Times New Roman"/>
        </w:rPr>
        <w:t xml:space="preserve">, </w:t>
      </w:r>
      <w:r w:rsidRPr="005C6E5B">
        <w:rPr>
          <w:rFonts w:cs="Times New Roman"/>
        </w:rPr>
        <w:t>“</w:t>
      </w:r>
      <w:r w:rsidR="00CD6768">
        <w:rPr>
          <w:rFonts w:cs="Times New Roman"/>
        </w:rPr>
        <w:t>s</w:t>
      </w:r>
      <w:r w:rsidRPr="005C6E5B">
        <w:rPr>
          <w:rFonts w:cs="Times New Roman"/>
        </w:rPr>
        <w:t xml:space="preserve">pin bias” occurs when a media outlet sensationalizes its reporting to create a more memorable </w:t>
      </w:r>
      <w:r w:rsidR="00CD6768">
        <w:rPr>
          <w:rFonts w:cs="Times New Roman"/>
        </w:rPr>
        <w:t>story</w:t>
      </w:r>
      <w:r w:rsidRPr="005C6E5B">
        <w:rPr>
          <w:rFonts w:cs="Times New Roman"/>
        </w:rPr>
        <w:t>.</w:t>
      </w:r>
      <w:r w:rsidRPr="005C6E5B">
        <w:rPr>
          <w:rStyle w:val="FootnoteReference"/>
          <w:rFonts w:cs="Times New Roman"/>
        </w:rPr>
        <w:footnoteReference w:id="338"/>
      </w:r>
      <w:r w:rsidRPr="005C6E5B">
        <w:rPr>
          <w:rFonts w:cs="Times New Roman"/>
        </w:rPr>
        <w:t xml:space="preserve"> “Spin bias” is particularly prevalent in news media because it can also manifest as a component of writing style (during </w:t>
      </w:r>
      <w:proofErr w:type="spellStart"/>
      <w:r w:rsidRPr="005C6E5B">
        <w:rPr>
          <w:rFonts w:cs="Times New Roman"/>
        </w:rPr>
        <w:t>Hamborg</w:t>
      </w:r>
      <w:proofErr w:type="spellEnd"/>
      <w:r w:rsidRPr="005C6E5B">
        <w:rPr>
          <w:rFonts w:cs="Times New Roman"/>
        </w:rPr>
        <w:t xml:space="preserve"> et. al.’s “writing” stage) and presentation style (“editing”), in addition to fact selection (“gathering”).</w:t>
      </w:r>
    </w:p>
    <w:p w14:paraId="6B155290" w14:textId="77777777" w:rsidR="00BE0E9B" w:rsidRPr="005C6E5B" w:rsidRDefault="00BE0E9B" w:rsidP="00BE0E9B">
      <w:pPr>
        <w:ind w:firstLine="709"/>
        <w:rPr>
          <w:rFonts w:cs="Times New Roman"/>
        </w:rPr>
      </w:pPr>
      <w:r w:rsidRPr="005C6E5B">
        <w:rPr>
          <w:rFonts w:cs="Times New Roman"/>
        </w:rPr>
        <w:t xml:space="preserve">Similarly, a second conception of media bias differentiates between “two classes of bias”: </w:t>
      </w:r>
      <w:r w:rsidRPr="005C6E5B">
        <w:rPr>
          <w:rFonts w:cs="Times New Roman"/>
          <w:i/>
          <w:iCs/>
        </w:rPr>
        <w:t xml:space="preserve">epistemological bias </w:t>
      </w:r>
      <w:r w:rsidRPr="005C6E5B">
        <w:rPr>
          <w:rFonts w:cs="Times New Roman"/>
        </w:rPr>
        <w:t xml:space="preserve">and </w:t>
      </w:r>
      <w:r w:rsidRPr="005C6E5B">
        <w:rPr>
          <w:rFonts w:cs="Times New Roman"/>
          <w:i/>
          <w:iCs/>
        </w:rPr>
        <w:t>framing bias</w:t>
      </w:r>
      <w:r w:rsidRPr="005C6E5B">
        <w:rPr>
          <w:rFonts w:cs="Times New Roman"/>
        </w:rPr>
        <w:t xml:space="preserve">. Consequently, Marta </w:t>
      </w:r>
      <w:proofErr w:type="spellStart"/>
      <w:r w:rsidRPr="005C6E5B">
        <w:rPr>
          <w:rFonts w:cs="Times New Roman"/>
        </w:rPr>
        <w:t>Recasens</w:t>
      </w:r>
      <w:proofErr w:type="spellEnd"/>
      <w:r w:rsidRPr="005C6E5B">
        <w:rPr>
          <w:rFonts w:cs="Times New Roman"/>
        </w:rPr>
        <w:t xml:space="preserve">, Cristian </w:t>
      </w:r>
      <w:proofErr w:type="spellStart"/>
      <w:r w:rsidRPr="005C6E5B">
        <w:rPr>
          <w:rFonts w:cs="Times New Roman"/>
        </w:rPr>
        <w:t>Danescu</w:t>
      </w:r>
      <w:proofErr w:type="spellEnd"/>
      <w:r w:rsidRPr="005C6E5B">
        <w:rPr>
          <w:rFonts w:cs="Times New Roman"/>
        </w:rPr>
        <w:t>-Niculescu-</w:t>
      </w:r>
      <w:proofErr w:type="spellStart"/>
      <w:r w:rsidRPr="005C6E5B">
        <w:rPr>
          <w:rFonts w:cs="Times New Roman"/>
        </w:rPr>
        <w:t>Mizil</w:t>
      </w:r>
      <w:proofErr w:type="spellEnd"/>
      <w:r w:rsidRPr="005C6E5B">
        <w:rPr>
          <w:rFonts w:cs="Times New Roman"/>
        </w:rPr>
        <w:t xml:space="preserve"> and Dan </w:t>
      </w:r>
      <w:proofErr w:type="spellStart"/>
      <w:r w:rsidRPr="005C6E5B">
        <w:rPr>
          <w:rFonts w:cs="Times New Roman"/>
        </w:rPr>
        <w:t>Jurafsky</w:t>
      </w:r>
      <w:proofErr w:type="spellEnd"/>
      <w:r w:rsidRPr="005C6E5B">
        <w:rPr>
          <w:rFonts w:cs="Times New Roman"/>
        </w:rPr>
        <w:t xml:space="preserve"> conceive of epistemological bias as focusing on the believability of a proposition. </w:t>
      </w:r>
      <w:proofErr w:type="spellStart"/>
      <w:r w:rsidRPr="005C6E5B">
        <w:rPr>
          <w:rFonts w:cs="Times New Roman"/>
        </w:rPr>
        <w:t>Recasens</w:t>
      </w:r>
      <w:proofErr w:type="spellEnd"/>
      <w:r w:rsidRPr="005C6E5B">
        <w:rPr>
          <w:rFonts w:cs="Times New Roman"/>
        </w:rPr>
        <w:t xml:space="preserve"> et. al. suggest that this type of bias “involves propositions that are either commonly agreed to be true or commonly agreed to be false and that are subtly presupposed, entailed, asserted or hedged in the text.”</w:t>
      </w:r>
      <w:r w:rsidRPr="005C6E5B">
        <w:rPr>
          <w:rStyle w:val="FootnoteReference"/>
          <w:rFonts w:cs="Times New Roman"/>
        </w:rPr>
        <w:footnoteReference w:id="339"/>
      </w:r>
      <w:r w:rsidRPr="005C6E5B">
        <w:rPr>
          <w:rFonts w:cs="Times New Roman"/>
        </w:rPr>
        <w:t xml:space="preserve"> This can involve employing </w:t>
      </w:r>
      <w:r w:rsidRPr="005C6E5B">
        <w:rPr>
          <w:rFonts w:cs="Times New Roman"/>
          <w:i/>
          <w:iCs/>
        </w:rPr>
        <w:t xml:space="preserve">factive </w:t>
      </w:r>
      <w:r w:rsidRPr="005C6E5B">
        <w:rPr>
          <w:rFonts w:cs="Times New Roman"/>
          <w:i/>
          <w:iCs/>
        </w:rPr>
        <w:lastRenderedPageBreak/>
        <w:t>verbs</w:t>
      </w:r>
      <w:r w:rsidRPr="005C6E5B">
        <w:rPr>
          <w:rFonts w:cs="Times New Roman"/>
        </w:rPr>
        <w:t xml:space="preserve"> (verbs that presuppose the truth of their complement clause), </w:t>
      </w:r>
      <w:r w:rsidRPr="005C6E5B">
        <w:rPr>
          <w:rFonts w:cs="Times New Roman"/>
          <w:i/>
          <w:iCs/>
        </w:rPr>
        <w:t>entailments</w:t>
      </w:r>
      <w:r w:rsidRPr="005C6E5B">
        <w:rPr>
          <w:rFonts w:cs="Times New Roman"/>
        </w:rPr>
        <w:t xml:space="preserve"> (directional relations that hold whenever the truth of one word or phrase follows from another), </w:t>
      </w:r>
      <w:r w:rsidRPr="005C6E5B">
        <w:rPr>
          <w:rFonts w:cs="Times New Roman"/>
          <w:i/>
          <w:iCs/>
        </w:rPr>
        <w:t>assertive verbs</w:t>
      </w:r>
      <w:r w:rsidRPr="005C6E5B">
        <w:rPr>
          <w:rFonts w:cs="Times New Roman"/>
        </w:rPr>
        <w:t xml:space="preserve"> (verbs whose complement clauses assert a proposition), and </w:t>
      </w:r>
      <w:r w:rsidRPr="005C6E5B">
        <w:rPr>
          <w:rFonts w:cs="Times New Roman"/>
          <w:i/>
          <w:iCs/>
        </w:rPr>
        <w:t>hedges</w:t>
      </w:r>
      <w:r w:rsidRPr="005C6E5B">
        <w:rPr>
          <w:rFonts w:cs="Times New Roman"/>
        </w:rPr>
        <w:t xml:space="preserve"> (used to reduce commitment to the truth of a proposition in order to avoid bold predictions or statements). In contrast to epistemological bias, framing bias “occurs when subjective or one-sided words [that are linked with a particular point of view] are used, revealing the author’s stance in a particular debate.”</w:t>
      </w:r>
      <w:r w:rsidRPr="005C6E5B">
        <w:rPr>
          <w:rStyle w:val="FootnoteReference"/>
          <w:rFonts w:cs="Times New Roman"/>
        </w:rPr>
        <w:footnoteReference w:id="340"/>
      </w:r>
      <w:r w:rsidRPr="005C6E5B">
        <w:rPr>
          <w:rFonts w:cs="Times New Roman"/>
        </w:rPr>
        <w:t xml:space="preserve"> </w:t>
      </w:r>
      <w:proofErr w:type="spellStart"/>
      <w:r w:rsidRPr="005C6E5B">
        <w:rPr>
          <w:rFonts w:cs="Times New Roman"/>
        </w:rPr>
        <w:t>Recasens</w:t>
      </w:r>
      <w:proofErr w:type="spellEnd"/>
      <w:r w:rsidRPr="005C6E5B">
        <w:rPr>
          <w:rFonts w:cs="Times New Roman"/>
        </w:rPr>
        <w:t xml:space="preserve"> et. al. emphasize that framing bias can involve </w:t>
      </w:r>
      <w:r w:rsidRPr="005C6E5B">
        <w:rPr>
          <w:rFonts w:cs="Times New Roman"/>
          <w:i/>
          <w:iCs/>
        </w:rPr>
        <w:t>subjective intensifiers</w:t>
      </w:r>
      <w:r w:rsidRPr="005C6E5B">
        <w:rPr>
          <w:rFonts w:cs="Times New Roman"/>
        </w:rPr>
        <w:t xml:space="preserve"> (adjectives or adverbs that add (subjective) force to the meaning of a phrase or proposition), and </w:t>
      </w:r>
      <w:r w:rsidRPr="005C6E5B">
        <w:rPr>
          <w:rFonts w:cs="Times New Roman"/>
          <w:i/>
          <w:iCs/>
        </w:rPr>
        <w:t>one-sided terms</w:t>
      </w:r>
      <w:r w:rsidRPr="005C6E5B">
        <w:rPr>
          <w:rFonts w:cs="Times New Roman"/>
        </w:rPr>
        <w:t xml:space="preserve"> (which reflect only one of the perspectives associated with a contentious issue).</w:t>
      </w:r>
    </w:p>
    <w:p w14:paraId="2C0D5FA4" w14:textId="77777777" w:rsidR="00BE0E9B" w:rsidRPr="005C6E5B" w:rsidRDefault="00BE0E9B" w:rsidP="00BE0E9B">
      <w:pPr>
        <w:ind w:firstLine="709"/>
        <w:rPr>
          <w:rFonts w:cs="Times New Roman"/>
        </w:rPr>
      </w:pPr>
      <w:r w:rsidRPr="005C6E5B">
        <w:rPr>
          <w:rFonts w:cs="Times New Roman"/>
        </w:rPr>
        <w:t>In brief, framing comprises “political claims and counter-claims that appear in and dominate the content of public discourse.”</w:t>
      </w:r>
      <w:r w:rsidRPr="005C6E5B">
        <w:rPr>
          <w:rStyle w:val="FootnoteReference"/>
          <w:rFonts w:cs="Times New Roman"/>
        </w:rPr>
        <w:footnoteReference w:id="341"/>
      </w:r>
      <w:r w:rsidRPr="005C6E5B">
        <w:rPr>
          <w:rFonts w:cs="Times New Roman"/>
        </w:rPr>
        <w:t xml:space="preserve"> The term “media framing” was first coined by Erving Goffman in 1974 as referring to the “schemata of interpretation” that stem from the human practice of “actively classify[</w:t>
      </w:r>
      <w:proofErr w:type="spellStart"/>
      <w:r w:rsidRPr="005C6E5B">
        <w:rPr>
          <w:rFonts w:cs="Times New Roman"/>
        </w:rPr>
        <w:t>ing</w:t>
      </w:r>
      <w:proofErr w:type="spellEnd"/>
      <w:r w:rsidRPr="005C6E5B">
        <w:rPr>
          <w:rFonts w:cs="Times New Roman"/>
        </w:rPr>
        <w:t xml:space="preserve">] and </w:t>
      </w:r>
      <w:proofErr w:type="spellStart"/>
      <w:r w:rsidRPr="005C6E5B">
        <w:rPr>
          <w:rFonts w:cs="Times New Roman"/>
        </w:rPr>
        <w:t>organiz</w:t>
      </w:r>
      <w:proofErr w:type="spellEnd"/>
      <w:r w:rsidRPr="005C6E5B">
        <w:rPr>
          <w:rFonts w:cs="Times New Roman"/>
        </w:rPr>
        <w:t>[</w:t>
      </w:r>
      <w:proofErr w:type="spellStart"/>
      <w:r w:rsidRPr="005C6E5B">
        <w:rPr>
          <w:rFonts w:cs="Times New Roman"/>
        </w:rPr>
        <w:t>ing</w:t>
      </w:r>
      <w:proofErr w:type="spellEnd"/>
      <w:r w:rsidRPr="005C6E5B">
        <w:rPr>
          <w:rFonts w:cs="Times New Roman"/>
        </w:rPr>
        <w:t>]… life experiences to make sense of them.”</w:t>
      </w:r>
      <w:r w:rsidRPr="005C6E5B">
        <w:rPr>
          <w:rStyle w:val="FootnoteReference"/>
          <w:rFonts w:cs="Times New Roman"/>
        </w:rPr>
        <w:footnoteReference w:id="342"/>
      </w:r>
      <w:r w:rsidRPr="005C6E5B">
        <w:rPr>
          <w:rFonts w:cs="Times New Roman"/>
        </w:rPr>
        <w:t xml:space="preserve"> Media framing thus serves the purpose of enabling individuals’ abilities to “locate, perceive, identify, and label.”</w:t>
      </w:r>
      <w:r w:rsidRPr="005C6E5B">
        <w:rPr>
          <w:rStyle w:val="FootnoteReference"/>
          <w:rFonts w:cs="Times New Roman"/>
        </w:rPr>
        <w:footnoteReference w:id="343"/>
      </w:r>
      <w:r w:rsidRPr="005C6E5B">
        <w:rPr>
          <w:rFonts w:cs="Times New Roman"/>
        </w:rPr>
        <w:t xml:space="preserve"> Correspondingly, Marvin Minsky defines frames as “template[s] or data structure[s] that organize… various pieces of information.”</w:t>
      </w:r>
      <w:r w:rsidRPr="005C6E5B">
        <w:rPr>
          <w:rStyle w:val="FootnoteReference"/>
          <w:rFonts w:cs="Times New Roman"/>
        </w:rPr>
        <w:footnoteReference w:id="344"/>
      </w:r>
      <w:r w:rsidRPr="005C6E5B">
        <w:rPr>
          <w:rFonts w:cs="Times New Roman"/>
        </w:rPr>
        <w:t xml:space="preserve"> According to Robert </w:t>
      </w:r>
      <w:proofErr w:type="spellStart"/>
      <w:r w:rsidRPr="005C6E5B">
        <w:rPr>
          <w:rFonts w:cs="Times New Roman"/>
        </w:rPr>
        <w:t>Entman</w:t>
      </w:r>
      <w:proofErr w:type="spellEnd"/>
      <w:r w:rsidRPr="005C6E5B">
        <w:rPr>
          <w:rFonts w:cs="Times New Roman"/>
        </w:rPr>
        <w:t>, framing involves “select[</w:t>
      </w:r>
      <w:proofErr w:type="spellStart"/>
      <w:r w:rsidRPr="005C6E5B">
        <w:rPr>
          <w:rFonts w:cs="Times New Roman"/>
        </w:rPr>
        <w:t>ing</w:t>
      </w:r>
      <w:proofErr w:type="spellEnd"/>
      <w:r w:rsidRPr="005C6E5B">
        <w:rPr>
          <w:rFonts w:cs="Times New Roman"/>
        </w:rPr>
        <w:t xml:space="preserve">] some aspects of a perceived reality, and </w:t>
      </w:r>
      <w:proofErr w:type="spellStart"/>
      <w:r w:rsidRPr="005C6E5B">
        <w:rPr>
          <w:rFonts w:cs="Times New Roman"/>
        </w:rPr>
        <w:t>mak</w:t>
      </w:r>
      <w:proofErr w:type="spellEnd"/>
      <w:r w:rsidRPr="005C6E5B">
        <w:rPr>
          <w:rFonts w:cs="Times New Roman"/>
        </w:rPr>
        <w:t>[</w:t>
      </w:r>
      <w:proofErr w:type="spellStart"/>
      <w:r w:rsidRPr="005C6E5B">
        <w:rPr>
          <w:rFonts w:cs="Times New Roman"/>
        </w:rPr>
        <w:t>ing</w:t>
      </w:r>
      <w:proofErr w:type="spellEnd"/>
      <w:r w:rsidRPr="005C6E5B">
        <w:rPr>
          <w:rFonts w:cs="Times New Roman"/>
        </w:rPr>
        <w:t>] them more salient in a communicating text, in such a way as to promote a particular problem definition, causal interpretation, moral evaluation, and/or treatment recommendation for the item described.”</w:t>
      </w:r>
      <w:r w:rsidRPr="005C6E5B">
        <w:rPr>
          <w:rStyle w:val="FootnoteReference"/>
          <w:rFonts w:cs="Times New Roman"/>
        </w:rPr>
        <w:footnoteReference w:id="345"/>
      </w:r>
      <w:r w:rsidRPr="005C6E5B">
        <w:rPr>
          <w:rFonts w:cs="Times New Roman"/>
        </w:rPr>
        <w:t xml:space="preserve"> As such, framing takes the emphasis off of </w:t>
      </w:r>
      <w:r w:rsidRPr="005C6E5B">
        <w:rPr>
          <w:rFonts w:cs="Times New Roman"/>
          <w:i/>
          <w:iCs/>
        </w:rPr>
        <w:t>what</w:t>
      </w:r>
      <w:r w:rsidRPr="005C6E5B">
        <w:rPr>
          <w:rFonts w:cs="Times New Roman"/>
        </w:rPr>
        <w:t xml:space="preserve"> is being said, implicitly shifting focus to </w:t>
      </w:r>
      <w:r w:rsidRPr="005C6E5B">
        <w:rPr>
          <w:rFonts w:cs="Times New Roman"/>
          <w:i/>
          <w:iCs/>
        </w:rPr>
        <w:t>how</w:t>
      </w:r>
      <w:r w:rsidRPr="005C6E5B">
        <w:rPr>
          <w:rFonts w:cs="Times New Roman"/>
        </w:rPr>
        <w:t xml:space="preserve"> the information is being presented. Moreover, </w:t>
      </w:r>
      <w:proofErr w:type="spellStart"/>
      <w:r w:rsidRPr="005C6E5B">
        <w:rPr>
          <w:rFonts w:cs="Times New Roman"/>
        </w:rPr>
        <w:t>Entman’s</w:t>
      </w:r>
      <w:proofErr w:type="spellEnd"/>
      <w:r w:rsidRPr="005C6E5B">
        <w:rPr>
          <w:rFonts w:cs="Times New Roman"/>
        </w:rPr>
        <w:t xml:space="preserve"> definition identifies four ways to categorize framing: suggesting the existence of a specific problem, providing a diagnosis as to the cause of the problem, evaluating the (“moral”) motivations guiding the actions of agents relevant to the problem, and recommending a solution (“treatment”) to solve the problem.</w:t>
      </w:r>
      <w:r w:rsidRPr="005C6E5B">
        <w:rPr>
          <w:rStyle w:val="FootnoteReference"/>
          <w:rFonts w:cs="Times New Roman"/>
        </w:rPr>
        <w:footnoteReference w:id="346"/>
      </w:r>
      <w:r w:rsidRPr="005C6E5B">
        <w:rPr>
          <w:rFonts w:cs="Times New Roman"/>
        </w:rPr>
        <w:t xml:space="preserve"> Thus, media framing necessarily involves context and implies messaging. </w:t>
      </w:r>
    </w:p>
    <w:p w14:paraId="181ADDD6" w14:textId="08DF32C2" w:rsidR="00BE0E9B" w:rsidRPr="005C6E5B" w:rsidRDefault="00111A81" w:rsidP="00BE0E9B">
      <w:pPr>
        <w:ind w:firstLine="709"/>
        <w:rPr>
          <w:rFonts w:cs="Times New Roman"/>
        </w:rPr>
      </w:pPr>
      <w:r>
        <w:rPr>
          <w:rFonts w:cs="Times New Roman"/>
        </w:rPr>
        <w:t>Media</w:t>
      </w:r>
      <w:r w:rsidR="000F1AFA">
        <w:rPr>
          <w:rFonts w:cs="Times New Roman"/>
        </w:rPr>
        <w:t xml:space="preserve"> </w:t>
      </w:r>
      <w:r w:rsidR="00BE0E9B" w:rsidRPr="005C6E5B">
        <w:rPr>
          <w:rFonts w:cs="Times New Roman"/>
        </w:rPr>
        <w:t>framing tends to fall into four categories: literature that focuses on defining and operationalizing framing, literature that conceptualizes different typologies of frames, literature that emphasizes the use of theory in framing research, and literature that proposes methodologies for frame analysis.</w:t>
      </w:r>
      <w:r w:rsidR="00BE0E9B" w:rsidRPr="005C6E5B">
        <w:rPr>
          <w:rStyle w:val="FootnoteReference"/>
          <w:rFonts w:cs="Times New Roman"/>
        </w:rPr>
        <w:footnoteReference w:id="347"/>
      </w:r>
      <w:r w:rsidR="00BE0E9B" w:rsidRPr="005C6E5B">
        <w:rPr>
          <w:rFonts w:cs="Times New Roman"/>
        </w:rPr>
        <w:t xml:space="preserve"> The existence of these subsets within the </w:t>
      </w:r>
      <w:r w:rsidR="00297285">
        <w:rPr>
          <w:rFonts w:cs="Times New Roman"/>
        </w:rPr>
        <w:t xml:space="preserve">discussion </w:t>
      </w:r>
      <w:r w:rsidR="00BE0E9B" w:rsidRPr="005C6E5B">
        <w:rPr>
          <w:rFonts w:cs="Times New Roman"/>
        </w:rPr>
        <w:t>solidifies a general conception of framing as the manner in which media coverage organizes and presents the material that its producers choose to cover.</w:t>
      </w:r>
      <w:r w:rsidR="00BE0E9B" w:rsidRPr="005C6E5B">
        <w:rPr>
          <w:rStyle w:val="FootnoteReference"/>
          <w:rFonts w:cs="Times New Roman"/>
        </w:rPr>
        <w:footnoteReference w:id="348"/>
      </w:r>
      <w:r w:rsidR="00BE0E9B" w:rsidRPr="005C6E5B">
        <w:rPr>
          <w:rFonts w:cs="Times New Roman"/>
        </w:rPr>
        <w:t xml:space="preserve"> Put simply, </w:t>
      </w:r>
      <w:r w:rsidR="00BE0E9B" w:rsidRPr="007F778D">
        <w:rPr>
          <w:rFonts w:cs="Times New Roman"/>
        </w:rPr>
        <w:t xml:space="preserve">framing is an abstract notion that serves to structure social meaning, influencing audiences’ perceptions of news in a way that not only </w:t>
      </w:r>
      <w:r w:rsidR="00BE0E9B" w:rsidRPr="007F778D">
        <w:rPr>
          <w:rFonts w:cs="Times New Roman"/>
        </w:rPr>
        <w:lastRenderedPageBreak/>
        <w:t xml:space="preserve">tells consumers </w:t>
      </w:r>
      <w:r w:rsidR="00BE0E9B" w:rsidRPr="007F778D">
        <w:rPr>
          <w:rFonts w:cs="Times New Roman"/>
          <w:i/>
          <w:iCs/>
        </w:rPr>
        <w:t>what to think about</w:t>
      </w:r>
      <w:r w:rsidR="00BE0E9B" w:rsidRPr="007F778D">
        <w:rPr>
          <w:rFonts w:cs="Times New Roman"/>
        </w:rPr>
        <w:t xml:space="preserve">, but also </w:t>
      </w:r>
      <w:r w:rsidR="00BE0E9B" w:rsidRPr="007F778D">
        <w:rPr>
          <w:rFonts w:cs="Times New Roman"/>
          <w:i/>
          <w:iCs/>
        </w:rPr>
        <w:t>how to think about it</w:t>
      </w:r>
      <w:r w:rsidR="00BE0E9B" w:rsidRPr="007F778D">
        <w:rPr>
          <w:rFonts w:cs="Times New Roman"/>
        </w:rPr>
        <w:t>.</w:t>
      </w:r>
      <w:r w:rsidR="00BE0E9B" w:rsidRPr="007F778D">
        <w:rPr>
          <w:rStyle w:val="FootnoteReference"/>
          <w:rFonts w:cs="Times New Roman"/>
        </w:rPr>
        <w:footnoteReference w:id="349"/>
      </w:r>
      <w:r w:rsidR="00BE0E9B" w:rsidRPr="007F778D">
        <w:rPr>
          <w:rFonts w:cs="Times New Roman"/>
        </w:rPr>
        <w:t xml:space="preserve"> Framing plays an integral part in this dissertation’s conceptualization of media coverage’s creation, codification, and circulation of narratives surrounding terrorist activity. For that reason, bias that emerges as framing in the context of media coverage of terrorism is significant to my Chapter 7 analysis of </w:t>
      </w:r>
      <w:r w:rsidR="00BE0E9B" w:rsidRPr="007F778D">
        <w:rPr>
          <w:rFonts w:cs="Times New Roman"/>
          <w:i/>
          <w:iCs/>
        </w:rPr>
        <w:t>how</w:t>
      </w:r>
      <w:r w:rsidR="00BE0E9B" w:rsidRPr="007F778D">
        <w:rPr>
          <w:rFonts w:cs="Times New Roman"/>
        </w:rPr>
        <w:t xml:space="preserve"> the media coverage of terrorism diminishes the state’s international legitimacy. Bias is also important to my argument that framing ultimately legitimizes the perpetrators of terrorism by simultaneously situating their actions within the norms and values within society and increasing the impact factor of their actions.</w:t>
      </w:r>
      <w:r w:rsidR="00BE0E9B" w:rsidRPr="007F778D">
        <w:rPr>
          <w:rStyle w:val="FootnoteReference"/>
          <w:rFonts w:cs="Times New Roman"/>
        </w:rPr>
        <w:footnoteReference w:id="350"/>
      </w:r>
      <w:r w:rsidR="00BE0E9B" w:rsidRPr="007F778D">
        <w:rPr>
          <w:rFonts w:cs="Times New Roman"/>
        </w:rPr>
        <w:t xml:space="preserve"> In doing the aforementioned, my work is informed by the research on discourse units which is part of the subset of scholarship on media framing that focuses on proposing methodologies for frame analysis.</w:t>
      </w:r>
    </w:p>
    <w:p w14:paraId="70F8052D" w14:textId="01A75A34" w:rsidR="00D03C79" w:rsidRPr="009B1E33" w:rsidRDefault="00BE0E9B" w:rsidP="009B1E33">
      <w:pPr>
        <w:ind w:firstLine="709"/>
        <w:rPr>
          <w:rFonts w:cs="Times New Roman"/>
        </w:rPr>
      </w:pPr>
      <w:r w:rsidRPr="005C6E5B">
        <w:rPr>
          <w:rFonts w:cs="Times New Roman"/>
        </w:rPr>
        <w:t xml:space="preserve">In particular, </w:t>
      </w:r>
      <w:r>
        <w:rPr>
          <w:rFonts w:cs="Times New Roman"/>
        </w:rPr>
        <w:t>I draw</w:t>
      </w:r>
      <w:r w:rsidRPr="005C6E5B">
        <w:rPr>
          <w:rFonts w:cs="Times New Roman"/>
        </w:rPr>
        <w:t xml:space="preserve"> on methodologies pioneered by studies like L. Paul </w:t>
      </w:r>
      <w:proofErr w:type="spellStart"/>
      <w:r w:rsidRPr="005C6E5B">
        <w:rPr>
          <w:rFonts w:cs="Times New Roman"/>
        </w:rPr>
        <w:t>Husselbee</w:t>
      </w:r>
      <w:proofErr w:type="spellEnd"/>
      <w:r w:rsidRPr="005C6E5B">
        <w:rPr>
          <w:rFonts w:cs="Times New Roman"/>
        </w:rPr>
        <w:t xml:space="preserve"> and Larry Elliot’s 2002 research on how news coverage framed the communities in Jasper (Texas), and Laramie (Wyoming) in the wake of the James Byrd Jr. and Matthew Shepard murders that conceive of news items or articles as discourse units.</w:t>
      </w:r>
      <w:r w:rsidRPr="005C6E5B">
        <w:rPr>
          <w:rStyle w:val="FootnoteReference"/>
          <w:rFonts w:cs="Times New Roman"/>
        </w:rPr>
        <w:footnoteReference w:id="351"/>
      </w:r>
      <w:r w:rsidRPr="005C6E5B">
        <w:rPr>
          <w:rFonts w:cs="Times New Roman"/>
        </w:rPr>
        <w:t xml:space="preserve"> In particular, </w:t>
      </w:r>
      <w:proofErr w:type="spellStart"/>
      <w:r w:rsidRPr="005C6E5B">
        <w:rPr>
          <w:rFonts w:cs="Times New Roman"/>
        </w:rPr>
        <w:t>Husselbee</w:t>
      </w:r>
      <w:proofErr w:type="spellEnd"/>
      <w:r w:rsidRPr="005C6E5B">
        <w:rPr>
          <w:rFonts w:cs="Times New Roman"/>
        </w:rPr>
        <w:t xml:space="preserve"> and Elliot’s study inspired both my use of keyword searches to identify </w:t>
      </w:r>
      <w:r w:rsidR="00F74D09">
        <w:rPr>
          <w:rFonts w:cs="Times New Roman"/>
        </w:rPr>
        <w:t>media</w:t>
      </w:r>
      <w:r w:rsidRPr="005C6E5B">
        <w:rPr>
          <w:rFonts w:cs="Times New Roman"/>
        </w:rPr>
        <w:t xml:space="preserve"> bulletins that comprise the relevant discourse units for this research.</w:t>
      </w:r>
      <w:r>
        <w:rPr>
          <w:rStyle w:val="FootnoteReference"/>
          <w:rFonts w:cs="Times New Roman"/>
        </w:rPr>
        <w:footnoteReference w:id="352"/>
      </w:r>
      <w:r>
        <w:rPr>
          <w:rFonts w:cs="Times New Roman"/>
        </w:rPr>
        <w:t xml:space="preserve"> </w:t>
      </w:r>
      <w:proofErr w:type="spellStart"/>
      <w:r w:rsidRPr="005C6E5B">
        <w:rPr>
          <w:rFonts w:cs="Times New Roman"/>
        </w:rPr>
        <w:t>Husselbee</w:t>
      </w:r>
      <w:proofErr w:type="spellEnd"/>
      <w:r w:rsidRPr="005C6E5B">
        <w:rPr>
          <w:rFonts w:cs="Times New Roman"/>
        </w:rPr>
        <w:t xml:space="preserve"> and Elliot’s methodology also influenced my decision to </w:t>
      </w:r>
      <w:r>
        <w:rPr>
          <w:rFonts w:cs="Times New Roman"/>
        </w:rPr>
        <w:t xml:space="preserve">use </w:t>
      </w:r>
      <w:r w:rsidRPr="005C6E5B">
        <w:rPr>
          <w:rFonts w:cs="Times New Roman"/>
        </w:rPr>
        <w:t xml:space="preserve">inductive analysis to both identify and develop a classification of </w:t>
      </w:r>
      <w:r>
        <w:rPr>
          <w:rFonts w:cs="Times New Roman"/>
        </w:rPr>
        <w:t xml:space="preserve">the </w:t>
      </w:r>
      <w:r w:rsidRPr="005C6E5B">
        <w:rPr>
          <w:rFonts w:cs="Times New Roman"/>
        </w:rPr>
        <w:t xml:space="preserve">relevant frames in my research. </w:t>
      </w:r>
      <w:r>
        <w:rPr>
          <w:rFonts w:cs="Times New Roman"/>
        </w:rPr>
        <w:t>Thus, I</w:t>
      </w:r>
      <w:r w:rsidRPr="005C6E5B">
        <w:rPr>
          <w:rFonts w:cs="Times New Roman"/>
        </w:rPr>
        <w:t xml:space="preserve"> rely on their study’s correlation between “good news” and favourability, “bad news” and unfavourability in my analysis as to whether a discourse unit is damaging to the state’s international legitimacy (and therefore, beneficial to terrorism).</w:t>
      </w:r>
      <w:r w:rsidRPr="005C6E5B">
        <w:rPr>
          <w:rStyle w:val="FootnoteReference"/>
          <w:rFonts w:cs="Times New Roman"/>
        </w:rPr>
        <w:footnoteReference w:id="353"/>
      </w:r>
      <w:r w:rsidRPr="005C6E5B">
        <w:rPr>
          <w:rFonts w:cs="Times New Roman"/>
        </w:rPr>
        <w:t xml:space="preserve"> </w:t>
      </w:r>
    </w:p>
    <w:p w14:paraId="4918BB00" w14:textId="3F31B4F6" w:rsidR="00BE0E9B" w:rsidRPr="005C6E5B" w:rsidRDefault="00BE0E9B" w:rsidP="00787123">
      <w:pPr>
        <w:pStyle w:val="DissertationSection1"/>
      </w:pPr>
      <w:bookmarkStart w:id="40" w:name="_Toc175413145"/>
      <w:r w:rsidRPr="005C6E5B">
        <w:t>Media Production</w:t>
      </w:r>
      <w:bookmarkEnd w:id="40"/>
    </w:p>
    <w:p w14:paraId="54CAD367" w14:textId="63A8D6FF" w:rsidR="00BE0E9B" w:rsidRPr="005C6E5B" w:rsidRDefault="00BE0E9B" w:rsidP="00BE0E9B">
      <w:pPr>
        <w:ind w:firstLine="709"/>
        <w:rPr>
          <w:rFonts w:cs="Times New Roman"/>
          <w:color w:val="0D0D0D"/>
          <w:shd w:val="clear" w:color="auto" w:fill="FFFFFF"/>
        </w:rPr>
      </w:pPr>
      <w:r w:rsidRPr="005C6E5B">
        <w:rPr>
          <w:rFonts w:cs="Times New Roman"/>
          <w:color w:val="0D0D0D"/>
          <w:shd w:val="clear" w:color="auto" w:fill="FFFFFF"/>
        </w:rPr>
        <w:t xml:space="preserve">Media bias that emerges in the framing of news content significantly influences news production. This influence tends to emerge in the </w:t>
      </w:r>
      <w:r w:rsidR="00297285">
        <w:rPr>
          <w:rFonts w:cs="Times New Roman"/>
          <w:color w:val="0D0D0D"/>
          <w:shd w:val="clear" w:color="auto" w:fill="FFFFFF"/>
        </w:rPr>
        <w:t>“</w:t>
      </w:r>
      <w:r w:rsidRPr="005C6E5B">
        <w:rPr>
          <w:rFonts w:cs="Times New Roman"/>
          <w:color w:val="0D0D0D"/>
          <w:shd w:val="clear" w:color="auto" w:fill="FFFFFF"/>
        </w:rPr>
        <w:t>writing</w:t>
      </w:r>
      <w:r w:rsidR="00297285">
        <w:rPr>
          <w:rFonts w:cs="Times New Roman"/>
          <w:color w:val="0D0D0D"/>
          <w:shd w:val="clear" w:color="auto" w:fill="FFFFFF"/>
        </w:rPr>
        <w:t>”</w:t>
      </w:r>
      <w:r w:rsidRPr="005C6E5B">
        <w:rPr>
          <w:rFonts w:cs="Times New Roman"/>
          <w:color w:val="0D0D0D"/>
          <w:shd w:val="clear" w:color="auto" w:fill="FFFFFF"/>
        </w:rPr>
        <w:t xml:space="preserve"> and </w:t>
      </w:r>
      <w:r w:rsidR="00297285">
        <w:rPr>
          <w:rFonts w:cs="Times New Roman"/>
          <w:color w:val="0D0D0D"/>
          <w:shd w:val="clear" w:color="auto" w:fill="FFFFFF"/>
        </w:rPr>
        <w:t>“</w:t>
      </w:r>
      <w:r w:rsidRPr="005C6E5B">
        <w:rPr>
          <w:rFonts w:cs="Times New Roman"/>
          <w:color w:val="0D0D0D"/>
          <w:shd w:val="clear" w:color="auto" w:fill="FFFFFF"/>
        </w:rPr>
        <w:t>editing</w:t>
      </w:r>
      <w:r w:rsidR="00297285">
        <w:rPr>
          <w:rFonts w:cs="Times New Roman"/>
          <w:color w:val="0D0D0D"/>
          <w:shd w:val="clear" w:color="auto" w:fill="FFFFFF"/>
        </w:rPr>
        <w:t>”</w:t>
      </w:r>
      <w:r w:rsidRPr="005C6E5B">
        <w:rPr>
          <w:rFonts w:cs="Times New Roman"/>
          <w:color w:val="0D0D0D"/>
          <w:shd w:val="clear" w:color="auto" w:fill="FFFFFF"/>
        </w:rPr>
        <w:t xml:space="preserve"> stages of news production described by Felix </w:t>
      </w:r>
      <w:proofErr w:type="spellStart"/>
      <w:r w:rsidRPr="005C6E5B">
        <w:rPr>
          <w:rFonts w:cs="Times New Roman"/>
          <w:color w:val="0D0D0D"/>
          <w:shd w:val="clear" w:color="auto" w:fill="FFFFFF"/>
        </w:rPr>
        <w:t>Hamborg</w:t>
      </w:r>
      <w:proofErr w:type="spellEnd"/>
      <w:r w:rsidRPr="005C6E5B">
        <w:rPr>
          <w:rFonts w:cs="Times New Roman"/>
          <w:color w:val="0D0D0D"/>
          <w:shd w:val="clear" w:color="auto" w:fill="FFFFFF"/>
        </w:rPr>
        <w:t xml:space="preserve">, </w:t>
      </w:r>
      <w:proofErr w:type="spellStart"/>
      <w:r w:rsidRPr="005C6E5B">
        <w:rPr>
          <w:rFonts w:cs="Times New Roman"/>
          <w:color w:val="0D0D0D"/>
          <w:shd w:val="clear" w:color="auto" w:fill="FFFFFF"/>
        </w:rPr>
        <w:t>Karsten</w:t>
      </w:r>
      <w:proofErr w:type="spellEnd"/>
      <w:r w:rsidRPr="005C6E5B">
        <w:rPr>
          <w:rFonts w:cs="Times New Roman"/>
          <w:color w:val="0D0D0D"/>
          <w:shd w:val="clear" w:color="auto" w:fill="FFFFFF"/>
        </w:rPr>
        <w:t xml:space="preserve"> Donnay and Bela </w:t>
      </w:r>
      <w:proofErr w:type="spellStart"/>
      <w:r w:rsidRPr="005C6E5B">
        <w:rPr>
          <w:rFonts w:cs="Times New Roman"/>
          <w:color w:val="0D0D0D"/>
          <w:shd w:val="clear" w:color="auto" w:fill="FFFFFF"/>
        </w:rPr>
        <w:t>Gipp</w:t>
      </w:r>
      <w:proofErr w:type="spellEnd"/>
      <w:r w:rsidRPr="005C6E5B">
        <w:rPr>
          <w:rFonts w:cs="Times New Roman"/>
          <w:color w:val="0D0D0D"/>
          <w:shd w:val="clear" w:color="auto" w:fill="FFFFFF"/>
        </w:rPr>
        <w:t xml:space="preserve">. I conceive of </w:t>
      </w:r>
      <w:proofErr w:type="spellStart"/>
      <w:r w:rsidRPr="005C6E5B">
        <w:rPr>
          <w:rFonts w:cs="Times New Roman"/>
          <w:color w:val="0D0D0D"/>
          <w:shd w:val="clear" w:color="auto" w:fill="FFFFFF"/>
        </w:rPr>
        <w:t>Hamborg</w:t>
      </w:r>
      <w:proofErr w:type="spellEnd"/>
      <w:r w:rsidRPr="005C6E5B">
        <w:rPr>
          <w:rFonts w:cs="Times New Roman"/>
          <w:color w:val="0D0D0D"/>
          <w:shd w:val="clear" w:color="auto" w:fill="FFFFFF"/>
        </w:rPr>
        <w:t xml:space="preserve">, Donnay and </w:t>
      </w:r>
      <w:proofErr w:type="spellStart"/>
      <w:r w:rsidRPr="005C6E5B">
        <w:rPr>
          <w:rFonts w:cs="Times New Roman"/>
          <w:color w:val="0D0D0D"/>
          <w:shd w:val="clear" w:color="auto" w:fill="FFFFFF"/>
        </w:rPr>
        <w:t>Gipp’s</w:t>
      </w:r>
      <w:proofErr w:type="spellEnd"/>
      <w:r w:rsidRPr="005C6E5B">
        <w:rPr>
          <w:rFonts w:cs="Times New Roman"/>
          <w:color w:val="0D0D0D"/>
          <w:shd w:val="clear" w:color="auto" w:fill="FFFFFF"/>
        </w:rPr>
        <w:t xml:space="preserve"> three stages of news production as implicit development on the “news production circuit” associated with </w:t>
      </w:r>
      <w:proofErr w:type="spellStart"/>
      <w:r w:rsidRPr="005C6E5B">
        <w:rPr>
          <w:rFonts w:cs="Times New Roman"/>
          <w:color w:val="0D0D0D"/>
          <w:shd w:val="clear" w:color="auto" w:fill="FFFFFF"/>
        </w:rPr>
        <w:t>Anabela</w:t>
      </w:r>
      <w:proofErr w:type="spellEnd"/>
      <w:r w:rsidRPr="005C6E5B">
        <w:rPr>
          <w:rFonts w:cs="Times New Roman"/>
          <w:color w:val="0D0D0D"/>
          <w:shd w:val="clear" w:color="auto" w:fill="FFFFFF"/>
        </w:rPr>
        <w:t xml:space="preserve"> Carvalho and Jacquelin Burgess’s “circuits of communication” model. Carvalho and Burgess identify three overarching phases that communications necessarily interact with as they transition between the public sphere and private spheres of individual engagement. The first circuit associated with this model – their </w:t>
      </w:r>
      <w:r w:rsidR="00297285">
        <w:rPr>
          <w:rFonts w:cs="Times New Roman"/>
          <w:color w:val="0D0D0D"/>
          <w:shd w:val="clear" w:color="auto" w:fill="FFFFFF"/>
        </w:rPr>
        <w:t>“</w:t>
      </w:r>
      <w:r w:rsidRPr="005C6E5B">
        <w:rPr>
          <w:rFonts w:cs="Times New Roman"/>
          <w:color w:val="0D0D0D"/>
          <w:shd w:val="clear" w:color="auto" w:fill="FFFFFF"/>
        </w:rPr>
        <w:t>news production</w:t>
      </w:r>
      <w:r w:rsidR="00297285">
        <w:rPr>
          <w:rFonts w:cs="Times New Roman"/>
          <w:color w:val="0D0D0D"/>
          <w:shd w:val="clear" w:color="auto" w:fill="FFFFFF"/>
        </w:rPr>
        <w:t>”</w:t>
      </w:r>
      <w:r w:rsidRPr="005C6E5B">
        <w:rPr>
          <w:rFonts w:cs="Times New Roman"/>
          <w:color w:val="0D0D0D"/>
          <w:shd w:val="clear" w:color="auto" w:fill="FFFFFF"/>
        </w:rPr>
        <w:t xml:space="preserve"> circuit – </w:t>
      </w:r>
      <w:r w:rsidRPr="005C6E5B">
        <w:rPr>
          <w:rFonts w:cs="Times New Roman"/>
        </w:rPr>
        <w:t>involves media professionals’ creation and compilation of news stories.</w:t>
      </w:r>
      <w:r w:rsidRPr="005C6E5B">
        <w:rPr>
          <w:rStyle w:val="FootnoteReference"/>
          <w:rFonts w:cs="Times New Roman"/>
        </w:rPr>
        <w:footnoteReference w:id="354"/>
      </w:r>
      <w:r w:rsidRPr="005C6E5B">
        <w:rPr>
          <w:rFonts w:cs="Times New Roman"/>
          <w:color w:val="0D0D0D"/>
          <w:shd w:val="clear" w:color="auto" w:fill="FFFFFF"/>
        </w:rPr>
        <w:t xml:space="preserve"> While Carvalho and Burgess also develop successive </w:t>
      </w:r>
      <w:r w:rsidR="00297285">
        <w:rPr>
          <w:rFonts w:cs="Times New Roman"/>
          <w:color w:val="0D0D0D"/>
          <w:shd w:val="clear" w:color="auto" w:fill="FFFFFF"/>
        </w:rPr>
        <w:t>“</w:t>
      </w:r>
      <w:r w:rsidRPr="005C6E5B">
        <w:rPr>
          <w:rFonts w:cs="Times New Roman"/>
          <w:color w:val="0D0D0D"/>
          <w:shd w:val="clear" w:color="auto" w:fill="FFFFFF"/>
        </w:rPr>
        <w:t>public dissemination</w:t>
      </w:r>
      <w:r w:rsidR="00297285">
        <w:rPr>
          <w:rFonts w:cs="Times New Roman"/>
          <w:color w:val="0D0D0D"/>
          <w:shd w:val="clear" w:color="auto" w:fill="FFFFFF"/>
        </w:rPr>
        <w:t>”</w:t>
      </w:r>
      <w:r w:rsidRPr="005C6E5B">
        <w:rPr>
          <w:rFonts w:cs="Times New Roman"/>
          <w:color w:val="0D0D0D"/>
          <w:shd w:val="clear" w:color="auto" w:fill="FFFFFF"/>
        </w:rPr>
        <w:t xml:space="preserve"> and "personal engagement" circuits, my research primarily focuses on this first circuit because it is integral to understanding how media coverage, shaped by biases, serves as a key component in the portrayal </w:t>
      </w:r>
      <w:r w:rsidRPr="005C6E5B">
        <w:rPr>
          <w:rFonts w:cs="Times New Roman"/>
          <w:color w:val="0D0D0D"/>
          <w:shd w:val="clear" w:color="auto" w:fill="FFFFFF"/>
        </w:rPr>
        <w:lastRenderedPageBreak/>
        <w:t xml:space="preserve">of terrorism as a means of post-modern warfare. Implicitly expanding on Carvalho and Burgess’s work, </w:t>
      </w:r>
      <w:proofErr w:type="spellStart"/>
      <w:r w:rsidRPr="005C6E5B">
        <w:rPr>
          <w:rFonts w:cs="Times New Roman"/>
        </w:rPr>
        <w:t>Hamborg</w:t>
      </w:r>
      <w:proofErr w:type="spellEnd"/>
      <w:r w:rsidRPr="005C6E5B">
        <w:rPr>
          <w:rFonts w:cs="Times New Roman"/>
        </w:rPr>
        <w:t xml:space="preserve">, Donnay and </w:t>
      </w:r>
      <w:proofErr w:type="spellStart"/>
      <w:r w:rsidRPr="005C6E5B">
        <w:rPr>
          <w:rFonts w:cs="Times New Roman"/>
        </w:rPr>
        <w:t>Gipp</w:t>
      </w:r>
      <w:proofErr w:type="spellEnd"/>
      <w:r w:rsidRPr="005C6E5B">
        <w:rPr>
          <w:rFonts w:cs="Times New Roman"/>
        </w:rPr>
        <w:t xml:space="preserve"> subdivide the news production process into three stages: gathering, writing and editing.</w:t>
      </w:r>
      <w:r w:rsidRPr="005C6E5B">
        <w:rPr>
          <w:rStyle w:val="FootnoteReference"/>
          <w:rFonts w:cs="Times New Roman"/>
        </w:rPr>
        <w:footnoteReference w:id="355"/>
      </w:r>
      <w:r w:rsidRPr="005C6E5B">
        <w:rPr>
          <w:rFonts w:cs="Times New Roman"/>
        </w:rPr>
        <w:t xml:space="preserve"> Their “gathering” stage involves news producers’ selection of facts and events to report on, culminating in the “commission or omission” of information that affects the perspective that the news story produced will ultimately reflect.</w:t>
      </w:r>
      <w:r w:rsidRPr="005C6E5B">
        <w:rPr>
          <w:rStyle w:val="FootnoteReference"/>
          <w:rFonts w:cs="Times New Roman"/>
        </w:rPr>
        <w:footnoteReference w:id="356"/>
      </w:r>
      <w:r w:rsidRPr="005C6E5B">
        <w:rPr>
          <w:rFonts w:cs="Times New Roman"/>
        </w:rPr>
        <w:t xml:space="preserve"> Their “writing” stage then involves the literary creation of the news story in question, while their third “editing” stage deals primarily with the presentation style that is to be associated with the news story.</w:t>
      </w:r>
      <w:r w:rsidRPr="005C6E5B">
        <w:rPr>
          <w:rStyle w:val="FootnoteReference"/>
          <w:rFonts w:cs="Times New Roman"/>
        </w:rPr>
        <w:footnoteReference w:id="357"/>
      </w:r>
    </w:p>
    <w:p w14:paraId="041CFF8C" w14:textId="09DECCFD" w:rsidR="00BE0E9B" w:rsidRPr="005C6E5B" w:rsidRDefault="00BE0E9B" w:rsidP="00BE0E9B">
      <w:pPr>
        <w:ind w:firstLine="709"/>
        <w:rPr>
          <w:rFonts w:cs="Times New Roman"/>
        </w:rPr>
      </w:pPr>
      <w:r w:rsidRPr="005C6E5B">
        <w:rPr>
          <w:rFonts w:cs="Times New Roman"/>
        </w:rPr>
        <w:t xml:space="preserve">Notwithstanding the “circuits of communication” model’s initial conception specifically in relation to the media coverage of climate change, I extend the framework established by the interaction between Carvalho and Burgess’ model and </w:t>
      </w:r>
      <w:proofErr w:type="spellStart"/>
      <w:r w:rsidRPr="005C6E5B">
        <w:rPr>
          <w:rFonts w:cs="Times New Roman"/>
        </w:rPr>
        <w:t>Hamborg</w:t>
      </w:r>
      <w:proofErr w:type="spellEnd"/>
      <w:r w:rsidRPr="005C6E5B">
        <w:rPr>
          <w:rFonts w:cs="Times New Roman"/>
        </w:rPr>
        <w:t xml:space="preserve">, Donnay and </w:t>
      </w:r>
      <w:proofErr w:type="spellStart"/>
      <w:r w:rsidRPr="005C6E5B">
        <w:rPr>
          <w:rFonts w:cs="Times New Roman"/>
        </w:rPr>
        <w:t>Gipp’s</w:t>
      </w:r>
      <w:proofErr w:type="spellEnd"/>
      <w:r w:rsidRPr="005C6E5B">
        <w:rPr>
          <w:rFonts w:cs="Times New Roman"/>
        </w:rPr>
        <w:t xml:space="preserve"> breakdown of the news production process to media coverage of terrorist activity. Extending the use of these models from media coverage of climate change to media coverage of international security issues is possible due to the similar interaction between policy decision-making, media coverage and public opinion. For that reason, I use this framework to contextualize its description of bias elements associated with the news production process that come into play even before a journalist begins writing a news story. My resulting understanding of how and when bias can surface in the news production process helps me more narrowly define the universe of media coverage of terrorism – </w:t>
      </w:r>
      <w:r w:rsidR="00F74D09">
        <w:rPr>
          <w:rFonts w:cs="Times New Roman"/>
        </w:rPr>
        <w:t>media</w:t>
      </w:r>
      <w:r w:rsidRPr="005C6E5B">
        <w:rPr>
          <w:rFonts w:cs="Times New Roman"/>
        </w:rPr>
        <w:t xml:space="preserve"> bulletins produced by the three international news agencies responsible for producing the majority of English language news globally – that I analyze in this dissertation.</w:t>
      </w:r>
    </w:p>
    <w:p w14:paraId="67844B44" w14:textId="77777777" w:rsidR="00BE0E9B" w:rsidRPr="005C6E5B" w:rsidRDefault="00BE0E9B" w:rsidP="00BE0E9B">
      <w:pPr>
        <w:ind w:firstLine="709"/>
        <w:rPr>
          <w:rFonts w:cs="Times New Roman"/>
        </w:rPr>
      </w:pPr>
      <w:r w:rsidRPr="005C6E5B">
        <w:rPr>
          <w:rFonts w:cs="Times New Roman"/>
        </w:rPr>
        <w:t>While I outline two typologies of bias that come into play during the writing process earlier in this chapter, there is also a third typology of bias that distinguishes between “coverage bias,” “gatekeeping bias,” and “statement bias.”</w:t>
      </w:r>
      <w:r w:rsidRPr="005C6E5B">
        <w:rPr>
          <w:rStyle w:val="FootnoteReference"/>
          <w:rFonts w:cs="Times New Roman"/>
        </w:rPr>
        <w:footnoteReference w:id="358"/>
      </w:r>
      <w:r w:rsidRPr="005C6E5B">
        <w:rPr>
          <w:rFonts w:cs="Times New Roman"/>
        </w:rPr>
        <w:t xml:space="preserve"> “Coverage bias” and “statement bias” focus on the visibility and representation (or lack thereof) of specific topics or entities in media coverage, while “gatekeeping bias” relates to which stories media outlets select (or conversely reject) for reporting.</w:t>
      </w:r>
      <w:r w:rsidRPr="005C6E5B">
        <w:rPr>
          <w:rStyle w:val="FootnoteReference"/>
          <w:rFonts w:cs="Times New Roman"/>
        </w:rPr>
        <w:footnoteReference w:id="359"/>
      </w:r>
      <w:r w:rsidRPr="005C6E5B">
        <w:rPr>
          <w:rFonts w:cs="Times New Roman"/>
        </w:rPr>
        <w:t xml:space="preserve"> Similar to Mullainathan and </w:t>
      </w:r>
      <w:proofErr w:type="spellStart"/>
      <w:r w:rsidRPr="005C6E5B">
        <w:rPr>
          <w:rFonts w:cs="Times New Roman"/>
        </w:rPr>
        <w:t>Shliefer’s</w:t>
      </w:r>
      <w:proofErr w:type="spellEnd"/>
      <w:r w:rsidRPr="005C6E5B">
        <w:rPr>
          <w:rFonts w:cs="Times New Roman"/>
        </w:rPr>
        <w:t xml:space="preserve"> “ideological bias,” “coverage” and “gatekeeping” biases both come into play primarily during the “gathering” phase of the news production process outlined by </w:t>
      </w:r>
      <w:proofErr w:type="spellStart"/>
      <w:r w:rsidRPr="005C6E5B">
        <w:rPr>
          <w:rFonts w:cs="Times New Roman"/>
        </w:rPr>
        <w:t>Hamborg</w:t>
      </w:r>
      <w:proofErr w:type="spellEnd"/>
      <w:r w:rsidRPr="005C6E5B">
        <w:rPr>
          <w:rFonts w:cs="Times New Roman"/>
        </w:rPr>
        <w:t xml:space="preserve">, Donnay, and </w:t>
      </w:r>
      <w:proofErr w:type="spellStart"/>
      <w:r w:rsidRPr="005C6E5B">
        <w:rPr>
          <w:rFonts w:cs="Times New Roman"/>
        </w:rPr>
        <w:t>Gipp</w:t>
      </w:r>
      <w:proofErr w:type="spellEnd"/>
      <w:r w:rsidRPr="005C6E5B">
        <w:rPr>
          <w:rFonts w:cs="Times New Roman"/>
        </w:rPr>
        <w:t>.</w:t>
      </w:r>
    </w:p>
    <w:p w14:paraId="59484C63" w14:textId="3DCEA322" w:rsidR="00BE0E9B" w:rsidRPr="005C6E5B" w:rsidRDefault="00BE0E9B" w:rsidP="00BE0E9B">
      <w:pPr>
        <w:ind w:firstLine="709"/>
        <w:rPr>
          <w:rFonts w:cs="Times New Roman"/>
        </w:rPr>
      </w:pPr>
      <w:r w:rsidRPr="005C6E5B">
        <w:rPr>
          <w:rFonts w:cs="Times New Roman"/>
        </w:rPr>
        <w:t xml:space="preserve">A further factor that plays into gatekeeping bias is the increasingly instrumental role played by content sources – international news agencies – in the “gathering” stage of </w:t>
      </w:r>
      <w:proofErr w:type="spellStart"/>
      <w:r w:rsidRPr="005C6E5B">
        <w:rPr>
          <w:rFonts w:cs="Times New Roman"/>
        </w:rPr>
        <w:t>Hamborg</w:t>
      </w:r>
      <w:proofErr w:type="spellEnd"/>
      <w:r w:rsidRPr="005C6E5B">
        <w:rPr>
          <w:rFonts w:cs="Times New Roman"/>
        </w:rPr>
        <w:t xml:space="preserve">, Donnay and </w:t>
      </w:r>
      <w:proofErr w:type="spellStart"/>
      <w:r w:rsidRPr="005C6E5B">
        <w:rPr>
          <w:rFonts w:cs="Times New Roman"/>
        </w:rPr>
        <w:t>Gipp’s</w:t>
      </w:r>
      <w:proofErr w:type="spellEnd"/>
      <w:r w:rsidRPr="005C6E5B">
        <w:rPr>
          <w:rFonts w:cs="Times New Roman"/>
        </w:rPr>
        <w:t xml:space="preserve"> news production process.  The role of content sources has expanded in tandem with increased globalization, in large part due to major newspapers’ increasingly reliance on the “recycled news” that they produce and disseminate.</w:t>
      </w:r>
      <w:r w:rsidRPr="005C6E5B">
        <w:rPr>
          <w:rStyle w:val="FootnoteReference"/>
          <w:rFonts w:cs="Times New Roman"/>
        </w:rPr>
        <w:footnoteReference w:id="360"/>
      </w:r>
      <w:r w:rsidRPr="005C6E5B">
        <w:rPr>
          <w:rFonts w:cs="Times New Roman"/>
        </w:rPr>
        <w:t xml:space="preserve"> Indeed, Jane Johnstone and Susan Forde argue that, since the introduction of cable television channels dedicated to news coverage, “the needs of a twenty-four-hour newsroom have led to a greater reliance” on sources that are individually able to provide news producers with hundreds of diverse news reports on a daily </w:t>
      </w:r>
      <w:r w:rsidRPr="005C6E5B">
        <w:rPr>
          <w:rFonts w:cs="Times New Roman"/>
        </w:rPr>
        <w:lastRenderedPageBreak/>
        <w:t>basis.</w:t>
      </w:r>
      <w:r w:rsidRPr="005C6E5B">
        <w:rPr>
          <w:rStyle w:val="FootnoteReference"/>
          <w:rFonts w:cs="Times New Roman"/>
        </w:rPr>
        <w:footnoteReference w:id="361"/>
      </w:r>
      <w:r w:rsidRPr="005C6E5B">
        <w:rPr>
          <w:rFonts w:cs="Times New Roman"/>
        </w:rPr>
        <w:t xml:space="preserve"> Moreover, the offering of twenty-four-hour news increased the competition amongst media organizations for audience share, which, coupled with the economic considerations of these organizations’ corporate ownership, has put increased pressure on journalists to publish stories as fast as possible.</w:t>
      </w:r>
      <w:r w:rsidRPr="005C6E5B">
        <w:rPr>
          <w:rStyle w:val="FootnoteReference"/>
          <w:rFonts w:cs="Times New Roman"/>
        </w:rPr>
        <w:footnoteReference w:id="362"/>
      </w:r>
      <w:r w:rsidRPr="005C6E5B">
        <w:rPr>
          <w:rFonts w:cs="Times New Roman"/>
        </w:rPr>
        <w:t xml:space="preserve"> This requires near-instantaneous access to information on developing stories, which has contributed to a significant reliance on international news agencies on the part of news organizations. These considerations for media outlets’ increasing reliance on content courses ultimately work with the understanding of how bias factors into the news production process delineated earlier in this chapter to justify this dissertation’s focus on the media coverage of terrorism constituted by </w:t>
      </w:r>
      <w:r w:rsidR="00F74D09">
        <w:rPr>
          <w:rFonts w:cs="Times New Roman"/>
        </w:rPr>
        <w:t>media</w:t>
      </w:r>
      <w:r w:rsidRPr="005C6E5B">
        <w:rPr>
          <w:rFonts w:cs="Times New Roman"/>
        </w:rPr>
        <w:t xml:space="preserve"> bulletins produced by the three international news agencies responsible for producing the majority of English language news content globally.</w:t>
      </w:r>
    </w:p>
    <w:p w14:paraId="45A76641" w14:textId="50FCAC17" w:rsidR="00BE0E9B" w:rsidRPr="005C6E5B" w:rsidRDefault="00BE0E9B" w:rsidP="00BE0E9B">
      <w:pPr>
        <w:ind w:firstLine="709"/>
        <w:rPr>
          <w:rFonts w:cs="Times New Roman"/>
        </w:rPr>
      </w:pPr>
      <w:r w:rsidRPr="005C6E5B">
        <w:rPr>
          <w:rFonts w:cs="Times New Roman"/>
        </w:rPr>
        <w:t>Style guides produced by major news agencies also serve an additional gatekeeping function that indicates the importance of a word or topic (or, the specific framing associated with that word or topic) to the public agenda.</w:t>
      </w:r>
      <w:r w:rsidRPr="005C6E5B">
        <w:rPr>
          <w:rStyle w:val="FootnoteReference"/>
          <w:rFonts w:cs="Times New Roman"/>
        </w:rPr>
        <w:footnoteReference w:id="363"/>
      </w:r>
      <w:r w:rsidRPr="005C6E5B">
        <w:rPr>
          <w:rFonts w:cs="Times New Roman"/>
        </w:rPr>
        <w:t xml:space="preserve"> </w:t>
      </w:r>
      <w:r w:rsidR="00297285">
        <w:rPr>
          <w:rFonts w:cs="Times New Roman"/>
        </w:rPr>
        <w:t>G</w:t>
      </w:r>
      <w:r w:rsidRPr="005C6E5B">
        <w:rPr>
          <w:rFonts w:cs="Times New Roman"/>
        </w:rPr>
        <w:t xml:space="preserve">uides published by significant international news agencies facilitate the integration of these terms and their framing “from the margin to the mainstream, and conversely </w:t>
      </w:r>
      <w:proofErr w:type="spellStart"/>
      <w:r w:rsidRPr="005C6E5B">
        <w:rPr>
          <w:rFonts w:cs="Times New Roman"/>
        </w:rPr>
        <w:t>ensur</w:t>
      </w:r>
      <w:proofErr w:type="spellEnd"/>
      <w:r w:rsidRPr="005C6E5B">
        <w:rPr>
          <w:rFonts w:cs="Times New Roman"/>
        </w:rPr>
        <w:t>[e] that other forms which are not adopted remain marginal.”</w:t>
      </w:r>
      <w:r w:rsidRPr="005C6E5B">
        <w:rPr>
          <w:rStyle w:val="FootnoteReference"/>
          <w:rFonts w:cs="Times New Roman"/>
        </w:rPr>
        <w:footnoteReference w:id="364"/>
      </w:r>
      <w:r w:rsidRPr="005C6E5B">
        <w:rPr>
          <w:rFonts w:cs="Times New Roman"/>
        </w:rPr>
        <w:t xml:space="preserve"> Moreover, “the advice journalists receive from these tools shapes the language of news reports” and this conditions the lexicon associated with the English-language international news media.</w:t>
      </w:r>
      <w:r w:rsidRPr="005C6E5B">
        <w:rPr>
          <w:rStyle w:val="FootnoteReference"/>
          <w:rFonts w:cs="Times New Roman"/>
        </w:rPr>
        <w:footnoteReference w:id="365"/>
      </w:r>
    </w:p>
    <w:p w14:paraId="420AA1DB" w14:textId="75CF4061" w:rsidR="00BE0E9B" w:rsidRPr="005C6E5B" w:rsidRDefault="00BE0E9B" w:rsidP="00F74D09">
      <w:pPr>
        <w:ind w:firstLine="709"/>
        <w:rPr>
          <w:rFonts w:cs="Times New Roman"/>
        </w:rPr>
      </w:pPr>
      <w:r w:rsidRPr="005C6E5B">
        <w:rPr>
          <w:rFonts w:cs="Times New Roman"/>
        </w:rPr>
        <w:t>International news agencies have long “la[id] claim to journalistic resources that most news organizations could not sustain” from a practical perspective.</w:t>
      </w:r>
      <w:r w:rsidRPr="005C6E5B">
        <w:rPr>
          <w:rStyle w:val="FootnoteReference"/>
          <w:rFonts w:cs="Times New Roman"/>
        </w:rPr>
        <w:footnoteReference w:id="366"/>
      </w:r>
      <w:r w:rsidRPr="005C6E5B">
        <w:rPr>
          <w:rFonts w:cs="Times New Roman"/>
        </w:rPr>
        <w:t xml:space="preserve"> This has led to the current </w:t>
      </w:r>
      <w:r w:rsidRPr="005C6E5B">
        <w:rPr>
          <w:rFonts w:cs="Times New Roman"/>
        </w:rPr>
        <w:lastRenderedPageBreak/>
        <w:t>state of affairs, where the basis for online news worldwide is what Chris Paterson terms the “de facto duopoly” of two news agencies:</w:t>
      </w:r>
      <w:r w:rsidRPr="005C6E5B">
        <w:rPr>
          <w:rFonts w:cs="Times New Roman"/>
          <w:i/>
          <w:iCs/>
        </w:rPr>
        <w:t xml:space="preserve"> </w:t>
      </w:r>
      <w:r w:rsidRPr="005C6E5B">
        <w:rPr>
          <w:rFonts w:cs="Times New Roman"/>
        </w:rPr>
        <w:t>AP and</w:t>
      </w:r>
      <w:r w:rsidRPr="005C6E5B">
        <w:rPr>
          <w:rFonts w:cs="Times New Roman"/>
          <w:i/>
          <w:iCs/>
        </w:rPr>
        <w:t xml:space="preserve"> Reuters</w:t>
      </w:r>
      <w:r w:rsidRPr="005C6E5B">
        <w:rPr>
          <w:rFonts w:cs="Times New Roman"/>
        </w:rPr>
        <w:t>.</w:t>
      </w:r>
      <w:r w:rsidRPr="005C6E5B">
        <w:rPr>
          <w:rStyle w:val="FootnoteReference"/>
          <w:rFonts w:cs="Times New Roman"/>
        </w:rPr>
        <w:footnoteReference w:id="367"/>
      </w:r>
      <w:r w:rsidRPr="005C6E5B">
        <w:rPr>
          <w:rFonts w:cs="Times New Roman"/>
        </w:rPr>
        <w:t xml:space="preserve"> Further substantiating the centrality of news agencies to the news production process, Paterson finds that 85 percent of the news coverage generated by a range of major online news services constituted measurable verbatim news agency coverage.</w:t>
      </w:r>
      <w:r w:rsidRPr="005C6E5B">
        <w:rPr>
          <w:rStyle w:val="FootnoteReference"/>
          <w:rFonts w:cs="Times New Roman"/>
        </w:rPr>
        <w:footnoteReference w:id="368"/>
      </w:r>
      <w:r w:rsidRPr="005C6E5B">
        <w:rPr>
          <w:rFonts w:cs="Times New Roman"/>
        </w:rPr>
        <w:t xml:space="preserve"> While concurring with Paterson’s conclusions as to the centrality of AP and </w:t>
      </w:r>
      <w:r w:rsidRPr="005C6E5B">
        <w:rPr>
          <w:rFonts w:cs="Times New Roman"/>
          <w:i/>
          <w:iCs/>
        </w:rPr>
        <w:t>Reuters</w:t>
      </w:r>
      <w:r w:rsidRPr="005C6E5B">
        <w:rPr>
          <w:rFonts w:cs="Times New Roman"/>
        </w:rPr>
        <w:t xml:space="preserve"> as “wholesale news providers,” Phil MacGregor also cites a third international news agency, AFP, as one of the three “outfit[s]… [of] global reach” that are essential to the production of global news.</w:t>
      </w:r>
      <w:r w:rsidRPr="005C6E5B">
        <w:rPr>
          <w:rStyle w:val="FootnoteReference"/>
          <w:rFonts w:cs="Times New Roman"/>
        </w:rPr>
        <w:footnoteReference w:id="369"/>
      </w:r>
      <w:r w:rsidRPr="005C6E5B">
        <w:rPr>
          <w:rFonts w:cs="Times New Roman"/>
        </w:rPr>
        <w:t xml:space="preserve"> Moreover, the style guides produced by these major news agencies, which set out the standards and best practices that a specific news producer expects journalists to adhere to in producing </w:t>
      </w:r>
      <w:r w:rsidR="00F74D09">
        <w:rPr>
          <w:rFonts w:cs="Times New Roman"/>
        </w:rPr>
        <w:t>media</w:t>
      </w:r>
      <w:r w:rsidRPr="005C6E5B">
        <w:rPr>
          <w:rFonts w:cs="Times New Roman"/>
        </w:rPr>
        <w:t xml:space="preserve"> bulletins, “become, in effect, house style decisions for thousands of other news agencies… globally.”</w:t>
      </w:r>
      <w:r w:rsidRPr="005C6E5B">
        <w:rPr>
          <w:rStyle w:val="FootnoteReference"/>
          <w:rFonts w:cs="Times New Roman"/>
        </w:rPr>
        <w:footnoteReference w:id="370"/>
      </w:r>
      <w:r w:rsidRPr="005C6E5B">
        <w:rPr>
          <w:rFonts w:cs="Times New Roman"/>
        </w:rPr>
        <w:t xml:space="preserve"> This is, in part, due to “the[se news agencies’] status as the largest global news agencies in terms of revenue and subscribers, and thus influence.”</w:t>
      </w:r>
      <w:r w:rsidRPr="005C6E5B">
        <w:rPr>
          <w:rStyle w:val="FootnoteReference"/>
          <w:rFonts w:cs="Times New Roman"/>
        </w:rPr>
        <w:footnoteReference w:id="371"/>
      </w:r>
      <w:r w:rsidRPr="005C6E5B">
        <w:rPr>
          <w:rFonts w:cs="Times New Roman"/>
        </w:rPr>
        <w:t xml:space="preserve"> Widespread conformity to the journalistic standards established in the </w:t>
      </w:r>
      <w:r w:rsidRPr="005C6E5B">
        <w:rPr>
          <w:rFonts w:cs="Times New Roman"/>
          <w:i/>
          <w:iCs/>
        </w:rPr>
        <w:t>Reuters</w:t>
      </w:r>
      <w:r w:rsidRPr="005C6E5B">
        <w:rPr>
          <w:rFonts w:cs="Times New Roman"/>
        </w:rPr>
        <w:t>, AP and AFP study guides also occurs for practical reasons: “if only because some of the sources that [smaller news outlets] quote use [the standards and practices outlined in these guides.]”</w:t>
      </w:r>
      <w:r w:rsidRPr="005C6E5B">
        <w:rPr>
          <w:rStyle w:val="FootnoteReference"/>
          <w:rFonts w:cs="Times New Roman"/>
        </w:rPr>
        <w:footnoteReference w:id="372"/>
      </w:r>
      <w:r w:rsidRPr="005C6E5B">
        <w:rPr>
          <w:rFonts w:cs="Times New Roman"/>
        </w:rPr>
        <w:t xml:space="preserve"> Consequently, many analyses</w:t>
      </w:r>
      <w:r>
        <w:rPr>
          <w:rFonts w:cs="Times New Roman"/>
        </w:rPr>
        <w:t xml:space="preserve"> – including the one I undertake in this dissertation – </w:t>
      </w:r>
      <w:r w:rsidRPr="005C6E5B">
        <w:rPr>
          <w:rFonts w:cs="Times New Roman"/>
        </w:rPr>
        <w:t>rely</w:t>
      </w:r>
      <w:r>
        <w:rPr>
          <w:rFonts w:cs="Times New Roman"/>
        </w:rPr>
        <w:t xml:space="preserve"> </w:t>
      </w:r>
      <w:r w:rsidRPr="005C6E5B">
        <w:rPr>
          <w:rFonts w:cs="Times New Roman"/>
        </w:rPr>
        <w:t xml:space="preserve">on the framing of terrorism based on </w:t>
      </w:r>
      <w:r w:rsidR="00F74D09">
        <w:rPr>
          <w:rFonts w:cs="Times New Roman"/>
        </w:rPr>
        <w:t>media</w:t>
      </w:r>
      <w:r w:rsidRPr="005C6E5B">
        <w:rPr>
          <w:rFonts w:cs="Times New Roman"/>
        </w:rPr>
        <w:t xml:space="preserve"> bulletins disseminated by the abovementioned three international news agencies.</w:t>
      </w:r>
    </w:p>
    <w:p w14:paraId="2CF02B06" w14:textId="77777777" w:rsidR="00BE0E9B" w:rsidRPr="005C6E5B" w:rsidRDefault="00BE0E9B" w:rsidP="00787123">
      <w:pPr>
        <w:pStyle w:val="DissertationSection1"/>
      </w:pPr>
      <w:bookmarkStart w:id="41" w:name="_Toc175413146"/>
      <w:r w:rsidRPr="005C6E5B">
        <w:t>Conclusion</w:t>
      </w:r>
      <w:bookmarkEnd w:id="41"/>
    </w:p>
    <w:p w14:paraId="14AF3E34" w14:textId="77777777" w:rsidR="00BE0E9B" w:rsidRPr="005C6E5B" w:rsidRDefault="00BE0E9B" w:rsidP="00BE0E9B">
      <w:pPr>
        <w:ind w:firstLine="720"/>
        <w:rPr>
          <w:rFonts w:cs="Times New Roman"/>
          <w:b/>
          <w:bCs/>
          <w:color w:val="FF0000"/>
        </w:rPr>
      </w:pPr>
      <w:r w:rsidRPr="005C6E5B">
        <w:rPr>
          <w:rFonts w:cs="Times New Roman"/>
        </w:rPr>
        <w:t xml:space="preserve">This dissertation conceives of media coverage of terrorism as the </w:t>
      </w:r>
      <w:r w:rsidRPr="005C6E5B">
        <w:rPr>
          <w:rFonts w:cs="Times New Roman"/>
          <w:i/>
          <w:iCs/>
        </w:rPr>
        <w:t>mode</w:t>
      </w:r>
      <w:r w:rsidRPr="005C6E5B">
        <w:rPr>
          <w:rFonts w:cs="Times New Roman"/>
        </w:rPr>
        <w:t xml:space="preserve"> of post-modern warfare that connects terrorism as a </w:t>
      </w:r>
      <w:r w:rsidRPr="005C6E5B">
        <w:rPr>
          <w:rFonts w:cs="Times New Roman"/>
          <w:i/>
          <w:iCs/>
        </w:rPr>
        <w:t>means</w:t>
      </w:r>
      <w:r w:rsidRPr="005C6E5B">
        <w:rPr>
          <w:rFonts w:cs="Times New Roman"/>
        </w:rPr>
        <w:t xml:space="preserve"> with the </w:t>
      </w:r>
      <w:r w:rsidRPr="005C6E5B">
        <w:rPr>
          <w:rFonts w:cs="Times New Roman"/>
          <w:i/>
          <w:iCs/>
        </w:rPr>
        <w:t>ends</w:t>
      </w:r>
      <w:r w:rsidRPr="005C6E5B">
        <w:rPr>
          <w:rFonts w:cs="Times New Roman"/>
        </w:rPr>
        <w:t xml:space="preserve"> of delegitimizing the state as an institution</w:t>
      </w:r>
      <w:r>
        <w:rPr>
          <w:rFonts w:cs="Times New Roman"/>
        </w:rPr>
        <w:t xml:space="preserve">. </w:t>
      </w:r>
      <w:r w:rsidRPr="005C6E5B">
        <w:rPr>
          <w:rFonts w:cs="Times New Roman"/>
        </w:rPr>
        <w:t xml:space="preserve">Accordingly, the understandings of the intertwined circuits of communication and media production processes, and typologies of bias and framing detailed in this chapter provide the basis for my conception of media coverage as a </w:t>
      </w:r>
      <w:r w:rsidRPr="005C6E5B">
        <w:rPr>
          <w:rFonts w:cs="Times New Roman"/>
          <w:i/>
          <w:iCs/>
        </w:rPr>
        <w:t>mode</w:t>
      </w:r>
      <w:r w:rsidRPr="005C6E5B">
        <w:rPr>
          <w:rFonts w:cs="Times New Roman"/>
        </w:rPr>
        <w:t xml:space="preserve"> of post-modern warfare. A review of the existing scholarship on the interplay between terrorism and the media demonstrates two dominant tendencies: to conceive of terrorism as either “propaganda of the deed,” or of a </w:t>
      </w:r>
      <w:r w:rsidRPr="005C6E5B">
        <w:rPr>
          <w:rFonts w:cs="Times New Roman"/>
        </w:rPr>
        <w:lastRenderedPageBreak/>
        <w:t xml:space="preserve">purported symbiotic relationship between terrorists and the media. Both approaches are problematic because they fail to account for the role of the media in amplifying terrorism’s immediate effects (and thus facilitating its ‘success’ in delegitimizing the state) and thus are rejected as appropriate for the analysis undertaken here As demonstrated here, the most significant flaw in the extant scholarship about terrorism and the media is its implicit understanding of media amplification as a </w:t>
      </w:r>
      <w:r w:rsidRPr="005C6E5B">
        <w:rPr>
          <w:rFonts w:cs="Times New Roman"/>
          <w:i/>
          <w:iCs/>
        </w:rPr>
        <w:t>by-product</w:t>
      </w:r>
      <w:r w:rsidRPr="005C6E5B">
        <w:rPr>
          <w:rFonts w:cs="Times New Roman"/>
        </w:rPr>
        <w:t xml:space="preserve"> of the relationship between the two actors, rather than as</w:t>
      </w:r>
      <w:r w:rsidRPr="005C6E5B">
        <w:rPr>
          <w:rFonts w:cs="Times New Roman"/>
          <w:i/>
          <w:iCs/>
        </w:rPr>
        <w:t xml:space="preserve"> the</w:t>
      </w:r>
      <w:r w:rsidRPr="005C6E5B">
        <w:rPr>
          <w:rFonts w:cs="Times New Roman"/>
        </w:rPr>
        <w:t xml:space="preserve"> factor that is ultimately responsible for terrorism’s efficacy at delegitimizing the state. By identifying and discussing different types of bias and media framing, this chapter advances the proposition that terrorism’s delegitimization of the state occurs as a result of the bias and framing of the state (as an institution) in media coverage. Given their significant international influence, the role that they play in setting international journalistic standards, and the fact that they are collectively responsible for generating more than three-quarters of original, international English-language news content, the three international news agencies – AP, </w:t>
      </w:r>
      <w:r w:rsidRPr="005C6E5B">
        <w:rPr>
          <w:rFonts w:cs="Times New Roman"/>
          <w:i/>
          <w:iCs/>
        </w:rPr>
        <w:t>Reuters</w:t>
      </w:r>
      <w:r w:rsidRPr="005C6E5B">
        <w:rPr>
          <w:rFonts w:cs="Times New Roman"/>
        </w:rPr>
        <w:t>, and AFP, the “outfit[s]… [of] global reach” – are the discourse units that I use to analyze the media coverage of terrorism.</w:t>
      </w:r>
      <w:r w:rsidRPr="005C6E5B">
        <w:rPr>
          <w:rStyle w:val="FootnoteReference"/>
          <w:rFonts w:cs="Times New Roman"/>
        </w:rPr>
        <w:footnoteReference w:id="373"/>
      </w:r>
    </w:p>
    <w:p w14:paraId="21F20D23" w14:textId="77777777" w:rsidR="00BE0E9B" w:rsidRPr="005C6E5B" w:rsidRDefault="00BE0E9B" w:rsidP="00BE0E9B">
      <w:pPr>
        <w:ind w:firstLine="720"/>
        <w:rPr>
          <w:rFonts w:cs="Times New Roman"/>
        </w:rPr>
      </w:pPr>
      <w:r w:rsidRPr="005C6E5B">
        <w:rPr>
          <w:rFonts w:cs="Times New Roman"/>
        </w:rPr>
        <w:t xml:space="preserve">In the next chapter (Chapter 6), I suggest that there is an inverse negative correlation between the media coverage of terrorism described in this chapter, and the state’s international legitimacy. This proposition, that an increase in media coverage of terrorism results in an overall decrease in the state’s international legitimacy, relies on the understanding of international legitimacy as the </w:t>
      </w:r>
      <w:r w:rsidRPr="005C6E5B">
        <w:rPr>
          <w:rFonts w:cs="Times New Roman"/>
          <w:i/>
          <w:iCs/>
        </w:rPr>
        <w:t>ends</w:t>
      </w:r>
      <w:r w:rsidRPr="005C6E5B">
        <w:rPr>
          <w:rFonts w:cs="Times New Roman"/>
        </w:rPr>
        <w:t xml:space="preserve"> of terrorism that I establish in Chapter 4, in concert with the definition of terrorism that I propose in Chapter 3. Moreover, the typologies of bias and framing established in this chapter inform the methodology that Chapter 7 employs to qualitatively analyze the manner in which media coverage frames terrorism, ultimately facilitating my proposal as to </w:t>
      </w:r>
      <w:r w:rsidRPr="005C6E5B">
        <w:rPr>
          <w:rFonts w:cs="Times New Roman"/>
          <w:i/>
          <w:iCs/>
        </w:rPr>
        <w:t>how</w:t>
      </w:r>
      <w:r w:rsidRPr="005C6E5B">
        <w:rPr>
          <w:rFonts w:cs="Times New Roman"/>
        </w:rPr>
        <w:t xml:space="preserve"> terrorism succeeds through the media coverage of terrorism’s delegitimization of the state.</w:t>
      </w:r>
    </w:p>
    <w:p w14:paraId="0D959246" w14:textId="76B88705" w:rsidR="002915BC" w:rsidRDefault="002915BC">
      <w:pPr>
        <w:rPr>
          <w:rFonts w:cs="Times New Roman"/>
          <w:bCs/>
          <w:color w:val="000000" w:themeColor="text1"/>
        </w:rPr>
      </w:pPr>
      <w:r>
        <w:rPr>
          <w:rFonts w:cs="Times New Roman"/>
          <w:bCs/>
          <w:color w:val="000000" w:themeColor="text1"/>
        </w:rPr>
        <w:br w:type="page"/>
      </w:r>
    </w:p>
    <w:p w14:paraId="14D2ED36" w14:textId="737D7E00" w:rsidR="002915BC" w:rsidRPr="00411513" w:rsidRDefault="002915BC" w:rsidP="001C1E92">
      <w:pPr>
        <w:pStyle w:val="DissertationChapterName"/>
      </w:pPr>
      <w:bookmarkStart w:id="42" w:name="_Toc175413147"/>
      <w:r w:rsidRPr="00411513">
        <w:lastRenderedPageBreak/>
        <w:t xml:space="preserve">Chapter 6 – </w:t>
      </w:r>
      <w:r w:rsidRPr="00411513">
        <w:rPr>
          <w:i/>
          <w:iCs/>
        </w:rPr>
        <w:t>Does</w:t>
      </w:r>
      <w:r w:rsidRPr="00411513">
        <w:t xml:space="preserve"> Media Coverage of Terrorism Affect International (State) Legitimacy?</w:t>
      </w:r>
      <w:bookmarkEnd w:id="42"/>
    </w:p>
    <w:p w14:paraId="7AE2F493" w14:textId="77777777" w:rsidR="002915BC" w:rsidRDefault="002915BC" w:rsidP="002915BC">
      <w:pPr>
        <w:ind w:firstLine="720"/>
        <w:rPr>
          <w:rFonts w:cs="Times New Roman"/>
        </w:rPr>
      </w:pPr>
    </w:p>
    <w:p w14:paraId="3ECA5BD0" w14:textId="5FA5D69B" w:rsidR="002915BC" w:rsidRPr="00037772" w:rsidRDefault="002915BC" w:rsidP="00037772">
      <w:pPr>
        <w:ind w:firstLine="720"/>
        <w:rPr>
          <w:rFonts w:eastAsiaTheme="minorEastAsia" w:cs="Times New Roman"/>
        </w:rPr>
      </w:pPr>
      <w:r w:rsidRPr="00411513">
        <w:rPr>
          <w:rFonts w:cs="Times New Roman"/>
        </w:rPr>
        <w:t xml:space="preserve">In the context of this dissertation’s overall stated objective of discussing whether and how terrorism succeeds, quantitative analysis facilitates my ability to more concretely suggest whether this relationship might exist, as well as any practical effects that it might have. Such a conclusion is not provided for by the existing scholarly literature, which largely focuses on outlining the specifics of how terrorism’s relationship with the media </w:t>
      </w:r>
      <w:r w:rsidR="00297285" w:rsidRPr="00411513">
        <w:rPr>
          <w:rFonts w:cs="Times New Roman"/>
        </w:rPr>
        <w:t>works and</w:t>
      </w:r>
      <w:r w:rsidRPr="00411513">
        <w:rPr>
          <w:rFonts w:cs="Times New Roman"/>
        </w:rPr>
        <w:t xml:space="preserve"> suggesting methods to combat it. To that end, this chapter builds on the literature review that I conduct in Chapters 3, 4, and 5, employing quantitative analysis to suggest that increased media coverage of terrorism decreases the legitimacy of the state as an international institution. In order to come to this conclusion, I conduct the four-part multivariable data analysis (MVA) described in Chapter 2 to establish both covariation and the magnitude of relations between the independent and dependent variables. This chapter presents the results of the aforementioned MVA. The MVA’s first component involves a Spearman correlation between</w:t>
      </w:r>
      <w:r w:rsidRPr="00411513">
        <w:rPr>
          <w:rFonts w:ascii="STIX Two Math"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cs="Times New Roman"/>
        </w:rPr>
        <w:t xml:space="preserve"> (media coverage of terrorism) and</w:t>
      </w:r>
      <w:r w:rsidRPr="00411513">
        <w:rPr>
          <w:rFonts w:ascii="STIX Two Math" w:hAnsi="STIX Two Math" w:cs="STIX Two Math"/>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ascii="STIX Two Math" w:hAnsi="STIX Two Math" w:cs="STIX Two Math"/>
        </w:rPr>
        <w:t xml:space="preserve"> </w:t>
      </w:r>
      <w:r w:rsidRPr="00411513">
        <w:rPr>
          <w:rFonts w:cs="Times New Roman"/>
        </w:rPr>
        <w:t>(international (state) legitimacy). The second component of this analysis involves conducting Spearman correlations between</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1</m:t>
            </m:r>
          </m:sub>
        </m:sSub>
      </m:oMath>
      <w:r w:rsidRPr="00411513">
        <w:rPr>
          <w:rFonts w:ascii="STIX Two Math" w:hAnsi="STIX Two Math" w:cs="STIX Two Math"/>
        </w:rPr>
        <w:t xml:space="preserve"> </w:t>
      </w:r>
      <w:r w:rsidRPr="00411513">
        <w:rPr>
          <w:rFonts w:cs="Times New Roman"/>
        </w:rPr>
        <w:t>(Reuters’</w:t>
      </w:r>
      <w:r>
        <w:rPr>
          <w:rFonts w:cs="Times New Roman"/>
        </w:rPr>
        <w:t>s</w:t>
      </w:r>
      <w:r w:rsidRPr="00411513">
        <w:rPr>
          <w:rFonts w:cs="Times New Roman"/>
        </w:rPr>
        <w:t xml:space="preserve"> coverage of terrorism),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2</m:t>
            </m:r>
          </m:sub>
        </m:sSub>
      </m:oMath>
      <w:r w:rsidRPr="00411513">
        <w:rPr>
          <w:rFonts w:ascii="STIX Two Math" w:hAnsi="STIX Two Math" w:cs="STIX Two Math"/>
        </w:rPr>
        <w:t xml:space="preserve"> </w:t>
      </w:r>
      <w:r w:rsidRPr="00411513">
        <w:rPr>
          <w:rFonts w:cs="Times New Roman"/>
        </w:rPr>
        <w:t>(the Associated Press’s (AP’s) coverage of terrorism), and</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3</m:t>
            </m:r>
          </m:sub>
        </m:sSub>
      </m:oMath>
      <w:r w:rsidRPr="00411513">
        <w:rPr>
          <w:rFonts w:ascii="STIX Two Math" w:hAnsi="STIX Two Math" w:cs="STIX Two Math"/>
        </w:rPr>
        <w:t xml:space="preserve"> </w:t>
      </w:r>
      <w:r w:rsidRPr="00411513">
        <w:rPr>
          <w:rFonts w:cs="Times New Roman"/>
        </w:rPr>
        <w:t>(</w:t>
      </w:r>
      <w:proofErr w:type="spellStart"/>
      <w:r w:rsidRPr="00411513">
        <w:rPr>
          <w:rFonts w:cs="Times New Roman"/>
        </w:rPr>
        <w:t>Agence</w:t>
      </w:r>
      <w:proofErr w:type="spellEnd"/>
      <w:r w:rsidRPr="00411513">
        <w:rPr>
          <w:rFonts w:cs="Times New Roman"/>
        </w:rPr>
        <w:t xml:space="preserve"> France-Presse’s (AFP’s) coverage of terrorism), and </w:t>
      </w:r>
      <w:r w:rsidRPr="00411513">
        <w:rPr>
          <w:rFonts w:ascii="STIX Two Math" w:hAnsi="STIX Two Math" w:cs="STIX Two Math"/>
        </w:rPr>
        <w:t>D</w:t>
      </w:r>
      <w:r w:rsidRPr="00411513">
        <w:rPr>
          <w:rFonts w:ascii="STIX Two Math" w:hAnsi="STIX Two Math" w:cs="STIX Two Math"/>
          <w:vertAlign w:val="subscript"/>
        </w:rPr>
        <w:t>0</w:t>
      </w:r>
      <w:r w:rsidRPr="00411513">
        <w:rPr>
          <w:rFonts w:ascii="STIX Two Math" w:hAnsi="STIX Two Math" w:cs="STIX Two Math"/>
        </w:rPr>
        <w:t xml:space="preserve"> </w:t>
      </w:r>
      <w:r w:rsidRPr="00411513">
        <w:rPr>
          <w:rFonts w:cs="Times New Roman"/>
        </w:rPr>
        <w:t>(international (state) legitimacy). The third component of this analysis involves conducting simple linear regression analyses (</w:t>
      </w:r>
      <w:r w:rsidRPr="00411513">
        <w:rPr>
          <w:rFonts w:ascii="STIX Two Math" w:hAnsi="STIX Two Math" w:cs="STIX Two Math"/>
        </w:rPr>
        <w:t>SLRs</w:t>
      </w:r>
      <w:r w:rsidRPr="00411513">
        <w:rPr>
          <w:rFonts w:cs="Times New Roman"/>
        </w:rPr>
        <w:t>) between</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sidRPr="00411513">
        <w:rPr>
          <w:rFonts w:ascii="STIX Two Math" w:hAnsi="STIX Two Math" w:cs="STIX Two Math"/>
        </w:rPr>
        <w:t xml:space="preserve"> </w:t>
      </w:r>
      <w:r w:rsidRPr="00411513">
        <w:rPr>
          <w:rFonts w:cs="Times New Roman"/>
        </w:rPr>
        <w:t>and</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sidRPr="00411513">
        <w:rPr>
          <w:rFonts w:cs="Times New Roman"/>
        </w:rPr>
        <w:t>,</w:t>
      </w:r>
      <w:r w:rsidRPr="00411513">
        <w:rPr>
          <w:rFonts w:ascii="STIX Two Math" w:hAnsi="STIX Two Math" w:cs="STIX Two Math"/>
        </w:rPr>
        <w:t xml:space="preserve"> </w:t>
      </w:r>
      <w:r w:rsidRPr="00411513">
        <w:rPr>
          <w:rFonts w:cs="Times New Roman"/>
        </w:rPr>
        <w:t>and</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2</m:t>
            </m:r>
          </m:sub>
        </m:sSub>
      </m:oMath>
      <w:r w:rsidRPr="00411513">
        <w:rPr>
          <w:rFonts w:ascii="STIX Two Math" w:hAnsi="STIX Two Math" w:cs="STIX Two Math"/>
        </w:rPr>
        <w:t xml:space="preserve"> </w:t>
      </w:r>
      <w:r w:rsidRPr="00411513">
        <w:rPr>
          <w:rFonts w:cs="Times New Roman"/>
        </w:rPr>
        <w:t>and</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sidRPr="00411513">
        <w:rPr>
          <w:rFonts w:cs="Times New Roman"/>
        </w:rPr>
        <w:t>. Then, the fourth and final component of this analysis involves calculating the coefficient of determination (</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r w:rsidRPr="00411513">
        <w:rPr>
          <w:rFonts w:cs="Times New Roman"/>
        </w:rPr>
        <w:t>) for the correlations between, as well as each of the control variables (</w:t>
      </w:r>
      <m:oMath>
        <m:sSub>
          <m:sSubPr>
            <m:ctrlPr>
              <w:rPr>
                <w:rFonts w:ascii="Cambria Math" w:hAnsi="Cambria Math" w:cs="Times New Roman"/>
                <w:i/>
              </w:rPr>
            </m:ctrlPr>
          </m:sSubPr>
          <m:e>
            <m:r>
              <w:rPr>
                <w:rFonts w:ascii="Cambria Math" w:hAnsi="Cambria Math" w:cs="Times New Roman"/>
              </w:rPr>
              <m:t>CV</m:t>
            </m:r>
          </m:e>
          <m:sub>
            <m:r>
              <w:rPr>
                <w:rFonts w:ascii="Cambria Math" w:hAnsi="Cambria Math" w:cs="Times New Roman"/>
              </w:rPr>
              <m:t>1</m:t>
            </m:r>
          </m:sub>
        </m:sSub>
      </m:oMath>
      <w:r w:rsidRPr="00411513">
        <w:rPr>
          <w:rFonts w:cs="Times New Roman"/>
        </w:rPr>
        <w:t>,</w:t>
      </w:r>
      <w:r w:rsidRPr="00546E3C">
        <w:rPr>
          <w:rFonts w:ascii="Cambria Math" w:hAnsi="Cambria Math" w:cs="Times New Roman"/>
          <w:i/>
        </w:rPr>
        <w:t xml:space="preserve"> </w:t>
      </w:r>
      <m:oMath>
        <m:sSub>
          <m:sSubPr>
            <m:ctrlPr>
              <w:rPr>
                <w:rFonts w:ascii="Cambria Math" w:hAnsi="Cambria Math" w:cs="Times New Roman"/>
                <w:i/>
              </w:rPr>
            </m:ctrlPr>
          </m:sSubPr>
          <m:e>
            <m:r>
              <w:rPr>
                <w:rFonts w:ascii="Cambria Math" w:hAnsi="Cambria Math" w:cs="Times New Roman"/>
              </w:rPr>
              <m:t>CV</m:t>
            </m:r>
          </m:e>
          <m:sub>
            <m:r>
              <w:rPr>
                <w:rFonts w:ascii="Cambria Math" w:hAnsi="Cambria Math" w:cs="Times New Roman"/>
              </w:rPr>
              <m:t>2</m:t>
            </m:r>
          </m:sub>
        </m:sSub>
      </m:oMath>
      <w:r w:rsidRPr="00411513">
        <w:rPr>
          <w:rFonts w:cs="Times New Roman"/>
        </w:rPr>
        <w:t>,</w:t>
      </w:r>
      <w:r w:rsidRPr="00411513">
        <w:rPr>
          <w:rFonts w:ascii="STIX Two Math" w:hAnsi="STIX Two Math" w:cs="STIX Two Math"/>
        </w:rPr>
        <w:t xml:space="preserve"> </w:t>
      </w:r>
      <m:oMath>
        <m:sSub>
          <m:sSubPr>
            <m:ctrlPr>
              <w:rPr>
                <w:rFonts w:ascii="Cambria Math" w:hAnsi="Cambria Math" w:cs="Times New Roman"/>
                <w:i/>
              </w:rPr>
            </m:ctrlPr>
          </m:sSubPr>
          <m:e>
            <m:r>
              <w:rPr>
                <w:rFonts w:ascii="Cambria Math" w:hAnsi="Cambria Math" w:cs="Times New Roman"/>
              </w:rPr>
              <m:t>CV</m:t>
            </m:r>
          </m:e>
          <m:sub>
            <m:r>
              <w:rPr>
                <w:rFonts w:ascii="Cambria Math" w:hAnsi="Cambria Math" w:cs="Times New Roman"/>
              </w:rPr>
              <m:t>3</m:t>
            </m:r>
          </m:sub>
        </m:sSub>
      </m:oMath>
      <w:r w:rsidRPr="00411513">
        <w:rPr>
          <w:rFonts w:cs="Times New Roman"/>
        </w:rPr>
        <w:t>, and</w:t>
      </w:r>
      <w:r w:rsidRPr="00411513">
        <w:rPr>
          <w:rFonts w:ascii="STIX Two Math" w:hAnsi="STIX Two Math" w:cs="STIX Two Math"/>
        </w:rPr>
        <w:t xml:space="preserve"> </w:t>
      </w:r>
      <m:oMath>
        <m:sSub>
          <m:sSubPr>
            <m:ctrlPr>
              <w:rPr>
                <w:rFonts w:ascii="Cambria Math" w:hAnsi="Cambria Math" w:cs="Times New Roman"/>
                <w:i/>
              </w:rPr>
            </m:ctrlPr>
          </m:sSubPr>
          <m:e>
            <m:r>
              <w:rPr>
                <w:rFonts w:ascii="Cambria Math" w:hAnsi="Cambria Math" w:cs="Times New Roman"/>
              </w:rPr>
              <m:t>CV</m:t>
            </m:r>
          </m:e>
          <m:sub>
            <m:r>
              <w:rPr>
                <w:rFonts w:ascii="Cambria Math" w:hAnsi="Cambria Math" w:cs="Times New Roman"/>
              </w:rPr>
              <m:t>4</m:t>
            </m:r>
          </m:sub>
        </m:sSub>
      </m:oMath>
      <w:r w:rsidRPr="00411513">
        <w:rPr>
          <w:rFonts w:cs="Times New Roman"/>
        </w:rPr>
        <w:t>) and</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Pr>
          <w:rFonts w:cs="Times New Roman"/>
        </w:rPr>
        <w:t>,</w:t>
      </w:r>
      <w:r>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sidRPr="00411513">
        <w:rPr>
          <w:rFonts w:ascii="STIX Two Math" w:hAnsi="STIX Two Math" w:cs="STIX Two Math"/>
        </w:rPr>
        <w:t xml:space="preserve"> </w:t>
      </w:r>
      <w:r w:rsidRPr="00411513">
        <w:rPr>
          <w:rFonts w:cs="Times New Roman"/>
        </w:rPr>
        <w:t xml:space="preserve"> and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sidRPr="00411513">
        <w:rPr>
          <w:rFonts w:cs="Times New Roman"/>
        </w:rPr>
        <w:t>,</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1</m:t>
            </m:r>
          </m:sub>
        </m:sSub>
      </m:oMath>
      <w:r w:rsidRPr="00411513">
        <w:rPr>
          <w:rFonts w:ascii="STIX Two Math" w:hAnsi="STIX Two Math" w:cs="STIX Two Math"/>
        </w:rPr>
        <w:t xml:space="preserve"> </w:t>
      </w:r>
      <w:r w:rsidRPr="00411513">
        <w:rPr>
          <w:rFonts w:cs="Times New Roman"/>
        </w:rPr>
        <w:t xml:space="preserve">and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sidRPr="00411513">
        <w:rPr>
          <w:rFonts w:cs="Times New Roman"/>
        </w:rPr>
        <w:t>,</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2</m:t>
            </m:r>
          </m:sub>
        </m:sSub>
      </m:oMath>
      <w:r w:rsidRPr="00411513">
        <w:rPr>
          <w:rFonts w:ascii="STIX Two Math" w:hAnsi="STIX Two Math" w:cs="STIX Two Math"/>
        </w:rPr>
        <w:t xml:space="preserve"> </w:t>
      </w:r>
      <w:r w:rsidRPr="00411513">
        <w:rPr>
          <w:rFonts w:cs="Times New Roman"/>
        </w:rPr>
        <w:t xml:space="preserve">and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sidRPr="00411513">
        <w:rPr>
          <w:rFonts w:cs="Times New Roman"/>
        </w:rPr>
        <w:t>,</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3</m:t>
            </m:r>
          </m:sub>
        </m:sSub>
      </m:oMath>
      <w:r w:rsidRPr="00411513">
        <w:rPr>
          <w:rFonts w:ascii="STIX Two Math" w:hAnsi="STIX Two Math" w:cs="STIX Two Math"/>
        </w:rPr>
        <w:t xml:space="preserve"> </w:t>
      </w:r>
      <w:r w:rsidRPr="00411513">
        <w:rPr>
          <w:rFonts w:cs="Times New Roman"/>
        </w:rPr>
        <w:t xml:space="preserve">and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Pr>
          <w:rFonts w:eastAsiaTheme="minorEastAsia" w:cs="Times New Roman"/>
        </w:rPr>
        <w:t>.</w:t>
      </w:r>
    </w:p>
    <w:p w14:paraId="74311C7E" w14:textId="77777777" w:rsidR="002915BC" w:rsidRPr="00411513" w:rsidRDefault="002915BC" w:rsidP="00787123">
      <w:pPr>
        <w:pStyle w:val="DissertationSection1"/>
      </w:pPr>
      <w:bookmarkStart w:id="43" w:name="_Toc175413148"/>
      <w:r w:rsidRPr="00411513">
        <w:t>Research Question and Hypotheses</w:t>
      </w:r>
      <w:bookmarkEnd w:id="43"/>
    </w:p>
    <w:p w14:paraId="1B1EF720" w14:textId="77777777" w:rsidR="002915BC" w:rsidRPr="00411513" w:rsidRDefault="002915BC" w:rsidP="002915BC">
      <w:pPr>
        <w:ind w:firstLine="720"/>
        <w:rPr>
          <w:rFonts w:cs="Times New Roman"/>
        </w:rPr>
      </w:pPr>
      <w:r w:rsidRPr="00411513">
        <w:rPr>
          <w:rFonts w:cs="Times New Roman"/>
        </w:rPr>
        <w:t>This dissertation focuses on determining how terrorism ‘succeeds’ by analyzing the interplay between the media coverage of terrorism and international (state) legitimacy between January 1, 2012 and December 31, 2018 (inclusive).</w:t>
      </w:r>
      <w:r w:rsidRPr="00411513">
        <w:rPr>
          <w:rStyle w:val="FootnoteReference"/>
          <w:rFonts w:cs="Times New Roman"/>
        </w:rPr>
        <w:footnoteReference w:id="374"/>
      </w:r>
      <w:r w:rsidRPr="00411513">
        <w:rPr>
          <w:rFonts w:cs="Times New Roman"/>
        </w:rPr>
        <w:t xml:space="preserve"> In order to suggest how terrorism succeeds, I must first establish that it </w:t>
      </w:r>
      <w:r w:rsidRPr="00411513">
        <w:rPr>
          <w:rFonts w:cs="Times New Roman"/>
          <w:i/>
          <w:iCs/>
        </w:rPr>
        <w:t>does</w:t>
      </w:r>
      <w:r w:rsidRPr="00411513">
        <w:rPr>
          <w:rFonts w:cs="Times New Roman"/>
        </w:rPr>
        <w:t xml:space="preserve">, in fact, succeed. As such, the analyses conducted in this chapter are premised on the following research question: </w:t>
      </w:r>
    </w:p>
    <w:p w14:paraId="0DFB4917" w14:textId="77777777" w:rsidR="002915BC" w:rsidRPr="00411513" w:rsidRDefault="00000000" w:rsidP="002915BC">
      <w:pPr>
        <w:ind w:firstLine="720"/>
        <w:rPr>
          <w:rFonts w:ascii="STIX Two Math" w:hAnsi="STIX Two Math" w:cs="STIX Two Math"/>
        </w:rPr>
      </w:pPr>
      <m:oMath>
        <m:sSub>
          <m:sSubPr>
            <m:ctrlPr>
              <w:rPr>
                <w:rFonts w:ascii="Cambria Math" w:hAnsi="Cambria Math" w:cs="Times New Roman"/>
                <w:i/>
              </w:rPr>
            </m:ctrlPr>
          </m:sSubPr>
          <m:e>
            <m:r>
              <w:rPr>
                <w:rFonts w:ascii="Cambria Math" w:hAnsi="Cambria Math" w:cs="Times New Roman"/>
              </w:rPr>
              <m:t>RQ</m:t>
            </m:r>
          </m:e>
          <m:sub>
            <m:r>
              <w:rPr>
                <w:rFonts w:ascii="Cambria Math" w:hAnsi="Cambria Math" w:cs="Times New Roman"/>
              </w:rPr>
              <m:t>1</m:t>
            </m:r>
          </m:sub>
        </m:sSub>
      </m:oMath>
      <w:r w:rsidR="002915BC" w:rsidRPr="00411513">
        <w:rPr>
          <w:rFonts w:cs="Times New Roman"/>
        </w:rPr>
        <w:t>:</w:t>
      </w:r>
      <w:r w:rsidR="002915BC" w:rsidRPr="00411513">
        <w:rPr>
          <w:rFonts w:cs="Times New Roman"/>
          <w:b/>
          <w:bCs/>
        </w:rPr>
        <w:t xml:space="preserve"> </w:t>
      </w:r>
      <w:r w:rsidR="002915BC" w:rsidRPr="00411513">
        <w:rPr>
          <w:rFonts w:cs="Times New Roman"/>
        </w:rPr>
        <w:t>Does terrorism ‘succeed’?</w:t>
      </w:r>
    </w:p>
    <w:p w14:paraId="7C2FAF40" w14:textId="695BA9D1" w:rsidR="002915BC" w:rsidRDefault="002915BC" w:rsidP="002915BC">
      <w:pPr>
        <w:ind w:firstLine="720"/>
        <w:rPr>
          <w:rFonts w:cs="Times New Roman"/>
        </w:rPr>
      </w:pPr>
      <w:r w:rsidRPr="00411513">
        <w:rPr>
          <w:rFonts w:cs="Times New Roman"/>
        </w:rPr>
        <w:t xml:space="preserve">When terrorism’s potential ‘success’ is thought of as intrinsically related to </w:t>
      </w:r>
      <w:r w:rsidRPr="00411513">
        <w:rPr>
          <w:rFonts w:cs="Times New Roman"/>
          <w:i/>
          <w:iCs/>
        </w:rPr>
        <w:t>how</w:t>
      </w:r>
      <w:r w:rsidRPr="00411513">
        <w:rPr>
          <w:rFonts w:cs="Times New Roman"/>
        </w:rPr>
        <w:t xml:space="preserve"> it is framed by media coverage, terrorism can </w:t>
      </w:r>
      <w:r w:rsidRPr="00411513">
        <w:rPr>
          <w:rFonts w:cs="Times New Roman"/>
          <w:i/>
          <w:iCs/>
        </w:rPr>
        <w:t>only</w:t>
      </w:r>
      <w:r w:rsidRPr="00411513">
        <w:rPr>
          <w:rFonts w:cs="Times New Roman"/>
        </w:rPr>
        <w:t xml:space="preserve"> succeed if the use of terrorism is tactically effective. Thus, in this context, terrorism </w:t>
      </w:r>
      <w:r w:rsidRPr="00411513">
        <w:rPr>
          <w:rFonts w:cs="Times New Roman"/>
          <w:i/>
          <w:iCs/>
        </w:rPr>
        <w:t>succeeds</w:t>
      </w:r>
      <w:r w:rsidRPr="00411513">
        <w:rPr>
          <w:rFonts w:cs="Times New Roman"/>
        </w:rPr>
        <w:t xml:space="preserve"> when its perpetration strengthens its legitimacy claims which exist in direct contention with international (state) legitimacy. </w:t>
      </w:r>
      <w:r w:rsidRPr="00411513">
        <w:rPr>
          <w:rFonts w:cs="Times New Roman"/>
          <w:bCs/>
        </w:rPr>
        <w:t>Since 1648, Westphalian territorial sovereignty and state authority based on the monopoly of the legitimate use of force have replaced traditional personal, local, and religious modes of authority.</w:t>
      </w:r>
      <w:r w:rsidRPr="00411513">
        <w:rPr>
          <w:rStyle w:val="FootnoteReference"/>
          <w:rFonts w:cs="Times New Roman"/>
          <w:bCs/>
        </w:rPr>
        <w:footnoteReference w:id="375"/>
      </w:r>
      <w:r w:rsidRPr="00411513">
        <w:rPr>
          <w:rFonts w:cs="Times New Roman"/>
          <w:bCs/>
        </w:rPr>
        <w:t xml:space="preserve"> I contend that terrorism seeks the legitimacy conferred by these modes of authority.</w:t>
      </w:r>
      <w:r w:rsidRPr="00411513">
        <w:rPr>
          <w:rStyle w:val="FootnoteReference"/>
          <w:rFonts w:cs="Times New Roman"/>
          <w:bCs/>
        </w:rPr>
        <w:footnoteReference w:id="376"/>
      </w:r>
      <w:r w:rsidRPr="00411513">
        <w:rPr>
          <w:rFonts w:cs="Times New Roman"/>
          <w:bCs/>
        </w:rPr>
        <w:t xml:space="preserve"> International (state) legitimacy, </w:t>
      </w:r>
      <w:r w:rsidR="00297285">
        <w:rPr>
          <w:rFonts w:cs="Times New Roman"/>
          <w:bCs/>
        </w:rPr>
        <w:t>] understood</w:t>
      </w:r>
      <w:r w:rsidRPr="00411513">
        <w:rPr>
          <w:rFonts w:cs="Times New Roman"/>
          <w:bCs/>
        </w:rPr>
        <w:t xml:space="preserve"> as a form of social contract deriving from consent, is predicated on the state’s ability to protect the population located in the territory </w:t>
      </w:r>
      <w:r w:rsidRPr="00411513">
        <w:rPr>
          <w:rFonts w:cs="Times New Roman"/>
          <w:bCs/>
        </w:rPr>
        <w:lastRenderedPageBreak/>
        <w:t>over which the state claims sovereignty.</w:t>
      </w:r>
      <w:r w:rsidRPr="00411513">
        <w:rPr>
          <w:rStyle w:val="FootnoteReference"/>
          <w:rFonts w:cs="Times New Roman"/>
          <w:bCs/>
        </w:rPr>
        <w:footnoteReference w:id="377"/>
      </w:r>
      <w:r w:rsidRPr="00411513">
        <w:rPr>
          <w:rFonts w:cs="Times New Roman"/>
          <w:bCs/>
        </w:rPr>
        <w:t xml:space="preserve"> The legitimacy claims associated with terrorism illustrate a state’s inability to ensure security because the social functions of media confer status and establish claims within a hierarchy created by a public agenda. Media coverage thus amplifies terrorist claims by creating, codifying, and circulating narratives that legitimize and situate actions within societal norms and values.</w:t>
      </w:r>
      <w:r w:rsidRPr="00411513">
        <w:rPr>
          <w:rStyle w:val="FootnoteReference"/>
          <w:rFonts w:cs="Times New Roman"/>
          <w:bCs/>
        </w:rPr>
        <w:footnoteReference w:id="378"/>
      </w:r>
      <w:r w:rsidRPr="00411513">
        <w:rPr>
          <w:rFonts w:cs="Times New Roman"/>
          <w:bCs/>
        </w:rPr>
        <w:t xml:space="preserve"> In conjunction with my Chapter 4 contention that international (state</w:t>
      </w:r>
      <w:r>
        <w:rPr>
          <w:rFonts w:cs="Times New Roman"/>
          <w:bCs/>
        </w:rPr>
        <w:t xml:space="preserve"> </w:t>
      </w:r>
      <w:r w:rsidRPr="00411513">
        <w:rPr>
          <w:rFonts w:cs="Times New Roman"/>
          <w:bCs/>
        </w:rPr>
        <w:t>legitimacy depends on dominant constituent perceptions of the legitimacy claims of the modern state, media coverage’s ability to amplify terrorist legitimacy claims leads me to assume for this analysis that media coverage frames terrorism in a manner that both confers status on, and amplifies terrorists’ legitimacy claims in direct contention with those of the Westphalian state.</w:t>
      </w:r>
      <w:r w:rsidRPr="00411513">
        <w:rPr>
          <w:rStyle w:val="FootnoteReference"/>
          <w:rFonts w:cs="Times New Roman"/>
          <w:bCs/>
        </w:rPr>
        <w:footnoteReference w:id="379"/>
      </w:r>
      <w:r w:rsidRPr="00411513">
        <w:rPr>
          <w:rFonts w:cs="Times New Roman"/>
        </w:rPr>
        <w:t xml:space="preserve"> In this context, terrorism’ ‘success’ </w:t>
      </w:r>
      <w:r w:rsidR="00297285">
        <w:rPr>
          <w:rFonts w:cs="Times New Roman"/>
        </w:rPr>
        <w:t xml:space="preserve">is </w:t>
      </w:r>
      <w:r w:rsidRPr="00411513">
        <w:rPr>
          <w:rFonts w:cs="Times New Roman"/>
        </w:rPr>
        <w:t xml:space="preserve"> predicated on whether terrorism furthers terrorists’ legitimacy claims, concurrently and necessarily challenging the legitimacy of the modern state. This operationalizes media coverage as a </w:t>
      </w:r>
      <w:r w:rsidRPr="00411513">
        <w:rPr>
          <w:rFonts w:cs="Times New Roman"/>
          <w:i/>
          <w:iCs/>
        </w:rPr>
        <w:t>mode</w:t>
      </w:r>
      <w:r w:rsidRPr="00411513">
        <w:rPr>
          <w:rFonts w:cs="Times New Roman"/>
        </w:rPr>
        <w:t xml:space="preserve"> (or operational level) that links terrorism as a specific </w:t>
      </w:r>
      <w:r w:rsidRPr="00411513">
        <w:rPr>
          <w:rFonts w:cs="Times New Roman"/>
          <w:i/>
          <w:iCs/>
        </w:rPr>
        <w:t xml:space="preserve">means </w:t>
      </w:r>
      <w:r w:rsidRPr="00411513">
        <w:rPr>
          <w:rFonts w:cs="Times New Roman"/>
        </w:rPr>
        <w:t xml:space="preserve">(or tactical level) to legitimacy as the </w:t>
      </w:r>
      <w:r w:rsidRPr="00411513">
        <w:rPr>
          <w:rFonts w:cs="Times New Roman"/>
          <w:i/>
          <w:iCs/>
        </w:rPr>
        <w:t>ends</w:t>
      </w:r>
      <w:r w:rsidRPr="00411513">
        <w:rPr>
          <w:rFonts w:cs="Times New Roman"/>
        </w:rPr>
        <w:t xml:space="preserve"> (objective) of post-modern warfare.</w:t>
      </w:r>
      <w:r w:rsidRPr="00411513">
        <w:rPr>
          <w:rStyle w:val="FootnoteReference"/>
          <w:rFonts w:cs="Times New Roman"/>
        </w:rPr>
        <w:footnoteReference w:id="380"/>
      </w:r>
    </w:p>
    <w:p w14:paraId="4C63176C" w14:textId="77777777" w:rsidR="002915BC" w:rsidRPr="00620F5D" w:rsidRDefault="002915BC" w:rsidP="002915BC">
      <w:pPr>
        <w:ind w:firstLine="720"/>
        <w:rPr>
          <w:rFonts w:cs="Times New Roman"/>
        </w:rPr>
      </w:pPr>
      <w:r w:rsidRPr="00411513">
        <w:rPr>
          <w:rFonts w:cs="Times New Roman"/>
          <w:bCs/>
        </w:rPr>
        <w:t xml:space="preserve">Given that the underlying premise of this research is that media coverage of terrorism propagates a narrative that directly challenges international (state) legitimacy, </w:t>
      </w:r>
      <w:r w:rsidRPr="00411513">
        <w:rPr>
          <w:rFonts w:cs="Times New Roman"/>
        </w:rPr>
        <w:t xml:space="preserve">I hypothesize that terrorism </w:t>
      </w:r>
      <w:r w:rsidRPr="00411513">
        <w:rPr>
          <w:rFonts w:cs="Times New Roman"/>
          <w:i/>
          <w:iCs/>
        </w:rPr>
        <w:t>succeeds</w:t>
      </w:r>
      <w:r w:rsidRPr="00411513">
        <w:rPr>
          <w:rFonts w:cs="Times New Roman"/>
        </w:rPr>
        <w:t>.</w:t>
      </w:r>
      <w:r w:rsidRPr="00411513">
        <w:rPr>
          <w:rStyle w:val="FootnoteReference"/>
          <w:rFonts w:cs="Times New Roman"/>
          <w:bCs/>
        </w:rPr>
        <w:footnoteReference w:id="381"/>
      </w:r>
      <w:r w:rsidRPr="00411513">
        <w:rPr>
          <w:rFonts w:cs="Times New Roman"/>
          <w:bCs/>
        </w:rPr>
        <w:t xml:space="preserve"> </w:t>
      </w:r>
      <w:r w:rsidRPr="00411513">
        <w:rPr>
          <w:rFonts w:cs="Times New Roman"/>
        </w:rPr>
        <w:t>Accordingly,</w:t>
      </w:r>
      <w:r w:rsidRPr="00411513">
        <w:rPr>
          <w:rFonts w:cs="Times New Roman"/>
          <w:bCs/>
        </w:rPr>
        <w:t xml:space="preserve"> I formulate my hypotheses as follows:</w:t>
      </w:r>
    </w:p>
    <w:p w14:paraId="108656BD" w14:textId="77777777" w:rsidR="002915BC" w:rsidRPr="00411513" w:rsidRDefault="00000000" w:rsidP="002915BC">
      <w:pPr>
        <w:ind w:left="720"/>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002915BC" w:rsidRPr="00411513">
        <w:rPr>
          <w:rFonts w:cs="Times New Roman"/>
        </w:rPr>
        <w:t>:</w:t>
      </w:r>
      <w:r w:rsidR="002915BC" w:rsidRPr="00411513">
        <w:rPr>
          <w:rFonts w:ascii="STIX Two Math" w:hAnsi="STIX Two Math" w:cs="STIX Two Math"/>
        </w:rPr>
        <w:t xml:space="preserve"> </w:t>
      </w:r>
      <w:r w:rsidR="002915BC" w:rsidRPr="00411513">
        <w:rPr>
          <w:rFonts w:ascii="STIX Two Math" w:hAnsi="STIX Two Math" w:cs="STIX Two Math"/>
        </w:rPr>
        <w:tab/>
      </w:r>
      <w:r w:rsidR="002915BC" w:rsidRPr="00411513">
        <w:rPr>
          <w:rFonts w:cs="Times New Roman"/>
        </w:rPr>
        <w:t>Terrorism ‘succeeds’ by negatively affecting international (state) legitimacy; and</w:t>
      </w:r>
    </w:p>
    <w:p w14:paraId="0CBA5599" w14:textId="77777777" w:rsidR="002915BC" w:rsidRPr="00411513" w:rsidRDefault="00000000" w:rsidP="002915BC">
      <w:pPr>
        <w:ind w:left="1440" w:hanging="720"/>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oMath>
      <w:r w:rsidR="002915BC" w:rsidRPr="00411513">
        <w:rPr>
          <w:rFonts w:cs="Times New Roman"/>
        </w:rPr>
        <w:t xml:space="preserve">:  </w:t>
      </w:r>
      <w:r w:rsidR="002915BC" w:rsidRPr="00411513">
        <w:rPr>
          <w:rFonts w:cs="Times New Roman"/>
        </w:rPr>
        <w:tab/>
        <w:t xml:space="preserve">Terrorism negatively affects international (state) legitimacy because media coverage of terrorism frames the threat that terrorism poses in a way that confers status on and amplifies its legitimacy claims and demands for authority, territoriality and/or statehood. </w:t>
      </w:r>
    </w:p>
    <w:p w14:paraId="3B9543E1" w14:textId="6DA62E2A" w:rsidR="002915BC" w:rsidRPr="00037772" w:rsidRDefault="002915BC" w:rsidP="00037772">
      <w:pPr>
        <w:ind w:firstLine="720"/>
        <w:rPr>
          <w:rFonts w:cs="Times New Roman"/>
        </w:rPr>
      </w:pPr>
      <w:r w:rsidRPr="00411513">
        <w:rPr>
          <w:rFonts w:cs="Times New Roman"/>
        </w:rPr>
        <w:t xml:space="preserve">While Chapter 7 addresses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oMath>
      <w:r w:rsidRPr="00411513">
        <w:rPr>
          <w:rFonts w:cs="Times New Roman"/>
        </w:rPr>
        <w:t>, this chapter (Chapter 6) focuses on substantiating the first hypothesis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Pr="00411513">
        <w:rPr>
          <w:rFonts w:cs="Times New Roman"/>
        </w:rPr>
        <w:t>), which suggests that terrorism is detrimental to international (state) legitimacy by using quantitative analysis to suggest the nature, scale and strength of any possible relationships between the media coverage of terrorism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cs="Times New Roman"/>
        </w:rPr>
        <w:t xml:space="preserve">, the aggregate of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1</m:t>
            </m:r>
          </m:sub>
        </m:sSub>
      </m:oMath>
      <w:r w:rsidRPr="00411513">
        <w:rPr>
          <w:rFonts w:cs="Times New Roman"/>
        </w:rPr>
        <w:t>,</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2</m:t>
            </m:r>
          </m:sub>
        </m:sSub>
      </m:oMath>
      <w:r w:rsidRPr="00411513">
        <w:rPr>
          <w:rFonts w:cs="Times New Roman"/>
        </w:rPr>
        <w:t>,</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3</m:t>
            </m:r>
          </m:sub>
        </m:sSub>
      </m:oMath>
      <w:r w:rsidRPr="00411513">
        <w:rPr>
          <w:rFonts w:cs="Times New Roman"/>
        </w:rPr>
        <w:t>), and international (state) legitimacy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sidRPr="00411513">
        <w:rPr>
          <w:rFonts w:cs="Times New Roman"/>
        </w:rPr>
        <w:t>).</w:t>
      </w:r>
      <w:r w:rsidRPr="00411513">
        <w:rPr>
          <w:rStyle w:val="FootnoteReference"/>
          <w:rFonts w:cs="Times New Roman"/>
        </w:rPr>
        <w:footnoteReference w:id="382"/>
      </w:r>
      <w:r w:rsidRPr="00411513">
        <w:rPr>
          <w:rFonts w:cs="Times New Roman"/>
        </w:rPr>
        <w:t xml:space="preserve"> To accomplish this, it is also necessary to determine the nature, scale and strength of any correlation between the perpetration of terrorism itself (</w:t>
      </w:r>
      <m:oMath>
        <m:sSub>
          <m:sSubPr>
            <m:ctrlPr>
              <w:rPr>
                <w:rFonts w:ascii="Cambria Math" w:hAnsi="Cambria Math" w:cs="Times New Roman"/>
                <w:i/>
              </w:rPr>
            </m:ctrlPr>
          </m:sSubPr>
          <m:e>
            <m:r>
              <w:rPr>
                <w:rFonts w:ascii="Cambria Math" w:hAnsi="Cambria Math" w:cs="Times New Roman"/>
              </w:rPr>
              <m:t>CV</m:t>
            </m:r>
          </m:e>
          <m:sub>
            <m:r>
              <w:rPr>
                <w:rFonts w:ascii="Cambria Math" w:hAnsi="Cambria Math" w:cs="Times New Roman"/>
              </w:rPr>
              <m:t>1</m:t>
            </m:r>
          </m:sub>
        </m:sSub>
      </m:oMath>
      <w:r w:rsidRPr="00411513">
        <w:rPr>
          <w:rFonts w:ascii="STIX Two Math" w:hAnsi="STIX Two Math" w:cs="STIX Two Math"/>
        </w:rPr>
        <w:t>)</w:t>
      </w:r>
      <w:r w:rsidRPr="00411513">
        <w:rPr>
          <w:rFonts w:cs="Times New Roman"/>
        </w:rPr>
        <w:t>, and international (state) legitimacy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sidRPr="00411513">
        <w:rPr>
          <w:rFonts w:cs="Times New Roman"/>
        </w:rPr>
        <w:t>).</w:t>
      </w:r>
    </w:p>
    <w:p w14:paraId="0B11A790" w14:textId="77777777" w:rsidR="00CC3E9B" w:rsidRDefault="00CC3E9B">
      <w:pPr>
        <w:spacing w:before="0" w:after="0"/>
        <w:rPr>
          <w:rFonts w:cs="Times New Roman"/>
          <w:b/>
          <w:bCs/>
        </w:rPr>
      </w:pPr>
      <w:r>
        <w:br w:type="page"/>
      </w:r>
    </w:p>
    <w:p w14:paraId="3DCA5284" w14:textId="118A8B60" w:rsidR="00037772" w:rsidRDefault="002915BC" w:rsidP="00787123">
      <w:pPr>
        <w:pStyle w:val="DissertationSection1"/>
      </w:pPr>
      <w:bookmarkStart w:id="44" w:name="_Toc175413149"/>
      <w:r w:rsidRPr="00411513">
        <w:lastRenderedPageBreak/>
        <w:t>Operational Definition of Variables</w:t>
      </w:r>
      <w:bookmarkEnd w:id="44"/>
      <w:r w:rsidRPr="00411513">
        <w:t xml:space="preserve"> </w:t>
      </w:r>
    </w:p>
    <w:p w14:paraId="6859E787" w14:textId="06BDE36C" w:rsidR="002915BC" w:rsidRPr="00411513" w:rsidRDefault="002915BC" w:rsidP="00037772">
      <w:pPr>
        <w:pStyle w:val="DissertationSection2"/>
      </w:pPr>
      <w:bookmarkStart w:id="45" w:name="_Toc175413150"/>
      <w:r w:rsidRPr="00411513">
        <w:t>Independent Variables</w:t>
      </w:r>
      <w:bookmarkEnd w:id="45"/>
    </w:p>
    <w:p w14:paraId="5C14093F" w14:textId="2FE2E34D" w:rsidR="002915BC" w:rsidRPr="00411513" w:rsidRDefault="002915BC" w:rsidP="00F74D09">
      <w:pPr>
        <w:ind w:firstLine="720"/>
        <w:rPr>
          <w:rFonts w:cs="Times New Roman"/>
        </w:rPr>
      </w:pPr>
      <w:r w:rsidRPr="00411513">
        <w:rPr>
          <w:rFonts w:cs="Times New Roman"/>
        </w:rPr>
        <w:t>In this dissertation, media coverage refers to news stories produced, framed and disseminated to the international public by the journalists, editors and publishers that constitute the international news media.</w:t>
      </w:r>
      <w:r w:rsidRPr="00411513">
        <w:rPr>
          <w:rStyle w:val="FootnoteReference"/>
          <w:rFonts w:cs="Times New Roman"/>
        </w:rPr>
        <w:footnoteReference w:id="383"/>
      </w:r>
      <w:r w:rsidRPr="00411513">
        <w:rPr>
          <w:rFonts w:cs="Times New Roman"/>
        </w:rPr>
        <w:t xml:space="preserve"> The specific focus is on </w:t>
      </w:r>
      <w:r w:rsidR="00F74D09">
        <w:rPr>
          <w:rFonts w:cs="Times New Roman"/>
        </w:rPr>
        <w:t>media</w:t>
      </w:r>
      <w:r w:rsidRPr="00411513">
        <w:rPr>
          <w:rFonts w:cs="Times New Roman"/>
        </w:rPr>
        <w:t xml:space="preserve"> bulletins disseminated by three international news agencies – the “outfit[s]… [of] global reach” essential to the production of global news: Reuters, AP and AFP).</w:t>
      </w:r>
      <w:r w:rsidRPr="00411513">
        <w:rPr>
          <w:rStyle w:val="FootnoteReference"/>
          <w:rFonts w:cs="Times New Roman"/>
        </w:rPr>
        <w:footnoteReference w:id="384"/>
      </w:r>
      <w:r w:rsidRPr="00411513">
        <w:rPr>
          <w:rFonts w:cs="Times New Roman"/>
        </w:rPr>
        <w:t xml:space="preserve"> When interpreted in the context of the study widely considered to be “the primary authority on news agency content,” </w:t>
      </w:r>
      <w:r w:rsidR="00F74D09">
        <w:rPr>
          <w:rFonts w:cs="Times New Roman"/>
        </w:rPr>
        <w:t>media</w:t>
      </w:r>
      <w:r w:rsidRPr="00411513">
        <w:rPr>
          <w:rFonts w:cs="Times New Roman"/>
        </w:rPr>
        <w:t xml:space="preserve"> bulletins produced by Reuters, AP, and AFP represent over 85 percent of the news coverage generated by major news sources.</w:t>
      </w:r>
      <w:r w:rsidRPr="00411513">
        <w:rPr>
          <w:rStyle w:val="FootnoteReference"/>
          <w:rFonts w:cs="Times New Roman"/>
        </w:rPr>
        <w:footnoteReference w:id="385"/>
      </w:r>
      <w:r w:rsidRPr="00411513">
        <w:rPr>
          <w:rFonts w:cs="Times New Roman"/>
        </w:rPr>
        <w:t xml:space="preserve"> This means that, by using coverage produced by these three news agencies alone, this analysis captures a very large majority of global English language news coverage for the relevant time period (2012 to 2018).</w:t>
      </w:r>
      <w:r w:rsidRPr="00411513">
        <w:rPr>
          <w:rStyle w:val="FootnoteReference"/>
          <w:rFonts w:cs="Times New Roman"/>
        </w:rPr>
        <w:footnoteReference w:id="386"/>
      </w:r>
      <w:r w:rsidRPr="00411513">
        <w:rPr>
          <w:rFonts w:cs="Times New Roman"/>
        </w:rPr>
        <w:t xml:space="preserve"> To identify Reuters’ coverage of terrorism, I searched the Dow Jones Factiva Service (DJFS) database using the search string [“terror” OR “terrorism” OR “terrorist” OR “terrorists”]. I quantify AP and AFP’s coverage of terrorism by searching the </w:t>
      </w:r>
      <w:proofErr w:type="spellStart"/>
      <w:r w:rsidRPr="00411513">
        <w:rPr>
          <w:rFonts w:cs="Times New Roman"/>
        </w:rPr>
        <w:t>NexisUni</w:t>
      </w:r>
      <w:proofErr w:type="spellEnd"/>
      <w:r w:rsidRPr="00411513">
        <w:rPr>
          <w:rFonts w:cs="Times New Roman"/>
        </w:rPr>
        <w:t xml:space="preserve"> database using the same search string. Once collected, these news reports were enumerated, and the frequency of the news coverage </w:t>
      </w:r>
      <w:r>
        <w:rPr>
          <w:rFonts w:cs="Times New Roman"/>
        </w:rPr>
        <w:t xml:space="preserve">of </w:t>
      </w:r>
      <w:r w:rsidRPr="00411513">
        <w:rPr>
          <w:rFonts w:cs="Times New Roman"/>
        </w:rPr>
        <w:t xml:space="preserve">terrorism (relative to the overall number of </w:t>
      </w:r>
      <w:r w:rsidR="00F74D09">
        <w:rPr>
          <w:rFonts w:cs="Times New Roman"/>
        </w:rPr>
        <w:t>media</w:t>
      </w:r>
      <w:r w:rsidRPr="00411513">
        <w:rPr>
          <w:rFonts w:cs="Times New Roman"/>
        </w:rPr>
        <w:t xml:space="preserve"> bulletins produced) calculated on an annual basis. The calculation of</w:t>
      </w:r>
      <w:r w:rsidRPr="00411513">
        <w:rPr>
          <w:rFonts w:ascii="STIX Two Math"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ascii="STIX Two Math" w:hAnsi="STIX Two Math" w:cs="STIX Two Math"/>
        </w:rPr>
        <w:t xml:space="preserve"> </w:t>
      </w:r>
      <w:r w:rsidRPr="00411513">
        <w:rPr>
          <w:rFonts w:cs="Times New Roman"/>
        </w:rPr>
        <w:t xml:space="preserve">(the </w:t>
      </w:r>
      <w:r w:rsidRPr="00411513">
        <w:rPr>
          <w:rFonts w:cs="Times New Roman"/>
          <w:i/>
          <w:iCs/>
        </w:rPr>
        <w:t>cumulative</w:t>
      </w:r>
      <w:r w:rsidRPr="00411513">
        <w:rPr>
          <w:rFonts w:cs="Times New Roman"/>
        </w:rPr>
        <w:t xml:space="preserve"> frequency of media coverage of terrorism) is made by aggregating the number of media bulletins relating to terrorism produced annually (by each </w:t>
      </w:r>
      <w:r>
        <w:rPr>
          <w:rFonts w:cs="Times New Roman"/>
        </w:rPr>
        <w:t xml:space="preserve">of </w:t>
      </w:r>
      <w:r w:rsidRPr="00411513">
        <w:rPr>
          <w:rFonts w:cs="Times New Roman"/>
        </w:rPr>
        <w:t>Reuters, AP, and AFP), relative to the total number of media bulletins that each of these news agencies produce annually. Calculating</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sidRPr="00411513">
        <w:rPr>
          <w:rFonts w:cs="Times New Roman"/>
        </w:rPr>
        <w:t xml:space="preserve"> in this manner does not assign equal weight to the individual frequency of media coverage of terrorism produced by each news agency. </w:t>
      </w:r>
      <w:r>
        <w:rPr>
          <w:rFonts w:cs="Times New Roman"/>
        </w:rPr>
        <w:t xml:space="preserve">(This may help explain why there is a strong correlation between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Pr>
          <w:rFonts w:eastAsiaTheme="minorEastAsia" w:cs="Times New Roman"/>
        </w:rPr>
        <w:t xml:space="preserve"> and </w:t>
      </w:r>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oMath>
      <w:r>
        <w:rPr>
          <w:rFonts w:eastAsiaTheme="minorEastAsia" w:cs="Times New Roman"/>
        </w:rPr>
        <w:t xml:space="preserve">, weak-medium correlations between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1</m:t>
            </m:r>
          </m:sub>
        </m:sSub>
      </m:oMath>
      <w:r>
        <w:rPr>
          <w:rFonts w:eastAsiaTheme="minorEastAsia" w:cs="Times New Roman"/>
        </w:rPr>
        <w:t xml:space="preserve"> and </w:t>
      </w:r>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oMath>
      <w:r>
        <w:rPr>
          <w:rFonts w:eastAsiaTheme="minorEastAsia" w:cs="Times New Roman"/>
        </w:rPr>
        <w:t xml:space="preserve">, and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2</m:t>
            </m:r>
          </m:sub>
        </m:sSub>
      </m:oMath>
      <w:r>
        <w:rPr>
          <w:rFonts w:eastAsiaTheme="minorEastAsia" w:cs="Times New Roman"/>
        </w:rPr>
        <w:t xml:space="preserve"> and </w:t>
      </w:r>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oMath>
      <w:r>
        <w:rPr>
          <w:rFonts w:eastAsiaTheme="minorEastAsia" w:cs="Times New Roman"/>
        </w:rPr>
        <w:t xml:space="preserve">, but </w:t>
      </w:r>
      <w:r>
        <w:rPr>
          <w:rFonts w:cs="Times New Roman"/>
        </w:rPr>
        <w:t xml:space="preserve">no correlation between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3</m:t>
            </m:r>
          </m:sub>
        </m:sSub>
      </m:oMath>
      <w:r>
        <w:rPr>
          <w:rFonts w:cs="Times New Roman"/>
        </w:rPr>
        <w:t xml:space="preserve"> and </w:t>
      </w:r>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oMath>
      <w:r>
        <w:rPr>
          <w:rFonts w:eastAsiaTheme="minorEastAsia" w:cs="Times New Roman"/>
        </w:rPr>
        <w:t>.)</w:t>
      </w:r>
      <w:r>
        <w:rPr>
          <w:rFonts w:cs="Times New Roman"/>
        </w:rPr>
        <w:t xml:space="preserve"> </w:t>
      </w:r>
      <w:r w:rsidRPr="00411513">
        <w:rPr>
          <w:rFonts w:cs="Times New Roman"/>
        </w:rPr>
        <w:t xml:space="preserve">As such, calculating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sidRPr="00411513">
        <w:rPr>
          <w:rFonts w:cs="Times New Roman"/>
        </w:rPr>
        <w:t xml:space="preserve"> in this manner is important because it allows me to encapsulate the broader global English media environment in a single statistic.</w:t>
      </w:r>
    </w:p>
    <w:p w14:paraId="07B3A29D" w14:textId="77777777" w:rsidR="002915BC" w:rsidRPr="00411513" w:rsidRDefault="002915BC" w:rsidP="002915BC">
      <w:pPr>
        <w:ind w:firstLine="720"/>
        <w:rPr>
          <w:rFonts w:ascii="STIX Two Math" w:hAnsi="STIX Two Math" w:cs="STIX Two Math"/>
        </w:rPr>
      </w:pPr>
      <w:r w:rsidRPr="00411513">
        <w:rPr>
          <w:rFonts w:cs="Times New Roman"/>
        </w:rPr>
        <w:t>In addition to quantifying</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sidRPr="00411513">
        <w:rPr>
          <w:rFonts w:ascii="STIX Two Math" w:hAnsi="STIX Two Math" w:cs="STIX Two Math"/>
        </w:rPr>
        <w:t xml:space="preserve"> </w:t>
      </w:r>
      <w:r w:rsidRPr="00411513">
        <w:rPr>
          <w:rFonts w:cs="Times New Roman"/>
        </w:rPr>
        <w:t xml:space="preserve">as an aggregate measure representing media coverage of terrorism in general, I also calculate the frequency of media coverage of terrorism produced by each specific international news agency. These individual frequencies are also key to the analysis of ‘how’ media coverage of terrorism affects international (state) legitimacy undertaken in Chapters 7, 8 and 9.  Isolating the frequency of each news agency’s coverage of terrorism allows me to compare and contrast </w:t>
      </w:r>
      <w:r w:rsidRPr="00411513">
        <w:rPr>
          <w:rFonts w:cs="Times New Roman"/>
          <w:i/>
          <w:iCs/>
        </w:rPr>
        <w:t>how</w:t>
      </w:r>
      <w:r w:rsidRPr="00411513">
        <w:rPr>
          <w:rFonts w:cs="Times New Roman"/>
        </w:rPr>
        <w:t xml:space="preserve"> the publication and reporting standards of news agencies the frequency of whose coverage of terrorism correlates with notable increases and/or decreases in international (state) legitimacy differ from one another. Put simply, this lets me identify media coverage of terrorism that is more strongly correlated with increased or decreased international (state) legitimacy for more focused examination and analysis. Comparing the way that each </w:t>
      </w:r>
      <w:r w:rsidRPr="00411513">
        <w:rPr>
          <w:rFonts w:cs="Times New Roman"/>
        </w:rPr>
        <w:lastRenderedPageBreak/>
        <w:t xml:space="preserve">specific news agency’s coverage of terrorism interacts with international (state) legitimacy provides the point of departure for my Chapter 7 analysis as to </w:t>
      </w:r>
      <w:r w:rsidRPr="00411513">
        <w:rPr>
          <w:rFonts w:cs="Times New Roman"/>
          <w:i/>
          <w:iCs/>
        </w:rPr>
        <w:t xml:space="preserve">how </w:t>
      </w:r>
      <w:r w:rsidRPr="00411513">
        <w:rPr>
          <w:rFonts w:cs="Times New Roman"/>
        </w:rPr>
        <w:t>the media coverage of terrorism activity affects international (state) legitimacy (</w:t>
      </w:r>
      <m:oMath>
        <m:sSub>
          <m:sSubPr>
            <m:ctrlPr>
              <w:rPr>
                <w:rFonts w:ascii="Cambria Math" w:hAnsi="Cambria Math" w:cs="Times New Roman"/>
                <w:i/>
              </w:rPr>
            </m:ctrlPr>
          </m:sSubPr>
          <m:e>
            <m:r>
              <w:rPr>
                <w:rFonts w:ascii="Cambria Math" w:hAnsi="Cambria Math" w:cs="Times New Roman"/>
              </w:rPr>
              <m:t>RQ</m:t>
            </m:r>
          </m:e>
          <m:sub>
            <m:r>
              <w:rPr>
                <w:rFonts w:ascii="Cambria Math" w:hAnsi="Cambria Math" w:cs="Times New Roman"/>
              </w:rPr>
              <m:t>2</m:t>
            </m:r>
          </m:sub>
        </m:sSub>
      </m:oMath>
      <w:r w:rsidRPr="00411513">
        <w:rPr>
          <w:rFonts w:cs="Times New Roman"/>
        </w:rPr>
        <w:t xml:space="preserve">). To that end, I classify each of these subsets of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sidRPr="00411513">
        <w:rPr>
          <w:rFonts w:ascii="STIX Two Math" w:hAnsi="STIX Two Math" w:cs="STIX Two Math"/>
        </w:rPr>
        <w:t xml:space="preserve"> </w:t>
      </w:r>
      <w:r w:rsidRPr="00411513">
        <w:rPr>
          <w:rFonts w:cs="Times New Roman"/>
        </w:rPr>
        <w:t>as follows:</w:t>
      </w:r>
    </w:p>
    <w:p w14:paraId="117203A8" w14:textId="77777777" w:rsidR="002915BC" w:rsidRPr="00411513" w:rsidRDefault="00000000" w:rsidP="002915BC">
      <w:pPr>
        <w:ind w:firstLine="720"/>
        <w:rPr>
          <w:rFonts w:cs="Times New Roman"/>
        </w:rPr>
      </w:pP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1</m:t>
            </m:r>
          </m:sub>
        </m:sSub>
      </m:oMath>
      <w:r w:rsidR="002915BC" w:rsidRPr="00411513">
        <w:rPr>
          <w:rFonts w:cs="Times New Roman"/>
        </w:rPr>
        <w:t>: Media Coverage of Terrorism produced by Reuters;</w:t>
      </w:r>
    </w:p>
    <w:p w14:paraId="5E02F45C" w14:textId="77777777" w:rsidR="002915BC" w:rsidRPr="00411513" w:rsidRDefault="00000000" w:rsidP="002915BC">
      <w:pPr>
        <w:ind w:firstLine="720"/>
        <w:rPr>
          <w:rFonts w:ascii="STIX Two Math" w:hAnsi="STIX Two Math" w:cs="STIX Two Math"/>
        </w:rPr>
      </w:pP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2</m:t>
            </m:r>
          </m:sub>
        </m:sSub>
      </m:oMath>
      <w:r w:rsidR="002915BC" w:rsidRPr="00411513">
        <w:rPr>
          <w:rFonts w:cs="Times New Roman"/>
        </w:rPr>
        <w:t>: Media Coverage of Terrorism produced by AP; and</w:t>
      </w:r>
    </w:p>
    <w:p w14:paraId="73547C89" w14:textId="55524D6B" w:rsidR="002915BC" w:rsidRPr="00037772" w:rsidRDefault="00000000" w:rsidP="00037772">
      <w:pPr>
        <w:ind w:firstLine="720"/>
        <w:rPr>
          <w:rFonts w:cs="Times New Roman"/>
        </w:rPr>
      </w:pP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3</m:t>
            </m:r>
          </m:sub>
        </m:sSub>
      </m:oMath>
      <w:r w:rsidR="002915BC" w:rsidRPr="00411513">
        <w:rPr>
          <w:rFonts w:cs="Times New Roman"/>
        </w:rPr>
        <w:t>: Media Coverage of Terrorism produced by AFP.</w:t>
      </w:r>
    </w:p>
    <w:p w14:paraId="0B3A78A0" w14:textId="11BB30F8" w:rsidR="002915BC" w:rsidRPr="00411513" w:rsidRDefault="002915BC" w:rsidP="00037772">
      <w:pPr>
        <w:pStyle w:val="DissertationSection2"/>
      </w:pPr>
      <w:bookmarkStart w:id="46" w:name="_Toc175413151"/>
      <w:r w:rsidRPr="00411513">
        <w:t>Dependent Variable</w:t>
      </w:r>
      <w:bookmarkEnd w:id="46"/>
    </w:p>
    <w:p w14:paraId="5D32587B" w14:textId="7C8E9662" w:rsidR="002915BC" w:rsidRPr="00411513" w:rsidRDefault="002915BC" w:rsidP="002915BC">
      <w:pPr>
        <w:ind w:firstLine="720"/>
        <w:rPr>
          <w:rFonts w:cs="Times New Roman"/>
        </w:rPr>
      </w:pPr>
      <w:r w:rsidRPr="00411513">
        <w:rPr>
          <w:rFonts w:cs="Times New Roman"/>
        </w:rPr>
        <w:t xml:space="preserve">This study necessarily differentiates between </w:t>
      </w:r>
      <w:r w:rsidRPr="00411513">
        <w:rPr>
          <w:rFonts w:cs="Times New Roman"/>
          <w:i/>
          <w:iCs/>
        </w:rPr>
        <w:t>domestic</w:t>
      </w:r>
      <w:r w:rsidRPr="00411513">
        <w:rPr>
          <w:rFonts w:cs="Times New Roman"/>
        </w:rPr>
        <w:t xml:space="preserve"> state legitimacy and international (state) legitimacy in the broader context of the international system (</w:t>
      </w:r>
      <w:r w:rsidRPr="00411513">
        <w:rPr>
          <w:rFonts w:cs="Times New Roman"/>
          <w:i/>
          <w:iCs/>
        </w:rPr>
        <w:t>international</w:t>
      </w:r>
      <w:r w:rsidRPr="00411513">
        <w:rPr>
          <w:rFonts w:cs="Times New Roman"/>
        </w:rPr>
        <w:t xml:space="preserve"> legitimacy). To suggest whether and how terrorism succeeds international (state) legitimacy </w:t>
      </w:r>
      <w:r w:rsidR="00297285">
        <w:rPr>
          <w:rFonts w:cs="Times New Roman"/>
        </w:rPr>
        <w:t xml:space="preserve">is defined </w:t>
      </w:r>
      <w:r w:rsidRPr="00411513">
        <w:rPr>
          <w:rFonts w:cs="Times New Roman"/>
        </w:rPr>
        <w:t>in accordance with Ian Clark’s “rightful membership… face [of legitimacy].”</w:t>
      </w:r>
      <w:r w:rsidRPr="00411513">
        <w:rPr>
          <w:rStyle w:val="FootnoteReference"/>
          <w:rFonts w:cs="Times New Roman"/>
        </w:rPr>
        <w:footnoteReference w:id="387"/>
      </w:r>
      <w:r w:rsidRPr="00411513">
        <w:rPr>
          <w:rFonts w:cs="Times New Roman"/>
        </w:rPr>
        <w:t xml:space="preserve"> Clark argues that there are two ‘faces’ associated with legitimacy. Clark’s “rightful conduct” face of legitimacy comprises rules that govern the types of state conduct that are appropriate on a domestic level, while his “rightful membership” face of legitimacy specifies rules for identifying which actors get to ‘count’ as members of the </w:t>
      </w:r>
      <w:r w:rsidRPr="00411513">
        <w:rPr>
          <w:rFonts w:cs="Times New Roman"/>
          <w:i/>
          <w:iCs/>
        </w:rPr>
        <w:t>legitimate</w:t>
      </w:r>
      <w:r w:rsidRPr="00411513">
        <w:rPr>
          <w:rFonts w:cs="Times New Roman"/>
        </w:rPr>
        <w:t xml:space="preserve"> international order.</w:t>
      </w:r>
      <w:r w:rsidRPr="00411513">
        <w:rPr>
          <w:rStyle w:val="FootnoteReference"/>
          <w:rFonts w:cs="Times New Roman"/>
        </w:rPr>
        <w:footnoteReference w:id="388"/>
      </w:r>
      <w:r w:rsidRPr="00411513">
        <w:rPr>
          <w:rFonts w:cs="Times New Roman"/>
        </w:rPr>
        <w:t xml:space="preserve"> As discussed in Chapter 4, “rightful conduct” and “rightful membership” are mutually constitutive, with “rightful membership” serving as the key instrument for generating “rightful conduct.”</w:t>
      </w:r>
      <w:r w:rsidRPr="00411513">
        <w:rPr>
          <w:rStyle w:val="FootnoteReference"/>
          <w:rFonts w:cs="Times New Roman"/>
        </w:rPr>
        <w:footnoteReference w:id="389"/>
      </w:r>
      <w:r w:rsidRPr="00411513">
        <w:rPr>
          <w:rFonts w:cs="Times New Roman"/>
        </w:rPr>
        <w:t xml:space="preserve"> My conception of international (state) legitimacy also takes into account David Beetham’s proposal for a tripartite understanding of legitimacy as necessarily involving </w:t>
      </w:r>
      <w:r w:rsidRPr="00411513">
        <w:rPr>
          <w:rFonts w:cs="Times New Roman"/>
          <w:i/>
          <w:iCs/>
        </w:rPr>
        <w:t>legality</w:t>
      </w:r>
      <w:r w:rsidRPr="00411513">
        <w:rPr>
          <w:rFonts w:cs="Times New Roman"/>
        </w:rPr>
        <w:t xml:space="preserve">, </w:t>
      </w:r>
      <w:r w:rsidRPr="00411513">
        <w:rPr>
          <w:rFonts w:cs="Times New Roman"/>
          <w:i/>
          <w:iCs/>
        </w:rPr>
        <w:t>justification</w:t>
      </w:r>
      <w:r w:rsidRPr="00411513">
        <w:rPr>
          <w:rFonts w:cs="Times New Roman"/>
        </w:rPr>
        <w:t xml:space="preserve">, and </w:t>
      </w:r>
      <w:r w:rsidRPr="00411513">
        <w:rPr>
          <w:rFonts w:cs="Times New Roman"/>
          <w:i/>
          <w:iCs/>
        </w:rPr>
        <w:t>consent</w:t>
      </w:r>
      <w:r w:rsidRPr="00411513">
        <w:rPr>
          <w:rFonts w:cs="Times New Roman"/>
        </w:rPr>
        <w:t xml:space="preserve">. I use the following sources of data (listed below) to assign annual numerical values to each </w:t>
      </w:r>
      <w:r w:rsidRPr="00411513">
        <w:rPr>
          <w:rFonts w:cs="Times New Roman"/>
          <w:i/>
          <w:iCs/>
        </w:rPr>
        <w:t>legality</w:t>
      </w:r>
      <w:r w:rsidRPr="00411513">
        <w:rPr>
          <w:rFonts w:cs="Times New Roman"/>
        </w:rPr>
        <w:t xml:space="preserve">, </w:t>
      </w:r>
      <w:r w:rsidRPr="00411513">
        <w:rPr>
          <w:rFonts w:cs="Times New Roman"/>
          <w:i/>
          <w:iCs/>
        </w:rPr>
        <w:t>justification</w:t>
      </w:r>
      <w:r w:rsidRPr="00411513">
        <w:rPr>
          <w:rFonts w:cs="Times New Roman"/>
        </w:rPr>
        <w:t xml:space="preserve">, and </w:t>
      </w:r>
      <w:r w:rsidRPr="00411513">
        <w:rPr>
          <w:rFonts w:cs="Times New Roman"/>
          <w:i/>
          <w:iCs/>
        </w:rPr>
        <w:t>consent</w:t>
      </w:r>
      <w:r w:rsidRPr="00411513">
        <w:rPr>
          <w:rFonts w:cs="Times New Roman"/>
        </w:rPr>
        <w:t xml:space="preserve">: </w:t>
      </w:r>
    </w:p>
    <w:p w14:paraId="6F795606" w14:textId="77777777" w:rsidR="002915BC" w:rsidRPr="00411513" w:rsidRDefault="002915BC" w:rsidP="002915BC">
      <w:pPr>
        <w:ind w:firstLine="720"/>
        <w:rPr>
          <w:rFonts w:cs="Times New Roman"/>
        </w:rPr>
      </w:pPr>
      <w:r w:rsidRPr="00411513">
        <w:rPr>
          <w:rFonts w:cs="Times New Roman"/>
          <w:i/>
          <w:iCs/>
        </w:rPr>
        <w:t xml:space="preserve">I derive my empirical measure of legality from the World Justice Institute Rule of Law Index (RLI). </w:t>
      </w:r>
      <w:r w:rsidRPr="00411513">
        <w:rPr>
          <w:rFonts w:cs="Times New Roman"/>
        </w:rPr>
        <w:t>The RLI measures the extent to which country practice adheres to the rule of law</w:t>
      </w:r>
      <w:r>
        <w:rPr>
          <w:rFonts w:cs="Times New Roman"/>
        </w:rPr>
        <w:t>, represented as an annual value</w:t>
      </w:r>
      <w:r w:rsidRPr="00411513">
        <w:rPr>
          <w:rFonts w:cs="Times New Roman"/>
        </w:rPr>
        <w:t xml:space="preserve"> </w:t>
      </w:r>
      <w:r>
        <w:rPr>
          <w:rFonts w:cs="Times New Roman"/>
        </w:rPr>
        <w:t>(</w:t>
      </w:r>
      <m:oMath>
        <m:r>
          <w:rPr>
            <w:rFonts w:ascii="Cambria Math" w:hAnsi="Cambria Math" w:cs="Times New Roman"/>
          </w:rPr>
          <m:t>l</m:t>
        </m:r>
      </m:oMath>
      <w:r>
        <w:rPr>
          <w:rFonts w:cs="Times New Roman"/>
        </w:rPr>
        <w:t xml:space="preserve">) </w:t>
      </w:r>
      <w:r w:rsidRPr="00411513">
        <w:rPr>
          <w:rFonts w:cs="Times New Roman"/>
        </w:rPr>
        <w:t xml:space="preserve">on a 0.0 to 1.0 scale. Its assessment is based on eight dimensions of the rule of law (constraints on government powers, absence of corruption, order and security, fundamental rights, open government, regulatory enforcement, civil justice, and criminal justice) disaggregated into forty-seven different indicators. The World Justice Project conceptualizes adherence to the rule of law as occurring when a system upholds the following four principles: </w:t>
      </w:r>
    </w:p>
    <w:p w14:paraId="1CE6213D" w14:textId="77777777" w:rsidR="002915BC" w:rsidRPr="00411513" w:rsidRDefault="002915BC" w:rsidP="002915BC">
      <w:pPr>
        <w:ind w:left="357" w:firstLine="363"/>
        <w:rPr>
          <w:rFonts w:eastAsia="Times New Roman" w:cs="Times New Roman"/>
          <w:color w:val="202122"/>
        </w:rPr>
      </w:pPr>
      <w:r w:rsidRPr="00411513">
        <w:rPr>
          <w:rFonts w:eastAsia="Times New Roman" w:cs="Times New Roman"/>
          <w:color w:val="202122"/>
        </w:rPr>
        <w:t>1)</w:t>
      </w:r>
      <w:r w:rsidRPr="00411513">
        <w:rPr>
          <w:rFonts w:eastAsia="Times New Roman" w:cs="Times New Roman"/>
          <w:color w:val="202122"/>
        </w:rPr>
        <w:tab/>
        <w:t>“The government and its officials and agents are accountable under the law.</w:t>
      </w:r>
    </w:p>
    <w:p w14:paraId="4395DAC8" w14:textId="77777777" w:rsidR="002915BC" w:rsidRPr="00411513" w:rsidRDefault="002915BC" w:rsidP="002915BC">
      <w:pPr>
        <w:pStyle w:val="ListParagraph"/>
        <w:numPr>
          <w:ilvl w:val="0"/>
          <w:numId w:val="10"/>
        </w:numPr>
        <w:rPr>
          <w:rFonts w:eastAsia="Times New Roman" w:cs="Times New Roman"/>
          <w:color w:val="202122"/>
        </w:rPr>
      </w:pPr>
      <w:r w:rsidRPr="00411513">
        <w:rPr>
          <w:rFonts w:eastAsia="Times New Roman" w:cs="Times New Roman"/>
          <w:color w:val="202122"/>
        </w:rPr>
        <w:t xml:space="preserve"> </w:t>
      </w:r>
      <w:r w:rsidRPr="00411513">
        <w:rPr>
          <w:rFonts w:eastAsia="Times New Roman" w:cs="Times New Roman"/>
          <w:color w:val="202122"/>
        </w:rPr>
        <w:tab/>
        <w:t xml:space="preserve">The laws are clear, publicized, stable and fair, and protect fundamental rights, </w:t>
      </w:r>
    </w:p>
    <w:p w14:paraId="66F6F848" w14:textId="77777777" w:rsidR="002915BC" w:rsidRPr="00411513" w:rsidRDefault="002915BC" w:rsidP="002915BC">
      <w:pPr>
        <w:pStyle w:val="ListParagraph"/>
        <w:ind w:left="1080" w:firstLine="360"/>
        <w:rPr>
          <w:rFonts w:eastAsia="Times New Roman" w:cs="Times New Roman"/>
          <w:color w:val="202122"/>
        </w:rPr>
      </w:pPr>
      <w:r w:rsidRPr="00411513">
        <w:rPr>
          <w:rFonts w:eastAsia="Times New Roman" w:cs="Times New Roman"/>
          <w:color w:val="202122"/>
        </w:rPr>
        <w:t>including the security of persons and property.</w:t>
      </w:r>
    </w:p>
    <w:p w14:paraId="2B9FC2E4" w14:textId="77777777" w:rsidR="002915BC" w:rsidRPr="00411513" w:rsidRDefault="002915BC" w:rsidP="002915BC">
      <w:pPr>
        <w:pStyle w:val="ListParagraph"/>
        <w:numPr>
          <w:ilvl w:val="0"/>
          <w:numId w:val="10"/>
        </w:numPr>
        <w:rPr>
          <w:rFonts w:eastAsia="Times New Roman" w:cs="Times New Roman"/>
          <w:color w:val="202122"/>
        </w:rPr>
      </w:pPr>
      <w:r w:rsidRPr="00411513">
        <w:rPr>
          <w:rFonts w:eastAsia="Times New Roman" w:cs="Times New Roman"/>
          <w:color w:val="202122"/>
        </w:rPr>
        <w:t xml:space="preserve"> </w:t>
      </w:r>
      <w:r w:rsidRPr="00411513">
        <w:rPr>
          <w:rFonts w:eastAsia="Times New Roman" w:cs="Times New Roman"/>
          <w:color w:val="202122"/>
        </w:rPr>
        <w:tab/>
        <w:t xml:space="preserve">The process by which the laws are enacted, administered, and enforced is </w:t>
      </w:r>
    </w:p>
    <w:p w14:paraId="2B046B6A" w14:textId="77777777" w:rsidR="002915BC" w:rsidRPr="00411513" w:rsidRDefault="002915BC" w:rsidP="002915BC">
      <w:pPr>
        <w:ind w:left="1080" w:firstLine="360"/>
        <w:rPr>
          <w:rFonts w:eastAsia="Times New Roman" w:cs="Times New Roman"/>
          <w:color w:val="202122"/>
        </w:rPr>
      </w:pPr>
      <w:r w:rsidRPr="00411513">
        <w:rPr>
          <w:rFonts w:eastAsia="Times New Roman" w:cs="Times New Roman"/>
          <w:color w:val="202122"/>
        </w:rPr>
        <w:t>accessible, efficient, and fair.</w:t>
      </w:r>
    </w:p>
    <w:p w14:paraId="63997907" w14:textId="77777777" w:rsidR="002915BC" w:rsidRDefault="002915BC" w:rsidP="002915BC">
      <w:pPr>
        <w:pStyle w:val="ListParagraph"/>
        <w:numPr>
          <w:ilvl w:val="0"/>
          <w:numId w:val="10"/>
        </w:numPr>
        <w:rPr>
          <w:rFonts w:eastAsia="Times New Roman" w:cs="Times New Roman"/>
          <w:color w:val="202122"/>
        </w:rPr>
      </w:pPr>
      <w:r w:rsidRPr="00411513">
        <w:rPr>
          <w:rFonts w:eastAsia="Times New Roman" w:cs="Times New Roman"/>
          <w:color w:val="202122"/>
        </w:rPr>
        <w:t xml:space="preserve"> </w:t>
      </w:r>
      <w:r w:rsidRPr="00411513">
        <w:rPr>
          <w:rFonts w:eastAsia="Times New Roman" w:cs="Times New Roman"/>
          <w:color w:val="202122"/>
        </w:rPr>
        <w:tab/>
        <w:t xml:space="preserve">Justice is delivered by competent, ethical, and independent representatives and </w:t>
      </w:r>
    </w:p>
    <w:p w14:paraId="11C4F23D" w14:textId="77777777" w:rsidR="002915BC" w:rsidRDefault="002915BC" w:rsidP="002915BC">
      <w:pPr>
        <w:pStyle w:val="ListParagraph"/>
        <w:ind w:left="1080" w:firstLine="360"/>
        <w:rPr>
          <w:rFonts w:eastAsia="Times New Roman" w:cs="Times New Roman"/>
          <w:color w:val="202122"/>
        </w:rPr>
      </w:pPr>
      <w:r w:rsidRPr="00411513">
        <w:rPr>
          <w:rFonts w:eastAsia="Times New Roman" w:cs="Times New Roman"/>
          <w:color w:val="202122"/>
        </w:rPr>
        <w:t xml:space="preserve">neutrals who are of sufficient number, have adequate resources, and reflect the </w:t>
      </w:r>
    </w:p>
    <w:p w14:paraId="4B8DC8D4" w14:textId="77777777" w:rsidR="002915BC" w:rsidRPr="00411513" w:rsidRDefault="002915BC" w:rsidP="002915BC">
      <w:pPr>
        <w:pStyle w:val="ListParagraph"/>
        <w:ind w:left="1080" w:firstLine="360"/>
        <w:rPr>
          <w:rFonts w:eastAsia="Times New Roman" w:cs="Times New Roman"/>
          <w:color w:val="202122"/>
        </w:rPr>
      </w:pPr>
      <w:r w:rsidRPr="00411513">
        <w:rPr>
          <w:rFonts w:eastAsia="Times New Roman" w:cs="Times New Roman"/>
          <w:color w:val="202122"/>
        </w:rPr>
        <w:lastRenderedPageBreak/>
        <w:t>makeup of the communities they serve.”</w:t>
      </w:r>
      <w:r w:rsidRPr="00411513">
        <w:rPr>
          <w:rStyle w:val="FootnoteReference"/>
          <w:rFonts w:eastAsia="Times New Roman" w:cs="Times New Roman"/>
          <w:color w:val="202122"/>
        </w:rPr>
        <w:footnoteReference w:id="390"/>
      </w:r>
    </w:p>
    <w:p w14:paraId="195E4F79" w14:textId="77777777" w:rsidR="002915BC" w:rsidRPr="00411513" w:rsidRDefault="002915BC" w:rsidP="002915BC">
      <w:pPr>
        <w:rPr>
          <w:rFonts w:cs="Times New Roman"/>
        </w:rPr>
      </w:pPr>
      <w:r w:rsidRPr="00411513">
        <w:rPr>
          <w:rFonts w:eastAsia="Times New Roman" w:cs="Times New Roman"/>
          <w:color w:val="202122"/>
        </w:rPr>
        <w:t>When the government and state officials are accountable under the law, they necessarily recognize the validity of the rules that they support. Similarly, for the enactment, administration and enforcement of the law to be considered both transparent and fair, constituents of the legitimate entity must recognize the validity of the rules that it is endeavoring to impose upon them. As such, the manner in which the RLI definition of the rule of law manifests in practice is in agreement with the definition of legality that I rely on in conceptualizing (state) legitimacy for the purposes of this dissertation.</w:t>
      </w:r>
      <w:r w:rsidRPr="00411513">
        <w:rPr>
          <w:rStyle w:val="FootnoteReference"/>
          <w:rFonts w:eastAsia="Times New Roman" w:cs="Times New Roman"/>
          <w:color w:val="202122"/>
        </w:rPr>
        <w:footnoteReference w:id="391"/>
      </w:r>
      <w:r w:rsidRPr="00411513">
        <w:rPr>
          <w:rFonts w:eastAsia="Times New Roman" w:cs="Times New Roman"/>
          <w:color w:val="202122"/>
        </w:rPr>
        <w:t xml:space="preserve"> While the RLI establishes scores for a total of 112 countries in its 2016, 2017 and 2018 annual reports, </w:t>
      </w:r>
      <w:r w:rsidRPr="00411513">
        <w:rPr>
          <w:rFonts w:cs="Times New Roman"/>
        </w:rPr>
        <w:t xml:space="preserve">my quantification of </w:t>
      </w:r>
      <w:r w:rsidRPr="00411513">
        <w:rPr>
          <w:rFonts w:cs="Times New Roman"/>
          <w:i/>
          <w:iCs/>
        </w:rPr>
        <w:t>legality</w:t>
      </w:r>
      <w:r w:rsidRPr="00411513">
        <w:rPr>
          <w:rFonts w:cs="Times New Roman"/>
        </w:rPr>
        <w:t xml:space="preserve"> derives from the mean of the 96 country scores produced by the RLI in </w:t>
      </w:r>
      <w:r w:rsidRPr="00411513">
        <w:rPr>
          <w:rFonts w:cs="Times New Roman"/>
          <w:i/>
          <w:iCs/>
        </w:rPr>
        <w:t xml:space="preserve">all seven reports </w:t>
      </w:r>
      <w:r w:rsidRPr="00411513">
        <w:rPr>
          <w:rFonts w:cs="Times New Roman"/>
        </w:rPr>
        <w:t>published between 2012 and 2018. I exclude the sixteen country scores that are not included across the full seven years of data both to prevent the data from being distorted by calculating the annual statistic for each year based on a different number of data points, and in order to allow for comparison across the data.</w:t>
      </w:r>
    </w:p>
    <w:p w14:paraId="521BA25B" w14:textId="77777777" w:rsidR="002915BC" w:rsidRPr="00411513" w:rsidRDefault="002915BC" w:rsidP="002915BC">
      <w:pPr>
        <w:ind w:firstLine="720"/>
        <w:rPr>
          <w:rFonts w:cs="Times New Roman"/>
        </w:rPr>
      </w:pPr>
      <w:r w:rsidRPr="00411513">
        <w:rPr>
          <w:rFonts w:cs="Times New Roman"/>
          <w:i/>
          <w:iCs/>
        </w:rPr>
        <w:t>I quantify justification based on the measurement of P1: State Legitimacy established by the Fragile States Index (FSI).</w:t>
      </w:r>
      <w:r w:rsidRPr="00411513">
        <w:rPr>
          <w:rStyle w:val="FootnoteReference"/>
          <w:rFonts w:cs="Times New Roman"/>
        </w:rPr>
        <w:footnoteReference w:id="392"/>
      </w:r>
      <w:r w:rsidRPr="00411513">
        <w:rPr>
          <w:rFonts w:cs="Times New Roman"/>
        </w:rPr>
        <w:t xml:space="preserve"> The FSI calculates its annual state legitimacy measure</w:t>
      </w:r>
      <w:r>
        <w:rPr>
          <w:rFonts w:cs="Times New Roman"/>
        </w:rPr>
        <w:t xml:space="preserve"> (</w:t>
      </w:r>
      <m:oMath>
        <m:r>
          <w:rPr>
            <w:rFonts w:ascii="Cambria Math" w:hAnsi="Cambria Math" w:cs="STIX Two Math"/>
          </w:rPr>
          <m:t>P1</m:t>
        </m:r>
      </m:oMath>
      <w:r>
        <w:rPr>
          <w:rFonts w:cs="Times New Roman"/>
        </w:rPr>
        <w:t>)</w:t>
      </w:r>
      <w:r w:rsidRPr="00411513">
        <w:rPr>
          <w:rFonts w:cs="Times New Roman"/>
        </w:rPr>
        <w:t xml:space="preserve">, which is based on factors relating to domestic government effectiveness and international perceptions thereof, on a 1.0 to 10.0 metric. The FSI </w:t>
      </w:r>
      <m:oMath>
        <m:r>
          <w:rPr>
            <w:rFonts w:ascii="Cambria Math" w:hAnsi="Cambria Math" w:cs="STIX Two Math"/>
          </w:rPr>
          <m:t>P1</m:t>
        </m:r>
      </m:oMath>
      <w:r w:rsidRPr="00411513">
        <w:rPr>
          <w:rFonts w:cs="Times New Roman"/>
        </w:rPr>
        <w:t xml:space="preserve"> measurement takes into account public confidence in the political process, as well as measures relating to political opposition. Of specific relevance to this study is the </w:t>
      </w:r>
      <m:oMath>
        <m:r>
          <w:rPr>
            <w:rFonts w:ascii="Cambria Math" w:hAnsi="Cambria Math" w:cs="STIX Two Math"/>
          </w:rPr>
          <m:t>P1</m:t>
        </m:r>
      </m:oMath>
      <w:r w:rsidRPr="00411513">
        <w:rPr>
          <w:rFonts w:cs="Times New Roman"/>
        </w:rPr>
        <w:t xml:space="preserve"> measurement’s consideration of “the ability of the state to exercise basic functions that infer a population’s confidence in its government and institutions. My quantification of </w:t>
      </w:r>
      <w:r w:rsidRPr="00411513">
        <w:rPr>
          <w:rFonts w:cs="Times New Roman"/>
          <w:i/>
          <w:iCs/>
        </w:rPr>
        <w:t>justification</w:t>
      </w:r>
      <w:r w:rsidRPr="00411513">
        <w:rPr>
          <w:rFonts w:cs="Times New Roman"/>
        </w:rPr>
        <w:t xml:space="preserve"> thus derives from the mean of the FSI’s annual measurements of state legitimacy associated with specific countries. </w:t>
      </w:r>
    </w:p>
    <w:p w14:paraId="09306F41" w14:textId="32709A91" w:rsidR="002915BC" w:rsidRDefault="002915BC" w:rsidP="002915BC">
      <w:pPr>
        <w:ind w:firstLine="720"/>
        <w:rPr>
          <w:rFonts w:cs="Times New Roman"/>
        </w:rPr>
      </w:pPr>
      <w:r w:rsidRPr="00411513">
        <w:rPr>
          <w:rFonts w:cs="Times New Roman"/>
        </w:rPr>
        <w:t xml:space="preserve">To quantify </w:t>
      </w:r>
      <w:r w:rsidRPr="00411513">
        <w:rPr>
          <w:rFonts w:cs="Times New Roman"/>
          <w:i/>
          <w:iCs/>
        </w:rPr>
        <w:t>consent</w:t>
      </w:r>
      <w:r w:rsidRPr="00411513">
        <w:rPr>
          <w:rFonts w:cs="Times New Roman"/>
        </w:rPr>
        <w:t>, I rely on Clark’s claim that the structure of international society’s embodiment of rules for identifying which actors get to ‘count’ as members is inherently tied to the ‘rules’ that govern the types of member conduct appropriate on a domestic level.</w:t>
      </w:r>
      <w:r w:rsidRPr="00411513">
        <w:rPr>
          <w:rStyle w:val="FootnoteReference"/>
          <w:rFonts w:cs="Times New Roman"/>
        </w:rPr>
        <w:footnoteReference w:id="393"/>
      </w:r>
      <w:r w:rsidRPr="00411513">
        <w:rPr>
          <w:rFonts w:cs="Times New Roman"/>
        </w:rPr>
        <w:t xml:space="preserve"> Clark’s “rightful membership” correlates with an implicit establishment of “consent” as a constituent element of legitimacy, where “consent” manifests as constituent actors’ actions that indicate acceptance of their dominant’s “right to rule.”</w:t>
      </w:r>
      <w:r w:rsidRPr="00411513">
        <w:rPr>
          <w:rStyle w:val="FootnoteReference"/>
          <w:rFonts w:cs="Times New Roman"/>
        </w:rPr>
        <w:footnoteReference w:id="394"/>
      </w:r>
      <w:r w:rsidRPr="00411513">
        <w:rPr>
          <w:rFonts w:cs="Times New Roman"/>
        </w:rPr>
        <w:t xml:space="preserve"> This accords with this dissertation’s general </w:t>
      </w:r>
      <w:r w:rsidRPr="00411513">
        <w:rPr>
          <w:rFonts w:cs="Times New Roman"/>
        </w:rPr>
        <w:lastRenderedPageBreak/>
        <w:t>understanding of legitimacy as “the right to rule.”</w:t>
      </w:r>
      <w:r w:rsidRPr="00411513">
        <w:rPr>
          <w:rStyle w:val="FootnoteReference"/>
          <w:rFonts w:cs="Times New Roman"/>
        </w:rPr>
        <w:footnoteReference w:id="395"/>
      </w:r>
      <w:r w:rsidRPr="00411513">
        <w:rPr>
          <w:rFonts w:cs="Times New Roman"/>
        </w:rPr>
        <w:t xml:space="preserve"> Taken in conjunction with the political idealist camp claims that “equate the United Nations with the international system as a whole,” this allows for legitimacy to be calculated on the basis of member state voting attendance at substantive United Nations General Assembly votes. This data is extrapolated from Michael A. Bailey, Anton </w:t>
      </w:r>
      <w:proofErr w:type="spellStart"/>
      <w:r w:rsidRPr="00411513">
        <w:rPr>
          <w:rFonts w:cs="Times New Roman"/>
        </w:rPr>
        <w:t>Strezhnev</w:t>
      </w:r>
      <w:proofErr w:type="spellEnd"/>
      <w:r w:rsidRPr="00411513">
        <w:rPr>
          <w:rFonts w:cs="Times New Roman"/>
        </w:rPr>
        <w:t xml:space="preserve"> and Erik </w:t>
      </w:r>
      <w:proofErr w:type="spellStart"/>
      <w:r w:rsidRPr="00411513">
        <w:rPr>
          <w:rFonts w:cs="Times New Roman"/>
        </w:rPr>
        <w:t>Voeten’s</w:t>
      </w:r>
      <w:proofErr w:type="spellEnd"/>
      <w:r w:rsidRPr="00411513">
        <w:rPr>
          <w:rFonts w:cs="Times New Roman"/>
        </w:rPr>
        <w:t xml:space="preserve"> “United Nations General Assembly Voting Data” dataset. As such, </w:t>
      </w:r>
      <w:r w:rsidRPr="00411513">
        <w:rPr>
          <w:rFonts w:cs="Times New Roman"/>
          <w:i/>
          <w:iCs/>
        </w:rPr>
        <w:t xml:space="preserve">I base the consent portion of my international (state) legitimacy calculations on the </w:t>
      </w:r>
      <w:r>
        <w:rPr>
          <w:rFonts w:cs="Times New Roman"/>
          <w:i/>
          <w:iCs/>
        </w:rPr>
        <w:t xml:space="preserve">average </w:t>
      </w:r>
      <w:r w:rsidRPr="00411513">
        <w:rPr>
          <w:rFonts w:cs="Times New Roman"/>
          <w:i/>
          <w:iCs/>
        </w:rPr>
        <w:t xml:space="preserve">percentage of </w:t>
      </w:r>
      <w:r>
        <w:rPr>
          <w:rFonts w:cs="Times New Roman"/>
          <w:i/>
          <w:iCs/>
        </w:rPr>
        <w:t xml:space="preserve">the 193 </w:t>
      </w:r>
      <w:r w:rsidRPr="00411513">
        <w:rPr>
          <w:rFonts w:cs="Times New Roman"/>
          <w:i/>
          <w:iCs/>
        </w:rPr>
        <w:t xml:space="preserve">United Nations member states that have representatives present at each substantive vote conducted by the General Assembly </w:t>
      </w:r>
      <w:r>
        <w:rPr>
          <w:rFonts w:cs="Times New Roman"/>
          <w:i/>
          <w:iCs/>
        </w:rPr>
        <w:t>(</w:t>
      </w:r>
      <m:oMath>
        <m:r>
          <w:rPr>
            <w:rFonts w:ascii="Cambria Math" w:hAnsi="Cambria Math" w:cs="Times New Roman"/>
          </w:rPr>
          <m:t>m</m:t>
        </m:r>
      </m:oMath>
      <w:r>
        <w:rPr>
          <w:rFonts w:cs="Times New Roman"/>
          <w:i/>
          <w:iCs/>
        </w:rPr>
        <w:t xml:space="preserve">) </w:t>
      </w:r>
      <w:r w:rsidRPr="00411513">
        <w:rPr>
          <w:rFonts w:cs="Times New Roman"/>
          <w:i/>
          <w:iCs/>
        </w:rPr>
        <w:t>in a given year</w:t>
      </w:r>
      <w:r w:rsidRPr="00411513">
        <w:rPr>
          <w:rFonts w:cs="Times New Roman"/>
        </w:rPr>
        <w:t>.</w:t>
      </w:r>
      <w:r w:rsidRPr="00411513">
        <w:rPr>
          <w:rStyle w:val="FootnoteReference"/>
          <w:rFonts w:cs="Times New Roman"/>
        </w:rPr>
        <w:footnoteReference w:id="396"/>
      </w:r>
      <w:r w:rsidRPr="00411513">
        <w:rPr>
          <w:rFonts w:cs="Times New Roman"/>
        </w:rPr>
        <w:t xml:space="preserve"> </w:t>
      </w:r>
    </w:p>
    <w:p w14:paraId="2228BD33" w14:textId="77777777" w:rsidR="002915BC" w:rsidRDefault="002915BC" w:rsidP="002915BC">
      <w:pPr>
        <w:ind w:firstLine="720"/>
        <w:rPr>
          <w:rFonts w:cs="Times New Roman"/>
        </w:rPr>
      </w:pPr>
      <w:r>
        <w:rPr>
          <w:rFonts w:cs="Times New Roman"/>
        </w:rPr>
        <w:t xml:space="preserve">Together, the abovementioned three measures for </w:t>
      </w:r>
      <w:r>
        <w:rPr>
          <w:rFonts w:cs="Times New Roman"/>
          <w:i/>
          <w:iCs/>
        </w:rPr>
        <w:t>legality</w:t>
      </w:r>
      <w:r>
        <w:rPr>
          <w:rFonts w:cs="Times New Roman"/>
        </w:rPr>
        <w:t xml:space="preserve">, </w:t>
      </w:r>
      <w:r>
        <w:rPr>
          <w:rFonts w:cs="Times New Roman"/>
          <w:i/>
          <w:iCs/>
        </w:rPr>
        <w:t>justification</w:t>
      </w:r>
      <w:r>
        <w:rPr>
          <w:rFonts w:cs="Times New Roman"/>
        </w:rPr>
        <w:t xml:space="preserve">, and </w:t>
      </w:r>
      <w:r>
        <w:rPr>
          <w:rFonts w:cs="Times New Roman"/>
          <w:i/>
          <w:iCs/>
        </w:rPr>
        <w:t>consent</w:t>
      </w:r>
      <w:r>
        <w:rPr>
          <w:rFonts w:cs="Times New Roman"/>
        </w:rPr>
        <w:t xml:space="preserve"> comprise my dependent variable – international (state) legitimacy variable (</w:t>
      </w:r>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oMath>
      <w:r>
        <w:rPr>
          <w:rFonts w:cs="Times New Roman"/>
        </w:rPr>
        <w:t xml:space="preserve">). </w:t>
      </w:r>
      <w:r w:rsidRPr="00411513">
        <w:rPr>
          <w:rFonts w:cs="Times New Roman"/>
        </w:rPr>
        <w:t xml:space="preserve">I weight each element associated with my operationalization of legitimacy equally, in accordance with Beetham’s implicit constitution of legality as involving three elements of equal importance. </w:t>
      </w:r>
      <w:r>
        <w:rPr>
          <w:rFonts w:cs="Times New Roman"/>
        </w:rPr>
        <w:t>Expressed as an equation, my calculation of international (state) legitimacy constitutes</w:t>
      </w:r>
    </w:p>
    <w:p w14:paraId="0FEF03EE" w14:textId="77777777" w:rsidR="002915BC" w:rsidRDefault="00000000" w:rsidP="002915BC">
      <w:pPr>
        <w:ind w:firstLine="720"/>
        <w:rPr>
          <w:rFonts w:cs="Times New Roman"/>
        </w:rPr>
      </w:pPr>
      <m:oMathPara>
        <m:oMath>
          <m:sSub>
            <m:sSubPr>
              <m:ctrlPr>
                <w:rPr>
                  <w:rFonts w:ascii="Cambria Math" w:hAnsi="Cambria Math" w:cs="STIX Two Math"/>
                  <w:i/>
                </w:rPr>
              </m:ctrlPr>
            </m:sSubPr>
            <m:e>
              <m:r>
                <w:rPr>
                  <w:rFonts w:ascii="Cambria Math" w:hAnsi="Cambria Math" w:cs="STIX Two Math"/>
                </w:rPr>
                <m:t>D</m:t>
              </m:r>
            </m:e>
            <m:sub>
              <m:r>
                <w:rPr>
                  <w:rFonts w:ascii="Cambria Math" w:hAnsi="Cambria Math" w:cs="STIX Two Math"/>
                </w:rPr>
                <m:t>0</m:t>
              </m:r>
            </m:sub>
          </m:sSub>
          <m:r>
            <w:rPr>
              <w:rFonts w:ascii="STIX Two Math" w:hAnsi="STIX Two Math" w:cs="STIX Two Math"/>
            </w:rPr>
            <m:t>=(</m:t>
          </m:r>
          <m:r>
            <w:rPr>
              <w:rFonts w:ascii="Cambria Math" w:hAnsi="Cambria Math" w:cs="STIX Two Math"/>
            </w:rPr>
            <m:t>l×</m:t>
          </m:r>
          <m:r>
            <m:rPr>
              <m:sty m:val="p"/>
            </m:rPr>
            <w:rPr>
              <w:rFonts w:ascii="Cambria Math" w:hAnsi="Cambria Math" w:cs="STIX Two Math"/>
            </w:rPr>
            <m:t>100</m:t>
          </m:r>
          <m:r>
            <w:rPr>
              <w:rFonts w:ascii="STIX Two Math" w:hAnsi="STIX Two Math" w:cs="STIX Two Math"/>
            </w:rPr>
            <m:t>)+(</m:t>
          </m:r>
          <m:r>
            <w:rPr>
              <w:rFonts w:ascii="Cambria Math" w:hAnsi="Cambria Math" w:cs="STIX Two Math"/>
            </w:rPr>
            <m:t>P1×</m:t>
          </m:r>
          <m:r>
            <m:rPr>
              <m:sty m:val="p"/>
            </m:rPr>
            <w:rPr>
              <w:rFonts w:ascii="Cambria Math" w:hAnsi="Cambria Math" w:cs="STIX Two Math"/>
            </w:rPr>
            <m:t>10</m:t>
          </m:r>
          <m:r>
            <w:rPr>
              <w:rFonts w:ascii="STIX Two Math" w:hAnsi="STIX Two Math" w:cs="STIX Two Math"/>
            </w:rPr>
            <m:t>)+</m:t>
          </m:r>
          <m:acc>
            <m:accPr>
              <m:chr m:val="̅"/>
              <m:ctrlPr>
                <w:rPr>
                  <w:rFonts w:ascii="Cambria Math" w:hAnsi="Cambria Math" w:cs="STIX Two Math"/>
                  <w:i/>
                </w:rPr>
              </m:ctrlPr>
            </m:accPr>
            <m:e>
              <m:r>
                <w:rPr>
                  <w:rFonts w:ascii="Cambria Math" w:hAnsi="Cambria Math" w:cs="STIX Two Math"/>
                </w:rPr>
                <m:t>m</m:t>
              </m:r>
            </m:e>
          </m:acc>
        </m:oMath>
      </m:oMathPara>
    </w:p>
    <w:p w14:paraId="5DB33565" w14:textId="5AA2B391" w:rsidR="002915BC" w:rsidRPr="00037772" w:rsidRDefault="002915BC" w:rsidP="002915BC">
      <w:pPr>
        <w:rPr>
          <w:rFonts w:cs="Times New Roman"/>
        </w:rPr>
      </w:pPr>
      <w:r>
        <w:rPr>
          <w:rFonts w:cs="Times New Roman"/>
        </w:rPr>
        <w:t>Put another way, I convert the scale variables that I derive from the RLI, FSI, and United Nations General Assembly voting data to equivalent values on a 100.0 scale. Then, I take the average of these values, giving me a fraction with a denominator of 100 (percentage) for each year of data in my sample (2012 to 2018). (So, seven values. One for each year of data.)</w:t>
      </w:r>
    </w:p>
    <w:p w14:paraId="3F144087" w14:textId="77777777" w:rsidR="002915BC" w:rsidRPr="00411513" w:rsidRDefault="002915BC" w:rsidP="00787123">
      <w:pPr>
        <w:pStyle w:val="DissertationSection1"/>
      </w:pPr>
      <w:bookmarkStart w:id="47" w:name="_Toc175413152"/>
      <w:r w:rsidRPr="00411513">
        <w:t>Data Analysis</w:t>
      </w:r>
      <w:bookmarkEnd w:id="47"/>
    </w:p>
    <w:p w14:paraId="199ED049" w14:textId="6E2A8C2C" w:rsidR="000B121A" w:rsidRDefault="002915BC" w:rsidP="00A203A6">
      <w:pPr>
        <w:ind w:firstLine="720"/>
        <w:rPr>
          <w:rFonts w:cs="Times New Roman"/>
        </w:rPr>
      </w:pPr>
      <w:r w:rsidRPr="00411513">
        <w:rPr>
          <w:rFonts w:cs="Times New Roman"/>
        </w:rPr>
        <w:t>The first component of my assessment of whether there is a</w:t>
      </w:r>
      <w:r>
        <w:rPr>
          <w:rFonts w:cs="Times New Roman"/>
        </w:rPr>
        <w:t xml:space="preserve"> negative</w:t>
      </w:r>
      <w:r w:rsidRPr="00411513">
        <w:rPr>
          <w:rFonts w:cs="Times New Roman"/>
        </w:rPr>
        <w:t xml:space="preserve"> correlation between the media’s coverage of terrorism and international (state) legitimacy involves a directional (</w:t>
      </w:r>
      <w:r>
        <w:rPr>
          <w:rFonts w:cs="Times New Roman"/>
        </w:rPr>
        <w:t>one</w:t>
      </w:r>
      <w:r w:rsidRPr="00411513">
        <w:rPr>
          <w:rFonts w:cs="Times New Roman"/>
        </w:rPr>
        <w:t>-tailed) test to calculate the Spearman correlation coefficient associated with four different sets of variables. The results of these Spearman correlations, as well as my calculation of the coefficient of determination</w:t>
      </w:r>
      <w:r w:rsidRPr="00411513">
        <w:rPr>
          <w:rFonts w:ascii="STIX Two Math" w:hAnsi="STIX Two Math" w:cs="STIX Two Math"/>
        </w:rPr>
        <w:t xml:space="preserve"> </w:t>
      </w:r>
      <w:r w:rsidRPr="00411513">
        <w:rPr>
          <w:rFonts w:cs="Times New Roman"/>
        </w:rPr>
        <w:t>(</w:t>
      </w: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oMath>
      <w:r w:rsidRPr="00411513">
        <w:rPr>
          <w:rFonts w:cs="Times New Roman"/>
        </w:rPr>
        <w:t xml:space="preserve">) for each, are depicted in Table 6-1, </w:t>
      </w:r>
      <w:r w:rsidR="00E01059">
        <w:rPr>
          <w:rFonts w:cs="Times New Roman"/>
        </w:rPr>
        <w:t>on the next page</w:t>
      </w:r>
      <w:r w:rsidRPr="00411513">
        <w:rPr>
          <w:rFonts w:cs="Times New Roman"/>
        </w:rPr>
        <w:t>.</w:t>
      </w:r>
    </w:p>
    <w:p w14:paraId="11F6778D" w14:textId="77777777" w:rsidR="000B121A" w:rsidRDefault="000B121A">
      <w:pPr>
        <w:spacing w:before="0" w:after="0"/>
        <w:rPr>
          <w:rFonts w:cs="Times New Roman"/>
        </w:rPr>
      </w:pPr>
      <w:r>
        <w:rPr>
          <w:rFonts w:cs="Times New Roman"/>
        </w:rPr>
        <w:br w:type="page"/>
      </w:r>
    </w:p>
    <w:p w14:paraId="7B39A0CA" w14:textId="77777777" w:rsidR="002915BC" w:rsidRPr="00411513" w:rsidRDefault="002915BC" w:rsidP="00A203A6">
      <w:pPr>
        <w:ind w:firstLine="720"/>
        <w:rPr>
          <w:rFonts w:cs="Times New Roman"/>
        </w:rPr>
      </w:pPr>
    </w:p>
    <w:tbl>
      <w:tblPr>
        <w:tblStyle w:val="TableGrid"/>
        <w:tblW w:w="9041" w:type="dxa"/>
        <w:tblInd w:w="-289" w:type="dxa"/>
        <w:tblLayout w:type="fixed"/>
        <w:tblLook w:val="04A0" w:firstRow="1" w:lastRow="0" w:firstColumn="1" w:lastColumn="0" w:noHBand="0" w:noVBand="1"/>
      </w:tblPr>
      <w:tblGrid>
        <w:gridCol w:w="2930"/>
        <w:gridCol w:w="2028"/>
        <w:gridCol w:w="288"/>
        <w:gridCol w:w="435"/>
        <w:gridCol w:w="968"/>
        <w:gridCol w:w="1501"/>
        <w:gridCol w:w="891"/>
      </w:tblGrid>
      <w:tr w:rsidR="002915BC" w:rsidRPr="00546E3C" w14:paraId="100BD8E5" w14:textId="77777777" w:rsidTr="004F0918">
        <w:trPr>
          <w:trHeight w:val="363"/>
        </w:trPr>
        <w:tc>
          <w:tcPr>
            <w:tcW w:w="2930" w:type="dxa"/>
            <w:vAlign w:val="center"/>
          </w:tcPr>
          <w:p w14:paraId="7CA9375D" w14:textId="77777777" w:rsidR="002915BC" w:rsidRPr="00546E3C" w:rsidRDefault="002915BC" w:rsidP="000D39B7">
            <w:pPr>
              <w:pStyle w:val="NoSpacing"/>
              <w:spacing w:after="120"/>
              <w:jc w:val="center"/>
              <w:rPr>
                <w:rFonts w:ascii="Times New Roman" w:hAnsi="Times New Roman" w:cs="Times New Roman"/>
                <w:b/>
                <w:bCs/>
                <w:sz w:val="20"/>
                <w:szCs w:val="20"/>
              </w:rPr>
            </w:pPr>
            <w:r w:rsidRPr="00546E3C">
              <w:rPr>
                <w:rFonts w:ascii="Times New Roman" w:hAnsi="Times New Roman" w:cs="Times New Roman"/>
                <w:b/>
                <w:bCs/>
                <w:sz w:val="20"/>
                <w:szCs w:val="20"/>
              </w:rPr>
              <w:t>Independent Variable</w:t>
            </w:r>
          </w:p>
        </w:tc>
        <w:tc>
          <w:tcPr>
            <w:tcW w:w="2028" w:type="dxa"/>
          </w:tcPr>
          <w:p w14:paraId="02BDE97E" w14:textId="77777777" w:rsidR="002915BC" w:rsidRPr="00546E3C" w:rsidRDefault="002915BC" w:rsidP="000D39B7">
            <w:pPr>
              <w:pStyle w:val="NoSpacing"/>
              <w:spacing w:after="120"/>
              <w:jc w:val="center"/>
              <w:rPr>
                <w:rFonts w:ascii="Times New Roman" w:hAnsi="Times New Roman" w:cs="Times New Roman"/>
                <w:b/>
                <w:bCs/>
                <w:sz w:val="20"/>
                <w:szCs w:val="20"/>
              </w:rPr>
            </w:pPr>
            <w:r w:rsidRPr="00546E3C">
              <w:rPr>
                <w:rFonts w:ascii="Times New Roman" w:hAnsi="Times New Roman" w:cs="Times New Roman"/>
                <w:b/>
                <w:bCs/>
                <w:sz w:val="20"/>
                <w:szCs w:val="20"/>
              </w:rPr>
              <w:t>Dependent Variable</w:t>
            </w:r>
          </w:p>
        </w:tc>
        <w:tc>
          <w:tcPr>
            <w:tcW w:w="288" w:type="dxa"/>
            <w:vAlign w:val="center"/>
          </w:tcPr>
          <w:p w14:paraId="4AB3403E" w14:textId="78B96F50" w:rsidR="002915BC" w:rsidRPr="00546E3C" w:rsidRDefault="00071625" w:rsidP="000D39B7">
            <w:pPr>
              <w:pStyle w:val="NoSpacing"/>
              <w:spacing w:after="120"/>
              <w:jc w:val="center"/>
              <w:rPr>
                <w:rFonts w:ascii="STIX Two Math" w:hAnsi="STIX Two Math" w:cs="STIX Two Math"/>
                <w:sz w:val="20"/>
                <w:szCs w:val="20"/>
              </w:rPr>
            </w:pPr>
            <m:oMathPara>
              <m:oMath>
                <m:r>
                  <w:rPr>
                    <w:rFonts w:ascii="STIX Two Math" w:hAnsi="STIX Two Math" w:cs="STIX Two Math"/>
                    <w:sz w:val="20"/>
                    <w:szCs w:val="20"/>
                  </w:rPr>
                  <m:t>n</m:t>
                </m:r>
              </m:oMath>
            </m:oMathPara>
          </w:p>
        </w:tc>
        <w:tc>
          <w:tcPr>
            <w:tcW w:w="435" w:type="dxa"/>
            <w:vAlign w:val="center"/>
          </w:tcPr>
          <w:p w14:paraId="59B47094" w14:textId="77777777" w:rsidR="002915BC" w:rsidRPr="00546E3C" w:rsidRDefault="002915BC" w:rsidP="000D39B7">
            <w:pPr>
              <w:pStyle w:val="NoSpacing"/>
              <w:spacing w:after="120"/>
              <w:jc w:val="center"/>
              <w:rPr>
                <w:rFonts w:ascii="STIX Two Math" w:hAnsi="STIX Two Math" w:cs="STIX Two Math"/>
                <w:sz w:val="20"/>
                <w:szCs w:val="20"/>
              </w:rPr>
            </w:pPr>
            <w:proofErr w:type="spellStart"/>
            <w:r w:rsidRPr="00546E3C">
              <w:rPr>
                <w:rFonts w:ascii="STIX Two Math" w:hAnsi="STIX Two Math" w:cs="STIX Two Math"/>
                <w:sz w:val="20"/>
                <w:szCs w:val="20"/>
              </w:rPr>
              <w:t>df</w:t>
            </w:r>
            <w:proofErr w:type="spellEnd"/>
          </w:p>
        </w:tc>
        <w:tc>
          <w:tcPr>
            <w:tcW w:w="968" w:type="dxa"/>
            <w:vAlign w:val="center"/>
          </w:tcPr>
          <w:p w14:paraId="7A4FB760" w14:textId="77777777" w:rsidR="002915BC" w:rsidRPr="00546E3C" w:rsidRDefault="002915BC" w:rsidP="000D39B7">
            <w:pPr>
              <w:pStyle w:val="NoSpacing"/>
              <w:spacing w:after="120"/>
              <w:jc w:val="center"/>
              <w:rPr>
                <w:rFonts w:ascii="STIX Two Math" w:hAnsi="STIX Two Math" w:cs="STIX Two Math"/>
                <w:sz w:val="20"/>
                <w:szCs w:val="20"/>
              </w:rPr>
            </w:pPr>
            <m:oMathPara>
              <m:oMath>
                <m:r>
                  <w:rPr>
                    <w:rFonts w:ascii="Cambria Math" w:hAnsi="Cambria Math" w:cs="STIX Two Math"/>
                    <w:sz w:val="20"/>
                    <w:szCs w:val="20"/>
                  </w:rPr>
                  <m:t>ρ</m:t>
                </m:r>
              </m:oMath>
            </m:oMathPara>
          </w:p>
        </w:tc>
        <w:tc>
          <w:tcPr>
            <w:tcW w:w="1501" w:type="dxa"/>
            <w:vAlign w:val="center"/>
          </w:tcPr>
          <w:p w14:paraId="5F3AE75E" w14:textId="77777777" w:rsidR="002915BC" w:rsidRPr="00546E3C" w:rsidRDefault="002915BC" w:rsidP="000D39B7">
            <w:pPr>
              <w:pStyle w:val="NoSpacing"/>
              <w:spacing w:after="120"/>
              <w:jc w:val="center"/>
              <w:rPr>
                <w:rFonts w:ascii="Times New Roman" w:hAnsi="Times New Roman" w:cs="Times New Roman"/>
                <w:b/>
                <w:bCs/>
                <w:sz w:val="20"/>
                <w:szCs w:val="20"/>
              </w:rPr>
            </w:pPr>
            <w:r w:rsidRPr="00546E3C">
              <w:rPr>
                <w:rFonts w:ascii="Times New Roman" w:hAnsi="Times New Roman" w:cs="Times New Roman"/>
                <w:b/>
                <w:bCs/>
                <w:sz w:val="20"/>
                <w:szCs w:val="20"/>
              </w:rPr>
              <w:t>Significance</w:t>
            </w:r>
          </w:p>
        </w:tc>
        <w:tc>
          <w:tcPr>
            <w:tcW w:w="891" w:type="dxa"/>
            <w:vAlign w:val="center"/>
          </w:tcPr>
          <w:p w14:paraId="71CAE6F9" w14:textId="77777777" w:rsidR="002915BC" w:rsidRPr="00546E3C" w:rsidRDefault="00000000" w:rsidP="000D39B7">
            <w:pPr>
              <w:pStyle w:val="NoSpacing"/>
              <w:spacing w:after="120"/>
              <w:jc w:val="center"/>
              <w:rPr>
                <w:rFonts w:ascii="STIX Two Math" w:hAnsi="STIX Two Math" w:cs="STIX Two Math"/>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r>
      <w:tr w:rsidR="002915BC" w:rsidRPr="00546E3C" w14:paraId="5F6B5CFB" w14:textId="77777777" w:rsidTr="004F0918">
        <w:trPr>
          <w:trHeight w:val="363"/>
        </w:trPr>
        <w:tc>
          <w:tcPr>
            <w:tcW w:w="2930" w:type="dxa"/>
          </w:tcPr>
          <w:p w14:paraId="318C752D" w14:textId="77777777" w:rsidR="002915BC" w:rsidRPr="00546E3C" w:rsidRDefault="00000000" w:rsidP="000D39B7">
            <w:pPr>
              <w:pStyle w:val="NoSpacing"/>
              <w:spacing w:after="120"/>
              <w:rPr>
                <w:rFonts w:ascii="STIX Two Math" w:hAnsi="STIX Two Math" w:cs="STIX Two Math"/>
                <w:sz w:val="20"/>
                <w:szCs w:val="20"/>
              </w:rPr>
            </w:pPr>
            <m:oMath>
              <m:sSub>
                <m:sSubPr>
                  <m:ctrlPr>
                    <w:rPr>
                      <w:rFonts w:ascii="Cambria Math" w:hAnsi="Cambria Math" w:cs="STIX Two Math"/>
                      <w:i/>
                      <w:sz w:val="20"/>
                      <w:szCs w:val="20"/>
                    </w:rPr>
                  </m:ctrlPr>
                </m:sSubPr>
                <m:e>
                  <m:r>
                    <w:rPr>
                      <w:rFonts w:ascii="Cambria Math" w:hAnsi="Cambria Math" w:cs="STIX Two Math"/>
                      <w:sz w:val="20"/>
                      <w:szCs w:val="20"/>
                    </w:rPr>
                    <m:t>I</m:t>
                  </m:r>
                </m:e>
                <m:sub>
                  <m:r>
                    <w:rPr>
                      <w:rFonts w:ascii="Cambria Math" w:hAnsi="Cambria Math" w:cs="STIX Two Math"/>
                      <w:sz w:val="20"/>
                      <w:szCs w:val="20"/>
                    </w:rPr>
                    <m:t>0</m:t>
                  </m:r>
                </m:sub>
              </m:sSub>
            </m:oMath>
            <w:r w:rsidR="002915BC" w:rsidRPr="00546E3C">
              <w:rPr>
                <w:rFonts w:ascii="STIX Two Math" w:eastAsiaTheme="minorEastAsia" w:hAnsi="STIX Two Math" w:cs="STIX Two Math"/>
                <w:sz w:val="20"/>
                <w:szCs w:val="20"/>
              </w:rPr>
              <w:t xml:space="preserve">  </w:t>
            </w:r>
            <w:r w:rsidR="002915BC" w:rsidRPr="00546E3C">
              <w:rPr>
                <w:rFonts w:ascii="Times New Roman" w:eastAsiaTheme="minorEastAsia" w:hAnsi="Times New Roman" w:cs="Times New Roman"/>
                <w:sz w:val="20"/>
                <w:szCs w:val="20"/>
              </w:rPr>
              <w:t>Media Coverage of Terrorism</w:t>
            </w:r>
          </w:p>
        </w:tc>
        <w:tc>
          <w:tcPr>
            <w:tcW w:w="2028" w:type="dxa"/>
            <w:vMerge w:val="restart"/>
            <w:vAlign w:val="center"/>
          </w:tcPr>
          <w:p w14:paraId="74780AB9" w14:textId="77777777" w:rsidR="002915BC" w:rsidRPr="00546E3C" w:rsidRDefault="00000000" w:rsidP="000D39B7">
            <w:pPr>
              <w:pStyle w:val="NoSpacing"/>
              <w:spacing w:after="120"/>
              <w:jc w:val="center"/>
              <w:rPr>
                <w:rFonts w:ascii="Times New Roman" w:eastAsiaTheme="minorEastAsia" w:hAnsi="Times New Roman" w:cs="Times New Roman"/>
                <w:sz w:val="20"/>
                <w:szCs w:val="20"/>
              </w:rPr>
            </w:pPr>
            <m:oMathPara>
              <m:oMath>
                <m:sSub>
                  <m:sSubPr>
                    <m:ctrlPr>
                      <w:rPr>
                        <w:rFonts w:ascii="Cambria Math" w:hAnsi="Cambria Math" w:cs="STIX Two Math"/>
                        <w:i/>
                        <w:sz w:val="20"/>
                        <w:szCs w:val="20"/>
                      </w:rPr>
                    </m:ctrlPr>
                  </m:sSubPr>
                  <m:e>
                    <m:r>
                      <w:rPr>
                        <w:rFonts w:ascii="Cambria Math" w:hAnsi="Cambria Math" w:cs="STIX Two Math"/>
                        <w:sz w:val="20"/>
                        <w:szCs w:val="20"/>
                      </w:rPr>
                      <m:t>D</m:t>
                    </m:r>
                  </m:e>
                  <m:sub>
                    <m:r>
                      <w:rPr>
                        <w:rFonts w:ascii="Cambria Math" w:hAnsi="Cambria Math" w:cs="STIX Two Math"/>
                        <w:sz w:val="20"/>
                        <w:szCs w:val="20"/>
                      </w:rPr>
                      <m:t>0</m:t>
                    </m:r>
                  </m:sub>
                </m:sSub>
              </m:oMath>
            </m:oMathPara>
          </w:p>
          <w:p w14:paraId="3C405112" w14:textId="77777777" w:rsidR="002915BC" w:rsidRPr="00546E3C" w:rsidRDefault="002915BC" w:rsidP="000D39B7">
            <w:pPr>
              <w:pStyle w:val="NoSpacing"/>
              <w:spacing w:after="120"/>
              <w:jc w:val="center"/>
              <w:rPr>
                <w:rFonts w:ascii="Times New Roman" w:hAnsi="Times New Roman" w:cs="Times New Roman"/>
                <w:sz w:val="20"/>
                <w:szCs w:val="20"/>
              </w:rPr>
            </w:pPr>
            <w:r w:rsidRPr="00546E3C">
              <w:rPr>
                <w:rFonts w:ascii="Times New Roman" w:eastAsiaTheme="minorEastAsia" w:hAnsi="Times New Roman" w:cs="Times New Roman"/>
                <w:sz w:val="20"/>
                <w:szCs w:val="20"/>
              </w:rPr>
              <w:t>International (State) Legitimacy</w:t>
            </w:r>
          </w:p>
        </w:tc>
        <w:tc>
          <w:tcPr>
            <w:tcW w:w="288" w:type="dxa"/>
            <w:vAlign w:val="center"/>
          </w:tcPr>
          <w:p w14:paraId="0A72EEBE"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7</w:t>
            </w:r>
          </w:p>
        </w:tc>
        <w:tc>
          <w:tcPr>
            <w:tcW w:w="435" w:type="dxa"/>
            <w:vAlign w:val="center"/>
          </w:tcPr>
          <w:p w14:paraId="763DA245"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5</w:t>
            </w:r>
          </w:p>
        </w:tc>
        <w:tc>
          <w:tcPr>
            <w:tcW w:w="968" w:type="dxa"/>
            <w:vAlign w:val="center"/>
          </w:tcPr>
          <w:p w14:paraId="35873A90"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-0.75</w:t>
            </w:r>
          </w:p>
        </w:tc>
        <w:tc>
          <w:tcPr>
            <w:tcW w:w="1501" w:type="dxa"/>
            <w:vMerge w:val="restart"/>
            <w:vAlign w:val="center"/>
          </w:tcPr>
          <w:p w14:paraId="1FDE65C7"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Times New Roman" w:eastAsiaTheme="minorEastAsia" w:hAnsi="Times New Roman" w:cs="Times New Roman"/>
                <w:sz w:val="20"/>
                <w:szCs w:val="20"/>
              </w:rPr>
              <w:t>At</w:t>
            </w:r>
            <w:r w:rsidRPr="00546E3C">
              <w:rPr>
                <w:rFonts w:ascii="STIX Two Math" w:eastAsiaTheme="minorEastAsia" w:hAnsi="STIX Two Math" w:cs="STIX Two Math"/>
                <w:sz w:val="20"/>
                <w:szCs w:val="20"/>
              </w:rPr>
              <w:t xml:space="preserve"> </w:t>
            </w:r>
            <m:oMath>
              <m:r>
                <w:rPr>
                  <w:rFonts w:ascii="Cambria Math" w:hAnsi="Cambria Math" w:cs="STIX Two Math"/>
                  <w:sz w:val="20"/>
                  <w:szCs w:val="20"/>
                </w:rPr>
                <m:t>α</m:t>
              </m:r>
              <m:r>
                <w:rPr>
                  <w:rFonts w:ascii="STIX Two Math" w:hAnsi="STIX Two Math" w:cs="STIX Two Math"/>
                  <w:sz w:val="20"/>
                  <w:szCs w:val="20"/>
                </w:rPr>
                <m:t>=</m:t>
              </m:r>
              <m:r>
                <m:rPr>
                  <m:nor/>
                </m:rPr>
                <w:rPr>
                  <w:rFonts w:ascii="Cambria Math" w:hAnsi="Cambria Math" w:cs="STIX Two Math"/>
                  <w:sz w:val="20"/>
                  <w:szCs w:val="20"/>
                </w:rPr>
                <m:t>0.05</m:t>
              </m:r>
            </m:oMath>
            <w:r w:rsidRPr="00546E3C">
              <w:rPr>
                <w:rFonts w:ascii="STIX Two Math" w:eastAsiaTheme="minorEastAsia" w:hAnsi="STIX Two Math" w:cs="STIX Two Math"/>
                <w:sz w:val="20"/>
                <w:szCs w:val="20"/>
              </w:rPr>
              <w:t>, |</w:t>
            </w:r>
            <m:oMath>
              <m:sSub>
                <m:sSubPr>
                  <m:ctrlPr>
                    <w:rPr>
                      <w:rFonts w:ascii="STIX Two Math" w:eastAsiaTheme="minorEastAsia" w:hAnsi="STIX Two Math" w:cs="STIX Two Math"/>
                      <w:i/>
                      <w:sz w:val="20"/>
                      <w:szCs w:val="20"/>
                    </w:rPr>
                  </m:ctrlPr>
                </m:sSubPr>
                <m:e>
                  <m:r>
                    <w:rPr>
                      <w:rFonts w:ascii="Cambria Math" w:eastAsiaTheme="minorEastAsia" w:hAnsi="Cambria Math" w:cs="STIX Two Math"/>
                      <w:sz w:val="20"/>
                      <w:szCs w:val="20"/>
                    </w:rPr>
                    <m:t>ρ</m:t>
                  </m:r>
                </m:e>
                <m:sub>
                  <m:r>
                    <m:rPr>
                      <m:nor/>
                    </m:rPr>
                    <w:rPr>
                      <w:rFonts w:ascii="STIX Two Math" w:eastAsiaTheme="minorEastAsia" w:hAnsi="STIX Two Math" w:cs="STIX Two Math"/>
                      <w:sz w:val="20"/>
                      <w:szCs w:val="20"/>
                    </w:rPr>
                    <m:t>critical</m:t>
                  </m:r>
                </m:sub>
              </m:sSub>
              <m:r>
                <w:rPr>
                  <w:rFonts w:ascii="STIX Two Math" w:eastAsiaTheme="minorEastAsia" w:hAnsi="STIX Two Math" w:cs="STIX Two Math"/>
                  <w:sz w:val="20"/>
                  <w:szCs w:val="20"/>
                </w:rPr>
                <m:t>|=.</m:t>
              </m:r>
              <m:r>
                <m:rPr>
                  <m:nor/>
                </m:rPr>
                <w:rPr>
                  <w:rFonts w:ascii="Cambria Math" w:eastAsiaTheme="minorEastAsia" w:hAnsi="Cambria Math" w:cs="STIX Two Math"/>
                  <w:sz w:val="20"/>
                  <w:szCs w:val="20"/>
                </w:rPr>
                <m:t>714</m:t>
              </m:r>
            </m:oMath>
          </w:p>
        </w:tc>
        <w:tc>
          <w:tcPr>
            <w:tcW w:w="891" w:type="dxa"/>
          </w:tcPr>
          <w:p w14:paraId="31F3575D" w14:textId="77777777" w:rsidR="002915BC" w:rsidRPr="00546E3C" w:rsidRDefault="002915BC" w:rsidP="000D39B7">
            <w:pPr>
              <w:pStyle w:val="NoSpacing"/>
              <w:spacing w:after="120"/>
              <w:rPr>
                <w:rFonts w:ascii="STIX Two Math" w:hAnsi="STIX Two Math" w:cs="STIX Two Math"/>
                <w:sz w:val="20"/>
                <w:szCs w:val="20"/>
              </w:rPr>
            </w:pPr>
            <w:r w:rsidRPr="00546E3C">
              <w:rPr>
                <w:rFonts w:ascii="STIX Two Math" w:hAnsi="STIX Two Math" w:cs="STIX Two Math"/>
                <w:sz w:val="20"/>
                <w:szCs w:val="20"/>
              </w:rPr>
              <w:t>0.3174</w:t>
            </w:r>
          </w:p>
        </w:tc>
      </w:tr>
      <w:tr w:rsidR="002915BC" w:rsidRPr="00546E3C" w14:paraId="34187DD2" w14:textId="77777777" w:rsidTr="004F0918">
        <w:trPr>
          <w:trHeight w:val="363"/>
        </w:trPr>
        <w:tc>
          <w:tcPr>
            <w:tcW w:w="2930" w:type="dxa"/>
          </w:tcPr>
          <w:p w14:paraId="34DAECFD" w14:textId="77777777" w:rsidR="002915BC" w:rsidRPr="00546E3C" w:rsidRDefault="00000000" w:rsidP="000D39B7">
            <w:pPr>
              <w:pStyle w:val="NoSpacing"/>
              <w:spacing w:after="120"/>
              <w:rPr>
                <w:rFonts w:ascii="STIX Two Math" w:hAnsi="STIX Two Math" w:cs="STIX Two Math"/>
                <w:sz w:val="20"/>
                <w:szCs w:val="20"/>
              </w:rPr>
            </w:pPr>
            <m:oMath>
              <m:sSub>
                <m:sSubPr>
                  <m:ctrlPr>
                    <w:rPr>
                      <w:rFonts w:ascii="Cambria Math" w:hAnsi="Cambria Math" w:cs="STIX Two Math"/>
                      <w:i/>
                      <w:sz w:val="20"/>
                      <w:szCs w:val="20"/>
                    </w:rPr>
                  </m:ctrlPr>
                </m:sSubPr>
                <m:e>
                  <m:r>
                    <w:rPr>
                      <w:rFonts w:ascii="Cambria Math" w:hAnsi="Cambria Math" w:cs="STIX Two Math"/>
                      <w:sz w:val="20"/>
                      <w:szCs w:val="20"/>
                    </w:rPr>
                    <m:t>I</m:t>
                  </m:r>
                </m:e>
                <m:sub>
                  <m:r>
                    <w:rPr>
                      <w:rFonts w:ascii="Cambria Math" w:hAnsi="Cambria Math" w:cs="STIX Two Math"/>
                      <w:sz w:val="20"/>
                      <w:szCs w:val="20"/>
                    </w:rPr>
                    <m:t>1</m:t>
                  </m:r>
                </m:sub>
              </m:sSub>
            </m:oMath>
            <w:r w:rsidR="002915BC" w:rsidRPr="00546E3C">
              <w:rPr>
                <w:rFonts w:ascii="STIX Two Math" w:eastAsiaTheme="minorEastAsia" w:hAnsi="STIX Two Math" w:cs="STIX Two Math"/>
                <w:sz w:val="20"/>
                <w:szCs w:val="20"/>
              </w:rPr>
              <w:t xml:space="preserve">  </w:t>
            </w:r>
            <w:r w:rsidR="002915BC" w:rsidRPr="00546E3C">
              <w:rPr>
                <w:rFonts w:ascii="Times New Roman" w:eastAsiaTheme="minorEastAsia" w:hAnsi="Times New Roman" w:cs="Times New Roman"/>
                <w:sz w:val="20"/>
                <w:szCs w:val="20"/>
              </w:rPr>
              <w:t>Reuter’s Coverage of Terrorism</w:t>
            </w:r>
          </w:p>
        </w:tc>
        <w:tc>
          <w:tcPr>
            <w:tcW w:w="2028" w:type="dxa"/>
            <w:vMerge/>
          </w:tcPr>
          <w:p w14:paraId="4DC27DA7" w14:textId="77777777" w:rsidR="002915BC" w:rsidRPr="00546E3C" w:rsidRDefault="002915BC" w:rsidP="000D39B7">
            <w:pPr>
              <w:pStyle w:val="NoSpacing"/>
              <w:spacing w:after="120"/>
              <w:rPr>
                <w:rFonts w:ascii="STIX Two Math" w:hAnsi="STIX Two Math" w:cs="STIX Two Math"/>
                <w:sz w:val="20"/>
                <w:szCs w:val="20"/>
              </w:rPr>
            </w:pPr>
          </w:p>
        </w:tc>
        <w:tc>
          <w:tcPr>
            <w:tcW w:w="288" w:type="dxa"/>
            <w:vAlign w:val="center"/>
          </w:tcPr>
          <w:p w14:paraId="395B3E0B"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7</w:t>
            </w:r>
          </w:p>
        </w:tc>
        <w:tc>
          <w:tcPr>
            <w:tcW w:w="435" w:type="dxa"/>
            <w:vAlign w:val="center"/>
          </w:tcPr>
          <w:p w14:paraId="7C6805AF"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5</w:t>
            </w:r>
          </w:p>
        </w:tc>
        <w:tc>
          <w:tcPr>
            <w:tcW w:w="968" w:type="dxa"/>
            <w:vAlign w:val="center"/>
          </w:tcPr>
          <w:p w14:paraId="3DAEF4AC"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-0.2857</w:t>
            </w:r>
          </w:p>
        </w:tc>
        <w:tc>
          <w:tcPr>
            <w:tcW w:w="1501" w:type="dxa"/>
            <w:vMerge/>
          </w:tcPr>
          <w:p w14:paraId="7BED4C1D" w14:textId="77777777" w:rsidR="002915BC" w:rsidRPr="00546E3C" w:rsidRDefault="002915BC" w:rsidP="000D39B7">
            <w:pPr>
              <w:pStyle w:val="NoSpacing"/>
              <w:spacing w:after="120"/>
              <w:rPr>
                <w:rFonts w:ascii="STIX Two Math" w:hAnsi="STIX Two Math" w:cs="STIX Two Math"/>
                <w:sz w:val="20"/>
                <w:szCs w:val="20"/>
              </w:rPr>
            </w:pPr>
          </w:p>
        </w:tc>
        <w:tc>
          <w:tcPr>
            <w:tcW w:w="891" w:type="dxa"/>
          </w:tcPr>
          <w:p w14:paraId="598DE860" w14:textId="77777777" w:rsidR="002915BC" w:rsidRPr="00546E3C" w:rsidRDefault="002915BC" w:rsidP="000D39B7">
            <w:pPr>
              <w:pStyle w:val="NoSpacing"/>
              <w:spacing w:after="120"/>
              <w:rPr>
                <w:rFonts w:ascii="STIX Two Math" w:hAnsi="STIX Two Math" w:cs="STIX Two Math"/>
                <w:sz w:val="20"/>
                <w:szCs w:val="20"/>
              </w:rPr>
            </w:pPr>
            <w:r w:rsidRPr="00546E3C">
              <w:rPr>
                <w:rFonts w:ascii="STIX Two Math" w:hAnsi="STIX Two Math" w:cs="STIX Two Math"/>
                <w:sz w:val="20"/>
                <w:szCs w:val="20"/>
              </w:rPr>
              <w:t>0.1735</w:t>
            </w:r>
          </w:p>
        </w:tc>
      </w:tr>
      <w:tr w:rsidR="002915BC" w:rsidRPr="00546E3C" w14:paraId="6CAD0E1D" w14:textId="77777777" w:rsidTr="004F0918">
        <w:trPr>
          <w:trHeight w:val="363"/>
        </w:trPr>
        <w:tc>
          <w:tcPr>
            <w:tcW w:w="2930" w:type="dxa"/>
          </w:tcPr>
          <w:p w14:paraId="2A9FBE0D" w14:textId="77777777" w:rsidR="002915BC" w:rsidRPr="00546E3C" w:rsidRDefault="00000000" w:rsidP="000D39B7">
            <w:pPr>
              <w:pStyle w:val="NoSpacing"/>
              <w:spacing w:after="120"/>
              <w:rPr>
                <w:rFonts w:ascii="STIX Two Math" w:hAnsi="STIX Two Math" w:cs="STIX Two Math"/>
                <w:sz w:val="20"/>
                <w:szCs w:val="20"/>
              </w:rPr>
            </w:pPr>
            <m:oMath>
              <m:sSub>
                <m:sSubPr>
                  <m:ctrlPr>
                    <w:rPr>
                      <w:rFonts w:ascii="Cambria Math" w:hAnsi="Cambria Math" w:cs="STIX Two Math"/>
                      <w:i/>
                      <w:sz w:val="20"/>
                      <w:szCs w:val="20"/>
                    </w:rPr>
                  </m:ctrlPr>
                </m:sSubPr>
                <m:e>
                  <m:r>
                    <w:rPr>
                      <w:rFonts w:ascii="Cambria Math" w:hAnsi="Cambria Math" w:cs="STIX Two Math"/>
                      <w:sz w:val="20"/>
                      <w:szCs w:val="20"/>
                    </w:rPr>
                    <m:t>I</m:t>
                  </m:r>
                </m:e>
                <m:sub>
                  <m:r>
                    <w:rPr>
                      <w:rFonts w:ascii="Cambria Math" w:hAnsi="Cambria Math" w:cs="STIX Two Math"/>
                      <w:sz w:val="20"/>
                      <w:szCs w:val="20"/>
                    </w:rPr>
                    <m:t>2</m:t>
                  </m:r>
                </m:sub>
              </m:sSub>
            </m:oMath>
            <w:r w:rsidR="002915BC" w:rsidRPr="00546E3C">
              <w:rPr>
                <w:rFonts w:ascii="STIX Two Math" w:eastAsiaTheme="minorEastAsia" w:hAnsi="STIX Two Math" w:cs="STIX Two Math"/>
                <w:sz w:val="20"/>
                <w:szCs w:val="20"/>
              </w:rPr>
              <w:t xml:space="preserve">  </w:t>
            </w:r>
            <w:r w:rsidR="002915BC" w:rsidRPr="00546E3C">
              <w:rPr>
                <w:rFonts w:ascii="Times New Roman" w:eastAsiaTheme="minorEastAsia" w:hAnsi="Times New Roman" w:cs="Times New Roman"/>
                <w:sz w:val="20"/>
                <w:szCs w:val="20"/>
              </w:rPr>
              <w:t>AP’s Coverage of Terrorism</w:t>
            </w:r>
          </w:p>
        </w:tc>
        <w:tc>
          <w:tcPr>
            <w:tcW w:w="2028" w:type="dxa"/>
            <w:vMerge/>
          </w:tcPr>
          <w:p w14:paraId="4D4ACD9E" w14:textId="77777777" w:rsidR="002915BC" w:rsidRPr="00546E3C" w:rsidRDefault="002915BC" w:rsidP="000D39B7">
            <w:pPr>
              <w:pStyle w:val="NoSpacing"/>
              <w:spacing w:after="120"/>
              <w:rPr>
                <w:rFonts w:ascii="STIX Two Math" w:hAnsi="STIX Two Math" w:cs="STIX Two Math"/>
                <w:sz w:val="20"/>
                <w:szCs w:val="20"/>
              </w:rPr>
            </w:pPr>
          </w:p>
        </w:tc>
        <w:tc>
          <w:tcPr>
            <w:tcW w:w="288" w:type="dxa"/>
            <w:vAlign w:val="center"/>
          </w:tcPr>
          <w:p w14:paraId="49BEF885"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7</w:t>
            </w:r>
          </w:p>
        </w:tc>
        <w:tc>
          <w:tcPr>
            <w:tcW w:w="435" w:type="dxa"/>
            <w:vAlign w:val="center"/>
          </w:tcPr>
          <w:p w14:paraId="3E50E327"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5</w:t>
            </w:r>
          </w:p>
        </w:tc>
        <w:tc>
          <w:tcPr>
            <w:tcW w:w="968" w:type="dxa"/>
            <w:vAlign w:val="center"/>
          </w:tcPr>
          <w:p w14:paraId="40272B08"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-0.2142</w:t>
            </w:r>
          </w:p>
        </w:tc>
        <w:tc>
          <w:tcPr>
            <w:tcW w:w="1501" w:type="dxa"/>
            <w:vMerge/>
          </w:tcPr>
          <w:p w14:paraId="39AA9FE8" w14:textId="77777777" w:rsidR="002915BC" w:rsidRPr="00546E3C" w:rsidRDefault="002915BC" w:rsidP="000D39B7">
            <w:pPr>
              <w:pStyle w:val="NoSpacing"/>
              <w:spacing w:after="120"/>
              <w:rPr>
                <w:rFonts w:ascii="STIX Two Math" w:hAnsi="STIX Two Math" w:cs="STIX Two Math"/>
                <w:sz w:val="20"/>
                <w:szCs w:val="20"/>
              </w:rPr>
            </w:pPr>
          </w:p>
        </w:tc>
        <w:tc>
          <w:tcPr>
            <w:tcW w:w="891" w:type="dxa"/>
          </w:tcPr>
          <w:p w14:paraId="61C5647E" w14:textId="77777777" w:rsidR="002915BC" w:rsidRPr="00546E3C" w:rsidRDefault="002915BC" w:rsidP="000D39B7">
            <w:pPr>
              <w:pStyle w:val="NoSpacing"/>
              <w:spacing w:after="120"/>
              <w:rPr>
                <w:rFonts w:ascii="STIX Two Math" w:hAnsi="STIX Two Math" w:cs="STIX Two Math"/>
                <w:sz w:val="20"/>
                <w:szCs w:val="20"/>
              </w:rPr>
            </w:pPr>
            <w:r w:rsidRPr="00546E3C">
              <w:rPr>
                <w:rFonts w:ascii="STIX Two Math" w:hAnsi="STIX Two Math" w:cs="STIX Two Math"/>
                <w:sz w:val="20"/>
                <w:szCs w:val="20"/>
              </w:rPr>
              <w:t>0.1041</w:t>
            </w:r>
          </w:p>
        </w:tc>
      </w:tr>
      <w:tr w:rsidR="002915BC" w:rsidRPr="00546E3C" w14:paraId="4B8A9A84" w14:textId="77777777" w:rsidTr="004F0918">
        <w:trPr>
          <w:trHeight w:val="363"/>
        </w:trPr>
        <w:tc>
          <w:tcPr>
            <w:tcW w:w="2930" w:type="dxa"/>
          </w:tcPr>
          <w:p w14:paraId="46034E4B" w14:textId="77777777" w:rsidR="002915BC" w:rsidRPr="00546E3C" w:rsidRDefault="00000000" w:rsidP="000D39B7">
            <w:pPr>
              <w:pStyle w:val="NoSpacing"/>
              <w:spacing w:after="120"/>
              <w:rPr>
                <w:rFonts w:ascii="STIX Two Math" w:hAnsi="STIX Two Math" w:cs="STIX Two Math"/>
                <w:sz w:val="20"/>
                <w:szCs w:val="20"/>
              </w:rPr>
            </w:pPr>
            <m:oMath>
              <m:sSub>
                <m:sSubPr>
                  <m:ctrlPr>
                    <w:rPr>
                      <w:rFonts w:ascii="Cambria Math" w:hAnsi="Cambria Math" w:cs="STIX Two Math"/>
                      <w:i/>
                      <w:sz w:val="20"/>
                      <w:szCs w:val="20"/>
                    </w:rPr>
                  </m:ctrlPr>
                </m:sSubPr>
                <m:e>
                  <m:r>
                    <w:rPr>
                      <w:rFonts w:ascii="Cambria Math" w:hAnsi="Cambria Math" w:cs="STIX Two Math"/>
                      <w:sz w:val="20"/>
                      <w:szCs w:val="20"/>
                    </w:rPr>
                    <m:t>I</m:t>
                  </m:r>
                </m:e>
                <m:sub>
                  <m:r>
                    <w:rPr>
                      <w:rFonts w:ascii="Cambria Math" w:hAnsi="Cambria Math" w:cs="STIX Two Math"/>
                      <w:sz w:val="20"/>
                      <w:szCs w:val="20"/>
                    </w:rPr>
                    <m:t>3</m:t>
                  </m:r>
                </m:sub>
              </m:sSub>
            </m:oMath>
            <w:r w:rsidR="002915BC" w:rsidRPr="00546E3C">
              <w:rPr>
                <w:rFonts w:ascii="STIX Two Math" w:eastAsiaTheme="minorEastAsia" w:hAnsi="STIX Two Math" w:cs="STIX Two Math"/>
                <w:sz w:val="20"/>
                <w:szCs w:val="20"/>
              </w:rPr>
              <w:t xml:space="preserve">  </w:t>
            </w:r>
            <w:r w:rsidR="002915BC" w:rsidRPr="00546E3C">
              <w:rPr>
                <w:rFonts w:ascii="Times New Roman" w:eastAsiaTheme="minorEastAsia" w:hAnsi="Times New Roman" w:cs="Times New Roman"/>
                <w:sz w:val="20"/>
                <w:szCs w:val="20"/>
              </w:rPr>
              <w:t>AFP’s Coverage of Terrorism</w:t>
            </w:r>
          </w:p>
        </w:tc>
        <w:tc>
          <w:tcPr>
            <w:tcW w:w="2028" w:type="dxa"/>
            <w:vMerge/>
          </w:tcPr>
          <w:p w14:paraId="07DF727C" w14:textId="77777777" w:rsidR="002915BC" w:rsidRPr="00546E3C" w:rsidRDefault="002915BC" w:rsidP="000D39B7">
            <w:pPr>
              <w:pStyle w:val="NoSpacing"/>
              <w:spacing w:after="120"/>
              <w:rPr>
                <w:rFonts w:ascii="STIX Two Math" w:hAnsi="STIX Two Math" w:cs="STIX Two Math"/>
                <w:sz w:val="20"/>
                <w:szCs w:val="20"/>
              </w:rPr>
            </w:pPr>
          </w:p>
        </w:tc>
        <w:tc>
          <w:tcPr>
            <w:tcW w:w="288" w:type="dxa"/>
            <w:vAlign w:val="center"/>
          </w:tcPr>
          <w:p w14:paraId="2237AD5B"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7</w:t>
            </w:r>
          </w:p>
        </w:tc>
        <w:tc>
          <w:tcPr>
            <w:tcW w:w="435" w:type="dxa"/>
            <w:vAlign w:val="center"/>
          </w:tcPr>
          <w:p w14:paraId="4D023946"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5</w:t>
            </w:r>
          </w:p>
        </w:tc>
        <w:tc>
          <w:tcPr>
            <w:tcW w:w="968" w:type="dxa"/>
            <w:vAlign w:val="center"/>
          </w:tcPr>
          <w:p w14:paraId="695C1BA0" w14:textId="77777777" w:rsidR="002915BC" w:rsidRPr="00546E3C" w:rsidRDefault="002915BC" w:rsidP="000D39B7">
            <w:pPr>
              <w:pStyle w:val="NoSpacing"/>
              <w:spacing w:after="120"/>
              <w:jc w:val="center"/>
              <w:rPr>
                <w:rFonts w:ascii="STIX Two Math" w:hAnsi="STIX Two Math" w:cs="STIX Two Math"/>
                <w:sz w:val="20"/>
                <w:szCs w:val="20"/>
              </w:rPr>
            </w:pPr>
            <w:r w:rsidRPr="00546E3C">
              <w:rPr>
                <w:rFonts w:ascii="STIX Two Math" w:hAnsi="STIX Two Math" w:cs="STIX Two Math"/>
                <w:sz w:val="20"/>
                <w:szCs w:val="20"/>
              </w:rPr>
              <w:t>-0.0357</w:t>
            </w:r>
          </w:p>
        </w:tc>
        <w:tc>
          <w:tcPr>
            <w:tcW w:w="1501" w:type="dxa"/>
            <w:vMerge/>
          </w:tcPr>
          <w:p w14:paraId="0D9CCA3B" w14:textId="77777777" w:rsidR="002915BC" w:rsidRPr="00546E3C" w:rsidRDefault="002915BC" w:rsidP="000D39B7">
            <w:pPr>
              <w:pStyle w:val="NoSpacing"/>
              <w:spacing w:after="120"/>
              <w:rPr>
                <w:rFonts w:ascii="STIX Two Math" w:hAnsi="STIX Two Math" w:cs="STIX Two Math"/>
                <w:sz w:val="20"/>
                <w:szCs w:val="20"/>
              </w:rPr>
            </w:pPr>
          </w:p>
        </w:tc>
        <w:tc>
          <w:tcPr>
            <w:tcW w:w="891" w:type="dxa"/>
          </w:tcPr>
          <w:p w14:paraId="5306EBA2" w14:textId="77777777" w:rsidR="002915BC" w:rsidRPr="00546E3C" w:rsidRDefault="002915BC" w:rsidP="000D39B7">
            <w:pPr>
              <w:pStyle w:val="NoSpacing"/>
              <w:spacing w:after="120"/>
              <w:rPr>
                <w:rFonts w:ascii="STIX Two Math" w:hAnsi="STIX Two Math" w:cs="STIX Two Math"/>
                <w:sz w:val="20"/>
                <w:szCs w:val="20"/>
              </w:rPr>
            </w:pPr>
            <w:r w:rsidRPr="00546E3C">
              <w:rPr>
                <w:rFonts w:ascii="STIX Two Math" w:hAnsi="STIX Two Math" w:cs="STIX Two Math"/>
                <w:sz w:val="20"/>
                <w:szCs w:val="20"/>
              </w:rPr>
              <w:t>0.0659</w:t>
            </w:r>
          </w:p>
        </w:tc>
      </w:tr>
    </w:tbl>
    <w:p w14:paraId="1F568CAD" w14:textId="77777777" w:rsidR="002915BC" w:rsidRPr="00546E3C" w:rsidRDefault="002915BC" w:rsidP="002915BC">
      <w:pPr>
        <w:jc w:val="center"/>
        <w:rPr>
          <w:rFonts w:cs="Times New Roman"/>
          <w:i/>
          <w:iCs/>
          <w:sz w:val="12"/>
          <w:szCs w:val="12"/>
          <w:u w:val="single"/>
        </w:rPr>
      </w:pPr>
    </w:p>
    <w:p w14:paraId="2B3F2AA6" w14:textId="1D3206F7" w:rsidR="002915BC" w:rsidRPr="00071625" w:rsidRDefault="002915BC" w:rsidP="00260E70">
      <w:pPr>
        <w:pStyle w:val="DissertationTableCaption"/>
        <w:rPr>
          <w:u w:val="none"/>
        </w:rPr>
      </w:pPr>
      <w:bookmarkStart w:id="48" w:name="_Toc168415256"/>
      <w:bookmarkStart w:id="49" w:name="_Toc175413200"/>
      <w:r w:rsidRPr="00546E3C">
        <w:t xml:space="preserve">Table 6- </w:t>
      </w:r>
      <w:fldSimple w:instr=" SEQ Table_6- \* ARABIC ">
        <w:r w:rsidR="00AF1E65">
          <w:rPr>
            <w:noProof/>
          </w:rPr>
          <w:t>1</w:t>
        </w:r>
      </w:fldSimple>
      <w:r w:rsidR="00880AD8">
        <w:rPr>
          <w:noProof/>
        </w:rPr>
        <w:t>:</w:t>
      </w:r>
      <w:r w:rsidR="00071625">
        <w:rPr>
          <w:u w:val="none"/>
        </w:rPr>
        <w:tab/>
        <w:t>Correlation Analysis of Variables</w:t>
      </w:r>
      <w:bookmarkEnd w:id="48"/>
      <w:bookmarkEnd w:id="49"/>
    </w:p>
    <w:p w14:paraId="3153F34E" w14:textId="77777777" w:rsidR="002915BC" w:rsidRPr="00411513" w:rsidRDefault="002915BC" w:rsidP="002915BC">
      <w:pPr>
        <w:ind w:firstLine="720"/>
        <w:rPr>
          <w:rFonts w:ascii="STIX Two Math" w:eastAsiaTheme="minorEastAsia" w:hAnsi="STIX Two Math" w:cs="STIX Two Math"/>
        </w:rPr>
      </w:pPr>
      <w:r w:rsidRPr="00411513">
        <w:rPr>
          <w:rFonts w:cs="Times New Roman"/>
        </w:rPr>
        <w:t>The Spearman correlations measure the strength and nature of applicability of any possible relationship between international (state) legitimacy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cs="Times New Roman"/>
        </w:rPr>
        <w:t>– and each</w:t>
      </w:r>
      <w:r>
        <w:rPr>
          <w:rFonts w:cs="Times New Roman"/>
        </w:rPr>
        <w:t xml:space="preserve"> of</w:t>
      </w:r>
      <w:r w:rsidRPr="00411513">
        <w:rPr>
          <w:rFonts w:ascii="STIX Two Math"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sidRPr="00411513">
        <w:rPr>
          <w:rFonts w:ascii="STIX Two Math" w:eastAsiaTheme="minorEastAsia" w:hAnsi="STIX Two Math" w:cs="STIX Two Math"/>
        </w:rPr>
        <w:t xml:space="preserve"> </w:t>
      </w:r>
      <w:r w:rsidRPr="00411513">
        <w:rPr>
          <w:rFonts w:eastAsiaTheme="minorEastAsia" w:cs="Times New Roman"/>
        </w:rPr>
        <w:t>(aggregate media coverage of terrorism),</w:t>
      </w:r>
      <w:r w:rsidRPr="00411513">
        <w:rPr>
          <w:rFonts w:ascii="STIX Two Math" w:eastAsiaTheme="minorEastAsia"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1</m:t>
            </m:r>
          </m:sub>
        </m:sSub>
      </m:oMath>
      <w:r w:rsidRPr="00411513">
        <w:rPr>
          <w:rFonts w:ascii="STIX Two Math" w:eastAsiaTheme="minorEastAsia" w:hAnsi="STIX Two Math" w:cs="STIX Two Math"/>
        </w:rPr>
        <w:t xml:space="preserve"> </w:t>
      </w:r>
      <w:r w:rsidRPr="00411513">
        <w:rPr>
          <w:rFonts w:eastAsiaTheme="minorEastAsia" w:cs="Times New Roman"/>
        </w:rPr>
        <w:t>(Reuters’s coverage of terrorism),</w:t>
      </w:r>
      <w:r w:rsidRPr="00411513">
        <w:rPr>
          <w:rFonts w:ascii="STIX Two Math" w:eastAsiaTheme="minorEastAsia"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2</m:t>
            </m:r>
          </m:sub>
        </m:sSub>
      </m:oMath>
      <w:r w:rsidRPr="00411513">
        <w:rPr>
          <w:rFonts w:ascii="STIX Two Math" w:eastAsiaTheme="minorEastAsia" w:hAnsi="STIX Two Math" w:cs="STIX Two Math"/>
        </w:rPr>
        <w:t xml:space="preserve"> </w:t>
      </w:r>
      <w:r w:rsidRPr="00411513">
        <w:rPr>
          <w:rFonts w:eastAsiaTheme="minorEastAsia" w:cs="Times New Roman"/>
        </w:rPr>
        <w:t xml:space="preserve">(AP’s coverage of terrorism), and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3</m:t>
            </m:r>
          </m:sub>
        </m:sSub>
      </m:oMath>
      <w:r w:rsidRPr="00411513">
        <w:rPr>
          <w:rFonts w:ascii="STIX Two Math" w:eastAsiaTheme="minorEastAsia" w:hAnsi="STIX Two Math" w:cs="STIX Two Math"/>
        </w:rPr>
        <w:t xml:space="preserve"> </w:t>
      </w:r>
      <w:r w:rsidRPr="00411513">
        <w:rPr>
          <w:rFonts w:eastAsiaTheme="minorEastAsia" w:cs="Times New Roman"/>
        </w:rPr>
        <w:t>(AFP’s coverage of terrorism). To that end, the correlation between</w:t>
      </w:r>
      <w:r w:rsidRPr="00411513">
        <w:rPr>
          <w:rFonts w:ascii="STIX Two Math" w:eastAsiaTheme="minorEastAsia" w:hAnsi="STIX Two Math" w:cs="STIX Two Math"/>
        </w:rPr>
        <w:t xml:space="preserve"> </w:t>
      </w:r>
      <m:oMath>
        <m:sSub>
          <m:sSubPr>
            <m:ctrlPr>
              <w:rPr>
                <w:rFonts w:ascii="Cambria Math" w:hAnsi="Cambria Math" w:cs="STIX Two Math"/>
                <w:i/>
              </w:rPr>
            </m:ctrlPr>
          </m:sSubPr>
          <m:e>
            <m:r>
              <w:rPr>
                <w:rFonts w:ascii="Cambria Math" w:hAnsi="Cambria Math" w:cs="STIX Two Math"/>
              </w:rPr>
              <m:t>I</m:t>
            </m:r>
          </m:e>
          <m:sub>
            <m:r>
              <w:rPr>
                <w:rFonts w:ascii="Cambria Math" w:hAnsi="Cambria Math" w:cs="STIX Two Math"/>
              </w:rPr>
              <m:t>0</m:t>
            </m:r>
          </m:sub>
        </m:sSub>
      </m:oMath>
      <w:r w:rsidRPr="00411513">
        <w:rPr>
          <w:rFonts w:ascii="STIX Two Math" w:eastAsiaTheme="minorEastAsia" w:hAnsi="STIX Two Math" w:cs="STIX Two Math"/>
        </w:rPr>
        <w:t xml:space="preserve"> </w:t>
      </w:r>
      <w:r w:rsidRPr="00411513">
        <w:rPr>
          <w:rFonts w:eastAsiaTheme="minorEastAsia" w:cs="Times New Roman"/>
        </w:rPr>
        <w:t>and</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w:t>
      </w:r>
      <m:oMath>
        <m:r>
          <w:rPr>
            <w:rFonts w:ascii="Cambria Math" w:eastAsiaTheme="minorEastAsia" w:hAnsi="Cambria Math" w:cs="STIX Two Math"/>
          </w:rPr>
          <m:t>ρ</m:t>
        </m:r>
        <m:r>
          <w:rPr>
            <w:rFonts w:ascii="STIX Two Math" w:eastAsiaTheme="minorEastAsia" w:hAnsi="STIX Two Math" w:cs="STIX Two Math"/>
          </w:rPr>
          <m:t>=-</m:t>
        </m:r>
        <m:r>
          <m:rPr>
            <m:nor/>
          </m:rPr>
          <w:rPr>
            <w:rFonts w:ascii="Cambria Math" w:eastAsiaTheme="minorEastAsia" w:hAnsi="Cambria Math" w:cs="STIX Two Math"/>
          </w:rPr>
          <m:t>0.75</m:t>
        </m:r>
      </m:oMath>
      <w:r w:rsidRPr="00411513">
        <w:rPr>
          <w:rFonts w:eastAsiaTheme="minorEastAsia" w:cs="Times New Roman"/>
        </w:rPr>
        <w:t xml:space="preserve">) suggests that media coverage of terrorism and international (state) legitimacy are highly correlated in a </w:t>
      </w:r>
      <w:r>
        <w:rPr>
          <w:rFonts w:eastAsiaTheme="minorEastAsia" w:cs="Times New Roman"/>
        </w:rPr>
        <w:t>negative</w:t>
      </w:r>
      <w:r w:rsidRPr="00411513">
        <w:rPr>
          <w:rFonts w:eastAsiaTheme="minorEastAsia" w:cs="Times New Roman"/>
        </w:rPr>
        <w:t xml:space="preserve"> manner. Put simply, this means that in the context of the data that I analyze, increased media coverage of terrorism tends to be associated with decreased international (state) legitimacy. </w:t>
      </w:r>
    </w:p>
    <w:p w14:paraId="7CA9B85F" w14:textId="4B8284FC" w:rsidR="002915BC" w:rsidRPr="00411513" w:rsidRDefault="002915BC" w:rsidP="002915BC">
      <w:pPr>
        <w:ind w:firstLine="720"/>
        <w:rPr>
          <w:rFonts w:eastAsiaTheme="minorEastAsia" w:cs="Times New Roman"/>
        </w:rPr>
      </w:pPr>
      <w:r w:rsidRPr="00411513">
        <w:rPr>
          <w:rFonts w:eastAsiaTheme="minorEastAsia" w:cs="Times New Roman"/>
        </w:rPr>
        <w:t>I also conduct Spearman correlations between</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and each of the individual news agencies’ coverage of terrorism that I aggregated to conceive of</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411513">
        <w:rPr>
          <w:rFonts w:eastAsiaTheme="minorEastAsia" w:cs="Times New Roman"/>
        </w:rPr>
        <w:t>,</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411513">
        <w:rPr>
          <w:rFonts w:eastAsiaTheme="minorEastAsia" w:cs="Times New Roman"/>
        </w:rPr>
        <w:t>,</w:t>
      </w:r>
      <w:r w:rsidRPr="00411513">
        <w:rPr>
          <w:rFonts w:ascii="STIX Two Math" w:eastAsiaTheme="minorEastAsia" w:hAnsi="STIX Two Math" w:cs="STIX Two Math"/>
        </w:rPr>
        <w:t xml:space="preserve"> </w:t>
      </w:r>
      <w:r w:rsidRPr="00411513">
        <w:rPr>
          <w:rFonts w:eastAsiaTheme="minorEastAsia" w:cs="Times New Roman"/>
        </w:rPr>
        <w:t>and</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411513">
        <w:rPr>
          <w:rFonts w:eastAsiaTheme="minorEastAsia" w:cs="Times New Roman"/>
        </w:rPr>
        <w:t xml:space="preserve">). The Spearman coefficient calculated in connection with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3</m:t>
            </m:r>
          </m:sub>
        </m:sSub>
      </m:oMath>
      <w:r w:rsidRPr="00411513">
        <w:rPr>
          <w:rFonts w:ascii="STIX Two Math" w:eastAsiaTheme="minorEastAsia" w:hAnsi="STIX Two Math" w:cs="STIX Two Math"/>
        </w:rPr>
        <w:t xml:space="preserve"> </w:t>
      </w:r>
      <w:r w:rsidRPr="00411513">
        <w:rPr>
          <w:rFonts w:eastAsiaTheme="minorEastAsia" w:cs="Times New Roman"/>
        </w:rPr>
        <w:t>(</w:t>
      </w:r>
      <m:oMath>
        <m:r>
          <w:rPr>
            <w:rFonts w:ascii="Cambria Math" w:eastAsiaTheme="minorEastAsia" w:hAnsi="Cambria Math" w:cs="STIX Two Math"/>
          </w:rPr>
          <m:t>ρ =-0.0357)</m:t>
        </m:r>
      </m:oMath>
      <w:r w:rsidRPr="00411513">
        <w:rPr>
          <w:rFonts w:eastAsiaTheme="minorEastAsia" w:cs="Times New Roman"/>
        </w:rPr>
        <w:t xml:space="preserve"> </w:t>
      </w:r>
      <w:r>
        <w:rPr>
          <w:rFonts w:eastAsiaTheme="minorEastAsia" w:cs="Times New Roman"/>
        </w:rPr>
        <w:t xml:space="preserve">does not indicate any relationship </w:t>
      </w:r>
      <w:r w:rsidRPr="00411513">
        <w:rPr>
          <w:rFonts w:eastAsiaTheme="minorEastAsia" w:cs="Times New Roman"/>
        </w:rPr>
        <w:t>between AFP’s coverage of terrorism and international (state) legitimacy. Notwithstanding, the Spearman coefficients calculated in connection with</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411513">
        <w:rPr>
          <w:rFonts w:ascii="STIX Two Math" w:eastAsiaTheme="minorEastAsia" w:hAnsi="STIX Two Math" w:cs="STIX Two Math"/>
        </w:rPr>
        <w:t xml:space="preserve"> </w:t>
      </w:r>
      <w:r w:rsidRPr="00411513">
        <w:rPr>
          <w:rFonts w:eastAsiaTheme="minorEastAsia" w:cs="Times New Roman"/>
        </w:rPr>
        <w:t>and</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w:t>
      </w:r>
      <m:oMath>
        <m:r>
          <w:rPr>
            <w:rFonts w:ascii="Cambria Math" w:eastAsiaTheme="minorEastAsia" w:hAnsi="Cambria Math" w:cs="STIX Two Math"/>
          </w:rPr>
          <m:t>ρ=-0.2427</m:t>
        </m:r>
      </m:oMath>
      <w:r w:rsidRPr="00411513">
        <w:rPr>
          <w:rFonts w:eastAsiaTheme="minorEastAsia" w:cs="Times New Roman"/>
        </w:rPr>
        <w:t>)</w:t>
      </w:r>
      <w:r>
        <w:rPr>
          <w:rFonts w:eastAsiaTheme="minorEastAsia" w:cs="Times New Roman"/>
        </w:rPr>
        <w:t>,</w:t>
      </w:r>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ascii="STIX Two Math" w:eastAsiaTheme="minorEastAsia" w:hAnsi="STIX Two Math" w:cs="STIX Two Math"/>
        </w:rPr>
        <w:t xml:space="preserve"> (</w:t>
      </w:r>
      <m:oMath>
        <m:r>
          <w:rPr>
            <w:rFonts w:ascii="Cambria Math" w:eastAsiaTheme="minorEastAsia" w:hAnsi="Cambria Math" w:cs="STIX Two Math"/>
          </w:rPr>
          <m:t>ρ=-.2857</m:t>
        </m:r>
      </m:oMath>
      <w:r w:rsidRPr="00411513">
        <w:rPr>
          <w:rFonts w:eastAsiaTheme="minorEastAsia" w:cs="Times New Roman"/>
        </w:rPr>
        <w:t>) suggest that there are weak-moderate negative correlations between both Reuters’s coverage of terrorism and international (state) legitimacy, and AP’s coverage of terrorism and international (state) legitimacy. The existence of these correlations supports further (qualitative) investigation as to why Reuters’s and AP’s depictions of terrorism tend to correspond with a decreased level of international (state) legitimacy in the context of my data. In conjunction with the results of the Spearman correlation between</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w:t>
      </w:r>
      <m:oMath>
        <m:r>
          <w:rPr>
            <w:rFonts w:ascii="Cambria Math" w:eastAsiaTheme="minorEastAsia" w:hAnsi="Cambria Math" w:cs="STIX Two Math"/>
          </w:rPr>
          <m:t>ρ=-0.75</m:t>
        </m:r>
      </m:oMath>
      <w:r w:rsidRPr="00411513">
        <w:rPr>
          <w:rFonts w:eastAsiaTheme="minorEastAsia" w:cs="Times New Roman"/>
        </w:rPr>
        <w:t>), these statistics provide the starting point for my Chapter 8 analysis of</w:t>
      </w:r>
      <w:r w:rsidRPr="00411513">
        <w:rPr>
          <w:rFonts w:eastAsiaTheme="minorEastAsia" w:cs="Times New Roman"/>
          <w:i/>
          <w:iCs/>
        </w:rPr>
        <w:t xml:space="preserve"> how</w:t>
      </w:r>
      <w:r w:rsidRPr="00411513">
        <w:rPr>
          <w:rFonts w:eastAsiaTheme="minorEastAsia" w:cs="Times New Roman"/>
        </w:rPr>
        <w:t xml:space="preserve"> the Reuters, AP and AFP style guides influence the depictions of terrorism in the </w:t>
      </w:r>
      <w:r w:rsidR="00F74D09">
        <w:rPr>
          <w:rFonts w:eastAsiaTheme="minorEastAsia" w:cs="Times New Roman"/>
        </w:rPr>
        <w:t>media</w:t>
      </w:r>
      <w:r w:rsidRPr="00411513">
        <w:rPr>
          <w:rFonts w:eastAsiaTheme="minorEastAsia" w:cs="Times New Roman"/>
        </w:rPr>
        <w:t xml:space="preserve"> bulletins produced by each international news agency.</w:t>
      </w:r>
    </w:p>
    <w:p w14:paraId="161307D4" w14:textId="6AC69EF4" w:rsidR="002915BC" w:rsidRPr="00411513" w:rsidRDefault="002915BC" w:rsidP="002915BC">
      <w:pPr>
        <w:ind w:firstLine="720"/>
        <w:rPr>
          <w:rFonts w:eastAsiaTheme="minorEastAsia" w:cs="Times New Roman"/>
        </w:rPr>
      </w:pPr>
      <w:r w:rsidRPr="00411513">
        <w:rPr>
          <w:rFonts w:eastAsiaTheme="minorEastAsia" w:cs="Times New Roman"/>
        </w:rPr>
        <w:t xml:space="preserve">Building on the Spearman correlations’ indication that there </w:t>
      </w:r>
      <w:r w:rsidRPr="00411513">
        <w:rPr>
          <w:rFonts w:eastAsiaTheme="minorEastAsia" w:cs="Times New Roman"/>
          <w:i/>
          <w:iCs/>
        </w:rPr>
        <w:t>is</w:t>
      </w:r>
      <w:r w:rsidRPr="00411513">
        <w:rPr>
          <w:rFonts w:eastAsiaTheme="minorEastAsia" w:cs="Times New Roman"/>
        </w:rPr>
        <w:t xml:space="preserve"> an association between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eastAsiaTheme="minorEastAsia" w:cs="Times New Roman"/>
        </w:rPr>
        <w:t>, I use simple linear regression (</w:t>
      </w:r>
      <w:r w:rsidRPr="00411513">
        <w:rPr>
          <w:rFonts w:ascii="STIX Two Math" w:eastAsiaTheme="minorEastAsia" w:hAnsi="STIX Two Math" w:cs="STIX Two Math"/>
        </w:rPr>
        <w:t>SLR</w:t>
      </w:r>
      <w:r w:rsidRPr="00411513">
        <w:rPr>
          <w:rFonts w:eastAsiaTheme="minorEastAsia" w:cs="Times New Roman"/>
        </w:rPr>
        <w:t xml:space="preserve">) as an additional measure and interpretation of the strength of these correlations. In contrast with Spearman correlations, which indicate the existence and strength of any association between two variables, </w:t>
      </w:r>
      <w:r w:rsidRPr="00411513">
        <w:rPr>
          <w:rFonts w:ascii="STIX Two Math" w:eastAsiaTheme="minorEastAsia" w:hAnsi="STIX Two Math" w:cs="STIX Two Math"/>
        </w:rPr>
        <w:t>SLR</w:t>
      </w:r>
      <w:r w:rsidRPr="00411513">
        <w:rPr>
          <w:rFonts w:eastAsiaTheme="minorEastAsia" w:cs="Times New Roman"/>
        </w:rPr>
        <w:t xml:space="preserve"> analyses evaluate the </w:t>
      </w:r>
      <w:r w:rsidRPr="00411513">
        <w:rPr>
          <w:rFonts w:eastAsiaTheme="minorEastAsia" w:cs="Times New Roman"/>
          <w:i/>
          <w:iCs/>
        </w:rPr>
        <w:t>relative impact</w:t>
      </w:r>
      <w:r w:rsidRPr="00411513">
        <w:rPr>
          <w:rFonts w:eastAsiaTheme="minorEastAsia" w:cs="Times New Roman"/>
        </w:rPr>
        <w:t xml:space="preserve"> of an explanatory variable (i.e. aggregate media coverage of terrorism, Reuters’s coverage of terrorism, AP’s coverage of terrorism) on a particular outcome variable (i.e. international (state) legitimacy). For that reason, I use </w:t>
      </w:r>
      <w:r w:rsidRPr="00411513">
        <w:rPr>
          <w:rFonts w:ascii="STIX Two Math" w:eastAsiaTheme="minorEastAsia" w:hAnsi="STIX Two Math" w:cs="STIX Two Math"/>
        </w:rPr>
        <w:t>SLR</w:t>
      </w:r>
      <w:r w:rsidRPr="00411513">
        <w:rPr>
          <w:rFonts w:eastAsiaTheme="minorEastAsia" w:cs="Times New Roman"/>
        </w:rPr>
        <w:t xml:space="preserve"> to model the sets of variables that the Spearman correlations suggest are correlated with one another.</w:t>
      </w:r>
    </w:p>
    <w:p w14:paraId="73201878" w14:textId="73402436" w:rsidR="002915BC" w:rsidRPr="00411513" w:rsidRDefault="002915BC" w:rsidP="002915BC">
      <w:pPr>
        <w:ind w:firstLine="720"/>
        <w:rPr>
          <w:rFonts w:eastAsiaTheme="minorEastAsia" w:cs="Times New Roman"/>
        </w:rPr>
      </w:pPr>
      <w:r w:rsidRPr="00546E3C">
        <w:rPr>
          <w:rFonts w:eastAsiaTheme="minorEastAsia" w:cs="Times New Roman"/>
        </w:rPr>
        <w:t xml:space="preserve">When </w:t>
      </w:r>
      <w:r w:rsidRPr="00546E3C">
        <w:rPr>
          <w:rFonts w:ascii="STIX Two Math" w:eastAsiaTheme="minorEastAsia" w:hAnsi="STIX Two Math" w:cs="STIX Two Math"/>
        </w:rPr>
        <w:t xml:space="preserve">SLR </w:t>
      </w:r>
      <w:r w:rsidRPr="00546E3C">
        <w:rPr>
          <w:rFonts w:eastAsiaTheme="minorEastAsia" w:cs="Times New Roman"/>
        </w:rPr>
        <w:t>tests if the aggregate media coverage of terrorism significantly predicts international (state) legitimacy, the regression model is</w:t>
      </w:r>
      <w:r w:rsidRPr="00546E3C">
        <w:rPr>
          <w:rFonts w:ascii="STIX Two Math" w:eastAsiaTheme="minorEastAsia" w:hAnsi="STIX Two Math" w:cs="STIX Two Math"/>
        </w:rPr>
        <w:t xml:space="preserve"> </w:t>
      </w:r>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r>
          <w:rPr>
            <w:rFonts w:ascii="STIX Two Math" w:eastAsiaTheme="minorEastAsia" w:hAnsi="STIX Two Math" w:cs="STIX Two Math"/>
          </w:rPr>
          <m:t>=-</m:t>
        </m:r>
        <m:r>
          <m:rPr>
            <m:nor/>
          </m:rPr>
          <w:rPr>
            <w:rFonts w:ascii="Cambria Math" w:eastAsiaTheme="minorEastAsia" w:hAnsi="Cambria Math" w:cs="STIX Two Math"/>
          </w:rPr>
          <m:t>1.1576</m:t>
        </m:r>
        <m:r>
          <w:rPr>
            <w:rFonts w:ascii="STIX Two Math" w:eastAsiaTheme="minorEastAsia" w:hAnsi="STIX Two Math" w:cs="STIX Two Math"/>
          </w:rPr>
          <m:t>+</m:t>
        </m:r>
        <m:r>
          <m:rPr>
            <m:nor/>
          </m:rPr>
          <w:rPr>
            <w:rFonts w:ascii="Cambria Math" w:eastAsiaTheme="minorEastAsia" w:hAnsi="Cambria Math" w:cs="STIX Two Math"/>
          </w:rPr>
          <m:t>71.811</m:t>
        </m:r>
      </m:oMath>
      <w:r w:rsidRPr="00546E3C">
        <w:rPr>
          <w:rFonts w:eastAsiaTheme="minorEastAsia" w:cs="Times New Roman"/>
        </w:rPr>
        <w:t xml:space="preserve">, depicted in Figure 6-1, </w:t>
      </w:r>
      <w:r w:rsidR="00E57D9B">
        <w:rPr>
          <w:rFonts w:eastAsiaTheme="minorEastAsia" w:cs="Times New Roman"/>
        </w:rPr>
        <w:t>on the next page</w:t>
      </w:r>
      <w:r w:rsidRPr="00546E3C">
        <w:rPr>
          <w:rFonts w:eastAsiaTheme="minorEastAsia" w:cs="Times New Roman"/>
        </w:rPr>
        <w:t>.</w:t>
      </w:r>
      <w:r w:rsidRPr="00411513">
        <w:rPr>
          <w:rFonts w:eastAsiaTheme="minorEastAsia" w:cs="Times New Roman"/>
        </w:rPr>
        <w:t xml:space="preserve"> </w:t>
      </w:r>
      <w:r>
        <w:rPr>
          <w:rFonts w:eastAsiaTheme="minorEastAsia" w:cs="Times New Roman"/>
        </w:rPr>
        <w:br/>
      </w:r>
    </w:p>
    <w:p w14:paraId="3157A63C" w14:textId="77777777" w:rsidR="002915BC" w:rsidRPr="00546E3C" w:rsidRDefault="002915BC" w:rsidP="002915BC">
      <w:pPr>
        <w:keepNext/>
        <w:jc w:val="center"/>
        <w:rPr>
          <w:rFonts w:ascii="STIX Two Math" w:hAnsi="STIX Two Math" w:cs="STIX Two Math"/>
        </w:rPr>
      </w:pPr>
      <w:r>
        <w:rPr>
          <w:noProof/>
        </w:rPr>
        <w:lastRenderedPageBreak/>
        <w:drawing>
          <wp:inline distT="0" distB="0" distL="0" distR="0" wp14:anchorId="27E749EF" wp14:editId="24796C1D">
            <wp:extent cx="5410200" cy="2540000"/>
            <wp:effectExtent l="0" t="0" r="0" b="0"/>
            <wp:docPr id="1593416425" name="Chart 1">
              <a:extLst xmlns:a="http://schemas.openxmlformats.org/drawingml/2006/main">
                <a:ext uri="{FF2B5EF4-FFF2-40B4-BE49-F238E27FC236}">
                  <a16:creationId xmlns:a16="http://schemas.microsoft.com/office/drawing/2014/main" id="{882F8BCB-ED39-D947-810D-CBDBCF6C2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DF3593" w14:textId="2341EE20" w:rsidR="002915BC" w:rsidRPr="00071625" w:rsidRDefault="002915BC" w:rsidP="00260E70">
      <w:pPr>
        <w:pStyle w:val="DissertationFigureCaption"/>
        <w:rPr>
          <w:u w:val="none"/>
        </w:rPr>
      </w:pPr>
      <w:bookmarkStart w:id="50" w:name="_Toc168415556"/>
      <w:bookmarkStart w:id="51" w:name="_Toc175413238"/>
      <w:r w:rsidRPr="00411513">
        <w:t xml:space="preserve">Figure 6- </w:t>
      </w:r>
      <w:fldSimple w:instr=" SEQ Figure_6- \* ARABIC ">
        <w:r w:rsidR="00AF1E65">
          <w:rPr>
            <w:noProof/>
          </w:rPr>
          <w:t>1</w:t>
        </w:r>
      </w:fldSimple>
      <w:r w:rsidR="00880AD8">
        <w:rPr>
          <w:noProof/>
        </w:rPr>
        <w:t>:</w:t>
      </w:r>
      <w:r w:rsidR="00071625">
        <w:rPr>
          <w:u w:val="none"/>
        </w:rPr>
        <w:tab/>
        <w:t xml:space="preserve">SLR Analysis of </w:t>
      </w:r>
      <m:oMath>
        <m:sSub>
          <m:sSubPr>
            <m:ctrlPr>
              <w:rPr>
                <w:rFonts w:ascii="Cambria Math" w:hAnsi="Cambria Math"/>
                <w:u w:val="none"/>
              </w:rPr>
            </m:ctrlPr>
          </m:sSubPr>
          <m:e>
            <m:r>
              <w:rPr>
                <w:rFonts w:ascii="Cambria Math" w:hAnsi="Cambria Math"/>
                <w:u w:val="none"/>
              </w:rPr>
              <m:t>I</m:t>
            </m:r>
          </m:e>
          <m:sub>
            <m:r>
              <w:rPr>
                <w:rFonts w:ascii="Cambria Math" w:hAnsi="Cambria Math"/>
                <w:u w:val="none"/>
              </w:rPr>
              <m:t>0</m:t>
            </m:r>
          </m:sub>
        </m:sSub>
      </m:oMath>
      <w:r w:rsidR="00071625">
        <w:rPr>
          <w:rFonts w:eastAsiaTheme="minorEastAsia"/>
          <w:u w:val="none"/>
        </w:rPr>
        <w:t xml:space="preserve"> v. </w:t>
      </w:r>
      <m:oMath>
        <m:sSub>
          <m:sSubPr>
            <m:ctrlPr>
              <w:rPr>
                <w:rFonts w:ascii="Cambria Math" w:eastAsiaTheme="minorEastAsia" w:hAnsi="Cambria Math"/>
                <w:u w:val="none"/>
              </w:rPr>
            </m:ctrlPr>
          </m:sSubPr>
          <m:e>
            <m:r>
              <w:rPr>
                <w:rFonts w:ascii="Cambria Math" w:eastAsiaTheme="minorEastAsia" w:hAnsi="Cambria Math"/>
                <w:u w:val="none"/>
              </w:rPr>
              <m:t>D</m:t>
            </m:r>
          </m:e>
          <m:sub>
            <m:r>
              <w:rPr>
                <w:rFonts w:ascii="Cambria Math" w:eastAsiaTheme="minorEastAsia" w:hAnsi="Cambria Math"/>
                <w:u w:val="none"/>
              </w:rPr>
              <m:t>0</m:t>
            </m:r>
          </m:sub>
        </m:sSub>
      </m:oMath>
      <w:bookmarkEnd w:id="50"/>
      <w:bookmarkEnd w:id="51"/>
    </w:p>
    <w:p w14:paraId="1A173DAB" w14:textId="686D4270" w:rsidR="002915BC" w:rsidRPr="00411513" w:rsidRDefault="002915BC" w:rsidP="00A849A5">
      <w:pPr>
        <w:ind w:firstLine="720"/>
        <w:rPr>
          <w:rFonts w:eastAsiaTheme="minorEastAsia" w:cs="Times New Roman"/>
        </w:rPr>
      </w:pPr>
      <w:r w:rsidRPr="00546E3C">
        <w:rPr>
          <w:rFonts w:eastAsiaTheme="minorEastAsia" w:cs="Times New Roman"/>
        </w:rPr>
        <w:t>According to this model, international (state) legitimacy decreases by 1.15</w:t>
      </w:r>
      <w:r w:rsidR="00A849A5">
        <w:rPr>
          <w:rFonts w:eastAsiaTheme="minorEastAsia" w:cs="Times New Roman"/>
        </w:rPr>
        <w:t>7</w:t>
      </w:r>
      <w:r w:rsidRPr="00546E3C">
        <w:rPr>
          <w:rFonts w:eastAsiaTheme="minorEastAsia" w:cs="Times New Roman"/>
        </w:rPr>
        <w:t xml:space="preserve">6 percent for each one percent increase in the aggregate media coverage of terrorism when aggregate media coverage of terrorism is calculated as the percentage of all of the </w:t>
      </w:r>
      <w:r w:rsidR="00F74D09">
        <w:rPr>
          <w:rFonts w:eastAsiaTheme="minorEastAsia" w:cs="Times New Roman"/>
        </w:rPr>
        <w:t>media</w:t>
      </w:r>
      <w:r w:rsidRPr="00546E3C">
        <w:rPr>
          <w:rFonts w:eastAsiaTheme="minorEastAsia" w:cs="Times New Roman"/>
        </w:rPr>
        <w:t xml:space="preserve"> bulletins produced in a year constituted by the number of </w:t>
      </w:r>
      <w:r w:rsidR="00F74D09">
        <w:rPr>
          <w:rFonts w:eastAsiaTheme="minorEastAsia" w:cs="Times New Roman"/>
        </w:rPr>
        <w:t>media</w:t>
      </w:r>
      <w:r w:rsidRPr="00546E3C">
        <w:rPr>
          <w:rFonts w:eastAsiaTheme="minorEastAsia" w:cs="Times New Roman"/>
        </w:rPr>
        <w:t xml:space="preserve"> bulletins relating to terrorism produced in that same year. Notwithstanding, the overall regression between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546E3C">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546E3C">
        <w:rPr>
          <w:rFonts w:eastAsiaTheme="minorEastAsia" w:cs="Times New Roman"/>
        </w:rPr>
        <w:t xml:space="preserve"> cannot be considered statistically significant (</w:t>
      </w:r>
      <m:oMath>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r>
          <w:rPr>
            <w:rFonts w:ascii="Cambria Math" w:eastAsiaTheme="minorEastAsia" w:hAnsi="Cambria Math" w:cs="STIX Two Math"/>
          </w:rPr>
          <m:t>=.3174</m:t>
        </m:r>
      </m:oMath>
      <w:r w:rsidRPr="00546E3C">
        <w:rPr>
          <w:rFonts w:ascii="STIX Two Math" w:eastAsiaTheme="minorEastAsia" w:hAnsi="STIX Two Math" w:cs="STIX Two Math"/>
        </w:rPr>
        <w:t xml:space="preserve">, </w:t>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1,5</m:t>
            </m:r>
          </m:e>
        </m:d>
        <m:r>
          <w:rPr>
            <w:rFonts w:ascii="Cambria Math" w:eastAsiaTheme="minorEastAsia" w:hAnsi="Cambria Math" w:cstheme="minorHAnsi"/>
          </w:rPr>
          <m:t>=2.3252</m:t>
        </m:r>
      </m:oMath>
      <w:r w:rsidRPr="00546E3C">
        <w:rPr>
          <w:rFonts w:eastAsiaTheme="minorEastAsia" w:cs="Times New Roman"/>
        </w:rPr>
        <w:t xml:space="preserve">). </w:t>
      </w:r>
      <w:r w:rsidR="00A849A5">
        <w:rPr>
          <w:rFonts w:eastAsiaTheme="minorEastAsia" w:cs="Times New Roman"/>
        </w:rPr>
        <w:t>While t</w:t>
      </w:r>
      <w:r w:rsidRPr="00546E3C">
        <w:rPr>
          <w:rFonts w:eastAsiaTheme="minorEastAsia" w:cs="Times New Roman"/>
        </w:rPr>
        <w:t xml:space="preserve">his lack of statistical significance </w:t>
      </w:r>
      <w:r w:rsidR="00A849A5">
        <w:rPr>
          <w:rFonts w:eastAsiaTheme="minorEastAsia" w:cs="Times New Roman"/>
        </w:rPr>
        <w:t>could be attributed to the possibility that no relation exists, it can also be</w:t>
      </w:r>
      <w:r w:rsidRPr="00546E3C">
        <w:rPr>
          <w:rFonts w:eastAsiaTheme="minorEastAsia" w:cs="Times New Roman"/>
        </w:rPr>
        <w:t xml:space="preserve"> attribut</w:t>
      </w:r>
      <w:r w:rsidR="00A849A5">
        <w:rPr>
          <w:rFonts w:eastAsiaTheme="minorEastAsia" w:cs="Times New Roman"/>
        </w:rPr>
        <w:t>ed</w:t>
      </w:r>
      <w:r w:rsidRPr="00546E3C">
        <w:rPr>
          <w:rFonts w:eastAsiaTheme="minorEastAsia" w:cs="Times New Roman"/>
        </w:rPr>
        <w:t xml:space="preserve"> to low sample size (</w:t>
      </w:r>
      <m:oMath>
        <m:r>
          <w:rPr>
            <w:rFonts w:ascii="Cambria Math" w:eastAsiaTheme="minorEastAsia" w:hAnsi="Cambria Math" w:cs="STIX Two Math"/>
          </w:rPr>
          <m:t>n=7</m:t>
        </m:r>
      </m:oMath>
      <w:r w:rsidRPr="00546E3C">
        <w:rPr>
          <w:rFonts w:eastAsiaTheme="minorEastAsia" w:cs="Times New Roman"/>
        </w:rPr>
        <w:t>). To that end, although the strict interpretation of</w:t>
      </w:r>
      <w:r w:rsidRPr="00546E3C">
        <w:rPr>
          <w:rFonts w:ascii="STIX Two Math" w:eastAsiaTheme="minorEastAsia" w:hAnsi="STIX Two Math" w:cs="STIX Two Math"/>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oMath>
      <w:r w:rsidRPr="00546E3C">
        <w:rPr>
          <w:rFonts w:ascii="STIX Two Math" w:eastAsiaTheme="minorEastAsia" w:hAnsi="STIX Two Math" w:cs="STIX Two Math"/>
        </w:rPr>
        <w:t xml:space="preserve"> </w:t>
      </w:r>
      <w:r w:rsidRPr="00546E3C">
        <w:rPr>
          <w:rFonts w:eastAsiaTheme="minorEastAsia" w:cs="Times New Roman"/>
        </w:rPr>
        <w:t>would only seem to indicate that changes in</w:t>
      </w:r>
      <w:r w:rsidRPr="00546E3C">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546E3C">
        <w:rPr>
          <w:rFonts w:ascii="STIX Two Math" w:eastAsiaTheme="minorEastAsia" w:hAnsi="STIX Two Math" w:cs="STIX Two Math"/>
        </w:rPr>
        <w:t xml:space="preserve"> </w:t>
      </w:r>
      <w:r w:rsidRPr="00546E3C">
        <w:rPr>
          <w:rFonts w:eastAsiaTheme="minorEastAsia" w:cs="Times New Roman"/>
        </w:rPr>
        <w:t>account for 31.74% of the change in</w:t>
      </w:r>
      <w:r w:rsidRPr="00546E3C">
        <w:rPr>
          <w:rFonts w:ascii="STIX Two Math" w:eastAsiaTheme="minorEastAsia" w:hAnsi="STIX Two Math" w:cs="STIX Two Math"/>
        </w:rPr>
        <w:t xml:space="preserve"> </w:t>
      </w:r>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oMath>
      <w:r w:rsidRPr="00546E3C">
        <w:rPr>
          <w:rFonts w:eastAsiaTheme="minorEastAsia" w:cs="Times New Roman"/>
        </w:rPr>
        <w:t xml:space="preserve">, the small number of datapoints available for analysis makes the </w:t>
      </w:r>
      <m:oMath>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oMath>
      <w:r w:rsidRPr="00546E3C">
        <w:rPr>
          <w:rFonts w:ascii="STIX Two Math" w:eastAsiaTheme="minorEastAsia" w:hAnsi="STIX Two Math" w:cs="STIX Two Math"/>
        </w:rPr>
        <w:t xml:space="preserve"> s</w:t>
      </w:r>
      <w:r w:rsidRPr="00546E3C">
        <w:rPr>
          <w:rFonts w:eastAsiaTheme="minorEastAsia" w:cs="Times New Roman"/>
        </w:rPr>
        <w:t>tatistic unreliable. Thus,</w:t>
      </w:r>
      <w:r w:rsidRPr="00411513">
        <w:rPr>
          <w:rFonts w:eastAsiaTheme="minorEastAsia" w:cs="Times New Roman"/>
        </w:rPr>
        <w:t xml:space="preserve"> it is unlikely that the</w:t>
      </w:r>
      <w:r w:rsidRPr="00411513">
        <w:rPr>
          <w:rFonts w:ascii="STIX Two Math" w:eastAsiaTheme="minorEastAsia" w:hAnsi="STIX Two Math" w:cs="STIX Two Math"/>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oMath>
      <w:r w:rsidRPr="00411513">
        <w:rPr>
          <w:rFonts w:ascii="STIX Two Math" w:eastAsiaTheme="minorEastAsia" w:hAnsi="STIX Two Math" w:cs="STIX Two Math"/>
        </w:rPr>
        <w:t xml:space="preserve"> </w:t>
      </w:r>
      <w:r w:rsidRPr="00411513">
        <w:rPr>
          <w:rFonts w:eastAsiaTheme="minorEastAsia" w:cs="Times New Roman"/>
        </w:rPr>
        <w:t xml:space="preserve">statistic would identify a significant result in a sample this small because not enough data has been collected to identify any kind of consequential linear relationship between the variables in the first place. Put simply, </w:t>
      </w:r>
      <w:r w:rsidR="00BE6D70">
        <w:rPr>
          <w:rFonts w:eastAsiaTheme="minorEastAsia" w:cs="Times New Roman"/>
        </w:rPr>
        <w:t xml:space="preserve">the </w:t>
      </w:r>
      <w:r w:rsidRPr="00411513">
        <w:rPr>
          <w:rFonts w:eastAsiaTheme="minorEastAsia" w:cs="Times New Roman"/>
        </w:rPr>
        <w:t>absence of evidence does not mean evidence of absence.</w:t>
      </w:r>
    </w:p>
    <w:p w14:paraId="51367968" w14:textId="041A0C9B" w:rsidR="002915BC" w:rsidRPr="00411513" w:rsidRDefault="002915BC" w:rsidP="00787EBB">
      <w:pPr>
        <w:ind w:firstLine="720"/>
        <w:rPr>
          <w:rFonts w:eastAsiaTheme="minorEastAsia" w:cs="Times New Roman"/>
        </w:rPr>
      </w:pPr>
      <w:r w:rsidRPr="00411513">
        <w:rPr>
          <w:rFonts w:eastAsiaTheme="minorEastAsia" w:cs="Times New Roman"/>
        </w:rPr>
        <w:t>I also use</w:t>
      </w:r>
      <w:r w:rsidRPr="00411513">
        <w:rPr>
          <w:rFonts w:ascii="STIX Two Math" w:eastAsiaTheme="minorEastAsia" w:hAnsi="STIX Two Math" w:cs="STIX Two Math"/>
        </w:rPr>
        <w:t xml:space="preserve"> SLR </w:t>
      </w:r>
      <w:r w:rsidRPr="00411513">
        <w:rPr>
          <w:rFonts w:eastAsiaTheme="minorEastAsia" w:cs="Times New Roman"/>
        </w:rPr>
        <w:t xml:space="preserve">to model the correlations between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eastAsiaTheme="minorEastAsia" w:cs="Times New Roman"/>
        </w:rPr>
        <w:t xml:space="preserve"> (depicted in Figure 6-2, below), and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 xml:space="preserve">(depicted in Figure 6-3, </w:t>
      </w:r>
      <w:r w:rsidR="00E57D9B">
        <w:rPr>
          <w:rFonts w:eastAsiaTheme="minorEastAsia" w:cs="Times New Roman"/>
        </w:rPr>
        <w:t>on the next page</w:t>
      </w:r>
      <w:r w:rsidRPr="00411513">
        <w:rPr>
          <w:rFonts w:eastAsiaTheme="minorEastAsia" w:cs="Times New Roman"/>
        </w:rPr>
        <w:t>).</w:t>
      </w:r>
    </w:p>
    <w:p w14:paraId="31DC6AEA" w14:textId="77777777" w:rsidR="002915BC" w:rsidRPr="00411513" w:rsidRDefault="002915BC" w:rsidP="002915BC">
      <w:pPr>
        <w:keepNext/>
        <w:ind w:left="-142" w:firstLine="142"/>
        <w:jc w:val="center"/>
        <w:rPr>
          <w:rFonts w:ascii="STIX Two Math" w:hAnsi="STIX Two Math" w:cs="STIX Two Math"/>
        </w:rPr>
      </w:pPr>
      <w:r>
        <w:rPr>
          <w:noProof/>
        </w:rPr>
        <w:drawing>
          <wp:inline distT="0" distB="0" distL="0" distR="0" wp14:anchorId="3D9C6BD3" wp14:editId="463B3194">
            <wp:extent cx="5511800" cy="2336800"/>
            <wp:effectExtent l="0" t="0" r="0" b="0"/>
            <wp:docPr id="998126212" name="Chart 1">
              <a:extLst xmlns:a="http://schemas.openxmlformats.org/drawingml/2006/main">
                <a:ext uri="{FF2B5EF4-FFF2-40B4-BE49-F238E27FC236}">
                  <a16:creationId xmlns:a16="http://schemas.microsoft.com/office/drawing/2014/main" id="{9F4665E6-4E2D-2641-8E86-EF8D1598D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FE6E91" w14:textId="33590489" w:rsidR="002915BC" w:rsidRPr="00411513" w:rsidRDefault="002915BC" w:rsidP="00D356D9">
      <w:pPr>
        <w:pStyle w:val="DissertationFigureCaption"/>
        <w:rPr>
          <w:rFonts w:eastAsiaTheme="minorEastAsia"/>
        </w:rPr>
      </w:pPr>
      <w:bookmarkStart w:id="52" w:name="_Toc168415557"/>
      <w:bookmarkStart w:id="53" w:name="_Toc175413239"/>
      <w:r w:rsidRPr="00411513">
        <w:t xml:space="preserve">Figure 6- </w:t>
      </w:r>
      <w:fldSimple w:instr=" SEQ Figure_6- \* ARABIC ">
        <w:r w:rsidR="00AF1E65">
          <w:rPr>
            <w:noProof/>
          </w:rPr>
          <w:t>2</w:t>
        </w:r>
      </w:fldSimple>
      <w:r w:rsidR="00880AD8">
        <w:rPr>
          <w:noProof/>
        </w:rPr>
        <w:t>:</w:t>
      </w:r>
      <w:r w:rsidR="00071625" w:rsidRPr="00071625">
        <w:rPr>
          <w:u w:val="none"/>
        </w:rPr>
        <w:tab/>
      </w:r>
      <w:r w:rsidR="00071625">
        <w:rPr>
          <w:u w:val="none"/>
        </w:rPr>
        <w:t xml:space="preserve">SLR Analysis of </w:t>
      </w:r>
      <m:oMath>
        <m:sSub>
          <m:sSubPr>
            <m:ctrlPr>
              <w:rPr>
                <w:rFonts w:ascii="Cambria Math" w:hAnsi="Cambria Math"/>
                <w:u w:val="none"/>
              </w:rPr>
            </m:ctrlPr>
          </m:sSubPr>
          <m:e>
            <m:r>
              <w:rPr>
                <w:rFonts w:ascii="Cambria Math" w:hAnsi="Cambria Math"/>
                <w:u w:val="none"/>
              </w:rPr>
              <m:t>I</m:t>
            </m:r>
          </m:e>
          <m:sub>
            <m:r>
              <w:rPr>
                <w:rFonts w:ascii="Cambria Math" w:hAnsi="Cambria Math"/>
                <w:u w:val="none"/>
              </w:rPr>
              <m:t>1</m:t>
            </m:r>
          </m:sub>
        </m:sSub>
      </m:oMath>
      <w:r w:rsidR="00071625">
        <w:rPr>
          <w:rFonts w:eastAsiaTheme="minorEastAsia"/>
          <w:u w:val="none"/>
        </w:rPr>
        <w:t xml:space="preserve"> v. </w:t>
      </w:r>
      <m:oMath>
        <m:sSub>
          <m:sSubPr>
            <m:ctrlPr>
              <w:rPr>
                <w:rFonts w:ascii="Cambria Math" w:eastAsiaTheme="minorEastAsia" w:hAnsi="Cambria Math"/>
                <w:u w:val="none"/>
              </w:rPr>
            </m:ctrlPr>
          </m:sSubPr>
          <m:e>
            <m:r>
              <w:rPr>
                <w:rFonts w:ascii="Cambria Math" w:eastAsiaTheme="minorEastAsia" w:hAnsi="Cambria Math"/>
                <w:u w:val="none"/>
              </w:rPr>
              <m:t>D</m:t>
            </m:r>
          </m:e>
          <m:sub>
            <m:r>
              <w:rPr>
                <w:rFonts w:ascii="Cambria Math" w:eastAsiaTheme="minorEastAsia" w:hAnsi="Cambria Math"/>
                <w:u w:val="none"/>
              </w:rPr>
              <m:t>0</m:t>
            </m:r>
          </m:sub>
        </m:sSub>
      </m:oMath>
      <w:bookmarkEnd w:id="52"/>
      <w:bookmarkEnd w:id="53"/>
    </w:p>
    <w:p w14:paraId="0EE4AF88" w14:textId="77777777" w:rsidR="002915BC" w:rsidRPr="00411513" w:rsidRDefault="002915BC" w:rsidP="002915BC">
      <w:pPr>
        <w:keepNext/>
        <w:jc w:val="center"/>
        <w:rPr>
          <w:rFonts w:ascii="STIX Two Math" w:hAnsi="STIX Two Math" w:cs="STIX Two Math"/>
        </w:rPr>
      </w:pPr>
      <w:r>
        <w:rPr>
          <w:noProof/>
        </w:rPr>
        <w:lastRenderedPageBreak/>
        <w:drawing>
          <wp:inline distT="0" distB="0" distL="0" distR="0" wp14:anchorId="4225E29F" wp14:editId="5DCD64B9">
            <wp:extent cx="5448300" cy="2451100"/>
            <wp:effectExtent l="0" t="0" r="0" b="0"/>
            <wp:docPr id="1423333083" name="Chart 1">
              <a:extLst xmlns:a="http://schemas.openxmlformats.org/drawingml/2006/main">
                <a:ext uri="{FF2B5EF4-FFF2-40B4-BE49-F238E27FC236}">
                  <a16:creationId xmlns:a16="http://schemas.microsoft.com/office/drawing/2014/main" id="{78047346-6D0A-E221-21B6-1C9705F26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E7F85F" w14:textId="790FDD79" w:rsidR="002915BC" w:rsidRPr="00546E3C" w:rsidRDefault="002915BC" w:rsidP="00260E70">
      <w:pPr>
        <w:pStyle w:val="DissertationFigureCaption"/>
      </w:pPr>
      <w:bookmarkStart w:id="54" w:name="_Toc168415558"/>
      <w:bookmarkStart w:id="55" w:name="_Toc175413240"/>
      <w:r w:rsidRPr="00411513">
        <w:t xml:space="preserve">Figure 6- </w:t>
      </w:r>
      <w:fldSimple w:instr=" SEQ Figure_6- \* ARABIC ">
        <w:r w:rsidR="00AF1E65">
          <w:rPr>
            <w:noProof/>
          </w:rPr>
          <w:t>3</w:t>
        </w:r>
      </w:fldSimple>
      <w:r w:rsidR="00880AD8">
        <w:rPr>
          <w:noProof/>
        </w:rPr>
        <w:t>:</w:t>
      </w:r>
      <w:r w:rsidR="00071625" w:rsidRPr="00071625">
        <w:rPr>
          <w:u w:val="none"/>
        </w:rPr>
        <w:tab/>
      </w:r>
      <w:r w:rsidR="00071625">
        <w:rPr>
          <w:u w:val="none"/>
        </w:rPr>
        <w:t xml:space="preserve">SLR Analysis of </w:t>
      </w:r>
      <m:oMath>
        <m:sSub>
          <m:sSubPr>
            <m:ctrlPr>
              <w:rPr>
                <w:rFonts w:ascii="Cambria Math" w:hAnsi="Cambria Math"/>
                <w:u w:val="none"/>
              </w:rPr>
            </m:ctrlPr>
          </m:sSubPr>
          <m:e>
            <m:r>
              <w:rPr>
                <w:rFonts w:ascii="Cambria Math" w:hAnsi="Cambria Math"/>
                <w:u w:val="none"/>
              </w:rPr>
              <m:t>I</m:t>
            </m:r>
          </m:e>
          <m:sub>
            <m:r>
              <w:rPr>
                <w:rFonts w:ascii="Cambria Math" w:hAnsi="Cambria Math"/>
                <w:u w:val="none"/>
              </w:rPr>
              <m:t>2</m:t>
            </m:r>
          </m:sub>
        </m:sSub>
      </m:oMath>
      <w:r w:rsidR="00071625">
        <w:rPr>
          <w:rFonts w:eastAsiaTheme="minorEastAsia"/>
          <w:u w:val="none"/>
        </w:rPr>
        <w:t xml:space="preserve"> v. </w:t>
      </w:r>
      <m:oMath>
        <m:sSub>
          <m:sSubPr>
            <m:ctrlPr>
              <w:rPr>
                <w:rFonts w:ascii="Cambria Math" w:eastAsiaTheme="minorEastAsia" w:hAnsi="Cambria Math"/>
                <w:u w:val="none"/>
              </w:rPr>
            </m:ctrlPr>
          </m:sSubPr>
          <m:e>
            <m:r>
              <w:rPr>
                <w:rFonts w:ascii="Cambria Math" w:eastAsiaTheme="minorEastAsia" w:hAnsi="Cambria Math"/>
                <w:u w:val="none"/>
              </w:rPr>
              <m:t>D</m:t>
            </m:r>
          </m:e>
          <m:sub>
            <m:r>
              <w:rPr>
                <w:rFonts w:ascii="Cambria Math" w:eastAsiaTheme="minorEastAsia" w:hAnsi="Cambria Math"/>
                <w:u w:val="none"/>
              </w:rPr>
              <m:t>0</m:t>
            </m:r>
          </m:sub>
        </m:sSub>
      </m:oMath>
      <w:bookmarkEnd w:id="54"/>
      <w:bookmarkEnd w:id="55"/>
    </w:p>
    <w:p w14:paraId="53303E3C" w14:textId="4125D4F6" w:rsidR="002915BC" w:rsidRPr="00411513" w:rsidRDefault="002915BC" w:rsidP="002915BC">
      <w:pPr>
        <w:rPr>
          <w:rFonts w:ascii="STIX Two Math" w:eastAsiaTheme="minorEastAsia" w:hAnsi="STIX Two Math" w:cs="STIX Two Math"/>
        </w:rPr>
      </w:pPr>
      <w:r w:rsidRPr="00411513">
        <w:rPr>
          <w:rFonts w:eastAsiaTheme="minorEastAsia" w:cs="Times New Roman"/>
        </w:rPr>
        <w:t>The</w:t>
      </w:r>
      <w:r w:rsidRPr="00411513">
        <w:rPr>
          <w:rFonts w:ascii="STIX Two Math" w:eastAsiaTheme="minorEastAsia" w:hAnsi="STIX Two Math" w:cs="STIX Two Math"/>
        </w:rPr>
        <w:t xml:space="preserve"> SLR </w:t>
      </w:r>
      <w:r w:rsidRPr="00411513">
        <w:rPr>
          <w:rFonts w:eastAsiaTheme="minorEastAsia" w:cs="Times New Roman"/>
        </w:rPr>
        <w:t xml:space="preserve">measuring the association between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determines regression model</w:t>
      </w:r>
      <w:r w:rsidRPr="00411513">
        <w:rPr>
          <w:rFonts w:ascii="STIX Two Math" w:eastAsiaTheme="minorEastAsia" w:hAnsi="STIX Two Math" w:cs="STIX Two Math"/>
        </w:rPr>
        <w:t xml:space="preserve"> </w:t>
      </w:r>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r>
          <w:rPr>
            <w:rFonts w:ascii="STIX Two Math" w:eastAsiaTheme="minorEastAsia" w:hAnsi="STIX Two Math" w:cs="STIX Two Math"/>
          </w:rPr>
          <m:t>=-</m:t>
        </m:r>
        <m:r>
          <m:rPr>
            <m:nor/>
          </m:rPr>
          <w:rPr>
            <w:rFonts w:ascii="Cambria Math" w:eastAsiaTheme="minorEastAsia" w:hAnsi="Cambria Math" w:cs="STIX Two Math"/>
          </w:rPr>
          <m:t>1.3226</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r>
          <w:rPr>
            <w:rFonts w:ascii="STIX Two Math" w:eastAsiaTheme="minorEastAsia" w:hAnsi="STIX Two Math" w:cs="STIX Two Math"/>
          </w:rPr>
          <m:t>+</m:t>
        </m:r>
        <m:r>
          <m:rPr>
            <m:nor/>
          </m:rPr>
          <w:rPr>
            <w:rFonts w:ascii="Cambria Math" w:eastAsiaTheme="minorEastAsia" w:hAnsi="Cambria Math" w:cs="STIX Two Math"/>
          </w:rPr>
          <m:t>70.851</m:t>
        </m:r>
      </m:oMath>
      <w:r w:rsidRPr="00411513">
        <w:rPr>
          <w:rFonts w:eastAsiaTheme="minorEastAsia" w:cs="Times New Roman"/>
        </w:rPr>
        <w:t xml:space="preserve">. This model indicates that international (state) legitimacy decreases by 1.3226 percent for each one percent increase in Reuters’s coverage of terrorism, when Reuters’s coverage of terrorism is expressed as the percentage of all of the </w:t>
      </w:r>
      <w:r w:rsidR="00F74D09">
        <w:rPr>
          <w:rFonts w:eastAsiaTheme="minorEastAsia" w:cs="Times New Roman"/>
        </w:rPr>
        <w:t>media</w:t>
      </w:r>
      <w:r w:rsidRPr="00411513">
        <w:rPr>
          <w:rFonts w:eastAsiaTheme="minorEastAsia" w:cs="Times New Roman"/>
        </w:rPr>
        <w:t xml:space="preserve"> bulletins Reuters publishes in a given year that is comprised of </w:t>
      </w:r>
      <w:r w:rsidR="00F74D09">
        <w:rPr>
          <w:rFonts w:eastAsiaTheme="minorEastAsia" w:cs="Times New Roman"/>
        </w:rPr>
        <w:t>media</w:t>
      </w:r>
      <w:r w:rsidRPr="00411513">
        <w:rPr>
          <w:rFonts w:eastAsiaTheme="minorEastAsia" w:cs="Times New Roman"/>
        </w:rPr>
        <w:t xml:space="preserve"> bulletins relating to terrorism. As with the regression model calculated in connection with</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Pr>
          <w:rFonts w:eastAsiaTheme="minorEastAsia" w:cs="Times New Roman"/>
        </w:rPr>
        <w:t xml:space="preserve"> (Figure 6-1) it </w:t>
      </w:r>
      <w:r w:rsidRPr="00411513">
        <w:rPr>
          <w:rFonts w:eastAsiaTheme="minorEastAsia" w:cs="Times New Roman"/>
        </w:rPr>
        <w:t>cannot be considered statistically significant (</w:t>
      </w:r>
      <m:oMath>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r>
          <w:rPr>
            <w:rFonts w:ascii="Cambria Math" w:eastAsiaTheme="minorEastAsia" w:hAnsi="Cambria Math" w:cs="Times New Roman"/>
          </w:rPr>
          <m:t>=.1735</m:t>
        </m:r>
      </m:oMath>
      <w:r w:rsidRPr="00411513">
        <w:rPr>
          <w:rFonts w:ascii="STIX Two Math" w:eastAsiaTheme="minorEastAsia" w:hAnsi="STIX Two Math" w:cs="STIX Two Math"/>
        </w:rPr>
        <w:t xml:space="preserve">, </w:t>
      </w:r>
      <m:oMath>
        <m:r>
          <w:rPr>
            <w:rFonts w:ascii="Cambria Math" w:eastAsiaTheme="minorEastAsia" w:hAnsi="Cambria Math" w:cs="STIX Two Math"/>
          </w:rPr>
          <m:t>F(1,5)</m:t>
        </m:r>
        <m:r>
          <w:rPr>
            <w:rFonts w:ascii="STIX Two Math" w:eastAsiaTheme="minorEastAsia" w:hAnsi="STIX Two Math" w:cs="STIX Two Math"/>
          </w:rPr>
          <m:t>=</m:t>
        </m:r>
        <m:r>
          <w:rPr>
            <w:rFonts w:ascii="Cambria Math" w:eastAsiaTheme="minorEastAsia" w:hAnsi="Cambria Math" w:cs="STIX Two Math"/>
          </w:rPr>
          <m:t>1.0498</m:t>
        </m:r>
      </m:oMath>
      <w:r w:rsidRPr="00411513">
        <w:rPr>
          <w:rFonts w:eastAsiaTheme="minorEastAsia" w:cs="Times New Roman"/>
        </w:rPr>
        <w:t>).</w:t>
      </w:r>
    </w:p>
    <w:p w14:paraId="7CD06906" w14:textId="0B45B5B7" w:rsidR="002915BC" w:rsidRPr="00F74D09" w:rsidRDefault="002915BC" w:rsidP="00F74D09">
      <w:pPr>
        <w:ind w:firstLine="720"/>
        <w:rPr>
          <w:rFonts w:eastAsiaTheme="minorEastAsia" w:cs="Times New Roman"/>
        </w:rPr>
      </w:pPr>
      <w:r w:rsidRPr="00411513">
        <w:rPr>
          <w:rFonts w:eastAsiaTheme="minorEastAsia" w:cs="Times New Roman"/>
        </w:rPr>
        <w:t>The final</w:t>
      </w:r>
      <w:r w:rsidRPr="00411513">
        <w:rPr>
          <w:rFonts w:ascii="STIX Two Math" w:eastAsiaTheme="minorEastAsia" w:hAnsi="STIX Two Math" w:cs="STIX Two Math"/>
        </w:rPr>
        <w:t xml:space="preserve"> SLR </w:t>
      </w:r>
      <w:r w:rsidRPr="00411513">
        <w:rPr>
          <w:rFonts w:eastAsiaTheme="minorEastAsia" w:cs="Times New Roman"/>
        </w:rPr>
        <w:t>I conduct in this context measures the association between</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eastAsiaTheme="minorEastAsia" w:cs="Times New Roman"/>
        </w:rPr>
        <w:t xml:space="preserve">, </w:t>
      </w:r>
      <w:r>
        <w:rPr>
          <w:rFonts w:eastAsiaTheme="minorEastAsia" w:cs="Times New Roman"/>
        </w:rPr>
        <w:t>yielding the</w:t>
      </w:r>
      <w:r w:rsidRPr="00411513">
        <w:rPr>
          <w:rFonts w:eastAsiaTheme="minorEastAsia" w:cs="Times New Roman"/>
        </w:rPr>
        <w:t xml:space="preserve"> regression model </w:t>
      </w:r>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r>
          <w:rPr>
            <w:rFonts w:ascii="STIX Two Math" w:eastAsiaTheme="minorEastAsia" w:hAnsi="STIX Two Math" w:cs="STIX Two Math"/>
          </w:rPr>
          <m:t>=-</m:t>
        </m:r>
        <m:r>
          <m:rPr>
            <m:nor/>
          </m:rPr>
          <w:rPr>
            <w:rFonts w:ascii="Cambria Math" w:eastAsiaTheme="minorEastAsia" w:hAnsi="Cambria Math" w:cs="STIX Two Math"/>
          </w:rPr>
          <m:t>0.3912</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r>
          <w:rPr>
            <w:rFonts w:ascii="STIX Two Math" w:eastAsiaTheme="minorEastAsia" w:hAnsi="STIX Two Math" w:cs="STIX Two Math"/>
          </w:rPr>
          <m:t>+</m:t>
        </m:r>
        <m:r>
          <m:rPr>
            <m:nor/>
          </m:rPr>
          <w:rPr>
            <w:rFonts w:ascii="Cambria Math" w:eastAsiaTheme="minorEastAsia" w:hAnsi="Cambria Math" w:cs="STIX Two Math"/>
          </w:rPr>
          <m:t>70.912</m:t>
        </m:r>
      </m:oMath>
      <w:r w:rsidRPr="00411513">
        <w:rPr>
          <w:rFonts w:eastAsiaTheme="minorEastAsia" w:cs="Times New Roman"/>
        </w:rPr>
        <w:t xml:space="preserve">. </w:t>
      </w:r>
      <w:r>
        <w:rPr>
          <w:rFonts w:eastAsiaTheme="minorEastAsia" w:cs="Times New Roman"/>
        </w:rPr>
        <w:t>This result</w:t>
      </w:r>
      <w:r w:rsidRPr="00411513">
        <w:rPr>
          <w:rFonts w:ascii="STIX Two Math" w:eastAsiaTheme="minorEastAsia" w:hAnsi="STIX Two Math" w:cs="STIX Two Math"/>
        </w:rPr>
        <w:t xml:space="preserve"> </w:t>
      </w:r>
      <w:r w:rsidRPr="00411513">
        <w:rPr>
          <w:rFonts w:eastAsiaTheme="minorEastAsia" w:cs="Times New Roman"/>
        </w:rPr>
        <w:t xml:space="preserve">suggests that international (state) legitimacy decreases by -0.3912 percent for each one percent increase in AP’s coverage of terrorism, when AP’s coverage of terrorism constitutes the percentage of all of the </w:t>
      </w:r>
      <w:r w:rsidR="00F74D09">
        <w:rPr>
          <w:rFonts w:eastAsiaTheme="minorEastAsia" w:cs="Times New Roman"/>
        </w:rPr>
        <w:t>media</w:t>
      </w:r>
      <w:r w:rsidRPr="00411513">
        <w:rPr>
          <w:rFonts w:eastAsiaTheme="minorEastAsia" w:cs="Times New Roman"/>
        </w:rPr>
        <w:t xml:space="preserve"> bulletins AP publishes in a year that relate to terrorism. Like the </w:t>
      </w:r>
      <w:r>
        <w:rPr>
          <w:rFonts w:eastAsiaTheme="minorEastAsia" w:cs="Times New Roman"/>
        </w:rPr>
        <w:t xml:space="preserve">other </w:t>
      </w:r>
      <w:r w:rsidRPr="00411513">
        <w:rPr>
          <w:rFonts w:eastAsiaTheme="minorEastAsia" w:cs="Times New Roman"/>
        </w:rPr>
        <w:t>regression models calculated in connection with</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eastAsiaTheme="minorEastAsia" w:cs="Times New Roman"/>
        </w:rPr>
        <w:t>, and</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411513">
        <w:rPr>
          <w:rFonts w:eastAsiaTheme="minorEastAsia" w:cs="Times New Roman"/>
        </w:rPr>
        <w:t xml:space="preserve"> and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oMath>
      <w:r w:rsidRPr="00411513">
        <w:rPr>
          <w:rFonts w:eastAsiaTheme="minorEastAsia" w:cs="Times New Roman"/>
        </w:rPr>
        <w:t>,</w:t>
      </w:r>
      <w:r w:rsidRPr="00411513">
        <w:rPr>
          <w:rFonts w:ascii="STIX Two Math" w:eastAsiaTheme="minorEastAsia" w:hAnsi="STIX Two Math" w:cs="STIX Two Math"/>
        </w:rPr>
        <w:t xml:space="preserve"> </w:t>
      </w:r>
      <m:oMath>
        <m:r>
          <w:rPr>
            <w:rFonts w:ascii="Cambria Math" w:eastAsiaTheme="minorEastAsia" w:hAnsi="Cambria Math" w:cs="STIX Two Math"/>
          </w:rPr>
          <m:t>this model</m:t>
        </m:r>
      </m:oMath>
      <w:r w:rsidRPr="00411513">
        <w:rPr>
          <w:rFonts w:ascii="STIX Two Math" w:eastAsiaTheme="minorEastAsia" w:hAnsi="STIX Two Math" w:cs="STIX Two Math"/>
        </w:rPr>
        <w:t xml:space="preserve"> </w:t>
      </w:r>
      <w:r w:rsidRPr="00411513">
        <w:rPr>
          <w:rFonts w:eastAsiaTheme="minorEastAsia" w:cs="Times New Roman"/>
        </w:rPr>
        <w:t>cannot be considered statistically significant (</w:t>
      </w:r>
      <m:oMath>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oMath>
      <w:r w:rsidRPr="00411513">
        <w:rPr>
          <w:rFonts w:ascii="STIX Two Math" w:eastAsiaTheme="minorEastAsia" w:hAnsi="STIX Two Math" w:cs="STIX Two Math"/>
        </w:rPr>
        <w:t xml:space="preserve">=.1041,  </w:t>
      </w:r>
      <m:oMath>
        <m:r>
          <w:rPr>
            <w:rFonts w:ascii="Cambria Math" w:eastAsiaTheme="minorEastAsia" w:hAnsi="Cambria Math" w:cs="STIX Two Math"/>
          </w:rPr>
          <m:t>F(1,5)</m:t>
        </m:r>
        <m:r>
          <w:rPr>
            <w:rFonts w:ascii="STIX Two Math" w:eastAsiaTheme="minorEastAsia" w:hAnsi="STIX Two Math" w:cs="STIX Two Math"/>
          </w:rPr>
          <m:t>=</m:t>
        </m:r>
        <m:r>
          <m:rPr>
            <m:nor/>
          </m:rPr>
          <w:rPr>
            <w:rFonts w:ascii="Cambria Math" w:eastAsiaTheme="minorEastAsia" w:hAnsi="Cambria Math" w:cs="STIX Two Math"/>
          </w:rPr>
          <m:t>0.581</m:t>
        </m:r>
      </m:oMath>
      <w:r w:rsidRPr="00411513">
        <w:rPr>
          <w:rFonts w:eastAsiaTheme="minorEastAsia" w:cs="Times New Roman"/>
        </w:rPr>
        <w:t>).</w:t>
      </w:r>
    </w:p>
    <w:p w14:paraId="6259F43A" w14:textId="77777777" w:rsidR="002915BC" w:rsidRDefault="002915BC" w:rsidP="002915BC">
      <w:pPr>
        <w:keepNext/>
        <w:rPr>
          <w:rFonts w:eastAsiaTheme="minorEastAsia" w:cs="Times New Roman"/>
        </w:rPr>
      </w:pPr>
      <w:r w:rsidRPr="00411513">
        <w:rPr>
          <w:rFonts w:eastAsiaTheme="minorEastAsia" w:cs="Times New Roman"/>
        </w:rPr>
        <w:t>The control variables that perform best in my analysis of whether media coverage of terrorism affects international (state) legitimacy include the global population variable (</w:t>
      </w:r>
      <m:oMath>
        <m:sSub>
          <m:sSubPr>
            <m:ctrlPr>
              <w:rPr>
                <w:rFonts w:ascii="Cambria Math" w:eastAsiaTheme="minorEastAsia" w:hAnsi="Cambria Math" w:cs="STIX Two Math"/>
                <w:i/>
                <w:szCs w:val="22"/>
              </w:rPr>
            </m:ctrlPr>
          </m:sSubPr>
          <m:e>
            <m:r>
              <w:rPr>
                <w:rFonts w:ascii="Cambria Math" w:eastAsiaTheme="minorEastAsia" w:hAnsi="Cambria Math" w:cs="STIX Two Math"/>
                <w:szCs w:val="22"/>
              </w:rPr>
              <m:t>CV</m:t>
            </m:r>
          </m:e>
          <m:sub>
            <m:r>
              <w:rPr>
                <w:rFonts w:ascii="Cambria Math" w:eastAsiaTheme="minorEastAsia" w:hAnsi="Cambria Math" w:cs="STIX Two Math"/>
                <w:szCs w:val="22"/>
              </w:rPr>
              <m:t>3</m:t>
            </m:r>
          </m:sub>
        </m:sSub>
      </m:oMath>
      <w:r w:rsidRPr="00411513">
        <w:rPr>
          <w:rFonts w:eastAsiaTheme="minorEastAsia" w:cs="Times New Roman"/>
        </w:rPr>
        <w:t>), and the global income</w:t>
      </w:r>
      <w:r w:rsidRPr="00411513">
        <w:rPr>
          <w:rFonts w:eastAsiaTheme="minorEastAsia" w:cs="Times New Roman"/>
          <w:i/>
          <w:iCs/>
        </w:rPr>
        <w:t xml:space="preserve"> </w:t>
      </w:r>
      <w:r w:rsidRPr="00411513">
        <w:rPr>
          <w:rFonts w:eastAsiaTheme="minorEastAsia" w:cs="Times New Roman"/>
        </w:rPr>
        <w:t>variable (</w:t>
      </w:r>
      <m:oMath>
        <m:sSub>
          <m:sSubPr>
            <m:ctrlPr>
              <w:rPr>
                <w:rFonts w:ascii="Cambria Math" w:eastAsiaTheme="minorEastAsia" w:hAnsi="Cambria Math" w:cs="STIX Two Math"/>
                <w:i/>
                <w:szCs w:val="22"/>
              </w:rPr>
            </m:ctrlPr>
          </m:sSubPr>
          <m:e>
            <m:r>
              <w:rPr>
                <w:rFonts w:ascii="Cambria Math" w:eastAsiaTheme="minorEastAsia" w:hAnsi="Cambria Math" w:cs="STIX Two Math"/>
                <w:szCs w:val="22"/>
              </w:rPr>
              <m:t>CV</m:t>
            </m:r>
          </m:e>
          <m:sub>
            <m:r>
              <w:rPr>
                <w:rFonts w:ascii="Cambria Math" w:eastAsiaTheme="minorEastAsia" w:hAnsi="Cambria Math" w:cs="STIX Two Math"/>
                <w:szCs w:val="22"/>
              </w:rPr>
              <m:t>4</m:t>
            </m:r>
          </m:sub>
        </m:sSub>
      </m:oMath>
      <w:r w:rsidRPr="00411513">
        <w:rPr>
          <w:rFonts w:eastAsiaTheme="minorEastAsia" w:cs="Times New Roman"/>
        </w:rPr>
        <w:t xml:space="preserve">). (See Table 6-2, below.) </w:t>
      </w:r>
    </w:p>
    <w:p w14:paraId="2FFB4863" w14:textId="77777777" w:rsidR="002915BC" w:rsidRPr="00411513" w:rsidRDefault="002915BC" w:rsidP="002915BC">
      <w:pPr>
        <w:keepNext/>
        <w:rPr>
          <w:rFonts w:ascii="STIX Two Math" w:hAnsi="STIX Two Math" w:cs="STIX Two Math"/>
          <w:u w:val="single"/>
        </w:rPr>
      </w:pPr>
    </w:p>
    <w:tbl>
      <w:tblPr>
        <w:tblStyle w:val="TableGrid"/>
        <w:tblW w:w="8588" w:type="dxa"/>
        <w:tblLayout w:type="fixed"/>
        <w:tblLook w:val="04A0" w:firstRow="1" w:lastRow="0" w:firstColumn="1" w:lastColumn="0" w:noHBand="0" w:noVBand="1"/>
      </w:tblPr>
      <w:tblGrid>
        <w:gridCol w:w="2114"/>
        <w:gridCol w:w="1869"/>
        <w:gridCol w:w="851"/>
        <w:gridCol w:w="470"/>
        <w:gridCol w:w="947"/>
        <w:gridCol w:w="1468"/>
        <w:gridCol w:w="869"/>
      </w:tblGrid>
      <w:tr w:rsidR="002915BC" w:rsidRPr="00411513" w14:paraId="6F4C203D" w14:textId="77777777" w:rsidTr="00787EBB">
        <w:trPr>
          <w:trHeight w:val="403"/>
        </w:trPr>
        <w:tc>
          <w:tcPr>
            <w:tcW w:w="2114" w:type="dxa"/>
            <w:vAlign w:val="center"/>
          </w:tcPr>
          <w:p w14:paraId="5614C658" w14:textId="77777777" w:rsidR="002915BC" w:rsidRPr="00411513" w:rsidRDefault="002915BC" w:rsidP="000D39B7">
            <w:pPr>
              <w:pStyle w:val="NoSpacing"/>
              <w:spacing w:after="120"/>
              <w:jc w:val="center"/>
              <w:rPr>
                <w:rFonts w:ascii="Times New Roman" w:hAnsi="Times New Roman" w:cs="Times New Roman"/>
                <w:b/>
                <w:bCs/>
                <w:sz w:val="22"/>
                <w:szCs w:val="22"/>
              </w:rPr>
            </w:pPr>
            <w:r w:rsidRPr="00411513">
              <w:rPr>
                <w:rFonts w:ascii="Times New Roman" w:hAnsi="Times New Roman" w:cs="Times New Roman"/>
                <w:b/>
                <w:bCs/>
                <w:sz w:val="22"/>
                <w:szCs w:val="22"/>
              </w:rPr>
              <w:t>Independent Variable</w:t>
            </w:r>
          </w:p>
        </w:tc>
        <w:tc>
          <w:tcPr>
            <w:tcW w:w="1869" w:type="dxa"/>
          </w:tcPr>
          <w:p w14:paraId="760A09A3" w14:textId="77777777" w:rsidR="002915BC" w:rsidRPr="00411513" w:rsidRDefault="002915BC" w:rsidP="000D39B7">
            <w:pPr>
              <w:pStyle w:val="NoSpacing"/>
              <w:spacing w:after="120"/>
              <w:jc w:val="center"/>
              <w:rPr>
                <w:rFonts w:ascii="Times New Roman" w:hAnsi="Times New Roman" w:cs="Times New Roman"/>
                <w:b/>
                <w:bCs/>
                <w:sz w:val="22"/>
                <w:szCs w:val="22"/>
              </w:rPr>
            </w:pPr>
            <w:r w:rsidRPr="00411513">
              <w:rPr>
                <w:rFonts w:ascii="Times New Roman" w:hAnsi="Times New Roman" w:cs="Times New Roman"/>
                <w:b/>
                <w:bCs/>
                <w:sz w:val="22"/>
                <w:szCs w:val="22"/>
              </w:rPr>
              <w:t>Dependent Variable</w:t>
            </w:r>
          </w:p>
        </w:tc>
        <w:tc>
          <w:tcPr>
            <w:tcW w:w="851" w:type="dxa"/>
            <w:vAlign w:val="center"/>
          </w:tcPr>
          <w:p w14:paraId="7A20B317" w14:textId="77777777" w:rsidR="002915BC" w:rsidRPr="00411513" w:rsidRDefault="002915BC" w:rsidP="000D39B7">
            <w:pPr>
              <w:pStyle w:val="NoSpacing"/>
              <w:spacing w:after="120"/>
              <w:jc w:val="center"/>
              <w:rPr>
                <w:rFonts w:ascii="STIX Two Math" w:hAnsi="STIX Two Math" w:cs="STIX Two Math"/>
                <w:sz w:val="22"/>
                <w:szCs w:val="22"/>
              </w:rPr>
            </w:pPr>
            <m:oMathPara>
              <m:oMath>
                <m:r>
                  <w:rPr>
                    <w:rFonts w:ascii="Cambria Math" w:hAnsi="Cambria Math" w:cs="STIX Two Math"/>
                    <w:sz w:val="22"/>
                    <w:szCs w:val="22"/>
                  </w:rPr>
                  <m:t>N</m:t>
                </m:r>
              </m:oMath>
            </m:oMathPara>
          </w:p>
        </w:tc>
        <w:tc>
          <w:tcPr>
            <w:tcW w:w="470" w:type="dxa"/>
            <w:vAlign w:val="center"/>
          </w:tcPr>
          <w:p w14:paraId="53836361" w14:textId="77777777" w:rsidR="002915BC" w:rsidRPr="00411513" w:rsidRDefault="002915BC" w:rsidP="000D39B7">
            <w:pPr>
              <w:pStyle w:val="NoSpacing"/>
              <w:spacing w:after="120"/>
              <w:jc w:val="center"/>
              <w:rPr>
                <w:rFonts w:ascii="STIX Two Math" w:hAnsi="STIX Two Math" w:cs="STIX Two Math"/>
                <w:sz w:val="22"/>
                <w:szCs w:val="22"/>
              </w:rPr>
            </w:pPr>
            <w:proofErr w:type="spellStart"/>
            <w:r w:rsidRPr="00411513">
              <w:rPr>
                <w:rFonts w:ascii="STIX Two Math" w:hAnsi="STIX Two Math" w:cs="STIX Two Math"/>
                <w:sz w:val="22"/>
                <w:szCs w:val="22"/>
              </w:rPr>
              <w:t>df</w:t>
            </w:r>
            <w:proofErr w:type="spellEnd"/>
          </w:p>
        </w:tc>
        <w:tc>
          <w:tcPr>
            <w:tcW w:w="947" w:type="dxa"/>
            <w:vAlign w:val="center"/>
          </w:tcPr>
          <w:p w14:paraId="72885AF9" w14:textId="77777777" w:rsidR="002915BC" w:rsidRPr="00411513" w:rsidRDefault="002915BC" w:rsidP="000D39B7">
            <w:pPr>
              <w:pStyle w:val="NoSpacing"/>
              <w:spacing w:after="120"/>
              <w:jc w:val="center"/>
              <w:rPr>
                <w:rFonts w:ascii="STIX Two Math" w:hAnsi="STIX Two Math" w:cs="STIX Two Math"/>
                <w:sz w:val="22"/>
                <w:szCs w:val="22"/>
              </w:rPr>
            </w:pPr>
            <m:oMathPara>
              <m:oMath>
                <m:r>
                  <w:rPr>
                    <w:rFonts w:ascii="Cambria Math" w:hAnsi="Cambria Math" w:cs="STIX Two Math"/>
                    <w:sz w:val="22"/>
                    <w:szCs w:val="22"/>
                  </w:rPr>
                  <m:t>ρ</m:t>
                </m:r>
              </m:oMath>
            </m:oMathPara>
          </w:p>
        </w:tc>
        <w:tc>
          <w:tcPr>
            <w:tcW w:w="1468" w:type="dxa"/>
            <w:vAlign w:val="center"/>
          </w:tcPr>
          <w:p w14:paraId="74170162" w14:textId="77777777" w:rsidR="002915BC" w:rsidRPr="00411513" w:rsidRDefault="002915BC" w:rsidP="000D39B7">
            <w:pPr>
              <w:pStyle w:val="NoSpacing"/>
              <w:spacing w:after="120"/>
              <w:jc w:val="center"/>
              <w:rPr>
                <w:rFonts w:ascii="Times New Roman" w:hAnsi="Times New Roman" w:cs="Times New Roman"/>
                <w:b/>
                <w:bCs/>
                <w:sz w:val="22"/>
                <w:szCs w:val="22"/>
              </w:rPr>
            </w:pPr>
            <w:r w:rsidRPr="00411513">
              <w:rPr>
                <w:rFonts w:ascii="Times New Roman" w:hAnsi="Times New Roman" w:cs="Times New Roman"/>
                <w:b/>
                <w:bCs/>
                <w:sz w:val="22"/>
                <w:szCs w:val="22"/>
              </w:rPr>
              <w:t>Significance</w:t>
            </w:r>
          </w:p>
        </w:tc>
        <w:tc>
          <w:tcPr>
            <w:tcW w:w="869" w:type="dxa"/>
            <w:vAlign w:val="center"/>
          </w:tcPr>
          <w:p w14:paraId="319D016A" w14:textId="77777777" w:rsidR="002915BC" w:rsidRPr="00411513" w:rsidRDefault="00000000" w:rsidP="000D39B7">
            <w:pPr>
              <w:pStyle w:val="NoSpacing"/>
              <w:spacing w:after="120"/>
              <w:jc w:val="center"/>
              <w:rPr>
                <w:rFonts w:ascii="STIX Two Math" w:hAnsi="STIX Two Math" w:cs="STIX Two Math"/>
                <w:sz w:val="22"/>
                <w:szCs w:val="22"/>
              </w:rPr>
            </w:pPr>
            <m:oMathPara>
              <m:oMath>
                <m:sSup>
                  <m:sSupPr>
                    <m:ctrlPr>
                      <w:rPr>
                        <w:rFonts w:ascii="Cambria Math" w:hAnsi="Cambria Math" w:cs="STIX Two Math"/>
                        <w:i/>
                        <w:sz w:val="22"/>
                        <w:szCs w:val="22"/>
                      </w:rPr>
                    </m:ctrlPr>
                  </m:sSupPr>
                  <m:e>
                    <m:r>
                      <w:rPr>
                        <w:rFonts w:ascii="Cambria Math" w:hAnsi="Cambria Math" w:cs="STIX Two Math"/>
                        <w:sz w:val="22"/>
                        <w:szCs w:val="22"/>
                      </w:rPr>
                      <m:t>r</m:t>
                    </m:r>
                  </m:e>
                  <m:sup>
                    <m:r>
                      <w:rPr>
                        <w:rFonts w:ascii="Cambria Math" w:hAnsi="Cambria Math" w:cs="STIX Two Math"/>
                        <w:sz w:val="22"/>
                        <w:szCs w:val="22"/>
                      </w:rPr>
                      <m:t>2</m:t>
                    </m:r>
                  </m:sup>
                </m:sSup>
              </m:oMath>
            </m:oMathPara>
          </w:p>
        </w:tc>
      </w:tr>
      <w:tr w:rsidR="002915BC" w:rsidRPr="00411513" w14:paraId="190362CB" w14:textId="77777777" w:rsidTr="00787EBB">
        <w:trPr>
          <w:trHeight w:val="424"/>
        </w:trPr>
        <w:tc>
          <w:tcPr>
            <w:tcW w:w="2114" w:type="dxa"/>
          </w:tcPr>
          <w:p w14:paraId="567DB11B" w14:textId="77777777" w:rsidR="002915BC" w:rsidRPr="00411513" w:rsidRDefault="00000000" w:rsidP="000D39B7">
            <w:pPr>
              <w:pStyle w:val="NoSpacing"/>
              <w:spacing w:after="120"/>
              <w:rPr>
                <w:rFonts w:ascii="STIX Two Math" w:hAnsi="STIX Two Math" w:cs="STIX Two Math"/>
                <w:sz w:val="22"/>
                <w:szCs w:val="22"/>
              </w:rPr>
            </w:pPr>
            <m:oMath>
              <m:sSub>
                <m:sSubPr>
                  <m:ctrlPr>
                    <w:rPr>
                      <w:rFonts w:ascii="Cambria Math" w:eastAsiaTheme="minorEastAsia" w:hAnsi="Cambria Math" w:cs="STIX Two Math"/>
                      <w:i/>
                      <w:sz w:val="22"/>
                      <w:szCs w:val="22"/>
                    </w:rPr>
                  </m:ctrlPr>
                </m:sSubPr>
                <m:e>
                  <m:r>
                    <w:rPr>
                      <w:rFonts w:ascii="Cambria Math" w:eastAsiaTheme="minorEastAsia" w:hAnsi="Cambria Math" w:cs="STIX Two Math"/>
                      <w:sz w:val="22"/>
                      <w:szCs w:val="22"/>
                    </w:rPr>
                    <m:t>CV</m:t>
                  </m:r>
                </m:e>
                <m:sub>
                  <m:r>
                    <w:rPr>
                      <w:rFonts w:ascii="Cambria Math" w:eastAsiaTheme="minorEastAsia" w:hAnsi="Cambria Math" w:cs="STIX Two Math"/>
                      <w:sz w:val="22"/>
                      <w:szCs w:val="22"/>
                    </w:rPr>
                    <m:t>1</m:t>
                  </m:r>
                </m:sub>
              </m:sSub>
            </m:oMath>
            <w:r w:rsidR="002915BC" w:rsidRPr="00411513">
              <w:rPr>
                <w:rFonts w:ascii="STIX Two Math" w:eastAsiaTheme="minorEastAsia" w:hAnsi="STIX Two Math" w:cs="STIX Two Math"/>
                <w:sz w:val="22"/>
                <w:szCs w:val="22"/>
              </w:rPr>
              <w:t xml:space="preserve">  </w:t>
            </w:r>
            <w:r w:rsidR="002915BC" w:rsidRPr="00411513">
              <w:rPr>
                <w:rFonts w:ascii="Times New Roman" w:eastAsiaTheme="minorEastAsia" w:hAnsi="Times New Roman" w:cs="Times New Roman"/>
                <w:sz w:val="22"/>
                <w:szCs w:val="22"/>
              </w:rPr>
              <w:t>Terrorism</w:t>
            </w:r>
          </w:p>
        </w:tc>
        <w:tc>
          <w:tcPr>
            <w:tcW w:w="1869" w:type="dxa"/>
            <w:vMerge w:val="restart"/>
            <w:vAlign w:val="center"/>
          </w:tcPr>
          <w:p w14:paraId="2F0036D8" w14:textId="77777777" w:rsidR="002915BC" w:rsidRDefault="00000000" w:rsidP="000D39B7">
            <w:pPr>
              <w:pStyle w:val="NoSpacing"/>
              <w:spacing w:after="120"/>
              <w:jc w:val="center"/>
              <w:rPr>
                <w:rFonts w:ascii="Times New Roman" w:eastAsiaTheme="minorEastAsia" w:hAnsi="Times New Roman" w:cs="Times New Roman"/>
              </w:rPr>
            </w:pPr>
            <m:oMathPara>
              <m:oMath>
                <m:sSub>
                  <m:sSubPr>
                    <m:ctrlPr>
                      <w:rPr>
                        <w:rFonts w:ascii="Cambria Math" w:eastAsiaTheme="minorEastAsia" w:hAnsi="Cambria Math" w:cs="STIX Two Math"/>
                        <w:i/>
                      </w:rPr>
                    </m:ctrlPr>
                  </m:sSubPr>
                  <m:e>
                    <m:r>
                      <w:rPr>
                        <w:rFonts w:ascii="Cambria Math" w:eastAsiaTheme="minorEastAsia" w:hAnsi="Cambria Math" w:cs="STIX Two Math"/>
                      </w:rPr>
                      <m:t>D</m:t>
                    </m:r>
                  </m:e>
                  <m:sub>
                    <m:r>
                      <w:rPr>
                        <w:rFonts w:ascii="Cambria Math" w:eastAsiaTheme="minorEastAsia" w:hAnsi="Cambria Math" w:cs="STIX Two Math"/>
                      </w:rPr>
                      <m:t>0</m:t>
                    </m:r>
                  </m:sub>
                </m:sSub>
              </m:oMath>
            </m:oMathPara>
          </w:p>
          <w:p w14:paraId="3644D4BC" w14:textId="77777777" w:rsidR="002915BC" w:rsidRPr="00411513" w:rsidRDefault="002915BC" w:rsidP="000D39B7">
            <w:pPr>
              <w:pStyle w:val="NoSpacing"/>
              <w:spacing w:after="120"/>
              <w:jc w:val="center"/>
              <w:rPr>
                <w:rFonts w:ascii="Times New Roman" w:hAnsi="Times New Roman" w:cs="Times New Roman"/>
                <w:sz w:val="22"/>
                <w:szCs w:val="22"/>
              </w:rPr>
            </w:pPr>
            <w:r w:rsidRPr="00411513">
              <w:rPr>
                <w:rFonts w:ascii="Times New Roman" w:eastAsiaTheme="minorEastAsia" w:hAnsi="Times New Roman" w:cs="Times New Roman"/>
                <w:sz w:val="22"/>
                <w:szCs w:val="22"/>
              </w:rPr>
              <w:t>International (State) Legitimacy</w:t>
            </w:r>
          </w:p>
        </w:tc>
        <w:tc>
          <w:tcPr>
            <w:tcW w:w="851" w:type="dxa"/>
            <w:vAlign w:val="center"/>
          </w:tcPr>
          <w:p w14:paraId="09A20917"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7</w:t>
            </w:r>
          </w:p>
        </w:tc>
        <w:tc>
          <w:tcPr>
            <w:tcW w:w="470" w:type="dxa"/>
            <w:vAlign w:val="center"/>
          </w:tcPr>
          <w:p w14:paraId="28437433"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5</w:t>
            </w:r>
          </w:p>
        </w:tc>
        <w:tc>
          <w:tcPr>
            <w:tcW w:w="947" w:type="dxa"/>
            <w:vAlign w:val="center"/>
          </w:tcPr>
          <w:p w14:paraId="3ECD8EE3"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0.</w:t>
            </w:r>
            <w:r>
              <w:rPr>
                <w:rFonts w:ascii="STIX Two Math" w:hAnsi="STIX Two Math" w:cs="STIX Two Math"/>
                <w:sz w:val="22"/>
                <w:szCs w:val="22"/>
              </w:rPr>
              <w:t>2857</w:t>
            </w:r>
          </w:p>
        </w:tc>
        <w:tc>
          <w:tcPr>
            <w:tcW w:w="1468" w:type="dxa"/>
            <w:vMerge w:val="restart"/>
            <w:vAlign w:val="center"/>
          </w:tcPr>
          <w:p w14:paraId="6EEF6371"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Times New Roman" w:eastAsiaTheme="minorEastAsia" w:hAnsi="Times New Roman" w:cs="Times New Roman"/>
                <w:sz w:val="22"/>
                <w:szCs w:val="22"/>
              </w:rPr>
              <w:t>At</w:t>
            </w:r>
            <w:r w:rsidRPr="00411513">
              <w:rPr>
                <w:rFonts w:ascii="STIX Two Math" w:eastAsiaTheme="minorEastAsia" w:hAnsi="STIX Two Math" w:cs="STIX Two Math"/>
                <w:sz w:val="22"/>
                <w:szCs w:val="22"/>
              </w:rPr>
              <w:t xml:space="preserve"> </w:t>
            </w:r>
            <m:oMath>
              <m:r>
                <w:rPr>
                  <w:rFonts w:ascii="Cambria Math" w:hAnsi="Cambria Math" w:cs="STIX Two Math"/>
                  <w:sz w:val="22"/>
                  <w:szCs w:val="22"/>
                </w:rPr>
                <m:t>α</m:t>
              </m:r>
              <m:r>
                <w:rPr>
                  <w:rFonts w:ascii="STIX Two Math" w:hAnsi="STIX Two Math" w:cs="STIX Two Math"/>
                  <w:sz w:val="22"/>
                  <w:szCs w:val="22"/>
                </w:rPr>
                <m:t>=</m:t>
              </m:r>
              <m:r>
                <m:rPr>
                  <m:nor/>
                </m:rPr>
                <w:rPr>
                  <w:rFonts w:ascii="Cambria Math" w:hAnsi="Cambria Math" w:cs="STIX Two Math"/>
                  <w:sz w:val="22"/>
                  <w:szCs w:val="22"/>
                </w:rPr>
                <m:t>0.05</m:t>
              </m:r>
            </m:oMath>
            <w:r w:rsidRPr="00411513">
              <w:rPr>
                <w:rFonts w:ascii="STIX Two Math" w:eastAsiaTheme="minorEastAsia" w:hAnsi="STIX Two Math" w:cs="STIX Two Math"/>
                <w:sz w:val="22"/>
                <w:szCs w:val="22"/>
              </w:rPr>
              <w:t>, |</w:t>
            </w:r>
            <m:oMath>
              <m:sSub>
                <m:sSubPr>
                  <m:ctrlPr>
                    <w:rPr>
                      <w:rFonts w:ascii="STIX Two Math" w:eastAsiaTheme="minorEastAsia" w:hAnsi="STIX Two Math" w:cs="STIX Two Math"/>
                      <w:i/>
                      <w:sz w:val="22"/>
                      <w:szCs w:val="22"/>
                    </w:rPr>
                  </m:ctrlPr>
                </m:sSubPr>
                <m:e>
                  <m:r>
                    <w:rPr>
                      <w:rFonts w:ascii="Cambria Math" w:eastAsiaTheme="minorEastAsia" w:hAnsi="Cambria Math" w:cs="STIX Two Math"/>
                      <w:sz w:val="22"/>
                      <w:szCs w:val="22"/>
                    </w:rPr>
                    <m:t>ρ</m:t>
                  </m:r>
                </m:e>
                <m:sub>
                  <m:r>
                    <m:rPr>
                      <m:nor/>
                    </m:rPr>
                    <w:rPr>
                      <w:rFonts w:ascii="STIX Two Math" w:eastAsiaTheme="minorEastAsia" w:hAnsi="STIX Two Math" w:cs="STIX Two Math"/>
                      <w:sz w:val="22"/>
                      <w:szCs w:val="22"/>
                    </w:rPr>
                    <m:t>critical</m:t>
                  </m:r>
                </m:sub>
              </m:sSub>
              <m:r>
                <w:rPr>
                  <w:rFonts w:ascii="STIX Two Math" w:eastAsiaTheme="minorEastAsia" w:hAnsi="STIX Two Math" w:cs="STIX Two Math"/>
                  <w:sz w:val="22"/>
                  <w:szCs w:val="22"/>
                </w:rPr>
                <m:t>|=.</m:t>
              </m:r>
              <m:r>
                <m:rPr>
                  <m:nor/>
                </m:rPr>
                <w:rPr>
                  <w:rFonts w:ascii="Cambria Math" w:eastAsiaTheme="minorEastAsia" w:hAnsi="Cambria Math" w:cs="STIX Two Math"/>
                  <w:sz w:val="22"/>
                  <w:szCs w:val="22"/>
                </w:rPr>
                <m:t>714</m:t>
              </m:r>
            </m:oMath>
          </w:p>
        </w:tc>
        <w:tc>
          <w:tcPr>
            <w:tcW w:w="869" w:type="dxa"/>
          </w:tcPr>
          <w:p w14:paraId="70C6E31A" w14:textId="77777777" w:rsidR="002915BC" w:rsidRPr="00411513" w:rsidRDefault="002915BC" w:rsidP="000D39B7">
            <w:pPr>
              <w:pStyle w:val="NoSpacing"/>
              <w:spacing w:after="120"/>
              <w:rPr>
                <w:rFonts w:ascii="STIX Two Math" w:hAnsi="STIX Two Math" w:cs="STIX Two Math"/>
                <w:sz w:val="22"/>
                <w:szCs w:val="22"/>
              </w:rPr>
            </w:pPr>
            <w:r w:rsidRPr="00411513">
              <w:rPr>
                <w:rFonts w:ascii="STIX Two Math" w:hAnsi="STIX Two Math" w:cs="STIX Two Math"/>
                <w:sz w:val="22"/>
                <w:szCs w:val="22"/>
              </w:rPr>
              <w:t>0.</w:t>
            </w:r>
            <w:r>
              <w:rPr>
                <w:rFonts w:ascii="STIX Two Math" w:hAnsi="STIX Two Math" w:cs="STIX Two Math"/>
                <w:sz w:val="22"/>
                <w:szCs w:val="22"/>
              </w:rPr>
              <w:t>0055</w:t>
            </w:r>
          </w:p>
        </w:tc>
      </w:tr>
      <w:tr w:rsidR="002915BC" w:rsidRPr="00411513" w14:paraId="69932D61" w14:textId="77777777" w:rsidTr="00787EBB">
        <w:trPr>
          <w:trHeight w:val="403"/>
        </w:trPr>
        <w:tc>
          <w:tcPr>
            <w:tcW w:w="2114" w:type="dxa"/>
          </w:tcPr>
          <w:p w14:paraId="31F1D373" w14:textId="77777777" w:rsidR="002915BC" w:rsidRPr="00411513" w:rsidRDefault="00000000" w:rsidP="000D39B7">
            <w:pPr>
              <w:pStyle w:val="NoSpacing"/>
              <w:spacing w:after="120"/>
              <w:rPr>
                <w:rFonts w:ascii="STIX Two Math" w:hAnsi="STIX Two Math" w:cs="STIX Two Math"/>
                <w:sz w:val="22"/>
                <w:szCs w:val="22"/>
              </w:rPr>
            </w:pPr>
            <m:oMath>
              <m:sSub>
                <m:sSubPr>
                  <m:ctrlPr>
                    <w:rPr>
                      <w:rFonts w:ascii="Cambria Math" w:eastAsiaTheme="minorEastAsia" w:hAnsi="Cambria Math" w:cs="STIX Two Math"/>
                      <w:i/>
                      <w:sz w:val="22"/>
                      <w:szCs w:val="22"/>
                    </w:rPr>
                  </m:ctrlPr>
                </m:sSubPr>
                <m:e>
                  <m:r>
                    <w:rPr>
                      <w:rFonts w:ascii="Cambria Math" w:eastAsiaTheme="minorEastAsia" w:hAnsi="Cambria Math" w:cs="STIX Two Math"/>
                      <w:sz w:val="22"/>
                      <w:szCs w:val="22"/>
                    </w:rPr>
                    <m:t>CV</m:t>
                  </m:r>
                </m:e>
                <m:sub>
                  <m:r>
                    <w:rPr>
                      <w:rFonts w:ascii="Cambria Math" w:eastAsiaTheme="minorEastAsia" w:hAnsi="Cambria Math" w:cs="STIX Two Math"/>
                      <w:sz w:val="22"/>
                      <w:szCs w:val="22"/>
                    </w:rPr>
                    <m:t>2</m:t>
                  </m:r>
                </m:sub>
              </m:sSub>
            </m:oMath>
            <w:r w:rsidR="002915BC" w:rsidRPr="00411513">
              <w:rPr>
                <w:rFonts w:ascii="STIX Two Math" w:eastAsiaTheme="minorEastAsia" w:hAnsi="STIX Two Math" w:cs="STIX Two Math"/>
                <w:sz w:val="22"/>
                <w:szCs w:val="22"/>
              </w:rPr>
              <w:t xml:space="preserve">  </w:t>
            </w:r>
            <w:r w:rsidR="002915BC">
              <w:rPr>
                <w:rFonts w:ascii="Times New Roman" w:eastAsiaTheme="minorEastAsia" w:hAnsi="Times New Roman" w:cs="Times New Roman"/>
                <w:sz w:val="22"/>
                <w:szCs w:val="22"/>
              </w:rPr>
              <w:t>Capability</w:t>
            </w:r>
          </w:p>
        </w:tc>
        <w:tc>
          <w:tcPr>
            <w:tcW w:w="1869" w:type="dxa"/>
            <w:vMerge/>
          </w:tcPr>
          <w:p w14:paraId="2549A41E" w14:textId="77777777" w:rsidR="002915BC" w:rsidRPr="00411513" w:rsidRDefault="002915BC" w:rsidP="000D39B7">
            <w:pPr>
              <w:pStyle w:val="NoSpacing"/>
              <w:spacing w:after="120"/>
              <w:rPr>
                <w:rFonts w:ascii="STIX Two Math" w:hAnsi="STIX Two Math" w:cs="STIX Two Math"/>
                <w:sz w:val="22"/>
                <w:szCs w:val="22"/>
              </w:rPr>
            </w:pPr>
          </w:p>
        </w:tc>
        <w:tc>
          <w:tcPr>
            <w:tcW w:w="851" w:type="dxa"/>
            <w:vAlign w:val="center"/>
          </w:tcPr>
          <w:p w14:paraId="1529D55D"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7</w:t>
            </w:r>
          </w:p>
        </w:tc>
        <w:tc>
          <w:tcPr>
            <w:tcW w:w="470" w:type="dxa"/>
            <w:vAlign w:val="center"/>
          </w:tcPr>
          <w:p w14:paraId="00EB08B0"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5</w:t>
            </w:r>
          </w:p>
        </w:tc>
        <w:tc>
          <w:tcPr>
            <w:tcW w:w="947" w:type="dxa"/>
            <w:vAlign w:val="center"/>
          </w:tcPr>
          <w:p w14:paraId="53B8E861"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-0.</w:t>
            </w:r>
            <w:r>
              <w:rPr>
                <w:rFonts w:ascii="STIX Two Math" w:hAnsi="STIX Two Math" w:cs="STIX Two Math"/>
                <w:sz w:val="22"/>
                <w:szCs w:val="22"/>
              </w:rPr>
              <w:t>0357</w:t>
            </w:r>
          </w:p>
        </w:tc>
        <w:tc>
          <w:tcPr>
            <w:tcW w:w="1468" w:type="dxa"/>
            <w:vMerge/>
          </w:tcPr>
          <w:p w14:paraId="77B7C407" w14:textId="77777777" w:rsidR="002915BC" w:rsidRPr="00411513" w:rsidRDefault="002915BC" w:rsidP="000D39B7">
            <w:pPr>
              <w:pStyle w:val="NoSpacing"/>
              <w:spacing w:after="120"/>
              <w:rPr>
                <w:rFonts w:ascii="STIX Two Math" w:hAnsi="STIX Two Math" w:cs="STIX Two Math"/>
                <w:sz w:val="22"/>
                <w:szCs w:val="22"/>
              </w:rPr>
            </w:pPr>
          </w:p>
        </w:tc>
        <w:tc>
          <w:tcPr>
            <w:tcW w:w="869" w:type="dxa"/>
          </w:tcPr>
          <w:p w14:paraId="5FE83056" w14:textId="77777777" w:rsidR="002915BC" w:rsidRPr="00411513" w:rsidRDefault="002915BC" w:rsidP="000D39B7">
            <w:pPr>
              <w:pStyle w:val="NoSpacing"/>
              <w:spacing w:after="120"/>
              <w:rPr>
                <w:rFonts w:ascii="STIX Two Math" w:hAnsi="STIX Two Math" w:cs="STIX Two Math"/>
                <w:sz w:val="22"/>
                <w:szCs w:val="22"/>
              </w:rPr>
            </w:pPr>
            <w:r w:rsidRPr="00411513">
              <w:rPr>
                <w:rFonts w:ascii="STIX Two Math" w:hAnsi="STIX Two Math" w:cs="STIX Two Math"/>
                <w:sz w:val="22"/>
                <w:szCs w:val="22"/>
              </w:rPr>
              <w:t>0.1</w:t>
            </w:r>
            <w:r>
              <w:rPr>
                <w:rFonts w:ascii="STIX Two Math" w:hAnsi="STIX Two Math" w:cs="STIX Two Math"/>
                <w:sz w:val="22"/>
                <w:szCs w:val="22"/>
              </w:rPr>
              <w:t>372</w:t>
            </w:r>
          </w:p>
        </w:tc>
      </w:tr>
      <w:tr w:rsidR="002915BC" w:rsidRPr="00411513" w14:paraId="1A646DD3" w14:textId="77777777" w:rsidTr="00787EBB">
        <w:trPr>
          <w:trHeight w:val="403"/>
        </w:trPr>
        <w:tc>
          <w:tcPr>
            <w:tcW w:w="2114" w:type="dxa"/>
          </w:tcPr>
          <w:p w14:paraId="4E40CFC8" w14:textId="77777777" w:rsidR="002915BC" w:rsidRPr="00411513" w:rsidRDefault="00000000" w:rsidP="000D39B7">
            <w:pPr>
              <w:pStyle w:val="NoSpacing"/>
              <w:spacing w:after="120"/>
              <w:rPr>
                <w:rFonts w:ascii="STIX Two Math" w:hAnsi="STIX Two Math" w:cs="STIX Two Math"/>
                <w:sz w:val="22"/>
                <w:szCs w:val="22"/>
              </w:rPr>
            </w:pPr>
            <m:oMath>
              <m:sSub>
                <m:sSubPr>
                  <m:ctrlPr>
                    <w:rPr>
                      <w:rFonts w:ascii="Cambria Math" w:eastAsiaTheme="minorEastAsia" w:hAnsi="Cambria Math" w:cs="STIX Two Math"/>
                      <w:i/>
                      <w:sz w:val="22"/>
                      <w:szCs w:val="22"/>
                    </w:rPr>
                  </m:ctrlPr>
                </m:sSubPr>
                <m:e>
                  <m:r>
                    <w:rPr>
                      <w:rFonts w:ascii="Cambria Math" w:eastAsiaTheme="minorEastAsia" w:hAnsi="Cambria Math" w:cs="STIX Two Math"/>
                      <w:sz w:val="22"/>
                      <w:szCs w:val="22"/>
                    </w:rPr>
                    <m:t>CV</m:t>
                  </m:r>
                </m:e>
                <m:sub>
                  <m:r>
                    <w:rPr>
                      <w:rFonts w:ascii="Cambria Math" w:eastAsiaTheme="minorEastAsia" w:hAnsi="Cambria Math" w:cs="STIX Two Math"/>
                      <w:sz w:val="22"/>
                      <w:szCs w:val="22"/>
                    </w:rPr>
                    <m:t>3</m:t>
                  </m:r>
                </m:sub>
              </m:sSub>
            </m:oMath>
            <w:r w:rsidR="002915BC" w:rsidRPr="00411513">
              <w:rPr>
                <w:rFonts w:ascii="STIX Two Math" w:eastAsiaTheme="minorEastAsia" w:hAnsi="STIX Two Math" w:cs="STIX Two Math"/>
                <w:sz w:val="22"/>
                <w:szCs w:val="22"/>
              </w:rPr>
              <w:t xml:space="preserve">  </w:t>
            </w:r>
            <w:r w:rsidR="002915BC">
              <w:rPr>
                <w:rFonts w:ascii="Times New Roman" w:eastAsiaTheme="minorEastAsia" w:hAnsi="Times New Roman" w:cs="Times New Roman"/>
                <w:sz w:val="22"/>
                <w:szCs w:val="22"/>
              </w:rPr>
              <w:t>Population</w:t>
            </w:r>
          </w:p>
        </w:tc>
        <w:tc>
          <w:tcPr>
            <w:tcW w:w="1869" w:type="dxa"/>
            <w:vMerge/>
          </w:tcPr>
          <w:p w14:paraId="27701AED" w14:textId="77777777" w:rsidR="002915BC" w:rsidRPr="00411513" w:rsidRDefault="002915BC" w:rsidP="000D39B7">
            <w:pPr>
              <w:pStyle w:val="NoSpacing"/>
              <w:spacing w:after="120"/>
              <w:rPr>
                <w:rFonts w:ascii="STIX Two Math" w:hAnsi="STIX Two Math" w:cs="STIX Two Math"/>
                <w:sz w:val="22"/>
                <w:szCs w:val="22"/>
              </w:rPr>
            </w:pPr>
          </w:p>
        </w:tc>
        <w:tc>
          <w:tcPr>
            <w:tcW w:w="851" w:type="dxa"/>
            <w:vAlign w:val="center"/>
          </w:tcPr>
          <w:p w14:paraId="12C5C5D3"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7</w:t>
            </w:r>
          </w:p>
        </w:tc>
        <w:tc>
          <w:tcPr>
            <w:tcW w:w="470" w:type="dxa"/>
            <w:vAlign w:val="center"/>
          </w:tcPr>
          <w:p w14:paraId="4842ED51"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5</w:t>
            </w:r>
          </w:p>
        </w:tc>
        <w:tc>
          <w:tcPr>
            <w:tcW w:w="947" w:type="dxa"/>
            <w:vAlign w:val="center"/>
          </w:tcPr>
          <w:p w14:paraId="4A972912"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-0.</w:t>
            </w:r>
            <w:r>
              <w:rPr>
                <w:rFonts w:ascii="STIX Two Math" w:hAnsi="STIX Two Math" w:cs="STIX Two Math"/>
                <w:sz w:val="22"/>
                <w:szCs w:val="22"/>
              </w:rPr>
              <w:t>8929</w:t>
            </w:r>
          </w:p>
        </w:tc>
        <w:tc>
          <w:tcPr>
            <w:tcW w:w="1468" w:type="dxa"/>
            <w:vMerge/>
          </w:tcPr>
          <w:p w14:paraId="240F7FEB" w14:textId="77777777" w:rsidR="002915BC" w:rsidRPr="00411513" w:rsidRDefault="002915BC" w:rsidP="000D39B7">
            <w:pPr>
              <w:pStyle w:val="NoSpacing"/>
              <w:spacing w:after="120"/>
              <w:rPr>
                <w:rFonts w:ascii="STIX Two Math" w:hAnsi="STIX Two Math" w:cs="STIX Two Math"/>
                <w:sz w:val="22"/>
                <w:szCs w:val="22"/>
              </w:rPr>
            </w:pPr>
          </w:p>
        </w:tc>
        <w:tc>
          <w:tcPr>
            <w:tcW w:w="869" w:type="dxa"/>
          </w:tcPr>
          <w:p w14:paraId="01AB0ED3" w14:textId="77777777" w:rsidR="002915BC" w:rsidRPr="00411513" w:rsidRDefault="002915BC" w:rsidP="000D39B7">
            <w:pPr>
              <w:pStyle w:val="NoSpacing"/>
              <w:spacing w:after="120"/>
              <w:rPr>
                <w:rFonts w:ascii="STIX Two Math" w:hAnsi="STIX Two Math" w:cs="STIX Two Math"/>
                <w:sz w:val="22"/>
                <w:szCs w:val="22"/>
              </w:rPr>
            </w:pPr>
            <w:r w:rsidRPr="00411513">
              <w:rPr>
                <w:rFonts w:ascii="STIX Two Math" w:hAnsi="STIX Two Math" w:cs="STIX Two Math"/>
                <w:sz w:val="22"/>
                <w:szCs w:val="22"/>
              </w:rPr>
              <w:t>0.</w:t>
            </w:r>
            <w:r>
              <w:rPr>
                <w:rFonts w:ascii="STIX Two Math" w:hAnsi="STIX Two Math" w:cs="STIX Two Math"/>
                <w:sz w:val="22"/>
                <w:szCs w:val="22"/>
              </w:rPr>
              <w:t>8270</w:t>
            </w:r>
          </w:p>
        </w:tc>
      </w:tr>
      <w:tr w:rsidR="002915BC" w:rsidRPr="00411513" w14:paraId="35422B20" w14:textId="77777777" w:rsidTr="00787EBB">
        <w:trPr>
          <w:trHeight w:val="403"/>
        </w:trPr>
        <w:tc>
          <w:tcPr>
            <w:tcW w:w="2114" w:type="dxa"/>
          </w:tcPr>
          <w:p w14:paraId="19D601D6" w14:textId="77777777" w:rsidR="002915BC" w:rsidRPr="00411513" w:rsidRDefault="00000000" w:rsidP="000D39B7">
            <w:pPr>
              <w:pStyle w:val="NoSpacing"/>
              <w:spacing w:after="120"/>
              <w:rPr>
                <w:rFonts w:ascii="STIX Two Math" w:hAnsi="STIX Two Math" w:cs="STIX Two Math"/>
                <w:sz w:val="22"/>
                <w:szCs w:val="22"/>
              </w:rPr>
            </w:pPr>
            <m:oMath>
              <m:sSub>
                <m:sSubPr>
                  <m:ctrlPr>
                    <w:rPr>
                      <w:rFonts w:ascii="Cambria Math" w:eastAsiaTheme="minorEastAsia" w:hAnsi="Cambria Math" w:cs="STIX Two Math"/>
                      <w:i/>
                      <w:sz w:val="22"/>
                      <w:szCs w:val="22"/>
                    </w:rPr>
                  </m:ctrlPr>
                </m:sSubPr>
                <m:e>
                  <m:r>
                    <w:rPr>
                      <w:rFonts w:ascii="Cambria Math" w:eastAsiaTheme="minorEastAsia" w:hAnsi="Cambria Math" w:cs="STIX Two Math"/>
                      <w:sz w:val="22"/>
                      <w:szCs w:val="22"/>
                    </w:rPr>
                    <m:t>CV</m:t>
                  </m:r>
                </m:e>
                <m:sub>
                  <m:r>
                    <w:rPr>
                      <w:rFonts w:ascii="Cambria Math" w:eastAsiaTheme="minorEastAsia" w:hAnsi="Cambria Math" w:cs="STIX Two Math"/>
                      <w:sz w:val="22"/>
                      <w:szCs w:val="22"/>
                    </w:rPr>
                    <m:t>4</m:t>
                  </m:r>
                </m:sub>
              </m:sSub>
            </m:oMath>
            <w:r w:rsidR="002915BC" w:rsidRPr="00411513">
              <w:rPr>
                <w:rFonts w:ascii="STIX Two Math" w:eastAsiaTheme="minorEastAsia" w:hAnsi="STIX Two Math" w:cs="STIX Two Math"/>
                <w:sz w:val="22"/>
                <w:szCs w:val="22"/>
              </w:rPr>
              <w:t xml:space="preserve">  </w:t>
            </w:r>
            <w:r w:rsidR="002915BC">
              <w:rPr>
                <w:rFonts w:ascii="Times New Roman" w:eastAsiaTheme="minorEastAsia" w:hAnsi="Times New Roman" w:cs="Times New Roman"/>
                <w:sz w:val="22"/>
                <w:szCs w:val="22"/>
              </w:rPr>
              <w:t>Income</w:t>
            </w:r>
          </w:p>
        </w:tc>
        <w:tc>
          <w:tcPr>
            <w:tcW w:w="1869" w:type="dxa"/>
            <w:vMerge/>
          </w:tcPr>
          <w:p w14:paraId="4211327A" w14:textId="77777777" w:rsidR="002915BC" w:rsidRPr="00411513" w:rsidRDefault="002915BC" w:rsidP="000D39B7">
            <w:pPr>
              <w:pStyle w:val="NoSpacing"/>
              <w:spacing w:after="120"/>
              <w:rPr>
                <w:rFonts w:ascii="STIX Two Math" w:hAnsi="STIX Two Math" w:cs="STIX Two Math"/>
                <w:sz w:val="22"/>
                <w:szCs w:val="22"/>
              </w:rPr>
            </w:pPr>
          </w:p>
        </w:tc>
        <w:tc>
          <w:tcPr>
            <w:tcW w:w="851" w:type="dxa"/>
            <w:vAlign w:val="center"/>
          </w:tcPr>
          <w:p w14:paraId="28CA53F4"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7</w:t>
            </w:r>
          </w:p>
        </w:tc>
        <w:tc>
          <w:tcPr>
            <w:tcW w:w="470" w:type="dxa"/>
            <w:vAlign w:val="center"/>
          </w:tcPr>
          <w:p w14:paraId="7503851D"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5</w:t>
            </w:r>
          </w:p>
        </w:tc>
        <w:tc>
          <w:tcPr>
            <w:tcW w:w="947" w:type="dxa"/>
            <w:vAlign w:val="center"/>
          </w:tcPr>
          <w:p w14:paraId="2316A2B2" w14:textId="77777777" w:rsidR="002915BC" w:rsidRPr="00411513" w:rsidRDefault="002915BC" w:rsidP="000D39B7">
            <w:pPr>
              <w:pStyle w:val="NoSpacing"/>
              <w:spacing w:after="120"/>
              <w:jc w:val="center"/>
              <w:rPr>
                <w:rFonts w:ascii="STIX Two Math" w:hAnsi="STIX Two Math" w:cs="STIX Two Math"/>
                <w:sz w:val="22"/>
                <w:szCs w:val="22"/>
              </w:rPr>
            </w:pPr>
            <w:r w:rsidRPr="00411513">
              <w:rPr>
                <w:rFonts w:ascii="STIX Two Math" w:hAnsi="STIX Two Math" w:cs="STIX Two Math"/>
                <w:sz w:val="22"/>
                <w:szCs w:val="22"/>
              </w:rPr>
              <w:t>-0.</w:t>
            </w:r>
            <w:r>
              <w:rPr>
                <w:rFonts w:ascii="STIX Two Math" w:hAnsi="STIX Two Math" w:cs="STIX Two Math"/>
                <w:sz w:val="22"/>
                <w:szCs w:val="22"/>
              </w:rPr>
              <w:t>4286</w:t>
            </w:r>
          </w:p>
        </w:tc>
        <w:tc>
          <w:tcPr>
            <w:tcW w:w="1468" w:type="dxa"/>
            <w:vMerge/>
          </w:tcPr>
          <w:p w14:paraId="366C5591" w14:textId="77777777" w:rsidR="002915BC" w:rsidRPr="00411513" w:rsidRDefault="002915BC" w:rsidP="000D39B7">
            <w:pPr>
              <w:pStyle w:val="NoSpacing"/>
              <w:spacing w:after="120"/>
              <w:rPr>
                <w:rFonts w:ascii="STIX Two Math" w:hAnsi="STIX Two Math" w:cs="STIX Two Math"/>
                <w:sz w:val="22"/>
                <w:szCs w:val="22"/>
              </w:rPr>
            </w:pPr>
          </w:p>
        </w:tc>
        <w:tc>
          <w:tcPr>
            <w:tcW w:w="869" w:type="dxa"/>
          </w:tcPr>
          <w:p w14:paraId="751B596A" w14:textId="77777777" w:rsidR="002915BC" w:rsidRPr="00411513" w:rsidRDefault="002915BC" w:rsidP="000D39B7">
            <w:pPr>
              <w:pStyle w:val="NoSpacing"/>
              <w:spacing w:after="120"/>
              <w:rPr>
                <w:rFonts w:ascii="STIX Two Math" w:hAnsi="STIX Two Math" w:cs="STIX Two Math"/>
                <w:sz w:val="22"/>
                <w:szCs w:val="22"/>
              </w:rPr>
            </w:pPr>
            <w:r w:rsidRPr="00411513">
              <w:rPr>
                <w:rFonts w:ascii="STIX Two Math" w:hAnsi="STIX Two Math" w:cs="STIX Two Math"/>
                <w:sz w:val="22"/>
                <w:szCs w:val="22"/>
              </w:rPr>
              <w:t>0.</w:t>
            </w:r>
            <w:r>
              <w:rPr>
                <w:rFonts w:ascii="STIX Two Math" w:hAnsi="STIX Two Math" w:cs="STIX Two Math"/>
                <w:sz w:val="22"/>
                <w:szCs w:val="22"/>
              </w:rPr>
              <w:t>2455</w:t>
            </w:r>
          </w:p>
        </w:tc>
      </w:tr>
    </w:tbl>
    <w:p w14:paraId="533249FB" w14:textId="70B065C3" w:rsidR="002915BC" w:rsidRPr="00636BFA" w:rsidRDefault="002915BC" w:rsidP="00787EBB">
      <w:pPr>
        <w:pStyle w:val="DissertationTableCaption"/>
        <w:rPr>
          <w:u w:val="none"/>
        </w:rPr>
      </w:pPr>
      <w:bookmarkStart w:id="56" w:name="_Toc168415257"/>
      <w:bookmarkStart w:id="57" w:name="_Toc175413201"/>
      <w:r w:rsidRPr="00411513">
        <w:t xml:space="preserve">Table 6- </w:t>
      </w:r>
      <w:fldSimple w:instr=" SEQ Table_6- \* ARABIC ">
        <w:r w:rsidR="00AF1E65">
          <w:rPr>
            <w:noProof/>
          </w:rPr>
          <w:t>2</w:t>
        </w:r>
      </w:fldSimple>
      <w:r w:rsidR="00880AD8">
        <w:rPr>
          <w:noProof/>
        </w:rPr>
        <w:t>:</w:t>
      </w:r>
      <w:r w:rsidR="00636BFA">
        <w:rPr>
          <w:u w:val="none"/>
        </w:rPr>
        <w:tab/>
        <w:t>Correlation Analysis of Control Variables</w:t>
      </w:r>
      <w:bookmarkEnd w:id="56"/>
      <w:bookmarkEnd w:id="57"/>
    </w:p>
    <w:p w14:paraId="4B4CFE7F" w14:textId="70953387" w:rsidR="002915BC" w:rsidRPr="00411513" w:rsidRDefault="002915BC" w:rsidP="002915BC">
      <w:pPr>
        <w:ind w:firstLine="720"/>
        <w:rPr>
          <w:rFonts w:ascii="STIX Two Math" w:eastAsiaTheme="minorEastAsia" w:hAnsi="STIX Two Math" w:cs="STIX Two Math"/>
        </w:rPr>
      </w:pPr>
      <w:r w:rsidRPr="00411513">
        <w:rPr>
          <w:rFonts w:eastAsiaTheme="minorEastAsia" w:cs="Times New Roman"/>
        </w:rPr>
        <w:t xml:space="preserve">The Spearman correlation coefficient calculated in relation to </w:t>
      </w:r>
      <m:oMath>
        <m:sSub>
          <m:sSubPr>
            <m:ctrlPr>
              <w:rPr>
                <w:rFonts w:ascii="Cambria Math" w:eastAsiaTheme="minorEastAsia" w:hAnsi="Cambria Math" w:cs="STIX Two Math"/>
                <w:i/>
                <w:szCs w:val="22"/>
              </w:rPr>
            </m:ctrlPr>
          </m:sSubPr>
          <m:e>
            <m:r>
              <w:rPr>
                <w:rFonts w:ascii="Cambria Math" w:eastAsiaTheme="minorEastAsia" w:hAnsi="Cambria Math" w:cs="STIX Two Math"/>
                <w:szCs w:val="22"/>
              </w:rPr>
              <m:t>CV</m:t>
            </m:r>
          </m:e>
          <m:sub>
            <m:r>
              <w:rPr>
                <w:rFonts w:ascii="Cambria Math" w:eastAsiaTheme="minorEastAsia" w:hAnsi="Cambria Math" w:cs="STIX Two Math"/>
                <w:szCs w:val="22"/>
              </w:rPr>
              <m:t>3</m:t>
            </m:r>
          </m:sub>
        </m:sSub>
      </m:oMath>
      <w:r w:rsidRPr="00411513">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suggests that the variables are highly negatively correlated in a significant manner (</w:t>
      </w:r>
      <m:oMath>
        <m:r>
          <w:rPr>
            <w:rFonts w:ascii="Cambria Math" w:eastAsiaTheme="minorEastAsia" w:hAnsi="Cambria Math" w:cs="STIX Two Math"/>
            <w:szCs w:val="22"/>
          </w:rPr>
          <m:t>ρ</m:t>
        </m:r>
        <m:r>
          <w:rPr>
            <w:rFonts w:ascii="Cambria Math" w:eastAsiaTheme="minorEastAsia" w:hAnsi="Cambria Math" w:cs="STIX Two Math"/>
          </w:rPr>
          <m:t>=-0.8929</m:t>
        </m:r>
      </m:oMath>
      <w:r w:rsidRPr="00411513">
        <w:rPr>
          <w:rFonts w:eastAsiaTheme="minorEastAsia" w:cs="Times New Roman"/>
        </w:rPr>
        <w:t xml:space="preserve">). These </w:t>
      </w:r>
      <w:r w:rsidRPr="00411513">
        <w:rPr>
          <w:rFonts w:eastAsiaTheme="minorEastAsia" w:cs="Times New Roman"/>
        </w:rPr>
        <w:lastRenderedPageBreak/>
        <w:t xml:space="preserve">results indicate that increases in the global population tend to occur in tandem with decreases in international (state) legitimacy in the context of my data. The Spearman correlation I conduct between </w:t>
      </w:r>
      <m:oMath>
        <m:sSub>
          <m:sSubPr>
            <m:ctrlPr>
              <w:rPr>
                <w:rFonts w:ascii="Cambria Math" w:eastAsiaTheme="minorEastAsia" w:hAnsi="Cambria Math" w:cs="STIX Two Math"/>
                <w:i/>
                <w:szCs w:val="22"/>
              </w:rPr>
            </m:ctrlPr>
          </m:sSubPr>
          <m:e>
            <m:r>
              <w:rPr>
                <w:rFonts w:ascii="Cambria Math" w:eastAsiaTheme="minorEastAsia" w:hAnsi="Cambria Math" w:cs="STIX Two Math"/>
                <w:szCs w:val="22"/>
              </w:rPr>
              <m:t>CV</m:t>
            </m:r>
          </m:e>
          <m:sub>
            <m:r>
              <w:rPr>
                <w:rFonts w:ascii="Cambria Math" w:eastAsiaTheme="minorEastAsia" w:hAnsi="Cambria Math" w:cs="STIX Two Math"/>
                <w:szCs w:val="22"/>
              </w:rPr>
              <m:t>4</m:t>
            </m:r>
          </m:sub>
        </m:sSub>
      </m:oMath>
      <w:r w:rsidRPr="00411513">
        <w:rPr>
          <w:rFonts w:ascii="STIX Two Math" w:eastAsiaTheme="minorEastAsia" w:hAnsi="STIX Two Math" w:cs="STIX Two Math"/>
          <w:szCs w:val="22"/>
        </w:rPr>
        <w:t xml:space="preserve">  </w:t>
      </w:r>
      <w:r w:rsidRPr="00411513">
        <w:rPr>
          <w:rFonts w:eastAsiaTheme="minorEastAsia"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eastAsiaTheme="minorEastAsia" w:cs="Times New Roman"/>
        </w:rPr>
        <w:t xml:space="preserve"> shows a moderate </w:t>
      </w:r>
      <w:r w:rsidR="00A849A5">
        <w:rPr>
          <w:rFonts w:eastAsiaTheme="minorEastAsia" w:cs="Times New Roman"/>
        </w:rPr>
        <w:t>negativ</w:t>
      </w:r>
      <w:r w:rsidRPr="00411513">
        <w:rPr>
          <w:rFonts w:eastAsiaTheme="minorEastAsia" w:cs="Times New Roman"/>
        </w:rPr>
        <w:t>e correlation (</w:t>
      </w:r>
      <m:oMath>
        <m:r>
          <w:rPr>
            <w:rFonts w:ascii="Cambria Math" w:eastAsiaTheme="minorEastAsia" w:hAnsi="Cambria Math" w:cs="STIX Two Math"/>
            <w:szCs w:val="22"/>
          </w:rPr>
          <m:t>ρ</m:t>
        </m:r>
        <m:r>
          <w:rPr>
            <w:rFonts w:ascii="Cambria Math" w:eastAsiaTheme="minorEastAsia" w:hAnsi="Cambria Math" w:cs="STIX Two Math"/>
          </w:rPr>
          <m:t>=-</m:t>
        </m:r>
        <m:r>
          <m:rPr>
            <m:nor/>
          </m:rPr>
          <w:rPr>
            <w:rFonts w:ascii="Cambria Math" w:eastAsiaTheme="minorEastAsia" w:hAnsi="Cambria Math" w:cs="STIX Two Math"/>
          </w:rPr>
          <m:t>0.4286</m:t>
        </m:r>
      </m:oMath>
      <w:r>
        <w:rPr>
          <w:rFonts w:eastAsiaTheme="minorEastAsia" w:cs="Times New Roman"/>
        </w:rPr>
        <w:t>).</w:t>
      </w:r>
    </w:p>
    <w:p w14:paraId="28E481FA" w14:textId="1D7FA7E3" w:rsidR="002915BC" w:rsidRPr="00411513" w:rsidRDefault="002915BC" w:rsidP="00037772">
      <w:pPr>
        <w:ind w:firstLine="720"/>
        <w:rPr>
          <w:rFonts w:eastAsiaTheme="minorEastAsia" w:cs="Times New Roman"/>
        </w:rPr>
      </w:pPr>
      <w:r w:rsidRPr="00411513">
        <w:rPr>
          <w:rFonts w:eastAsiaTheme="minorEastAsia" w:cs="Times New Roman"/>
        </w:rPr>
        <w:t>The most noteworthy result of the analyses conducted in relation to the control variables involves the history of terrorism variable (</w:t>
      </w:r>
      <m:oMath>
        <m:sSub>
          <m:sSubPr>
            <m:ctrlPr>
              <w:rPr>
                <w:rFonts w:ascii="Cambria Math" w:eastAsiaTheme="minorEastAsia" w:hAnsi="Cambria Math" w:cs="STIX Two Math"/>
                <w:i/>
                <w:szCs w:val="22"/>
              </w:rPr>
            </m:ctrlPr>
          </m:sSubPr>
          <m:e>
            <m:r>
              <w:rPr>
                <w:rFonts w:ascii="Cambria Math" w:eastAsiaTheme="minorEastAsia" w:hAnsi="Cambria Math" w:cs="STIX Two Math"/>
                <w:szCs w:val="22"/>
              </w:rPr>
              <m:t>CV</m:t>
            </m:r>
          </m:e>
          <m:sub>
            <m:r>
              <w:rPr>
                <w:rFonts w:ascii="Cambria Math" w:eastAsiaTheme="minorEastAsia" w:hAnsi="Cambria Math" w:cs="STIX Two Math"/>
                <w:szCs w:val="22"/>
              </w:rPr>
              <m:t>1</m:t>
            </m:r>
          </m:sub>
        </m:sSub>
      </m:oMath>
      <w:r w:rsidRPr="00411513">
        <w:rPr>
          <w:rFonts w:eastAsiaTheme="minorEastAsia" w:cs="Times New Roman"/>
        </w:rPr>
        <w:t>).</w:t>
      </w:r>
      <w:r w:rsidRPr="00411513">
        <w:rPr>
          <w:rFonts w:ascii="STIX Two Math" w:eastAsiaTheme="minorEastAsia" w:hAnsi="STIX Two Math" w:cs="STIX Two Math"/>
        </w:rPr>
        <w:t xml:space="preserve"> </w:t>
      </w:r>
      <w:r w:rsidRPr="00411513">
        <w:rPr>
          <w:rFonts w:eastAsiaTheme="minorEastAsia" w:cs="Times New Roman"/>
        </w:rPr>
        <w:t>The Spearman correlation conducted between</w:t>
      </w:r>
      <w:r w:rsidRPr="00411513">
        <w:rPr>
          <w:rFonts w:ascii="STIX Two Math" w:eastAsiaTheme="minorEastAsia" w:hAnsi="STIX Two Math" w:cs="STIX Two Math"/>
        </w:rPr>
        <w:t xml:space="preserve"> </w:t>
      </w:r>
      <m:oMath>
        <m:sSub>
          <m:sSubPr>
            <m:ctrlPr>
              <w:rPr>
                <w:rFonts w:ascii="Cambria Math" w:eastAsiaTheme="minorEastAsia" w:hAnsi="Cambria Math" w:cs="STIX Two Math"/>
                <w:i/>
                <w:szCs w:val="22"/>
              </w:rPr>
            </m:ctrlPr>
          </m:sSubPr>
          <m:e>
            <m:r>
              <w:rPr>
                <w:rFonts w:ascii="Cambria Math" w:eastAsiaTheme="minorEastAsia" w:hAnsi="Cambria Math" w:cs="STIX Two Math"/>
                <w:szCs w:val="22"/>
              </w:rPr>
              <m:t>CV</m:t>
            </m:r>
          </m:e>
          <m:sub>
            <m:r>
              <w:rPr>
                <w:rFonts w:ascii="Cambria Math" w:eastAsiaTheme="minorEastAsia" w:hAnsi="Cambria Math" w:cs="STIX Two Math"/>
                <w:szCs w:val="22"/>
              </w:rPr>
              <m:t>1</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indicates (</w:t>
      </w:r>
      <m:oMath>
        <m:r>
          <w:rPr>
            <w:rFonts w:ascii="Cambria Math" w:eastAsiaTheme="minorEastAsia" w:hAnsi="Cambria Math" w:cs="STIX Two Math"/>
            <w:szCs w:val="22"/>
          </w:rPr>
          <m:t>ρ</m:t>
        </m:r>
        <m:r>
          <w:rPr>
            <w:rFonts w:ascii="Cambria Math" w:eastAsiaTheme="minorEastAsia" w:hAnsi="Cambria Math" w:cs="STIX Two Math"/>
          </w:rPr>
          <m:t>=</m:t>
        </m:r>
        <m:r>
          <m:rPr>
            <m:nor/>
          </m:rPr>
          <w:rPr>
            <w:rFonts w:ascii="Cambria Math" w:eastAsiaTheme="minorEastAsia" w:hAnsi="Cambria Math" w:cs="Times New Roman"/>
          </w:rPr>
          <m:t>0.2857</m:t>
        </m:r>
        <m:r>
          <w:rPr>
            <w:rFonts w:ascii="STIX Two Math" w:eastAsiaTheme="minorEastAsia" w:hAnsi="STIX Two Math" w:cs="Times New Roman"/>
          </w:rPr>
          <m:t xml:space="preserve">) </m:t>
        </m:r>
      </m:oMath>
      <w:r w:rsidRPr="00411513">
        <w:rPr>
          <w:rFonts w:eastAsiaTheme="minorEastAsia" w:cs="Times New Roman"/>
        </w:rPr>
        <w:t>a weak-moderate positive, significant correlation between the variables. This means that the occurrence of terrorist attacks</w:t>
      </w:r>
      <w:r w:rsidRPr="00411513">
        <w:rPr>
          <w:rFonts w:ascii="STIX Two Math" w:eastAsiaTheme="minorEastAsia" w:hAnsi="STIX Two Math" w:cs="STIX Two Math"/>
        </w:rPr>
        <w:t xml:space="preserve"> themselves </w:t>
      </w:r>
      <w:r w:rsidRPr="00411513">
        <w:rPr>
          <w:rFonts w:eastAsiaTheme="minorEastAsia" w:cs="Times New Roman"/>
        </w:rPr>
        <w:t>either have limited impact on international (state) legitimacy or, it is possible that terrorist attacks may slightly strengthen international (state) legitimacy. Or, put another way: when terrorist attacks occurred between 2012 and 2018, country adherence to the rule of law slightly increased, fragile states became slightly less fragile, and a few more states participated in votes at the United Nations General Assembly. This makes the negative correlation between media coverage of terrorism and international (state) legitimacy established earlier in this chapter all the more significant. In effect, the correlations between</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and</w:t>
      </w:r>
      <w:r w:rsidRPr="00411513">
        <w:rPr>
          <w:rFonts w:ascii="STIX Two Math" w:eastAsiaTheme="minorEastAsia" w:hAnsi="STIX Two Math" w:cs="STIX Two Math"/>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1</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 and</w:t>
      </w:r>
      <w:r w:rsidRPr="00411513">
        <w:rPr>
          <w:rFonts w:ascii="STIX Two Math" w:eastAsiaTheme="minorEastAsia" w:hAnsi="STIX Two Math" w:cs="STIX Two Math"/>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2</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 xml:space="preserve">need to work to overcome the opposite direction (positive) impact that the terrorist attacks exert on international (state) legitimacy for the negative correlation between media coverage of terrorism and international (state) legitimacy that has been demonstrated in this chapter to be so statistically apparent. These results suggest that it is </w:t>
      </w:r>
      <w:r w:rsidRPr="00411513">
        <w:rPr>
          <w:rFonts w:eastAsiaTheme="minorEastAsia" w:cs="Times New Roman"/>
          <w:i/>
          <w:iCs/>
        </w:rPr>
        <w:t xml:space="preserve">not </w:t>
      </w:r>
      <w:r w:rsidRPr="00411513">
        <w:rPr>
          <w:rFonts w:eastAsiaTheme="minorEastAsia" w:cs="Times New Roman"/>
        </w:rPr>
        <w:t>terrorist attacks themselves that delegitimize the state as an institution. Rather, the results of the correlations between</w:t>
      </w:r>
      <w:r w:rsidRPr="00411513">
        <w:rPr>
          <w:rFonts w:ascii="STIX Two Math" w:eastAsiaTheme="minorEastAsia" w:hAnsi="STIX Two Math" w:cs="STIX Two Math"/>
        </w:rPr>
        <w:t xml:space="preserve"> </w:t>
      </w:r>
      <m:oMath>
        <m:sSub>
          <m:sSubPr>
            <m:ctrlPr>
              <w:rPr>
                <w:rFonts w:ascii="Cambria Math" w:eastAsiaTheme="minorEastAsia" w:hAnsi="Cambria Math" w:cs="STIX Two Math"/>
                <w:i/>
                <w:szCs w:val="22"/>
              </w:rPr>
            </m:ctrlPr>
          </m:sSubPr>
          <m:e>
            <m:r>
              <w:rPr>
                <w:rFonts w:ascii="Cambria Math" w:eastAsiaTheme="minorEastAsia" w:hAnsi="Cambria Math" w:cs="STIX Two Math"/>
                <w:szCs w:val="22"/>
              </w:rPr>
              <m:t>CV</m:t>
            </m:r>
          </m:e>
          <m:sub>
            <m:r>
              <w:rPr>
                <w:rFonts w:ascii="Cambria Math" w:eastAsiaTheme="minorEastAsia" w:hAnsi="Cambria Math" w:cs="STIX Two Math"/>
                <w:szCs w:val="22"/>
              </w:rPr>
              <m:t>1</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eastAsiaTheme="minorEastAsia"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eastAsiaTheme="minorEastAsia" w:cs="Times New Roman"/>
        </w:rPr>
        <w:t>,</w:t>
      </w:r>
      <w:r w:rsidRPr="00411513">
        <w:rPr>
          <w:rFonts w:ascii="STIX Two Math" w:eastAsiaTheme="minorEastAsia" w:hAnsi="STIX Two Math" w:cs="STIX Two Math"/>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1</m:t>
            </m:r>
          </m:sub>
        </m:sSub>
      </m:oMath>
      <w:r w:rsidRPr="00411513">
        <w:rPr>
          <w:rFonts w:ascii="STIX Two Math" w:eastAsiaTheme="minorEastAsia" w:hAnsi="STIX Two Math" w:cs="STIX Two Math"/>
        </w:rPr>
        <w:t xml:space="preserve"> </w:t>
      </w:r>
      <w:r w:rsidRPr="00411513">
        <w:rPr>
          <w:rFonts w:eastAsiaTheme="minorEastAsia" w:cs="Times New Roman"/>
        </w:rPr>
        <w:t xml:space="preserve">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eastAsiaTheme="minorEastAsia" w:cs="Times New Roman"/>
        </w:rPr>
        <w:t>, and</w:t>
      </w:r>
      <w:r w:rsidRPr="00411513">
        <w:rPr>
          <w:rFonts w:ascii="STIX Two Math" w:eastAsiaTheme="minorEastAsia" w:hAnsi="STIX Two Math" w:cs="STIX Two Math"/>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2</m:t>
            </m:r>
          </m:sub>
        </m:sSub>
      </m:oMath>
      <w:r w:rsidRPr="00411513">
        <w:rPr>
          <w:rFonts w:ascii="STIX Two Math" w:eastAsiaTheme="minorEastAsia" w:hAnsi="STIX Two Math" w:cs="STIX Two Math"/>
        </w:rPr>
        <w:t xml:space="preserve"> </w:t>
      </w:r>
      <w:r w:rsidRPr="00411513">
        <w:rPr>
          <w:rFonts w:eastAsiaTheme="minorEastAsia" w:cs="Times New Roman"/>
        </w:rPr>
        <w:t>and</w:t>
      </w:r>
      <w:r w:rsidRPr="00411513">
        <w:rPr>
          <w:rFonts w:ascii="STIX Two Math" w:eastAsiaTheme="minorEastAsia" w:hAnsi="STIX Two Math" w:cs="STIX Two Math"/>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0</m:t>
            </m:r>
          </m:sub>
        </m:sSub>
      </m:oMath>
      <w:r w:rsidRPr="00411513">
        <w:rPr>
          <w:rFonts w:ascii="STIX Two Math" w:eastAsiaTheme="minorEastAsia" w:hAnsi="STIX Two Math" w:cs="STIX Two Math"/>
        </w:rPr>
        <w:t xml:space="preserve"> </w:t>
      </w:r>
      <w:r w:rsidRPr="00411513">
        <w:rPr>
          <w:rFonts w:eastAsiaTheme="minorEastAsia" w:cs="Times New Roman"/>
        </w:rPr>
        <w:t xml:space="preserve">indicate that, between 2012 and 2018, the </w:t>
      </w:r>
      <w:r w:rsidRPr="00411513">
        <w:rPr>
          <w:rFonts w:eastAsiaTheme="minorEastAsia" w:cs="Times New Roman"/>
          <w:i/>
          <w:iCs/>
        </w:rPr>
        <w:t>media coverage</w:t>
      </w:r>
      <w:r w:rsidRPr="00411513">
        <w:rPr>
          <w:rFonts w:eastAsiaTheme="minorEastAsia" w:cs="Times New Roman"/>
        </w:rPr>
        <w:t xml:space="preserve"> of terrorism is highly </w:t>
      </w:r>
      <w:r>
        <w:rPr>
          <w:rFonts w:eastAsiaTheme="minorEastAsia" w:cs="Times New Roman"/>
        </w:rPr>
        <w:t>negatively</w:t>
      </w:r>
      <w:r w:rsidRPr="00411513">
        <w:rPr>
          <w:rFonts w:eastAsiaTheme="minorEastAsia" w:cs="Times New Roman"/>
        </w:rPr>
        <w:t xml:space="preserve"> correlated with international (state) legitimacy a notable amount more than the mere volume of terrorist attacks that occurred in the same time period.</w:t>
      </w:r>
    </w:p>
    <w:p w14:paraId="615B2E68" w14:textId="2562B9CA" w:rsidR="002915BC" w:rsidRPr="00D736FA" w:rsidRDefault="002915BC" w:rsidP="00787123">
      <w:pPr>
        <w:pStyle w:val="DissertationSection1"/>
      </w:pPr>
      <w:bookmarkStart w:id="58" w:name="_Toc175413153"/>
      <w:r w:rsidRPr="00411513">
        <w:t>Conclusion</w:t>
      </w:r>
      <w:bookmarkEnd w:id="58"/>
    </w:p>
    <w:p w14:paraId="02103CC7" w14:textId="25D021A5" w:rsidR="002915BC" w:rsidRPr="00411513" w:rsidRDefault="002915BC" w:rsidP="002915BC">
      <w:pPr>
        <w:rPr>
          <w:rFonts w:eastAsiaTheme="minorEastAsia" w:cs="Times New Roman"/>
        </w:rPr>
      </w:pPr>
      <w:r w:rsidRPr="00411513">
        <w:rPr>
          <w:rFonts w:eastAsiaTheme="minorEastAsia" w:cs="Times New Roman"/>
        </w:rPr>
        <w:tab/>
        <w:t>The results of this chapter’s quantitative interrogation as to whether media coverage of terrorism affects international (state) legitimacy are noteworthy, as they suggest that terrorism, in and of itself, does not have a negative effect on the legitimacy of the state as an international institution. In testing</w:t>
      </w:r>
      <w:r w:rsidRPr="00411513">
        <w:rPr>
          <w:rFonts w:ascii="STIX Two Math" w:eastAsiaTheme="minorEastAsia" w:hAnsi="STIX Two Math" w:cs="STIX Two Math"/>
        </w:rPr>
        <w:t xml:space="preserve"> </w:t>
      </w:r>
      <m:oMath>
        <m:sSub>
          <m:sSubPr>
            <m:ctrlPr>
              <w:rPr>
                <w:rFonts w:ascii="Cambria Math" w:eastAsiaTheme="minorEastAsia" w:hAnsi="Cambria Math" w:cs="STIX Two Math"/>
                <w:i/>
              </w:rPr>
            </m:ctrlPr>
          </m:sSubPr>
          <m:e>
            <m:r>
              <w:rPr>
                <w:rFonts w:ascii="Cambria Math" w:eastAsiaTheme="minorEastAsia" w:hAnsi="Cambria Math" w:cs="STIX Two Math"/>
              </w:rPr>
              <m:t>H</m:t>
            </m:r>
          </m:e>
          <m:sub>
            <m:r>
              <w:rPr>
                <w:rFonts w:ascii="Cambria Math" w:eastAsiaTheme="minorEastAsia" w:hAnsi="Cambria Math" w:cs="STIX Two Math"/>
              </w:rPr>
              <m:t>1</m:t>
            </m:r>
          </m:sub>
        </m:sSub>
      </m:oMath>
      <w:r w:rsidRPr="00411513">
        <w:rPr>
          <w:rFonts w:ascii="STIX Two Math" w:eastAsiaTheme="minorEastAsia" w:hAnsi="STIX Two Math" w:cs="STIX Two Math"/>
        </w:rPr>
        <w:t xml:space="preserve"> </w:t>
      </w:r>
      <w:r w:rsidRPr="00411513">
        <w:rPr>
          <w:rFonts w:eastAsiaTheme="minorEastAsia" w:cs="Times New Roman"/>
        </w:rPr>
        <w:t xml:space="preserve">(in which I posit that terrorism succeeds by negatively affecting international (state) legitimacy), I generate results indicating that </w:t>
      </w:r>
      <w:r w:rsidRPr="00411513">
        <w:rPr>
          <w:rFonts w:eastAsiaTheme="minorEastAsia" w:cs="Times New Roman"/>
          <w:i/>
          <w:iCs/>
        </w:rPr>
        <w:t xml:space="preserve">some </w:t>
      </w:r>
      <w:r w:rsidRPr="00411513">
        <w:rPr>
          <w:rFonts w:eastAsiaTheme="minorEastAsia" w:cs="Times New Roman"/>
        </w:rPr>
        <w:t xml:space="preserve">international news agencies’ (Reuters’s and AP’s) coverage of terrorism between 2012 and 2018 negatively correlates with international (state) legitimacy. Analysis of the control variables associated with this research suggests the existence of a weak-moderate positive correlation between the number of terrorist attacks perpetrated and international (state) legitimacy. All told, these results indicate that a more focused analysis of media coverage of terrorism is warranted in order to suggest </w:t>
      </w:r>
      <w:r w:rsidRPr="00411513">
        <w:rPr>
          <w:rFonts w:eastAsiaTheme="minorEastAsia" w:cs="Times New Roman"/>
          <w:i/>
          <w:iCs/>
        </w:rPr>
        <w:t>why</w:t>
      </w:r>
      <w:r w:rsidRPr="00411513">
        <w:rPr>
          <w:rFonts w:eastAsiaTheme="minorEastAsia" w:cs="Times New Roman"/>
        </w:rPr>
        <w:t xml:space="preserve"> it negatively correlates with international (state) legitimacy, even though terrorist attacks themselves do not correlate with international (state) legitimacy in the same manner.</w:t>
      </w:r>
      <w:r w:rsidR="00BE6D70">
        <w:rPr>
          <w:rFonts w:eastAsiaTheme="minorEastAsia" w:cs="Times New Roman"/>
        </w:rPr>
        <w:t xml:space="preserve"> </w:t>
      </w:r>
    </w:p>
    <w:p w14:paraId="43F84E79" w14:textId="502B302C" w:rsidR="002915BC" w:rsidRPr="00411513" w:rsidRDefault="002915BC" w:rsidP="002915BC">
      <w:pPr>
        <w:rPr>
          <w:rFonts w:eastAsiaTheme="minorEastAsia" w:cs="Times New Roman"/>
        </w:rPr>
      </w:pPr>
      <w:r w:rsidRPr="00411513">
        <w:rPr>
          <w:rFonts w:eastAsiaTheme="minorEastAsia" w:cs="Times New Roman"/>
        </w:rPr>
        <w:tab/>
        <w:t xml:space="preserve">In the next chapter (Chapter 7), I build on the results of this chapter’s quantitative analysis by comparing Reuters’s coverage and framing of terrorism, AP’s coverage and framing of terrorism, and AFP’s coverage and framing of terrorism. This involves using a combination of quantitative and qualitative methods to further explore media coverage as a </w:t>
      </w:r>
      <w:r w:rsidRPr="00411513">
        <w:rPr>
          <w:rFonts w:eastAsiaTheme="minorEastAsia" w:cs="Times New Roman"/>
          <w:i/>
          <w:iCs/>
        </w:rPr>
        <w:t>mode</w:t>
      </w:r>
      <w:r w:rsidRPr="00411513">
        <w:rPr>
          <w:rFonts w:eastAsiaTheme="minorEastAsia" w:cs="Times New Roman"/>
        </w:rPr>
        <w:t xml:space="preserve"> of terrorism (as a </w:t>
      </w:r>
      <w:r w:rsidRPr="00411513">
        <w:rPr>
          <w:rFonts w:eastAsiaTheme="minorEastAsia" w:cs="Times New Roman"/>
          <w:i/>
          <w:iCs/>
        </w:rPr>
        <w:t xml:space="preserve">means </w:t>
      </w:r>
      <w:r w:rsidRPr="00411513">
        <w:rPr>
          <w:rFonts w:eastAsiaTheme="minorEastAsia" w:cs="Times New Roman"/>
        </w:rPr>
        <w:t xml:space="preserve">of post-modern warfare that aims to affect the </w:t>
      </w:r>
      <w:r w:rsidRPr="00411513">
        <w:rPr>
          <w:rFonts w:eastAsiaTheme="minorEastAsia" w:cs="Times New Roman"/>
          <w:i/>
          <w:iCs/>
        </w:rPr>
        <w:t>ends</w:t>
      </w:r>
      <w:r w:rsidRPr="00411513">
        <w:rPr>
          <w:rFonts w:eastAsiaTheme="minorEastAsia" w:cs="Times New Roman"/>
        </w:rPr>
        <w:t xml:space="preserve"> constituted by the erosion of international (state) legitimacy). Then, in Chapter 8, I contend that the discrepancy between the correlations conducted in relation to Reuters’s coverage of terrorism and international (state) legitimacy, AP’s coverage of terrorism and international (state) legitimacy, and AFP’s coverage of terrorism and international (state) legitimacy likely results from the differing protocols (or lack thereof) that each news agency has established for their journalists’ use of the terms ‘terrorist’, ‘terrorists’, and ‘terrorism’ in the context of published English language </w:t>
      </w:r>
      <w:r w:rsidR="00F74D09">
        <w:rPr>
          <w:rFonts w:eastAsiaTheme="minorEastAsia" w:cs="Times New Roman"/>
        </w:rPr>
        <w:t>media</w:t>
      </w:r>
      <w:r w:rsidRPr="00411513">
        <w:rPr>
          <w:rFonts w:eastAsiaTheme="minorEastAsia" w:cs="Times New Roman"/>
        </w:rPr>
        <w:t xml:space="preserve"> bulletins. This chapter’s highlighting of this discrepancy in the statistical data directly informs the comparative </w:t>
      </w:r>
      <w:r w:rsidRPr="00411513">
        <w:rPr>
          <w:rFonts w:eastAsiaTheme="minorEastAsia" w:cs="Times New Roman"/>
        </w:rPr>
        <w:lastRenderedPageBreak/>
        <w:t>analysis of the Reuters, AP, and AFP style guides (in relation to both the use of these terms and their general guidelines relating to depictions of terrorism) that I undertake in Chapter 8.</w:t>
      </w:r>
    </w:p>
    <w:p w14:paraId="2020C40D" w14:textId="35FF9842" w:rsidR="002915BC" w:rsidRDefault="002915BC">
      <w:pPr>
        <w:rPr>
          <w:rFonts w:cs="Times New Roman"/>
          <w:bCs/>
          <w:color w:val="000000" w:themeColor="text1"/>
        </w:rPr>
      </w:pPr>
      <w:r>
        <w:rPr>
          <w:rFonts w:cs="Times New Roman"/>
          <w:bCs/>
          <w:color w:val="000000" w:themeColor="text1"/>
        </w:rPr>
        <w:br w:type="page"/>
      </w:r>
    </w:p>
    <w:p w14:paraId="4B729D0E" w14:textId="0FC415FB" w:rsidR="002915BC" w:rsidRDefault="002915BC" w:rsidP="001C1E92">
      <w:pPr>
        <w:pStyle w:val="DissertationChapterName"/>
      </w:pPr>
      <w:bookmarkStart w:id="59" w:name="_Toc175413154"/>
      <w:r w:rsidRPr="00155FA1">
        <w:lastRenderedPageBreak/>
        <w:t xml:space="preserve">Chapter 7 </w:t>
      </w:r>
      <w:proofErr w:type="gramStart"/>
      <w:r w:rsidRPr="00155FA1">
        <w:t xml:space="preserve">– </w:t>
      </w:r>
      <w:r w:rsidR="001C1E92">
        <w:t xml:space="preserve"> </w:t>
      </w:r>
      <w:r w:rsidRPr="00155FA1">
        <w:rPr>
          <w:i/>
          <w:iCs/>
        </w:rPr>
        <w:t>How</w:t>
      </w:r>
      <w:proofErr w:type="gramEnd"/>
      <w:r w:rsidRPr="00155FA1">
        <w:t xml:space="preserve"> Does the Media Coverage of Terrorism Affect International (State) Legitimacy?</w:t>
      </w:r>
      <w:bookmarkEnd w:id="59"/>
    </w:p>
    <w:p w14:paraId="16BE306E" w14:textId="77777777" w:rsidR="00D03C79" w:rsidRPr="00241E6E" w:rsidRDefault="00D03C79" w:rsidP="002915BC">
      <w:pPr>
        <w:pStyle w:val="Heading1"/>
        <w:spacing w:before="0" w:beforeAutospacing="0" w:after="120" w:afterAutospacing="0"/>
        <w:jc w:val="center"/>
        <w:rPr>
          <w:b w:val="0"/>
          <w:bCs w:val="0"/>
          <w:sz w:val="24"/>
          <w:szCs w:val="24"/>
        </w:rPr>
      </w:pPr>
    </w:p>
    <w:p w14:paraId="06FFF51C" w14:textId="06D3D2E0" w:rsidR="002915BC" w:rsidRPr="00155FA1" w:rsidRDefault="002915BC" w:rsidP="002915BC">
      <w:pPr>
        <w:ind w:firstLine="720"/>
        <w:rPr>
          <w:rFonts w:cs="Times New Roman"/>
        </w:rPr>
      </w:pPr>
      <w:r w:rsidRPr="00155FA1">
        <w:rPr>
          <w:rFonts w:cs="Times New Roman"/>
        </w:rPr>
        <w:t>Between January 1, 2012 and December 31, 2018, the Global Terrorism Database estimates that 87,938 terrorist incidents were perpetrated internationally. These attacks were responsible for the deaths of 205,532 people.</w:t>
      </w:r>
      <w:r w:rsidRPr="00155FA1">
        <w:rPr>
          <w:rStyle w:val="FootnoteReference"/>
          <w:rFonts w:cs="Times New Roman"/>
        </w:rPr>
        <w:footnoteReference w:id="397"/>
      </w:r>
      <w:r w:rsidRPr="00155FA1">
        <w:rPr>
          <w:rFonts w:cs="Times New Roman"/>
        </w:rPr>
        <w:t xml:space="preserve"> Notwithstanding the enormity of this statistic, deaths caused by terrorist attacks comprise only a fraction (less than 0.00008%) of the estimated 2,524,362,373 individuals that died around the world in the same time period.</w:t>
      </w:r>
      <w:r w:rsidRPr="00155FA1">
        <w:rPr>
          <w:rStyle w:val="FootnoteReference"/>
          <w:rFonts w:cs="Times New Roman"/>
        </w:rPr>
        <w:footnoteReference w:id="398"/>
      </w:r>
      <w:r w:rsidRPr="00155FA1">
        <w:rPr>
          <w:rFonts w:cs="Times New Roman"/>
        </w:rPr>
        <w:t xml:space="preserve"> </w:t>
      </w:r>
      <w:r w:rsidRPr="00155FA1">
        <w:rPr>
          <w:rFonts w:cs="Times New Roman"/>
          <w:i/>
          <w:iCs/>
        </w:rPr>
        <w:t>So, why do states and the international community as a whole place so much emphasis on terrorism?</w:t>
      </w:r>
      <w:r w:rsidRPr="00155FA1">
        <w:rPr>
          <w:rFonts w:cs="Times New Roman"/>
        </w:rPr>
        <w:t xml:space="preserve"> In Chapter 3, I conceptualize the ‘success’ of terrorism as predicated on its ability to influence the state’s decision-making processes. Taken in the context of the overview of international (state) legitimacy provided in Chapter 4, my </w:t>
      </w:r>
      <w:r w:rsidRPr="00155FA1">
        <w:rPr>
          <w:rFonts w:cs="Times New Roman"/>
          <w:i/>
          <w:iCs/>
        </w:rPr>
        <w:t xml:space="preserve">de minimis </w:t>
      </w:r>
      <w:r w:rsidRPr="00155FA1">
        <w:rPr>
          <w:rFonts w:cs="Times New Roman"/>
        </w:rPr>
        <w:t xml:space="preserve">policy definition of terrorism implies that states focus on </w:t>
      </w:r>
      <w:r w:rsidRPr="00155FA1">
        <w:rPr>
          <w:rFonts w:cs="Times New Roman"/>
          <w:i/>
          <w:iCs/>
        </w:rPr>
        <w:t>terrorism</w:t>
      </w:r>
      <w:r w:rsidRPr="00155FA1">
        <w:rPr>
          <w:rFonts w:cs="Times New Roman"/>
        </w:rPr>
        <w:t xml:space="preserve"> because they perceive it as challenging principles fundamental to their very statehood. In other words, the state claim to their “monopoly on the legitimate use of physical force” within their sovereign territory.</w:t>
      </w:r>
      <w:r w:rsidRPr="00155FA1">
        <w:rPr>
          <w:rStyle w:val="FootnoteReference"/>
          <w:rFonts w:cs="Times New Roman"/>
        </w:rPr>
        <w:footnoteReference w:id="399"/>
      </w:r>
      <w:r w:rsidRPr="00155FA1">
        <w:rPr>
          <w:rFonts w:cs="Times New Roman"/>
        </w:rPr>
        <w:t xml:space="preserve"> States label certain instances of violence or threatened violence as terrorism, then, to identify activity that is inherently threatening. The label terrorism acts as a signal to the states’ constituents that they should</w:t>
      </w:r>
      <w:r w:rsidRPr="00155FA1">
        <w:rPr>
          <w:rFonts w:cs="Times New Roman"/>
          <w:i/>
          <w:iCs/>
        </w:rPr>
        <w:t xml:space="preserve"> also</w:t>
      </w:r>
      <w:r w:rsidRPr="00155FA1">
        <w:rPr>
          <w:rFonts w:cs="Times New Roman"/>
        </w:rPr>
        <w:t xml:space="preserve"> conceive of these incidents of violence as threatening. </w:t>
      </w:r>
    </w:p>
    <w:p w14:paraId="246AF08A" w14:textId="77777777" w:rsidR="002915BC" w:rsidRPr="00155FA1" w:rsidRDefault="002915BC" w:rsidP="002915BC">
      <w:pPr>
        <w:rPr>
          <w:rFonts w:cs="Times New Roman"/>
        </w:rPr>
      </w:pPr>
      <w:r w:rsidRPr="00155FA1">
        <w:rPr>
          <w:rFonts w:cs="Times New Roman"/>
        </w:rPr>
        <w:tab/>
        <w:t>From a state perspective, there is significant utility to using the term ‘terrorism’ as a descriptive label. Similar to Barry Buzan’s argument as to the function of the descriptor ‘national security,’ describing and categorizing specific incidents of violence as terrorism “offers scope for power maximizing strategies to political and military elites because of the considerable leverage over domestic affairs which can be obtained by invoking it.”</w:t>
      </w:r>
      <w:r w:rsidRPr="00155FA1">
        <w:rPr>
          <w:rStyle w:val="FootnoteReference"/>
          <w:rFonts w:cs="Times New Roman"/>
        </w:rPr>
        <w:footnoteReference w:id="400"/>
      </w:r>
      <w:r w:rsidRPr="00155FA1">
        <w:rPr>
          <w:rFonts w:cs="Times New Roman"/>
        </w:rPr>
        <w:t xml:space="preserve"> Moreover, it is in state governments’ interests to “securitize” terrorist violence. To apply the label ‘terrorism’ suggests the referent object, the state, is existentially threatened, necessitating some degree of the suspension of normal political functions.</w:t>
      </w:r>
      <w:r w:rsidRPr="00155FA1">
        <w:rPr>
          <w:rStyle w:val="FootnoteReference"/>
          <w:rFonts w:cs="Times New Roman"/>
        </w:rPr>
        <w:footnoteReference w:id="401"/>
      </w:r>
      <w:r w:rsidRPr="00155FA1">
        <w:rPr>
          <w:rFonts w:cs="Times New Roman"/>
        </w:rPr>
        <w:t xml:space="preserve"> This allows governments to establish policies and make decisions that their constituents might not otherwise support.</w:t>
      </w:r>
      <w:r w:rsidRPr="00155FA1">
        <w:rPr>
          <w:rStyle w:val="FootnoteReference"/>
          <w:rFonts w:cs="Times New Roman"/>
        </w:rPr>
        <w:footnoteReference w:id="402"/>
      </w:r>
    </w:p>
    <w:p w14:paraId="359AAEE8" w14:textId="77777777" w:rsidR="002915BC" w:rsidRPr="00155FA1" w:rsidRDefault="002915BC" w:rsidP="002915BC">
      <w:pPr>
        <w:ind w:firstLine="720"/>
        <w:rPr>
          <w:rFonts w:cs="Times New Roman"/>
        </w:rPr>
      </w:pPr>
      <w:r w:rsidRPr="00155FA1">
        <w:rPr>
          <w:rFonts w:cs="Times New Roman"/>
        </w:rPr>
        <w:t xml:space="preserve">On the other hand, understanding that the term terrorism securitizes the state implies that the significant security threat posed by terrorism exists </w:t>
      </w:r>
      <w:r w:rsidRPr="00155FA1">
        <w:rPr>
          <w:rFonts w:cs="Times New Roman"/>
          <w:bCs/>
          <w:i/>
          <w:iCs/>
        </w:rPr>
        <w:t>because</w:t>
      </w:r>
      <w:r w:rsidRPr="00155FA1">
        <w:rPr>
          <w:rFonts w:cs="Times New Roman"/>
          <w:bCs/>
        </w:rPr>
        <w:t xml:space="preserve"> of the implications that have become inherent to its use as descriptive label. The analytical framework provided in </w:t>
      </w:r>
      <w:r w:rsidRPr="00155FA1">
        <w:rPr>
          <w:rFonts w:cs="Times New Roman"/>
        </w:rPr>
        <w:t xml:space="preserve">Buzan and Ole Wæver’s securitization theory further underscores this point. Buzan and </w:t>
      </w:r>
      <w:proofErr w:type="spellStart"/>
      <w:r w:rsidRPr="00155FA1">
        <w:rPr>
          <w:rFonts w:cs="Times New Roman"/>
        </w:rPr>
        <w:t>Wæver</w:t>
      </w:r>
      <w:proofErr w:type="spellEnd"/>
      <w:r w:rsidRPr="00155FA1">
        <w:rPr>
          <w:rFonts w:cs="Times New Roman"/>
        </w:rPr>
        <w:t xml:space="preserve"> </w:t>
      </w:r>
      <w:r w:rsidRPr="00155FA1">
        <w:rPr>
          <w:rFonts w:cs="Times New Roman"/>
          <w:bCs/>
        </w:rPr>
        <w:t xml:space="preserve">understand the process of securitizing issues as self-referential acts, affected through spoken word. As such, issues are “securitized” – constituted security problems – not because they are inherently threats, </w:t>
      </w:r>
      <w:r w:rsidRPr="00155FA1">
        <w:rPr>
          <w:rFonts w:cs="Times New Roman"/>
          <w:bCs/>
        </w:rPr>
        <w:lastRenderedPageBreak/>
        <w:t>but because they are conceived of as threats due to how they are contextualized. Specifically, both the overall content and the specific word choice that goes into what is said about these issues is what ultimately frames them as problematic.</w:t>
      </w:r>
      <w:r w:rsidRPr="00155FA1">
        <w:rPr>
          <w:rStyle w:val="FootnoteReference"/>
          <w:rFonts w:cs="Times New Roman"/>
          <w:bCs/>
        </w:rPr>
        <w:footnoteReference w:id="403"/>
      </w:r>
      <w:r w:rsidRPr="00155FA1">
        <w:rPr>
          <w:rFonts w:cs="Times New Roman"/>
          <w:bCs/>
        </w:rPr>
        <w:t xml:space="preserve"> B</w:t>
      </w:r>
      <w:r w:rsidRPr="00155FA1">
        <w:rPr>
          <w:rFonts w:cs="Times New Roman"/>
        </w:rPr>
        <w:t xml:space="preserve">y securitizing themselves through their interaction with terrorism, states </w:t>
      </w:r>
      <w:r w:rsidRPr="00155FA1">
        <w:rPr>
          <w:rFonts w:cs="Times New Roman"/>
          <w:i/>
          <w:iCs/>
        </w:rPr>
        <w:t>create</w:t>
      </w:r>
      <w:r w:rsidRPr="00155FA1">
        <w:rPr>
          <w:rFonts w:cs="Times New Roman"/>
        </w:rPr>
        <w:t xml:space="preserve"> and constitute their own perceived worst enemy.</w:t>
      </w:r>
    </w:p>
    <w:p w14:paraId="0A34CCC8" w14:textId="15A2BF76" w:rsidR="002915BC" w:rsidRPr="00155FA1" w:rsidRDefault="002915BC" w:rsidP="002915BC">
      <w:pPr>
        <w:rPr>
          <w:rFonts w:cs="Times New Roman"/>
        </w:rPr>
      </w:pPr>
      <w:r w:rsidRPr="00155FA1">
        <w:rPr>
          <w:rFonts w:cs="Times New Roman"/>
        </w:rPr>
        <w:tab/>
        <w:t>In the preceding chapter (Chapter 6), the results of the multivariate data analyses I present suggest that, in the context of my sample, there is no negative correlation between terrorism in and of itself and international (state) legitimacy. However, these results also</w:t>
      </w:r>
      <w:r w:rsidR="00BE6D70">
        <w:rPr>
          <w:rFonts w:cs="Times New Roman"/>
        </w:rPr>
        <w:t xml:space="preserve"> </w:t>
      </w:r>
      <w:r w:rsidR="00FA514C">
        <w:rPr>
          <w:rFonts w:cs="Times New Roman"/>
        </w:rPr>
        <w:t xml:space="preserve">make evident that there </w:t>
      </w:r>
      <w:r w:rsidR="00FA514C" w:rsidRPr="00FA514C">
        <w:rPr>
          <w:rFonts w:cs="Times New Roman"/>
          <w:i/>
          <w:iCs/>
        </w:rPr>
        <w:t>is</w:t>
      </w:r>
      <w:r w:rsidR="00FA514C">
        <w:rPr>
          <w:rFonts w:cs="Times New Roman"/>
        </w:rPr>
        <w:t xml:space="preserve"> a</w:t>
      </w:r>
      <w:r w:rsidRPr="00155FA1">
        <w:rPr>
          <w:rFonts w:cs="Times New Roman"/>
        </w:rPr>
        <w:t xml:space="preserve"> demonstrated negative correlation between international (state) legitimacy and the </w:t>
      </w:r>
      <w:r w:rsidRPr="00155FA1">
        <w:rPr>
          <w:rFonts w:cs="Times New Roman"/>
          <w:i/>
          <w:iCs/>
        </w:rPr>
        <w:t>media coverage</w:t>
      </w:r>
      <w:r w:rsidRPr="00155FA1">
        <w:rPr>
          <w:rFonts w:cs="Times New Roman"/>
        </w:rPr>
        <w:t xml:space="preserve"> of terrorism</w:t>
      </w:r>
      <w:r w:rsidR="00FA514C">
        <w:rPr>
          <w:rFonts w:cs="Times New Roman"/>
        </w:rPr>
        <w:t xml:space="preserve"> within the observed sample</w:t>
      </w:r>
      <w:r w:rsidRPr="00155FA1">
        <w:rPr>
          <w:rFonts w:cs="Times New Roman"/>
        </w:rPr>
        <w:t>. These conclusions relate back to my understanding of terrorism as post-modern warfare, where terrorism constitutes the ‘means’ (the specific tactics and strategies used) to realize the ‘ends’ (overarching objective) of eroding international (state) legitimacy.</w:t>
      </w:r>
      <w:r w:rsidRPr="00155FA1">
        <w:rPr>
          <w:rStyle w:val="FootnoteReference"/>
          <w:rFonts w:cs="Times New Roman"/>
        </w:rPr>
        <w:footnoteReference w:id="404"/>
      </w:r>
      <w:r w:rsidRPr="00155FA1">
        <w:rPr>
          <w:rFonts w:cs="Times New Roman"/>
        </w:rPr>
        <w:t xml:space="preserve"> Even more significantly, these conclusions are supported by my Chapter 5 conceptualization of media coverage as a ‘mode’ of post-modern warfare:  the “line of communication” between the state and its constituents (or, conversely, between terrorists and the state’s constituents) with the ability to influence international public opinion of the state as the societal superstructure.</w:t>
      </w:r>
      <w:r w:rsidRPr="00155FA1">
        <w:rPr>
          <w:rStyle w:val="FootnoteReference"/>
          <w:rFonts w:cs="Times New Roman"/>
        </w:rPr>
        <w:footnoteReference w:id="405"/>
      </w:r>
      <w:r w:rsidRPr="00155FA1">
        <w:rPr>
          <w:rFonts w:cs="Times New Roman"/>
        </w:rPr>
        <w:t xml:space="preserve"> Consequently, the conclusions that I reach in Chapter 6 go towards substantiating my hypothesis that </w:t>
      </w:r>
      <w:r w:rsidRPr="00155FA1">
        <w:rPr>
          <w:rFonts w:cs="Times New Roman"/>
          <w:i/>
          <w:iCs/>
        </w:rPr>
        <w:t>media coverage</w:t>
      </w:r>
      <w:r w:rsidRPr="00155FA1">
        <w:rPr>
          <w:rFonts w:cs="Times New Roman"/>
        </w:rPr>
        <w:t xml:space="preserve"> is the key factor that ultimately facilitates terrorism’s ability to affect international (state) legitimacy.   </w:t>
      </w:r>
    </w:p>
    <w:p w14:paraId="26A0C79C" w14:textId="35BB1D6C" w:rsidR="002915BC" w:rsidRPr="00155FA1" w:rsidRDefault="002915BC" w:rsidP="002915BC">
      <w:pPr>
        <w:rPr>
          <w:rFonts w:cs="Times New Roman"/>
        </w:rPr>
      </w:pPr>
      <w:r w:rsidRPr="00155FA1">
        <w:rPr>
          <w:rFonts w:cs="Times New Roman"/>
        </w:rPr>
        <w:tab/>
        <w:t xml:space="preserve">This chapter combines quantitative and qualitative methods to discuss how the inverse correlation between the media coverage of terrorism and international (state) legitimacy established in Chapter 6 emerges. Specifically, Chapter 7 suggests the manner in which the media coverage of terrorism erodes international (state) legitimacy – </w:t>
      </w:r>
      <w:r w:rsidRPr="00155FA1">
        <w:rPr>
          <w:rFonts w:cs="Times New Roman"/>
          <w:i/>
          <w:iCs/>
        </w:rPr>
        <w:t xml:space="preserve">how </w:t>
      </w:r>
      <w:r w:rsidRPr="00155FA1">
        <w:rPr>
          <w:rFonts w:cs="Times New Roman"/>
        </w:rPr>
        <w:t xml:space="preserve">the media’s reporting on terrorism delegitimizes the state as an (international) institution. To accomplish this, I use the methodology developed in Chapter 3 to derive a </w:t>
      </w:r>
      <w:r w:rsidRPr="00155FA1">
        <w:rPr>
          <w:rFonts w:cs="Times New Roman"/>
          <w:i/>
          <w:iCs/>
        </w:rPr>
        <w:t>de minimis</w:t>
      </w:r>
      <w:r w:rsidRPr="00155FA1">
        <w:rPr>
          <w:rFonts w:cs="Times New Roman"/>
        </w:rPr>
        <w:t xml:space="preserve"> definition of terrorism implicit to the media coverage of terrorism that constitutes my sample. This </w:t>
      </w:r>
      <w:r w:rsidRPr="00155FA1">
        <w:rPr>
          <w:rFonts w:cs="Times New Roman"/>
          <w:i/>
          <w:iCs/>
        </w:rPr>
        <w:t>de minimis</w:t>
      </w:r>
      <w:r w:rsidRPr="00155FA1">
        <w:rPr>
          <w:rFonts w:cs="Times New Roman"/>
        </w:rPr>
        <w:t xml:space="preserve"> definition of terrorism supports my assertion that terrorism necessarily manifests in direct opposition to state authority (and thus, legitimacy). Next, I identify the frequencies and cooccurrence frequencies associated with the different types of positive and negative bias that manifest in the news coverage of terrorism (positive and negative bias towards terrorism, positive and negative bias towards the state, and positive and negative bias towards counter-terrorism). I also use the </w:t>
      </w:r>
      <w:proofErr w:type="spellStart"/>
      <w:r w:rsidRPr="00155FA1">
        <w:rPr>
          <w:rFonts w:cs="Times New Roman"/>
        </w:rPr>
        <w:t>WordStat</w:t>
      </w:r>
      <w:proofErr w:type="spellEnd"/>
      <w:r w:rsidRPr="00155FA1">
        <w:rPr>
          <w:rFonts w:cs="Times New Roman"/>
        </w:rPr>
        <w:t xml:space="preserve"> software to calculate the relative frequency of each of eleven different subtypes of positive and negative bias, as well as the frequency with which they cooccur with one another. Analysis of these frequencies supports my argument that terrorists and the state compete for the same overarching type of (legitimate) authority. Then, I identify and analyze the frames that media coverage of terrorism tends to employ in connection with its depictions of terrorists and terrorism. I then discuss the ways in which these frames situate the phenomenon of terrorism as key in the context of modern international political conflict and international relations in general.</w:t>
      </w:r>
      <w:r w:rsidRPr="00155FA1">
        <w:rPr>
          <w:rStyle w:val="FootnoteReference"/>
          <w:rFonts w:cs="Times New Roman"/>
        </w:rPr>
        <w:footnoteReference w:id="406"/>
      </w:r>
    </w:p>
    <w:p w14:paraId="5543E455" w14:textId="5AACA91C" w:rsidR="002915BC" w:rsidRPr="00155FA1" w:rsidRDefault="002915BC" w:rsidP="00F85A92">
      <w:pPr>
        <w:ind w:firstLine="720"/>
        <w:rPr>
          <w:rFonts w:cs="Times New Roman"/>
        </w:rPr>
      </w:pPr>
      <w:r w:rsidRPr="00155FA1">
        <w:rPr>
          <w:rFonts w:cs="Times New Roman"/>
        </w:rPr>
        <w:t xml:space="preserve">Tying into the debate as to whether violence inherently begets propaganda or terrorists intentionally use violence to generate propaganda, this framing analysis begs questions as to </w:t>
      </w:r>
      <w:r w:rsidRPr="00155FA1">
        <w:rPr>
          <w:rFonts w:cs="Times New Roman"/>
          <w:i/>
          <w:iCs/>
        </w:rPr>
        <w:t>why</w:t>
      </w:r>
      <w:r w:rsidRPr="00155FA1">
        <w:rPr>
          <w:rFonts w:cs="Times New Roman"/>
        </w:rPr>
        <w:t xml:space="preserve"> the media promotes a narrative that places terrorists on the same level as states.</w:t>
      </w:r>
      <w:r w:rsidRPr="00155FA1">
        <w:rPr>
          <w:rStyle w:val="FootnoteReference"/>
          <w:rFonts w:cs="Times New Roman"/>
        </w:rPr>
        <w:footnoteReference w:id="407"/>
      </w:r>
      <w:r w:rsidRPr="00155FA1">
        <w:rPr>
          <w:rFonts w:cs="Times New Roman"/>
        </w:rPr>
        <w:t xml:space="preserve"> As such, the </w:t>
      </w:r>
      <w:r w:rsidRPr="00155FA1">
        <w:rPr>
          <w:rFonts w:cs="Times New Roman"/>
        </w:rPr>
        <w:lastRenderedPageBreak/>
        <w:t>final component of this chapter’s analysis of how media coverage of terrorism affects international (state) legitimacy involves my analysis of statements made by public figures in the aftermath of terrorist attacks in order to determine both how the public perceives state practice to implicitly defines terrorism, and whether this final implicit definition of terrorism accords with my policy definition of terrorism. These analyses are the premise of my argument that states have, in effect, created their own worst enemy by labelling terrorists as ‘terrorists.’ To that end, the four overarching and interconnected arguments that define this chapter ultimately lead me to conclude that media coverage of terrorism negatively affects the international legitimacy of the state by framing terrorism as necessarily manifesting in direct, diametric opposition to state authority (thereby calling into question its legitimacy).</w:t>
      </w:r>
    </w:p>
    <w:p w14:paraId="289B82D9" w14:textId="77777777" w:rsidR="002915BC" w:rsidRPr="00155FA1" w:rsidRDefault="002915BC" w:rsidP="00787123">
      <w:pPr>
        <w:pStyle w:val="DissertationSection1"/>
      </w:pPr>
      <w:bookmarkStart w:id="60" w:name="_Toc175413155"/>
      <w:r w:rsidRPr="00155FA1">
        <w:t>Terrorism Manifests in Opposition to State Authority</w:t>
      </w:r>
      <w:bookmarkEnd w:id="60"/>
    </w:p>
    <w:p w14:paraId="70F78856" w14:textId="77777777" w:rsidR="002915BC" w:rsidRPr="00155FA1" w:rsidRDefault="002915BC" w:rsidP="002915BC">
      <w:pPr>
        <w:ind w:firstLine="720"/>
        <w:rPr>
          <w:rFonts w:cs="Times New Roman"/>
        </w:rPr>
      </w:pPr>
      <w:r w:rsidRPr="00155FA1">
        <w:rPr>
          <w:rFonts w:cs="Times New Roman"/>
        </w:rPr>
        <w:t xml:space="preserve">In Chapter 3, I analyze the definitions of terrorism used in 192 United Nations member states’ domestic legislation in order to establish a </w:t>
      </w:r>
      <w:r w:rsidRPr="00155FA1">
        <w:rPr>
          <w:rFonts w:cs="Times New Roman"/>
          <w:i/>
          <w:iCs/>
        </w:rPr>
        <w:t xml:space="preserve">de minimis </w:t>
      </w:r>
      <w:r w:rsidRPr="00155FA1">
        <w:rPr>
          <w:rFonts w:cs="Times New Roman"/>
        </w:rPr>
        <w:t>definition of terrorism implicit in international policy. This involves identifying 28 definitional elements that are present in multiple definitions across the abovementioned 192 sample sampling frame.</w:t>
      </w:r>
      <w:r w:rsidRPr="00155FA1">
        <w:rPr>
          <w:rStyle w:val="FootnoteReference"/>
          <w:rFonts w:cs="Times New Roman"/>
        </w:rPr>
        <w:footnoteReference w:id="408"/>
      </w:r>
    </w:p>
    <w:p w14:paraId="63362C59" w14:textId="7172EC97" w:rsidR="002915BC" w:rsidRPr="00155FA1" w:rsidRDefault="002915BC" w:rsidP="002915BC">
      <w:pPr>
        <w:ind w:firstLine="720"/>
        <w:rPr>
          <w:rFonts w:cs="Times New Roman"/>
        </w:rPr>
      </w:pPr>
      <w:r w:rsidRPr="00155FA1">
        <w:rPr>
          <w:rFonts w:cs="Times New Roman"/>
        </w:rPr>
        <w:t xml:space="preserve">To ascertain how </w:t>
      </w:r>
      <w:r w:rsidRPr="00155FA1">
        <w:rPr>
          <w:rFonts w:cs="Times New Roman"/>
          <w:i/>
          <w:iCs/>
        </w:rPr>
        <w:t>the media coverage of terrorism</w:t>
      </w:r>
      <w:r w:rsidRPr="00155FA1">
        <w:rPr>
          <w:rFonts w:cs="Times New Roman"/>
        </w:rPr>
        <w:t xml:space="preserve"> delegitimizes the state, it is first necessary to determine the manner in which media coverage perceives and depicts terrorism. To that end, I use the </w:t>
      </w:r>
      <w:r w:rsidRPr="00155FA1">
        <w:rPr>
          <w:rFonts w:cs="Times New Roman"/>
          <w:i/>
          <w:iCs/>
        </w:rPr>
        <w:t xml:space="preserve">de minimis </w:t>
      </w:r>
      <w:r w:rsidRPr="00155FA1">
        <w:rPr>
          <w:rFonts w:cs="Times New Roman"/>
        </w:rPr>
        <w:t>definition of terrorism outlined in Chapter 3 to determine which of 28 definitional elements recur in depictions of terrorism with greater than 50 percent frequency.</w:t>
      </w:r>
      <w:r w:rsidRPr="00155FA1">
        <w:rPr>
          <w:rStyle w:val="FootnoteReference"/>
          <w:rFonts w:cs="Times New Roman"/>
        </w:rPr>
        <w:footnoteReference w:id="409"/>
      </w:r>
      <w:r w:rsidRPr="00155FA1">
        <w:rPr>
          <w:rFonts w:cs="Times New Roman"/>
        </w:rPr>
        <w:t xml:space="preserve"> Figure 7-1, </w:t>
      </w:r>
      <w:r w:rsidR="00787EBB">
        <w:rPr>
          <w:rFonts w:cs="Times New Roman"/>
        </w:rPr>
        <w:t>on the next page</w:t>
      </w:r>
      <w:r w:rsidRPr="00155FA1">
        <w:rPr>
          <w:rFonts w:cs="Times New Roman"/>
        </w:rPr>
        <w:t>, shows the recurrence frequencies of each of the 28 elements in the context of my 2,276-</w:t>
      </w:r>
      <w:r w:rsidR="00F74D09">
        <w:rPr>
          <w:rFonts w:cs="Times New Roman"/>
        </w:rPr>
        <w:t>media</w:t>
      </w:r>
      <w:r w:rsidRPr="00155FA1">
        <w:rPr>
          <w:rFonts w:cs="Times New Roman"/>
        </w:rPr>
        <w:t xml:space="preserve"> bulletin sampling frame. This sampling frame is taken from the same sources and timeframe as the data analyzed in the preceding chapter’s quantitative analysis of </w:t>
      </w:r>
      <w:r w:rsidRPr="00155FA1">
        <w:rPr>
          <w:rFonts w:cs="Times New Roman"/>
          <w:i/>
          <w:iCs/>
        </w:rPr>
        <w:t>whether</w:t>
      </w:r>
      <w:r w:rsidRPr="00155FA1">
        <w:rPr>
          <w:rFonts w:cs="Times New Roman"/>
        </w:rPr>
        <w:t xml:space="preserve"> media coverage of terrorism has a negative effect on international (state) legitimacy (Chapter 6).</w:t>
      </w:r>
    </w:p>
    <w:p w14:paraId="4E64221F" w14:textId="4814E67A" w:rsidR="00D7207E" w:rsidRPr="00D7207E" w:rsidRDefault="002915BC" w:rsidP="00D7207E">
      <w:pPr>
        <w:keepNext/>
        <w:rPr>
          <w:rFonts w:cs="Times New Roman"/>
        </w:rPr>
      </w:pPr>
      <w:r w:rsidRPr="00155FA1">
        <w:rPr>
          <w:rFonts w:cs="Times New Roman"/>
          <w:noProof/>
        </w:rPr>
        <w:lastRenderedPageBreak/>
        <w:drawing>
          <wp:inline distT="0" distB="0" distL="0" distR="0" wp14:anchorId="305AA552" wp14:editId="1087000C">
            <wp:extent cx="5473700" cy="4572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61" w:name="_Toc168415559"/>
      <w:bookmarkStart w:id="62" w:name="_Toc175413241"/>
    </w:p>
    <w:p w14:paraId="5F6DC0AD" w14:textId="2B1E8F17" w:rsidR="002915BC" w:rsidRPr="00C26315" w:rsidRDefault="002915BC" w:rsidP="00C26315">
      <w:pPr>
        <w:pStyle w:val="DissertationFigureCaption"/>
        <w:rPr>
          <w:u w:val="none"/>
        </w:rPr>
      </w:pPr>
      <w:r w:rsidRPr="00155FA1">
        <w:t>Fig</w:t>
      </w:r>
      <w:r w:rsidR="0028762A">
        <w:t>ure</w:t>
      </w:r>
      <w:r w:rsidRPr="00155FA1">
        <w:t xml:space="preserve"> 7- </w:t>
      </w:r>
      <w:fldSimple w:instr=" SEQ Table_7- \* ARABIC ">
        <w:r w:rsidR="00AF1E65">
          <w:rPr>
            <w:noProof/>
          </w:rPr>
          <w:t>1</w:t>
        </w:r>
      </w:fldSimple>
      <w:r w:rsidR="00880AD8">
        <w:rPr>
          <w:noProof/>
        </w:rPr>
        <w:t>:</w:t>
      </w:r>
      <w:r w:rsidR="00C26315" w:rsidRPr="00C26315">
        <w:rPr>
          <w:u w:val="none"/>
        </w:rPr>
        <w:tab/>
      </w:r>
      <w:r w:rsidRPr="0028762A">
        <w:rPr>
          <w:u w:val="none"/>
        </w:rPr>
        <w:t xml:space="preserve"> Relative Frequencies of 28 Definitional Elements in the Media Coverage of Terrorism</w:t>
      </w:r>
      <w:bookmarkEnd w:id="61"/>
      <w:bookmarkEnd w:id="62"/>
    </w:p>
    <w:p w14:paraId="62C7978D" w14:textId="77777777" w:rsidR="00D7207E" w:rsidRDefault="00D7207E" w:rsidP="002915BC">
      <w:pPr>
        <w:rPr>
          <w:rFonts w:cs="Times New Roman"/>
        </w:rPr>
      </w:pPr>
    </w:p>
    <w:p w14:paraId="1085A2A3" w14:textId="727DE503" w:rsidR="002915BC" w:rsidRPr="00155FA1" w:rsidRDefault="002915BC" w:rsidP="002915BC">
      <w:pPr>
        <w:rPr>
          <w:rFonts w:cs="Times New Roman"/>
        </w:rPr>
      </w:pPr>
      <w:r w:rsidRPr="00155FA1">
        <w:rPr>
          <w:rFonts w:cs="Times New Roman"/>
        </w:rPr>
        <w:t xml:space="preserve">As depicted in Figure 7-1, above, five definitional elements of the total 28 definitional elements analyzed meet the significance threshold that I use to establish a </w:t>
      </w:r>
      <w:r w:rsidRPr="00155FA1">
        <w:rPr>
          <w:rFonts w:cs="Times New Roman"/>
          <w:i/>
          <w:iCs/>
        </w:rPr>
        <w:t xml:space="preserve">de minimis </w:t>
      </w:r>
      <w:r w:rsidRPr="00155FA1">
        <w:rPr>
          <w:rFonts w:cs="Times New Roman"/>
        </w:rPr>
        <w:t>definition of terrorism implicit in international policy (henceforth the “the policy definition of terrorism”) in Chapter 3.</w:t>
      </w:r>
      <w:r w:rsidRPr="00155FA1">
        <w:rPr>
          <w:rStyle w:val="FootnoteReference"/>
          <w:rFonts w:cs="Times New Roman"/>
        </w:rPr>
        <w:footnoteReference w:id="410"/>
      </w:r>
      <w:r w:rsidRPr="00155FA1">
        <w:rPr>
          <w:rFonts w:cs="Times New Roman"/>
        </w:rPr>
        <w:t xml:space="preserve"> These definitional elements are</w:t>
      </w:r>
    </w:p>
    <w:p w14:paraId="71BD0F5E" w14:textId="77777777" w:rsidR="002915BC" w:rsidRPr="00155FA1" w:rsidRDefault="002915BC" w:rsidP="002915BC">
      <w:pPr>
        <w:ind w:firstLine="709"/>
        <w:contextualSpacing/>
        <w:rPr>
          <w:rFonts w:cs="Times New Roman"/>
        </w:rPr>
      </w:pPr>
      <w:r w:rsidRPr="00155FA1">
        <w:rPr>
          <w:rFonts w:cs="Times New Roman"/>
        </w:rPr>
        <w:t>[2]</w:t>
      </w:r>
      <w:r w:rsidRPr="00155FA1">
        <w:rPr>
          <w:rFonts w:cs="Times New Roman"/>
          <w:i/>
          <w:iCs/>
        </w:rPr>
        <w:t xml:space="preserve"> destruction of, or damage to property </w:t>
      </w:r>
      <w:r w:rsidRPr="00155FA1">
        <w:rPr>
          <w:rFonts w:cs="Times New Roman"/>
        </w:rPr>
        <w:t xml:space="preserve">(identified with a recurrence frequency of </w:t>
      </w:r>
    </w:p>
    <w:p w14:paraId="7D038646" w14:textId="77777777" w:rsidR="002915BC" w:rsidRPr="00155FA1" w:rsidRDefault="002915BC" w:rsidP="002915BC">
      <w:pPr>
        <w:ind w:firstLine="1134"/>
        <w:contextualSpacing/>
        <w:rPr>
          <w:rFonts w:cs="Times New Roman"/>
        </w:rPr>
      </w:pPr>
      <w:r w:rsidRPr="00155FA1">
        <w:rPr>
          <w:rFonts w:cs="Times New Roman"/>
        </w:rPr>
        <w:t>92%);</w:t>
      </w:r>
    </w:p>
    <w:p w14:paraId="0B4338D3" w14:textId="77777777" w:rsidR="002915BC" w:rsidRPr="00155FA1" w:rsidRDefault="002915BC" w:rsidP="002915BC">
      <w:pPr>
        <w:ind w:firstLine="720"/>
        <w:contextualSpacing/>
        <w:rPr>
          <w:rFonts w:cs="Times New Roman"/>
        </w:rPr>
      </w:pPr>
      <w:r w:rsidRPr="00155FA1">
        <w:rPr>
          <w:rFonts w:cs="Times New Roman"/>
        </w:rPr>
        <w:t xml:space="preserve">[4] </w:t>
      </w:r>
      <w:r w:rsidRPr="00155FA1">
        <w:rPr>
          <w:rFonts w:cs="Times New Roman"/>
          <w:i/>
          <w:iCs/>
        </w:rPr>
        <w:t xml:space="preserve">physical injury; homicide; death of a victim </w:t>
      </w:r>
      <w:r w:rsidRPr="00155FA1">
        <w:rPr>
          <w:rFonts w:cs="Times New Roman"/>
        </w:rPr>
        <w:t xml:space="preserve">(identified with a recurrence frequency </w:t>
      </w:r>
    </w:p>
    <w:p w14:paraId="2CE7A0D7" w14:textId="77777777" w:rsidR="002915BC" w:rsidRPr="00155FA1" w:rsidRDefault="002915BC" w:rsidP="002915BC">
      <w:pPr>
        <w:ind w:firstLine="1134"/>
        <w:contextualSpacing/>
        <w:rPr>
          <w:rFonts w:cs="Times New Roman"/>
        </w:rPr>
      </w:pPr>
      <w:r w:rsidRPr="00155FA1">
        <w:rPr>
          <w:rFonts w:cs="Times New Roman"/>
        </w:rPr>
        <w:t>of 60%);</w:t>
      </w:r>
    </w:p>
    <w:p w14:paraId="4D1215B2" w14:textId="77777777" w:rsidR="002915BC" w:rsidRPr="00155FA1" w:rsidRDefault="002915BC" w:rsidP="002915BC">
      <w:pPr>
        <w:ind w:firstLine="720"/>
        <w:contextualSpacing/>
        <w:rPr>
          <w:rFonts w:cs="Times New Roman"/>
        </w:rPr>
      </w:pPr>
      <w:r w:rsidRPr="00155FA1">
        <w:rPr>
          <w:rFonts w:cs="Times New Roman"/>
        </w:rPr>
        <w:t xml:space="preserve">[14] </w:t>
      </w:r>
      <w:r w:rsidRPr="00155FA1">
        <w:rPr>
          <w:rFonts w:cs="Times New Roman"/>
          <w:i/>
          <w:iCs/>
        </w:rPr>
        <w:t xml:space="preserve">intention; the deliberate, purposive taking of action </w:t>
      </w:r>
      <w:r w:rsidRPr="00155FA1">
        <w:rPr>
          <w:rFonts w:cs="Times New Roman"/>
        </w:rPr>
        <w:t xml:space="preserve">(identified with a recurrence </w:t>
      </w:r>
    </w:p>
    <w:p w14:paraId="49D73357" w14:textId="77777777" w:rsidR="002915BC" w:rsidRPr="00155FA1" w:rsidRDefault="002915BC" w:rsidP="002915BC">
      <w:pPr>
        <w:ind w:left="720" w:firstLine="414"/>
        <w:contextualSpacing/>
        <w:rPr>
          <w:rFonts w:cs="Times New Roman"/>
        </w:rPr>
      </w:pPr>
      <w:r w:rsidRPr="00155FA1">
        <w:rPr>
          <w:rFonts w:cs="Times New Roman"/>
        </w:rPr>
        <w:t>frequency of 56%);</w:t>
      </w:r>
    </w:p>
    <w:p w14:paraId="5FD97D1A" w14:textId="77777777" w:rsidR="002915BC" w:rsidRPr="00155FA1" w:rsidRDefault="002915BC" w:rsidP="002915BC">
      <w:pPr>
        <w:ind w:firstLine="720"/>
        <w:contextualSpacing/>
        <w:rPr>
          <w:rFonts w:cs="Times New Roman"/>
        </w:rPr>
      </w:pPr>
      <w:r w:rsidRPr="00155FA1">
        <w:rPr>
          <w:rFonts w:cs="Times New Roman"/>
        </w:rPr>
        <w:t xml:space="preserve">[19] </w:t>
      </w:r>
      <w:r w:rsidRPr="00155FA1">
        <w:rPr>
          <w:rFonts w:cs="Times New Roman"/>
          <w:i/>
          <w:iCs/>
        </w:rPr>
        <w:t xml:space="preserve">publicity, propaganda </w:t>
      </w:r>
      <w:r w:rsidRPr="00155FA1">
        <w:rPr>
          <w:rFonts w:cs="Times New Roman"/>
        </w:rPr>
        <w:t>(identified with a recurrence frequency of 66%);</w:t>
      </w:r>
    </w:p>
    <w:p w14:paraId="35A128E2" w14:textId="77777777" w:rsidR="002915BC" w:rsidRPr="00155FA1" w:rsidRDefault="002915BC" w:rsidP="002915BC">
      <w:pPr>
        <w:ind w:firstLine="720"/>
        <w:rPr>
          <w:rFonts w:cs="Times New Roman"/>
        </w:rPr>
      </w:pPr>
      <w:r w:rsidRPr="00155FA1">
        <w:rPr>
          <w:rFonts w:cs="Times New Roman"/>
        </w:rPr>
        <w:t>[27]</w:t>
      </w:r>
      <w:r w:rsidRPr="00155FA1">
        <w:rPr>
          <w:rFonts w:cs="Times New Roman"/>
          <w:i/>
          <w:iCs/>
        </w:rPr>
        <w:t xml:space="preserve"> public; general population</w:t>
      </w:r>
      <w:r w:rsidRPr="00155FA1">
        <w:rPr>
          <w:rFonts w:cs="Times New Roman"/>
        </w:rPr>
        <w:t xml:space="preserve"> (identified with a recurrence frequency of 94%).</w:t>
      </w:r>
    </w:p>
    <w:p w14:paraId="02AA4929" w14:textId="7D86E076" w:rsidR="002915BC" w:rsidRPr="00155FA1" w:rsidRDefault="002915BC" w:rsidP="002915BC">
      <w:pPr>
        <w:rPr>
          <w:rFonts w:cs="Times New Roman"/>
        </w:rPr>
      </w:pPr>
      <w:r w:rsidRPr="00155FA1">
        <w:rPr>
          <w:rFonts w:cs="Times New Roman"/>
        </w:rPr>
        <w:lastRenderedPageBreak/>
        <w:t>The first two elements listed above (elements [2] and [4]) fall at the intersection between the “means” and the “mode” of terrorism, when terrorism is conceptualized in accordance with the overlapping classification of elements that I propose in Chapter 3.</w:t>
      </w:r>
      <w:r w:rsidRPr="00155FA1">
        <w:rPr>
          <w:rStyle w:val="FootnoteReference"/>
          <w:rFonts w:cs="Times New Roman"/>
        </w:rPr>
        <w:footnoteReference w:id="411"/>
      </w:r>
      <w:r w:rsidRPr="00155FA1">
        <w:rPr>
          <w:rFonts w:cs="Times New Roman"/>
        </w:rPr>
        <w:t xml:space="preserve"> Alternatively, these two elements can be understood as components of the “who” (</w:t>
      </w:r>
      <w:r w:rsidRPr="00155FA1">
        <w:rPr>
          <w:rFonts w:cs="Times New Roman"/>
          <w:i/>
          <w:iCs/>
        </w:rPr>
        <w:t>who</w:t>
      </w:r>
      <w:r w:rsidRPr="00155FA1">
        <w:rPr>
          <w:rFonts w:cs="Times New Roman"/>
        </w:rPr>
        <w:t xml:space="preserve"> is directly affected by a terrorist attack?; the victim(s) of the attack) and the “what” (</w:t>
      </w:r>
      <w:r w:rsidRPr="00155FA1">
        <w:rPr>
          <w:rFonts w:cs="Times New Roman"/>
          <w:i/>
          <w:iCs/>
        </w:rPr>
        <w:t xml:space="preserve">what </w:t>
      </w:r>
      <w:r w:rsidRPr="00155FA1">
        <w:rPr>
          <w:rFonts w:cs="Times New Roman"/>
        </w:rPr>
        <w:t xml:space="preserve">happened?) associated with a terrorist incident. The third element – element [14] – meanwhile, can be classified as a “mode” (the </w:t>
      </w:r>
      <w:r w:rsidRPr="00155FA1">
        <w:rPr>
          <w:rFonts w:cs="Times New Roman"/>
          <w:i/>
          <w:iCs/>
        </w:rPr>
        <w:t>how</w:t>
      </w:r>
      <w:r w:rsidRPr="00155FA1">
        <w:rPr>
          <w:rFonts w:cs="Times New Roman"/>
        </w:rPr>
        <w:t xml:space="preserve">) associated with a terrorist attack. Similarly, element [19] is classified as part of the </w:t>
      </w:r>
      <w:r w:rsidRPr="00155FA1">
        <w:rPr>
          <w:rFonts w:cs="Times New Roman"/>
          <w:i/>
          <w:iCs/>
        </w:rPr>
        <w:t xml:space="preserve">motivation </w:t>
      </w:r>
      <w:r w:rsidRPr="00155FA1">
        <w:rPr>
          <w:rFonts w:cs="Times New Roman"/>
        </w:rPr>
        <w:t xml:space="preserve">subset of the “mode” associated with terrorism. Motivation speaks to the factors that influence both </w:t>
      </w:r>
      <w:r w:rsidRPr="00155FA1">
        <w:rPr>
          <w:rFonts w:cs="Times New Roman"/>
          <w:i/>
          <w:iCs/>
        </w:rPr>
        <w:t>how</w:t>
      </w:r>
      <w:r w:rsidRPr="00155FA1">
        <w:rPr>
          <w:rFonts w:cs="Times New Roman"/>
        </w:rPr>
        <w:t xml:space="preserve"> the attack is conceived of by its perpetrators, and </w:t>
      </w:r>
      <w:r w:rsidRPr="00155FA1">
        <w:rPr>
          <w:rFonts w:cs="Times New Roman"/>
          <w:i/>
          <w:iCs/>
        </w:rPr>
        <w:t>how</w:t>
      </w:r>
      <w:r w:rsidRPr="00155FA1">
        <w:rPr>
          <w:rFonts w:cs="Times New Roman"/>
        </w:rPr>
        <w:t xml:space="preserve"> the terrorism ultimately manifests (as an attack). As such, element [19] also constitutes a component of the “why” associated with a terrorist attack (</w:t>
      </w:r>
      <w:r w:rsidRPr="00155FA1">
        <w:rPr>
          <w:rFonts w:cs="Times New Roman"/>
          <w:i/>
          <w:iCs/>
        </w:rPr>
        <w:t>why</w:t>
      </w:r>
      <w:r w:rsidRPr="00155FA1">
        <w:rPr>
          <w:rFonts w:cs="Times New Roman"/>
        </w:rPr>
        <w:t xml:space="preserve"> did this happen?). Finally, element [27] falls under the “target” </w:t>
      </w:r>
      <w:r w:rsidR="00BE6D70" w:rsidRPr="00155FA1">
        <w:rPr>
          <w:rFonts w:cs="Times New Roman"/>
        </w:rPr>
        <w:t>classification and</w:t>
      </w:r>
      <w:r w:rsidRPr="00155FA1">
        <w:rPr>
          <w:rFonts w:cs="Times New Roman"/>
        </w:rPr>
        <w:t xml:space="preserve"> should thus be understood as an (immediate) “ends” towards which the terrorist incident in question is perpetrated. </w:t>
      </w:r>
      <w:r w:rsidR="00BE6D70">
        <w:rPr>
          <w:rFonts w:cs="Times New Roman"/>
        </w:rPr>
        <w:t>Understanding</w:t>
      </w:r>
      <w:r w:rsidRPr="00155FA1">
        <w:rPr>
          <w:rFonts w:cs="Times New Roman"/>
        </w:rPr>
        <w:t xml:space="preserve"> the definitional elements per the aforementioned model is important because doing so helps me suggest whether an incident qualifies as terrorism under one or more of the specific </w:t>
      </w:r>
      <w:r w:rsidRPr="00155FA1">
        <w:rPr>
          <w:rFonts w:cs="Times New Roman"/>
          <w:i/>
          <w:iCs/>
        </w:rPr>
        <w:t>de minimis</w:t>
      </w:r>
      <w:r w:rsidRPr="00155FA1">
        <w:rPr>
          <w:rFonts w:cs="Times New Roman"/>
        </w:rPr>
        <w:t xml:space="preserve"> definitions that I establish in this dissertation. This is because an incident must meet </w:t>
      </w:r>
      <w:r w:rsidRPr="00155FA1">
        <w:rPr>
          <w:rFonts w:cs="Times New Roman"/>
          <w:i/>
          <w:iCs/>
        </w:rPr>
        <w:t>at least one</w:t>
      </w:r>
      <w:r w:rsidRPr="00155FA1">
        <w:rPr>
          <w:rFonts w:cs="Times New Roman"/>
        </w:rPr>
        <w:t xml:space="preserve"> of the elements in each category covered by that definition to be considered to meet its criteria. </w:t>
      </w:r>
    </w:p>
    <w:p w14:paraId="04598EA8" w14:textId="5D19922F" w:rsidR="002915BC" w:rsidRPr="00F85A92" w:rsidRDefault="002915BC" w:rsidP="00F85A92">
      <w:pPr>
        <w:ind w:firstLine="720"/>
        <w:rPr>
          <w:rFonts w:cs="Times New Roman"/>
        </w:rPr>
      </w:pPr>
      <w:r w:rsidRPr="00155FA1">
        <w:rPr>
          <w:rFonts w:cs="Times New Roman"/>
        </w:rPr>
        <w:t xml:space="preserve">There is also significant benefit associated with this model’s provision of an easy way to compare and contrast specific definitions of terrorism. In the context of the research that I present in this dissertation, the utility to this model comes in the context of the assessment of various </w:t>
      </w:r>
      <w:r w:rsidRPr="00155FA1">
        <w:rPr>
          <w:rFonts w:cs="Times New Roman"/>
          <w:i/>
          <w:iCs/>
        </w:rPr>
        <w:t>de minimis</w:t>
      </w:r>
      <w:r w:rsidRPr="00155FA1">
        <w:rPr>
          <w:rFonts w:cs="Times New Roman"/>
        </w:rPr>
        <w:t xml:space="preserve"> definitions of terrorism that comprises a significant part of the analysis I undertake in this chapter (Chapter 7) and Chapter 8.</w:t>
      </w:r>
    </w:p>
    <w:p w14:paraId="7AC2633F" w14:textId="065C3675" w:rsidR="002915BC" w:rsidRPr="00155FA1" w:rsidRDefault="002915BC" w:rsidP="00F85A92">
      <w:pPr>
        <w:pStyle w:val="DissertationSection2"/>
      </w:pPr>
      <w:bookmarkStart w:id="63" w:name="_Toc175413156"/>
      <w:r w:rsidRPr="00155FA1">
        <w:t xml:space="preserve">Assessing the </w:t>
      </w:r>
      <w:r w:rsidRPr="00155FA1">
        <w:rPr>
          <w:i/>
          <w:iCs/>
        </w:rPr>
        <w:t xml:space="preserve">De Minimis </w:t>
      </w:r>
      <w:r w:rsidRPr="00155FA1">
        <w:t xml:space="preserve">Media Coverage Definition of Terrorism in Relation to the </w:t>
      </w:r>
      <w:r w:rsidRPr="00155FA1">
        <w:rPr>
          <w:i/>
          <w:iCs/>
        </w:rPr>
        <w:t>De Minimis</w:t>
      </w:r>
      <w:r w:rsidRPr="00155FA1">
        <w:t xml:space="preserve"> Policy Definition of Terrorism</w:t>
      </w:r>
      <w:bookmarkEnd w:id="63"/>
    </w:p>
    <w:p w14:paraId="0E666C23" w14:textId="509B0593" w:rsidR="002915BC" w:rsidRPr="00155FA1" w:rsidRDefault="002915BC" w:rsidP="002915BC">
      <w:pPr>
        <w:ind w:firstLine="720"/>
        <w:rPr>
          <w:rFonts w:cs="Times New Roman"/>
        </w:rPr>
      </w:pPr>
      <w:r w:rsidRPr="00155FA1">
        <w:rPr>
          <w:rFonts w:cs="Times New Roman"/>
        </w:rPr>
        <w:t xml:space="preserve">Per the </w:t>
      </w:r>
      <w:r w:rsidRPr="00155FA1">
        <w:rPr>
          <w:rFonts w:cs="Times New Roman"/>
          <w:i/>
          <w:iCs/>
        </w:rPr>
        <w:t>de minimis</w:t>
      </w:r>
      <w:r w:rsidRPr="00155FA1">
        <w:rPr>
          <w:rFonts w:cs="Times New Roman"/>
        </w:rPr>
        <w:t xml:space="preserve"> definition of terrorism implicit to the English language media coverage of terrorism established in the preceding section of this chapter, terrorism is</w:t>
      </w:r>
    </w:p>
    <w:p w14:paraId="0A4F451F" w14:textId="2D6B905B" w:rsidR="002915BC" w:rsidRPr="00155FA1" w:rsidRDefault="002915BC" w:rsidP="002915BC">
      <w:pPr>
        <w:ind w:left="720"/>
        <w:rPr>
          <w:rFonts w:cs="Times New Roman"/>
        </w:rPr>
      </w:pPr>
      <w:r w:rsidRPr="00155FA1">
        <w:rPr>
          <w:rFonts w:cs="Times New Roman"/>
          <w:i/>
          <w:iCs/>
        </w:rPr>
        <w:t>the intentional targeting of the general population in order to generate news or garner publicity, which can include (but is not limited to) perpetrating homicide, other actions that result in physical injury or death to persons, and damaging or destroying property</w:t>
      </w:r>
      <w:r w:rsidRPr="00155FA1">
        <w:rPr>
          <w:rFonts w:cs="Times New Roman"/>
        </w:rPr>
        <w:t xml:space="preserve"> </w:t>
      </w:r>
    </w:p>
    <w:p w14:paraId="1E1B77E7" w14:textId="3D9711C0" w:rsidR="002915BC" w:rsidRPr="00155FA1" w:rsidRDefault="00D95F35" w:rsidP="002915BC">
      <w:pPr>
        <w:ind w:firstLine="720"/>
        <w:rPr>
          <w:rFonts w:cs="Times New Roman"/>
        </w:rPr>
      </w:pPr>
      <w:r>
        <w:rPr>
          <w:rFonts w:cs="Times New Roman"/>
        </w:rPr>
        <w:t xml:space="preserve">This </w:t>
      </w:r>
      <w:r w:rsidR="002915BC" w:rsidRPr="00155FA1">
        <w:rPr>
          <w:rFonts w:cs="Times New Roman"/>
        </w:rPr>
        <w:t xml:space="preserve">is notable because it seemingly contrasts with my Chapter 3 establishment of a </w:t>
      </w:r>
      <w:r w:rsidR="002915BC" w:rsidRPr="00155FA1">
        <w:rPr>
          <w:rFonts w:cs="Times New Roman"/>
          <w:i/>
          <w:iCs/>
        </w:rPr>
        <w:t xml:space="preserve">de minimis </w:t>
      </w:r>
      <w:r w:rsidR="002915BC" w:rsidRPr="00155FA1">
        <w:rPr>
          <w:rFonts w:cs="Times New Roman"/>
        </w:rPr>
        <w:t xml:space="preserve">definition of terrorism relevant to international policy that understands terrorism as </w:t>
      </w:r>
    </w:p>
    <w:p w14:paraId="1ED390E4" w14:textId="3068B1E0" w:rsidR="002915BC" w:rsidRPr="00155FA1" w:rsidRDefault="002915BC" w:rsidP="002915BC">
      <w:pPr>
        <w:ind w:left="720"/>
        <w:rPr>
          <w:rFonts w:cs="Times New Roman"/>
        </w:rPr>
      </w:pPr>
      <w:r w:rsidRPr="00155FA1">
        <w:rPr>
          <w:rFonts w:cs="Times New Roman"/>
          <w:i/>
          <w:iCs/>
        </w:rPr>
        <w:t>the threatening, or intentional taking of criminal action designed to influence a state, an international organization, or another decision-making body’s taking of action or lack thereof by intimidating the general population, which can include (but is not limited to) perpetrating homicide, other actions that result in serious physical injury or death to persons, and the damaging or destroying property.</w:t>
      </w:r>
      <w:r w:rsidRPr="00155FA1">
        <w:rPr>
          <w:rFonts w:cs="Times New Roman"/>
        </w:rPr>
        <w:t xml:space="preserve"> </w:t>
      </w:r>
    </w:p>
    <w:p w14:paraId="356A489B" w14:textId="10A9A8F7" w:rsidR="002915BC" w:rsidRPr="00155FA1" w:rsidRDefault="002915BC" w:rsidP="002915BC">
      <w:pPr>
        <w:rPr>
          <w:rFonts w:cs="Times New Roman"/>
        </w:rPr>
      </w:pPr>
      <w:r w:rsidRPr="00155FA1">
        <w:rPr>
          <w:rFonts w:cs="Times New Roman"/>
        </w:rPr>
        <w:t xml:space="preserve">Figure 7-2, </w:t>
      </w:r>
      <w:r w:rsidR="00D7207E">
        <w:rPr>
          <w:rFonts w:cs="Times New Roman"/>
        </w:rPr>
        <w:t>on the next page</w:t>
      </w:r>
      <w:r w:rsidRPr="00155FA1">
        <w:rPr>
          <w:rFonts w:cs="Times New Roman"/>
        </w:rPr>
        <w:t>, shows the overlap between the elements that comprise these two definitions.</w:t>
      </w:r>
    </w:p>
    <w:p w14:paraId="49A121D8" w14:textId="77777777" w:rsidR="00D7207E" w:rsidRDefault="00787EBB" w:rsidP="00C61B98">
      <w:pPr>
        <w:rPr>
          <w:rFonts w:cs="Times New Roman"/>
        </w:rPr>
      </w:pPr>
      <w:r w:rsidRPr="00155FA1">
        <w:rPr>
          <w:rFonts w:cs="Times New Roman"/>
          <w:noProof/>
        </w:rPr>
        <mc:AlternateContent>
          <mc:Choice Requires="wps">
            <w:drawing>
              <wp:anchor distT="0" distB="0" distL="114300" distR="114300" simplePos="0" relativeHeight="251660288" behindDoc="0" locked="0" layoutInCell="1" allowOverlap="1" wp14:anchorId="1A6D0D3F" wp14:editId="5F0D7116">
                <wp:simplePos x="0" y="0"/>
                <wp:positionH relativeFrom="column">
                  <wp:posOffset>80010</wp:posOffset>
                </wp:positionH>
                <wp:positionV relativeFrom="paragraph">
                  <wp:posOffset>2987040</wp:posOffset>
                </wp:positionV>
                <wp:extent cx="5168900" cy="431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68900" cy="431800"/>
                        </a:xfrm>
                        <a:prstGeom prst="rect">
                          <a:avLst/>
                        </a:prstGeom>
                        <a:noFill/>
                        <a:ln>
                          <a:noFill/>
                        </a:ln>
                      </wps:spPr>
                      <wps:txbx>
                        <w:txbxContent>
                          <w:p w14:paraId="61121BAD" w14:textId="4C420CE2" w:rsidR="002915BC" w:rsidRPr="00A13CC5" w:rsidRDefault="002915BC" w:rsidP="00A13CC5">
                            <w:pPr>
                              <w:pStyle w:val="DissertationFigureCaption"/>
                              <w:rPr>
                                <w:u w:val="none"/>
                              </w:rPr>
                            </w:pPr>
                            <w:bookmarkStart w:id="64" w:name="_Toc168415560"/>
                            <w:bookmarkStart w:id="65" w:name="_Toc175413242"/>
                            <w:r w:rsidRPr="00F42207">
                              <w:t>Fi</w:t>
                            </w:r>
                            <w:r w:rsidR="0028762A">
                              <w:t>gure</w:t>
                            </w:r>
                            <w:r w:rsidRPr="00F42207">
                              <w:t xml:space="preserve"> 7- </w:t>
                            </w:r>
                            <w:fldSimple w:instr=" SEQ Table_7- \* ARABIC ">
                              <w:r w:rsidR="00AF1E65">
                                <w:rPr>
                                  <w:noProof/>
                                </w:rPr>
                                <w:t>2</w:t>
                              </w:r>
                            </w:fldSimple>
                            <w:r w:rsidR="00880AD8">
                              <w:rPr>
                                <w:noProof/>
                              </w:rPr>
                              <w:t>:</w:t>
                            </w:r>
                            <w:r w:rsidR="00C26315">
                              <w:rPr>
                                <w:u w:val="none"/>
                              </w:rPr>
                              <w:tab/>
                            </w:r>
                            <w:r w:rsidR="00A13CC5">
                              <w:rPr>
                                <w:u w:val="none"/>
                              </w:rPr>
                              <w:t xml:space="preserve"> </w:t>
                            </w:r>
                            <w:r w:rsidRPr="00A13CC5">
                              <w:rPr>
                                <w:u w:val="none"/>
                              </w:rPr>
                              <w:t>Comparing the Composition of the De Minimis Definitions of Terrorism Implicit to Policy and Media Coverage of Terrorism</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A6D0D3F" id="_x0000_t202" coordsize="21600,21600" o:spt="202" path="m,l,21600r21600,l21600,xe">
                <v:stroke joinstyle="miter"/>
                <v:path gradientshapeok="t" o:connecttype="rect"/>
              </v:shapetype>
              <v:shape id="Text Box 4" o:spid="_x0000_s1026" type="#_x0000_t202" style="position:absolute;margin-left:6.3pt;margin-top:235.2pt;width:407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" filled="f" stroked="f">
                <v:textbox inset="0,0,0,0">
                  <w:txbxContent>
                    <w:p w14:paraId="61121BAD" w14:textId="4C420CE2" w:rsidR="002915BC" w:rsidRPr="00A13CC5" w:rsidRDefault="002915BC" w:rsidP="00A13CC5">
                      <w:pPr>
                        <w:pStyle w:val="DissertationFigureCaption"/>
                        <w:rPr>
                          <w:u w:val="none"/>
                        </w:rPr>
                      </w:pPr>
                      <w:bookmarkStart w:id="66" w:name="_Toc168415560"/>
                      <w:bookmarkStart w:id="67" w:name="_Toc175413242"/>
                      <w:r w:rsidRPr="00F42207">
                        <w:t>Fi</w:t>
                      </w:r>
                      <w:r w:rsidR="0028762A">
                        <w:t>gure</w:t>
                      </w:r>
                      <w:r w:rsidRPr="00F42207">
                        <w:t xml:space="preserve"> 7- </w:t>
                      </w:r>
                      <w:r w:rsidR="00000000">
                        <w:fldChar w:fldCharType="begin"/>
                      </w:r>
                      <w:r w:rsidR="00000000">
                        <w:instrText xml:space="preserve"> SEQ Table_7- \* ARABIC </w:instrText>
                      </w:r>
                      <w:r w:rsidR="00000000">
                        <w:fldChar w:fldCharType="separate"/>
                      </w:r>
                      <w:r w:rsidR="00AF1E65">
                        <w:rPr>
                          <w:noProof/>
                        </w:rPr>
                        <w:t>2</w:t>
                      </w:r>
                      <w:r w:rsidR="00000000">
                        <w:rPr>
                          <w:noProof/>
                        </w:rPr>
                        <w:fldChar w:fldCharType="end"/>
                      </w:r>
                      <w:r w:rsidR="00880AD8">
                        <w:rPr>
                          <w:noProof/>
                        </w:rPr>
                        <w:t>:</w:t>
                      </w:r>
                      <w:r w:rsidR="00C26315">
                        <w:rPr>
                          <w:u w:val="none"/>
                        </w:rPr>
                        <w:tab/>
                      </w:r>
                      <w:r w:rsidR="00A13CC5">
                        <w:rPr>
                          <w:u w:val="none"/>
                        </w:rPr>
                        <w:t xml:space="preserve"> </w:t>
                      </w:r>
                      <w:r w:rsidRPr="00A13CC5">
                        <w:rPr>
                          <w:u w:val="none"/>
                        </w:rPr>
                        <w:t>Comparing the Composition of the De Minimis Definitions of Terrorism Implicit to Policy and Media Coverage of Terrorism</w:t>
                      </w:r>
                      <w:bookmarkEnd w:id="66"/>
                      <w:bookmarkEnd w:id="67"/>
                    </w:p>
                  </w:txbxContent>
                </v:textbox>
              </v:shape>
            </w:pict>
          </mc:Fallback>
        </mc:AlternateContent>
      </w:r>
      <w:r w:rsidR="00C61B98">
        <w:rPr>
          <w:rFonts w:cs="Times New Roman"/>
        </w:rPr>
        <w:br w:type="page"/>
      </w:r>
      <w:r w:rsidR="00D7207E">
        <w:rPr>
          <w:rFonts w:cs="Times New Roman"/>
          <w:noProof/>
        </w:rPr>
        <w:lastRenderedPageBreak/>
        <w:drawing>
          <wp:inline distT="0" distB="0" distL="0" distR="0" wp14:anchorId="78962988" wp14:editId="6AF06828">
            <wp:extent cx="5410800" cy="3031200"/>
            <wp:effectExtent l="0" t="0" r="0" b="4445"/>
            <wp:docPr id="73457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73826" name="Picture 7345738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0800" cy="3031200"/>
                    </a:xfrm>
                    <a:prstGeom prst="rect">
                      <a:avLst/>
                    </a:prstGeom>
                  </pic:spPr>
                </pic:pic>
              </a:graphicData>
            </a:graphic>
          </wp:inline>
        </w:drawing>
      </w:r>
    </w:p>
    <w:p w14:paraId="64236564" w14:textId="77777777" w:rsidR="00D7207E" w:rsidRDefault="00D7207E" w:rsidP="00D7207E">
      <w:pPr>
        <w:pStyle w:val="DissertationTableCaption"/>
      </w:pPr>
    </w:p>
    <w:p w14:paraId="0C62BC3B" w14:textId="3CF5A6DD" w:rsidR="00D7207E" w:rsidRDefault="00D7207E" w:rsidP="00D7207E">
      <w:pPr>
        <w:pStyle w:val="DissertationTableCaption"/>
      </w:pPr>
      <w:r w:rsidRPr="00155FA1">
        <w:t>Fig</w:t>
      </w:r>
      <w:r>
        <w:t>ure</w:t>
      </w:r>
      <w:r w:rsidRPr="00155FA1">
        <w:t xml:space="preserve"> 7- </w:t>
      </w:r>
      <w:r>
        <w:t>2</w:t>
      </w:r>
      <w:r>
        <w:rPr>
          <w:noProof/>
        </w:rPr>
        <w:t>:</w:t>
      </w:r>
      <w:r w:rsidRPr="00C26315">
        <w:rPr>
          <w:u w:val="none"/>
        </w:rPr>
        <w:tab/>
      </w:r>
      <w:r w:rsidRPr="0028762A">
        <w:rPr>
          <w:u w:val="none"/>
        </w:rPr>
        <w:t xml:space="preserve"> </w:t>
      </w:r>
      <w:r w:rsidRPr="00D7207E">
        <w:rPr>
          <w:u w:val="none"/>
        </w:rPr>
        <w:t>Comparing the Composition of the De Minimis Definitions of Terrorism Implicit to Policy and Media Coverage of Terrorism</w:t>
      </w:r>
    </w:p>
    <w:p w14:paraId="44E4C181" w14:textId="57C3C4D3" w:rsidR="002915BC" w:rsidRPr="00155FA1" w:rsidRDefault="002915BC" w:rsidP="00C61B98">
      <w:pPr>
        <w:rPr>
          <w:rFonts w:cs="Times New Roman"/>
        </w:rPr>
      </w:pPr>
      <w:r w:rsidRPr="00155FA1">
        <w:rPr>
          <w:rFonts w:cs="Times New Roman"/>
        </w:rPr>
        <w:t xml:space="preserve">As depicted in Figure 7-2, above, the </w:t>
      </w:r>
      <w:r w:rsidRPr="00155FA1">
        <w:rPr>
          <w:rFonts w:cs="Times New Roman"/>
          <w:i/>
          <w:iCs/>
        </w:rPr>
        <w:t xml:space="preserve">de minimis </w:t>
      </w:r>
      <w:r w:rsidRPr="00155FA1">
        <w:rPr>
          <w:rFonts w:cs="Times New Roman"/>
        </w:rPr>
        <w:t>definition of terrorism implicit in media coverage (hereafter referred to as my media coverage definition of terrorism) largely accords with my policy definition of terrorism. Strikingly, both definitions situate their author (either the state, in the case of the policy definition, or the media, in the case of the media coverage definition) centrally in the public drama precipitated by a terrorist incident.</w:t>
      </w:r>
      <w:r w:rsidRPr="00155FA1">
        <w:rPr>
          <w:rStyle w:val="FootnoteReference"/>
          <w:rFonts w:cs="Times New Roman"/>
        </w:rPr>
        <w:footnoteReference w:id="412"/>
      </w:r>
      <w:r w:rsidRPr="00155FA1">
        <w:rPr>
          <w:rFonts w:cs="Times New Roman"/>
        </w:rPr>
        <w:t xml:space="preserve"> To that end, my media coverage definition includes media coverage and propaganda as the </w:t>
      </w:r>
      <w:r w:rsidRPr="00155FA1">
        <w:rPr>
          <w:rFonts w:cs="Times New Roman"/>
          <w:i/>
          <w:iCs/>
        </w:rPr>
        <w:t>mode</w:t>
      </w:r>
      <w:r w:rsidRPr="00155FA1">
        <w:rPr>
          <w:rFonts w:cs="Times New Roman"/>
        </w:rPr>
        <w:t xml:space="preserve"> through which terrorism operates (element [19]), while my policy definition identifies influencing the state and/or other decision-making institutions as the ultimate objective of a terrorist incident. That both of these actors implicitly position themselves as considerations that are taken into account in the perpetration of a </w:t>
      </w:r>
      <w:r w:rsidRPr="00155FA1">
        <w:rPr>
          <w:rFonts w:cs="Times New Roman"/>
          <w:i/>
          <w:iCs/>
        </w:rPr>
        <w:t>terrorist</w:t>
      </w:r>
      <w:r w:rsidRPr="00155FA1">
        <w:rPr>
          <w:rFonts w:cs="Times New Roman"/>
        </w:rPr>
        <w:t xml:space="preserve"> incident suggests that there is some significance to the terrorism label that is somehow greater than that associated with other types of violence. So, from the perspectives of the state and the news media, </w:t>
      </w:r>
      <w:r w:rsidRPr="00155FA1">
        <w:rPr>
          <w:rFonts w:cs="Times New Roman"/>
          <w:i/>
          <w:iCs/>
        </w:rPr>
        <w:t>what is the utility of labeling an incident ‘terrorism’?</w:t>
      </w:r>
    </w:p>
    <w:p w14:paraId="16E049D5" w14:textId="7E61FFB4" w:rsidR="002915BC" w:rsidRPr="00155FA1" w:rsidRDefault="002915BC" w:rsidP="002915BC">
      <w:pPr>
        <w:ind w:firstLine="720"/>
        <w:rPr>
          <w:rFonts w:cs="Times New Roman"/>
          <w:color w:val="000000" w:themeColor="text1"/>
        </w:rPr>
      </w:pPr>
      <w:r w:rsidRPr="00155FA1">
        <w:rPr>
          <w:rFonts w:cs="Times New Roman"/>
        </w:rPr>
        <w:t xml:space="preserve">While both definitions establish terrorism’s </w:t>
      </w:r>
      <w:r w:rsidRPr="00155FA1">
        <w:rPr>
          <w:rFonts w:cs="Times New Roman"/>
          <w:i/>
          <w:iCs/>
        </w:rPr>
        <w:t>means</w:t>
      </w:r>
      <w:r w:rsidRPr="00155FA1">
        <w:rPr>
          <w:rFonts w:cs="Times New Roman"/>
        </w:rPr>
        <w:t xml:space="preserve">, </w:t>
      </w:r>
      <w:r w:rsidRPr="00155FA1">
        <w:rPr>
          <w:rFonts w:cs="Times New Roman"/>
          <w:i/>
          <w:iCs/>
        </w:rPr>
        <w:t>mode</w:t>
      </w:r>
      <w:r w:rsidRPr="00155FA1">
        <w:rPr>
          <w:rFonts w:cs="Times New Roman"/>
        </w:rPr>
        <w:t xml:space="preserve">, and </w:t>
      </w:r>
      <w:r w:rsidRPr="00155FA1">
        <w:rPr>
          <w:rFonts w:cs="Times New Roman"/>
          <w:i/>
          <w:iCs/>
        </w:rPr>
        <w:t>ends</w:t>
      </w:r>
      <w:r w:rsidRPr="00155FA1">
        <w:rPr>
          <w:rFonts w:cs="Times New Roman"/>
        </w:rPr>
        <w:t xml:space="preserve">, my policy definition provides a narrower understanding of both the nature of specific </w:t>
      </w:r>
      <w:r w:rsidRPr="00155FA1">
        <w:rPr>
          <w:rFonts w:cs="Times New Roman"/>
          <w:i/>
          <w:iCs/>
        </w:rPr>
        <w:t>means</w:t>
      </w:r>
      <w:r w:rsidRPr="00155FA1">
        <w:rPr>
          <w:rFonts w:cs="Times New Roman"/>
        </w:rPr>
        <w:t xml:space="preserve"> of terrorism, and the way that these </w:t>
      </w:r>
      <w:r w:rsidRPr="00155FA1">
        <w:rPr>
          <w:rFonts w:cs="Times New Roman"/>
          <w:i/>
          <w:iCs/>
        </w:rPr>
        <w:t xml:space="preserve">means </w:t>
      </w:r>
      <w:r w:rsidRPr="00155FA1">
        <w:rPr>
          <w:rFonts w:cs="Times New Roman"/>
        </w:rPr>
        <w:t xml:space="preserve">of terrorism affect its perpetrators’ ultimate objectives. (Or, to put it another way, the </w:t>
      </w:r>
      <w:r w:rsidRPr="00155FA1">
        <w:rPr>
          <w:rFonts w:cs="Times New Roman"/>
          <w:i/>
          <w:iCs/>
        </w:rPr>
        <w:t>mode</w:t>
      </w:r>
      <w:r w:rsidRPr="00155FA1">
        <w:rPr>
          <w:rFonts w:cs="Times New Roman"/>
        </w:rPr>
        <w:t xml:space="preserve"> through which the </w:t>
      </w:r>
      <w:r w:rsidRPr="00155FA1">
        <w:rPr>
          <w:rFonts w:cs="Times New Roman"/>
          <w:i/>
          <w:iCs/>
        </w:rPr>
        <w:t>means</w:t>
      </w:r>
      <w:r w:rsidRPr="00155FA1">
        <w:rPr>
          <w:rFonts w:cs="Times New Roman"/>
        </w:rPr>
        <w:t xml:space="preserve"> brings about the </w:t>
      </w:r>
      <w:r w:rsidRPr="00155FA1">
        <w:rPr>
          <w:rFonts w:cs="Times New Roman"/>
          <w:i/>
          <w:iCs/>
        </w:rPr>
        <w:t>ends</w:t>
      </w:r>
      <w:r w:rsidRPr="00155FA1">
        <w:rPr>
          <w:rFonts w:cs="Times New Roman"/>
        </w:rPr>
        <w:t xml:space="preserve"> of terrorism.) To that end, my policy definition adds dimension to terrorism’s </w:t>
      </w:r>
      <w:r w:rsidRPr="00155FA1">
        <w:rPr>
          <w:rFonts w:cs="Times New Roman"/>
          <w:i/>
          <w:iCs/>
        </w:rPr>
        <w:t>means</w:t>
      </w:r>
      <w:r w:rsidRPr="00155FA1">
        <w:rPr>
          <w:rFonts w:cs="Times New Roman"/>
        </w:rPr>
        <w:t xml:space="preserve"> by explicitly providing for the inclusion of the extra-normality and criminality associated with the </w:t>
      </w:r>
      <w:r w:rsidRPr="00155FA1">
        <w:rPr>
          <w:rFonts w:cs="Times New Roman"/>
          <w:i/>
          <w:iCs/>
        </w:rPr>
        <w:t>means</w:t>
      </w:r>
      <w:r w:rsidRPr="00155FA1">
        <w:rPr>
          <w:rFonts w:cs="Times New Roman"/>
        </w:rPr>
        <w:t xml:space="preserve"> of terrorism, as well as threatened action as a </w:t>
      </w:r>
      <w:r w:rsidRPr="00155FA1">
        <w:rPr>
          <w:rFonts w:cs="Times New Roman"/>
          <w:i/>
          <w:iCs/>
        </w:rPr>
        <w:t>means</w:t>
      </w:r>
      <w:r w:rsidRPr="00155FA1">
        <w:rPr>
          <w:rFonts w:cs="Times New Roman"/>
        </w:rPr>
        <w:t xml:space="preserve"> of terrorism, and intimidation and influence as short-term objectives of these </w:t>
      </w:r>
      <w:r w:rsidRPr="00155FA1">
        <w:rPr>
          <w:rFonts w:cs="Times New Roman"/>
          <w:i/>
          <w:iCs/>
        </w:rPr>
        <w:t>means</w:t>
      </w:r>
      <w:r w:rsidRPr="00155FA1">
        <w:rPr>
          <w:rFonts w:cs="Times New Roman"/>
        </w:rPr>
        <w:t xml:space="preserve">. Describing the </w:t>
      </w:r>
      <w:r w:rsidRPr="00155FA1">
        <w:rPr>
          <w:rFonts w:cs="Times New Roman"/>
          <w:i/>
          <w:iCs/>
        </w:rPr>
        <w:t>means</w:t>
      </w:r>
      <w:r w:rsidRPr="00155FA1">
        <w:rPr>
          <w:rFonts w:cs="Times New Roman"/>
        </w:rPr>
        <w:t xml:space="preserve"> of terrorism this way is notable in that doing so establishes </w:t>
      </w:r>
      <w:r w:rsidRPr="00155FA1">
        <w:rPr>
          <w:rFonts w:cs="Times New Roman"/>
        </w:rPr>
        <w:lastRenderedPageBreak/>
        <w:t xml:space="preserve">terrorism as </w:t>
      </w:r>
      <w:r w:rsidRPr="00155FA1">
        <w:rPr>
          <w:rFonts w:cs="Times New Roman"/>
          <w:color w:val="000000" w:themeColor="text1"/>
        </w:rPr>
        <w:t xml:space="preserve">both distinct from, and more significant than, other, ‘more ordinary’ types of criminal violence. Moreover, this emphasis on the specific </w:t>
      </w:r>
      <w:r w:rsidRPr="00155FA1">
        <w:rPr>
          <w:rFonts w:cs="Times New Roman"/>
          <w:i/>
          <w:iCs/>
          <w:color w:val="000000" w:themeColor="text1"/>
        </w:rPr>
        <w:t>means</w:t>
      </w:r>
      <w:r w:rsidRPr="00155FA1">
        <w:rPr>
          <w:rFonts w:cs="Times New Roman"/>
          <w:color w:val="000000" w:themeColor="text1"/>
        </w:rPr>
        <w:t xml:space="preserve"> necessarily focuses the understanding of terrorism imparted by this definition on shorter-term objectives underlying the deployment of terrorism’s specific </w:t>
      </w:r>
      <w:r w:rsidRPr="00155FA1">
        <w:rPr>
          <w:rFonts w:cs="Times New Roman"/>
          <w:i/>
          <w:iCs/>
          <w:color w:val="000000" w:themeColor="text1"/>
        </w:rPr>
        <w:t>means</w:t>
      </w:r>
      <w:r w:rsidRPr="00155FA1">
        <w:rPr>
          <w:rFonts w:cs="Times New Roman"/>
          <w:color w:val="000000" w:themeColor="text1"/>
        </w:rPr>
        <w:t xml:space="preserve"> – intimidation, influencing decision-making processes. As well, including </w:t>
      </w:r>
      <w:r w:rsidRPr="00155FA1">
        <w:rPr>
          <w:rFonts w:cs="Times New Roman"/>
          <w:i/>
          <w:iCs/>
          <w:color w:val="000000" w:themeColor="text1"/>
        </w:rPr>
        <w:t>threat</w:t>
      </w:r>
      <w:r w:rsidRPr="00155FA1">
        <w:rPr>
          <w:rFonts w:cs="Times New Roman"/>
          <w:color w:val="000000" w:themeColor="text1"/>
        </w:rPr>
        <w:t xml:space="preserve"> as a </w:t>
      </w:r>
      <w:r w:rsidRPr="00155FA1">
        <w:rPr>
          <w:rFonts w:cs="Times New Roman"/>
          <w:i/>
          <w:iCs/>
          <w:color w:val="000000" w:themeColor="text1"/>
        </w:rPr>
        <w:t xml:space="preserve">means </w:t>
      </w:r>
      <w:r w:rsidRPr="00155FA1">
        <w:rPr>
          <w:rFonts w:cs="Times New Roman"/>
          <w:color w:val="000000" w:themeColor="text1"/>
        </w:rPr>
        <w:t xml:space="preserve">of terrorism allows for terrorism that does not ‘succeed’ (or even actually materialize as action) to be labeled terrorism. This inclusion alludes to the subjective </w:t>
      </w:r>
      <w:proofErr w:type="spellStart"/>
      <w:r w:rsidRPr="00155FA1">
        <w:rPr>
          <w:rFonts w:cs="Times New Roman"/>
          <w:i/>
          <w:iCs/>
          <w:color w:val="000000" w:themeColor="text1"/>
        </w:rPr>
        <w:t>mens</w:t>
      </w:r>
      <w:proofErr w:type="spellEnd"/>
      <w:r w:rsidRPr="00155FA1">
        <w:rPr>
          <w:rFonts w:cs="Times New Roman"/>
          <w:i/>
          <w:iCs/>
          <w:color w:val="000000" w:themeColor="text1"/>
        </w:rPr>
        <w:t xml:space="preserve"> rea</w:t>
      </w:r>
      <w:r w:rsidRPr="00155FA1">
        <w:rPr>
          <w:rFonts w:cs="Times New Roman"/>
          <w:color w:val="000000" w:themeColor="text1"/>
        </w:rPr>
        <w:t xml:space="preserve"> requirement that common law-based legal systems use to differentiate between terrorism and other types of violent crime – </w:t>
      </w:r>
      <w:r w:rsidRPr="00155FA1">
        <w:rPr>
          <w:rFonts w:cs="Times New Roman"/>
          <w:i/>
          <w:iCs/>
          <w:color w:val="000000" w:themeColor="text1"/>
        </w:rPr>
        <w:t>intent</w:t>
      </w:r>
      <w:r w:rsidRPr="00155FA1">
        <w:rPr>
          <w:rFonts w:cs="Times New Roman"/>
          <w:color w:val="000000" w:themeColor="text1"/>
        </w:rPr>
        <w:t>.</w:t>
      </w:r>
      <w:r w:rsidRPr="00155FA1">
        <w:rPr>
          <w:rStyle w:val="FootnoteReference"/>
          <w:rFonts w:cs="Times New Roman"/>
          <w:color w:val="000000" w:themeColor="text1"/>
        </w:rPr>
        <w:footnoteReference w:id="413"/>
      </w:r>
      <w:r w:rsidRPr="00155FA1">
        <w:rPr>
          <w:rFonts w:cs="Times New Roman"/>
          <w:color w:val="000000" w:themeColor="text1"/>
        </w:rPr>
        <w:t xml:space="preserve"> In practice, this means that the successful prosecution of terrorism charges requires direct evidence of the mental component(s) associated with the crime in question. Like nearly all crimes, terrorism charges depend on the prosecution’s ability to</w:t>
      </w:r>
      <w:r w:rsidR="00157E4A">
        <w:rPr>
          <w:rFonts w:cs="Times New Roman"/>
          <w:color w:val="000000" w:themeColor="text1"/>
        </w:rPr>
        <w:t xml:space="preserve"> prove beyond a reasonable doubt</w:t>
      </w:r>
      <w:r w:rsidRPr="00155FA1">
        <w:rPr>
          <w:rFonts w:cs="Times New Roman"/>
          <w:color w:val="000000" w:themeColor="text1"/>
        </w:rPr>
        <w:t xml:space="preserve"> perpetrator’s </w:t>
      </w:r>
      <w:proofErr w:type="spellStart"/>
      <w:r w:rsidRPr="00155FA1">
        <w:rPr>
          <w:rFonts w:cs="Times New Roman"/>
          <w:i/>
          <w:iCs/>
          <w:color w:val="000000" w:themeColor="text1"/>
        </w:rPr>
        <w:t>mens</w:t>
      </w:r>
      <w:proofErr w:type="spellEnd"/>
      <w:r w:rsidRPr="00155FA1">
        <w:rPr>
          <w:rFonts w:cs="Times New Roman"/>
          <w:i/>
          <w:iCs/>
          <w:color w:val="000000" w:themeColor="text1"/>
        </w:rPr>
        <w:t xml:space="preserve"> rea</w:t>
      </w:r>
      <w:r w:rsidRPr="00155FA1">
        <w:rPr>
          <w:rFonts w:cs="Times New Roman"/>
          <w:color w:val="000000" w:themeColor="text1"/>
        </w:rPr>
        <w:t xml:space="preserve"> (“guilty mind,” Latin</w:t>
      </w:r>
      <w:proofErr w:type="gramStart"/>
      <w:r w:rsidRPr="00155FA1">
        <w:rPr>
          <w:rFonts w:cs="Times New Roman"/>
          <w:color w:val="000000" w:themeColor="text1"/>
        </w:rPr>
        <w:t>)</w:t>
      </w:r>
      <w:r w:rsidR="00157E4A">
        <w:rPr>
          <w:rFonts w:cs="Times New Roman"/>
          <w:color w:val="000000" w:themeColor="text1"/>
        </w:rPr>
        <w:t xml:space="preserve"> </w:t>
      </w:r>
      <w:r w:rsidRPr="00155FA1">
        <w:rPr>
          <w:rFonts w:cs="Times New Roman"/>
          <w:color w:val="000000" w:themeColor="text1"/>
        </w:rPr>
        <w:t>.</w:t>
      </w:r>
      <w:proofErr w:type="gramEnd"/>
      <w:r w:rsidRPr="00155FA1">
        <w:rPr>
          <w:rFonts w:cs="Times New Roman"/>
          <w:color w:val="000000" w:themeColor="text1"/>
        </w:rPr>
        <w:t xml:space="preserve"> The key feature unique to terrorism (and crimes like it – i.e. hate crimes) is that it blurs the distinction between the requirement to prove the accused </w:t>
      </w:r>
      <w:proofErr w:type="spellStart"/>
      <w:r w:rsidRPr="00155FA1">
        <w:rPr>
          <w:rFonts w:cs="Times New Roman"/>
          <w:i/>
          <w:iCs/>
          <w:color w:val="000000" w:themeColor="text1"/>
        </w:rPr>
        <w:t>mens</w:t>
      </w:r>
      <w:proofErr w:type="spellEnd"/>
      <w:r w:rsidRPr="00155FA1">
        <w:rPr>
          <w:rFonts w:cs="Times New Roman"/>
          <w:i/>
          <w:iCs/>
          <w:color w:val="000000" w:themeColor="text1"/>
        </w:rPr>
        <w:t xml:space="preserve"> rea</w:t>
      </w:r>
      <w:r w:rsidRPr="00155FA1">
        <w:rPr>
          <w:rFonts w:cs="Times New Roman"/>
          <w:color w:val="000000" w:themeColor="text1"/>
        </w:rPr>
        <w:t xml:space="preserve"> and to prove, as well, the </w:t>
      </w:r>
      <w:r w:rsidRPr="00155FA1">
        <w:rPr>
          <w:rFonts w:cs="Times New Roman"/>
          <w:i/>
          <w:iCs/>
          <w:color w:val="000000" w:themeColor="text1"/>
        </w:rPr>
        <w:t>actus reus</w:t>
      </w:r>
      <w:r w:rsidRPr="00155FA1">
        <w:rPr>
          <w:rFonts w:cs="Times New Roman"/>
          <w:color w:val="000000" w:themeColor="text1"/>
        </w:rPr>
        <w:t xml:space="preserve"> (“guilty act,” Latin). This necessitates showing that the perpetrator has actually committed the action components of the crime. With regard to terrorism, </w:t>
      </w:r>
      <w:proofErr w:type="spellStart"/>
      <w:r w:rsidRPr="00155FA1">
        <w:rPr>
          <w:rFonts w:cs="Times New Roman"/>
          <w:i/>
          <w:iCs/>
          <w:color w:val="000000" w:themeColor="text1"/>
        </w:rPr>
        <w:t>mens</w:t>
      </w:r>
      <w:proofErr w:type="spellEnd"/>
      <w:r w:rsidRPr="00155FA1">
        <w:rPr>
          <w:rFonts w:cs="Times New Roman"/>
          <w:i/>
          <w:iCs/>
          <w:color w:val="000000" w:themeColor="text1"/>
        </w:rPr>
        <w:t xml:space="preserve"> rea</w:t>
      </w:r>
      <w:r w:rsidRPr="00155FA1">
        <w:rPr>
          <w:rFonts w:cs="Times New Roman"/>
          <w:color w:val="000000" w:themeColor="text1"/>
        </w:rPr>
        <w:t xml:space="preserve"> </w:t>
      </w:r>
      <w:r w:rsidR="00157E4A" w:rsidRPr="00155FA1">
        <w:rPr>
          <w:rFonts w:cs="Times New Roman"/>
          <w:color w:val="000000" w:themeColor="text1"/>
        </w:rPr>
        <w:t>seems</w:t>
      </w:r>
      <w:r w:rsidRPr="00155FA1">
        <w:rPr>
          <w:rFonts w:cs="Times New Roman"/>
          <w:color w:val="000000" w:themeColor="text1"/>
        </w:rPr>
        <w:t xml:space="preserve"> to be identical to the key, distinctive element of terrorism’s </w:t>
      </w:r>
      <w:r w:rsidRPr="00155FA1">
        <w:rPr>
          <w:rFonts w:cs="Times New Roman"/>
          <w:i/>
          <w:iCs/>
          <w:color w:val="000000" w:themeColor="text1"/>
        </w:rPr>
        <w:t>actus reus</w:t>
      </w:r>
      <w:r w:rsidRPr="00155FA1">
        <w:rPr>
          <w:rFonts w:cs="Times New Roman"/>
          <w:color w:val="000000" w:themeColor="text1"/>
        </w:rPr>
        <w:t xml:space="preserve"> – the intent behind the impugned activity upon which the state wants to convict the perpetrator and label terrorism.</w:t>
      </w:r>
      <w:r w:rsidRPr="00155FA1">
        <w:rPr>
          <w:rStyle w:val="FootnoteReference"/>
          <w:rFonts w:cs="Times New Roman"/>
          <w:color w:val="000000" w:themeColor="text1"/>
        </w:rPr>
        <w:footnoteReference w:id="414"/>
      </w:r>
      <w:r w:rsidRPr="00155FA1">
        <w:rPr>
          <w:rFonts w:cs="Times New Roman"/>
          <w:color w:val="000000" w:themeColor="text1"/>
        </w:rPr>
        <w:t xml:space="preserve"> Or, to put it another way: successfully charging someone with terrorism indicates that they committed a crime with the aim of harming people as a direct means to achieve their objective(s). Accordingly, scholars like Frances </w:t>
      </w:r>
      <w:proofErr w:type="spellStart"/>
      <w:r w:rsidRPr="00155FA1">
        <w:rPr>
          <w:rFonts w:cs="Times New Roman"/>
          <w:color w:val="000000" w:themeColor="text1"/>
        </w:rPr>
        <w:t>Kamm</w:t>
      </w:r>
      <w:proofErr w:type="spellEnd"/>
      <w:r w:rsidRPr="00155FA1">
        <w:rPr>
          <w:rFonts w:cs="Times New Roman"/>
          <w:color w:val="000000" w:themeColor="text1"/>
        </w:rPr>
        <w:t xml:space="preserve"> contend that the legal impermissibility of terrorism stems from its “</w:t>
      </w:r>
      <w:proofErr w:type="gramStart"/>
      <w:r w:rsidRPr="00155FA1">
        <w:rPr>
          <w:rFonts w:cs="Times New Roman"/>
          <w:color w:val="000000" w:themeColor="text1"/>
        </w:rPr>
        <w:t>treat[</w:t>
      </w:r>
      <w:proofErr w:type="spellStart"/>
      <w:proofErr w:type="gramEnd"/>
      <w:r w:rsidRPr="00155FA1">
        <w:rPr>
          <w:rFonts w:cs="Times New Roman"/>
          <w:color w:val="000000" w:themeColor="text1"/>
        </w:rPr>
        <w:t>ment</w:t>
      </w:r>
      <w:proofErr w:type="spellEnd"/>
      <w:r w:rsidRPr="00155FA1">
        <w:rPr>
          <w:rFonts w:cs="Times New Roman"/>
          <w:color w:val="000000" w:themeColor="text1"/>
        </w:rPr>
        <w:t xml:space="preserve"> of] people (non-combatants) as mere means (tools) to one’s ends.”</w:t>
      </w:r>
      <w:r w:rsidRPr="00155FA1">
        <w:rPr>
          <w:rStyle w:val="FootnoteReference"/>
          <w:rFonts w:cs="Times New Roman"/>
          <w:color w:val="000000" w:themeColor="text1"/>
        </w:rPr>
        <w:footnoteReference w:id="415"/>
      </w:r>
      <w:r w:rsidRPr="00155FA1">
        <w:rPr>
          <w:rFonts w:cs="Times New Roman"/>
          <w:color w:val="000000" w:themeColor="text1"/>
        </w:rPr>
        <w:t xml:space="preserve"> This bolsters my classification of </w:t>
      </w:r>
      <w:r w:rsidRPr="00155FA1">
        <w:rPr>
          <w:rFonts w:cs="Times New Roman"/>
          <w:i/>
          <w:iCs/>
          <w:color w:val="000000" w:themeColor="text1"/>
        </w:rPr>
        <w:t>intimidation</w:t>
      </w:r>
      <w:r w:rsidRPr="00155FA1">
        <w:rPr>
          <w:rFonts w:cs="Times New Roman"/>
          <w:color w:val="000000" w:themeColor="text1"/>
        </w:rPr>
        <w:t xml:space="preserve"> [Element 6] as a </w:t>
      </w:r>
      <w:r w:rsidRPr="00155FA1">
        <w:rPr>
          <w:rFonts w:cs="Times New Roman"/>
          <w:i/>
          <w:iCs/>
          <w:color w:val="000000" w:themeColor="text1"/>
        </w:rPr>
        <w:t>mode</w:t>
      </w:r>
      <w:r w:rsidRPr="00155FA1">
        <w:rPr>
          <w:rFonts w:cs="Times New Roman"/>
          <w:color w:val="000000" w:themeColor="text1"/>
        </w:rPr>
        <w:t xml:space="preserve"> used in connection with </w:t>
      </w:r>
      <w:r w:rsidRPr="00155FA1">
        <w:rPr>
          <w:rFonts w:cs="Times New Roman"/>
          <w:i/>
          <w:iCs/>
          <w:color w:val="000000" w:themeColor="text1"/>
        </w:rPr>
        <w:t xml:space="preserve">the general population </w:t>
      </w:r>
      <w:r w:rsidRPr="00155FA1">
        <w:rPr>
          <w:rFonts w:cs="Times New Roman"/>
          <w:color w:val="000000" w:themeColor="text1"/>
        </w:rPr>
        <w:t xml:space="preserve">[Element 27] as a </w:t>
      </w:r>
      <w:r w:rsidRPr="00155FA1">
        <w:rPr>
          <w:rFonts w:cs="Times New Roman"/>
          <w:i/>
          <w:iCs/>
          <w:color w:val="000000" w:themeColor="text1"/>
        </w:rPr>
        <w:t>means</w:t>
      </w:r>
      <w:r w:rsidRPr="00155FA1">
        <w:rPr>
          <w:rFonts w:cs="Times New Roman"/>
          <w:color w:val="000000" w:themeColor="text1"/>
        </w:rPr>
        <w:t xml:space="preserve"> of terrorism. It is also of note that both my media coverage definition and my policy definition of terrorism provide for Element 27 as a </w:t>
      </w:r>
      <w:r w:rsidRPr="00155FA1">
        <w:rPr>
          <w:rFonts w:cs="Times New Roman"/>
          <w:i/>
          <w:iCs/>
          <w:color w:val="000000" w:themeColor="text1"/>
        </w:rPr>
        <w:t>means</w:t>
      </w:r>
      <w:r w:rsidRPr="00155FA1">
        <w:rPr>
          <w:rFonts w:cs="Times New Roman"/>
          <w:color w:val="000000" w:themeColor="text1"/>
        </w:rPr>
        <w:t xml:space="preserve"> of terrorism.</w:t>
      </w:r>
    </w:p>
    <w:p w14:paraId="357D2D4C" w14:textId="77777777" w:rsidR="002915BC" w:rsidRPr="00155FA1" w:rsidRDefault="002915BC" w:rsidP="002915BC">
      <w:pPr>
        <w:ind w:firstLine="720"/>
        <w:rPr>
          <w:rFonts w:cs="Times New Roman"/>
          <w:color w:val="000000" w:themeColor="text1"/>
        </w:rPr>
      </w:pPr>
      <w:r w:rsidRPr="00155FA1">
        <w:rPr>
          <w:rFonts w:cs="Times New Roman"/>
          <w:color w:val="000000" w:themeColor="text1"/>
        </w:rPr>
        <w:t xml:space="preserve">While my policy definition of terrorism classifies </w:t>
      </w:r>
      <w:r w:rsidRPr="00155FA1">
        <w:rPr>
          <w:rFonts w:cs="Times New Roman"/>
          <w:i/>
          <w:iCs/>
          <w:color w:val="000000" w:themeColor="text1"/>
        </w:rPr>
        <w:t xml:space="preserve">intimidation </w:t>
      </w:r>
      <w:r w:rsidRPr="00155FA1">
        <w:rPr>
          <w:rFonts w:cs="Times New Roman"/>
          <w:color w:val="000000" w:themeColor="text1"/>
        </w:rPr>
        <w:t xml:space="preserve">([Element 6]), </w:t>
      </w:r>
      <w:r w:rsidRPr="00155FA1">
        <w:rPr>
          <w:rFonts w:cs="Times New Roman"/>
          <w:i/>
          <w:iCs/>
          <w:color w:val="000000" w:themeColor="text1"/>
        </w:rPr>
        <w:t>threat</w:t>
      </w:r>
      <w:r w:rsidRPr="00155FA1">
        <w:rPr>
          <w:rFonts w:cs="Times New Roman"/>
          <w:color w:val="000000" w:themeColor="text1"/>
        </w:rPr>
        <w:t xml:space="preserve">s ([Element 7]), and </w:t>
      </w:r>
      <w:r w:rsidRPr="00155FA1">
        <w:rPr>
          <w:rFonts w:cs="Times New Roman"/>
          <w:i/>
          <w:iCs/>
          <w:color w:val="000000" w:themeColor="text1"/>
        </w:rPr>
        <w:t>extranormality</w:t>
      </w:r>
      <w:r w:rsidRPr="00155FA1">
        <w:rPr>
          <w:rFonts w:cs="Times New Roman"/>
          <w:color w:val="000000" w:themeColor="text1"/>
        </w:rPr>
        <w:t xml:space="preserve"> ([Element 8)] as </w:t>
      </w:r>
      <w:r w:rsidRPr="00155FA1">
        <w:rPr>
          <w:rFonts w:cs="Times New Roman"/>
          <w:i/>
          <w:iCs/>
          <w:color w:val="000000" w:themeColor="text1"/>
        </w:rPr>
        <w:t xml:space="preserve">modes </w:t>
      </w:r>
      <w:r w:rsidRPr="00155FA1">
        <w:rPr>
          <w:rFonts w:cs="Times New Roman"/>
          <w:color w:val="000000" w:themeColor="text1"/>
        </w:rPr>
        <w:t xml:space="preserve">of terrorism in addition to intent ([Element 14]), my media coverage definition also specifies </w:t>
      </w:r>
      <w:r w:rsidRPr="00155FA1">
        <w:rPr>
          <w:rFonts w:cs="Times New Roman"/>
          <w:i/>
          <w:iCs/>
          <w:color w:val="000000" w:themeColor="text1"/>
        </w:rPr>
        <w:t>publicity</w:t>
      </w:r>
      <w:r w:rsidRPr="00155FA1">
        <w:rPr>
          <w:rFonts w:cs="Times New Roman"/>
          <w:color w:val="000000" w:themeColor="text1"/>
        </w:rPr>
        <w:t xml:space="preserve"> ([Element 19]) as both a </w:t>
      </w:r>
      <w:r w:rsidRPr="00155FA1">
        <w:rPr>
          <w:rFonts w:cs="Times New Roman"/>
          <w:i/>
          <w:iCs/>
          <w:color w:val="000000" w:themeColor="text1"/>
        </w:rPr>
        <w:t>mode</w:t>
      </w:r>
      <w:r w:rsidRPr="00155FA1">
        <w:rPr>
          <w:rFonts w:cs="Times New Roman"/>
          <w:color w:val="000000" w:themeColor="text1"/>
        </w:rPr>
        <w:t xml:space="preserve"> of terrorism and a </w:t>
      </w:r>
      <w:r w:rsidRPr="00155FA1">
        <w:rPr>
          <w:rFonts w:cs="Times New Roman"/>
          <w:i/>
          <w:iCs/>
          <w:color w:val="000000" w:themeColor="text1"/>
        </w:rPr>
        <w:t>motivation</w:t>
      </w:r>
      <w:r w:rsidRPr="00155FA1">
        <w:rPr>
          <w:rFonts w:cs="Times New Roman"/>
          <w:color w:val="000000" w:themeColor="text1"/>
        </w:rPr>
        <w:t xml:space="preserve"> underlying its perpetration. This latter point supports that terrorism achieves its </w:t>
      </w:r>
      <w:r w:rsidRPr="00155FA1">
        <w:rPr>
          <w:rFonts w:cs="Times New Roman"/>
          <w:i/>
          <w:iCs/>
          <w:color w:val="000000" w:themeColor="text1"/>
        </w:rPr>
        <w:t>ends</w:t>
      </w:r>
      <w:r w:rsidRPr="00155FA1">
        <w:rPr>
          <w:rFonts w:cs="Times New Roman"/>
          <w:color w:val="000000" w:themeColor="text1"/>
        </w:rPr>
        <w:t xml:space="preserve"> by publicizing, and thereby drawing attention to, its perpetrators (and their cause). This argument is integral to one of the arguments that defines this dissertation: the idea that media coverage constitutes a </w:t>
      </w:r>
      <w:r w:rsidRPr="00155FA1">
        <w:rPr>
          <w:rFonts w:cs="Times New Roman"/>
          <w:i/>
          <w:iCs/>
          <w:color w:val="000000" w:themeColor="text1"/>
        </w:rPr>
        <w:t>mode</w:t>
      </w:r>
      <w:r w:rsidRPr="00155FA1">
        <w:rPr>
          <w:rFonts w:cs="Times New Roman"/>
          <w:color w:val="000000" w:themeColor="text1"/>
        </w:rPr>
        <w:t xml:space="preserve"> integral to affecting the </w:t>
      </w:r>
      <w:r w:rsidRPr="00155FA1">
        <w:rPr>
          <w:rFonts w:cs="Times New Roman"/>
          <w:i/>
          <w:iCs/>
          <w:color w:val="000000" w:themeColor="text1"/>
        </w:rPr>
        <w:t>ends</w:t>
      </w:r>
      <w:r w:rsidRPr="00155FA1">
        <w:rPr>
          <w:rFonts w:cs="Times New Roman"/>
          <w:color w:val="000000" w:themeColor="text1"/>
        </w:rPr>
        <w:t xml:space="preserve"> of terrorism, when terrorism is conceptualized as post-modern warfare.</w:t>
      </w:r>
      <w:r w:rsidRPr="00155FA1">
        <w:rPr>
          <w:rStyle w:val="FootnoteReference"/>
          <w:rFonts w:cs="Times New Roman"/>
          <w:color w:val="000000" w:themeColor="text1"/>
        </w:rPr>
        <w:footnoteReference w:id="416"/>
      </w:r>
      <w:r w:rsidRPr="00155FA1">
        <w:rPr>
          <w:rFonts w:cs="Times New Roman"/>
          <w:color w:val="000000" w:themeColor="text1"/>
        </w:rPr>
        <w:t xml:space="preserve"> </w:t>
      </w:r>
    </w:p>
    <w:p w14:paraId="1E3F89F0" w14:textId="77777777" w:rsidR="002915BC" w:rsidRPr="00155FA1" w:rsidRDefault="002915BC" w:rsidP="002915BC">
      <w:pPr>
        <w:ind w:firstLine="720"/>
        <w:rPr>
          <w:rFonts w:cs="Times New Roman"/>
          <w:color w:val="000000" w:themeColor="text1"/>
        </w:rPr>
      </w:pPr>
      <w:r w:rsidRPr="00155FA1">
        <w:rPr>
          <w:rFonts w:cs="Times New Roman"/>
          <w:color w:val="000000" w:themeColor="text1"/>
        </w:rPr>
        <w:t>A final, significant, distinction between the two definitions is my policy definition’s explicit delineation between terrorism’s</w:t>
      </w:r>
      <w:r w:rsidRPr="00155FA1">
        <w:rPr>
          <w:rFonts w:cs="Times New Roman"/>
          <w:i/>
          <w:iCs/>
          <w:color w:val="000000" w:themeColor="text1"/>
        </w:rPr>
        <w:t xml:space="preserve"> immediate target</w:t>
      </w:r>
      <w:r w:rsidRPr="00155FA1">
        <w:rPr>
          <w:rFonts w:cs="Times New Roman"/>
          <w:color w:val="000000" w:themeColor="text1"/>
        </w:rPr>
        <w:t xml:space="preserve"> (its </w:t>
      </w:r>
      <w:r w:rsidRPr="00155FA1">
        <w:rPr>
          <w:rFonts w:cs="Times New Roman"/>
          <w:i/>
          <w:iCs/>
          <w:color w:val="000000" w:themeColor="text1"/>
        </w:rPr>
        <w:t>means</w:t>
      </w:r>
      <w:r w:rsidRPr="00155FA1">
        <w:rPr>
          <w:rFonts w:cs="Times New Roman"/>
          <w:color w:val="000000" w:themeColor="text1"/>
        </w:rPr>
        <w:t xml:space="preserve"> – </w:t>
      </w:r>
      <w:r w:rsidRPr="00155FA1">
        <w:rPr>
          <w:rFonts w:cs="Times New Roman"/>
          <w:i/>
          <w:iCs/>
          <w:color w:val="000000" w:themeColor="text1"/>
        </w:rPr>
        <w:t>the general population, the public</w:t>
      </w:r>
      <w:r w:rsidRPr="00155FA1">
        <w:rPr>
          <w:rFonts w:cs="Times New Roman"/>
          <w:color w:val="000000" w:themeColor="text1"/>
        </w:rPr>
        <w:t xml:space="preserve"> [Element 27]) and its </w:t>
      </w:r>
      <w:r w:rsidRPr="00155FA1">
        <w:rPr>
          <w:rFonts w:cs="Times New Roman"/>
          <w:i/>
          <w:iCs/>
          <w:color w:val="000000" w:themeColor="text1"/>
        </w:rPr>
        <w:t>ends</w:t>
      </w:r>
      <w:r w:rsidRPr="00155FA1">
        <w:rPr>
          <w:rFonts w:cs="Times New Roman"/>
          <w:color w:val="000000" w:themeColor="text1"/>
        </w:rPr>
        <w:t xml:space="preserve"> (</w:t>
      </w:r>
      <w:r w:rsidRPr="00155FA1">
        <w:rPr>
          <w:rFonts w:cs="Times New Roman"/>
          <w:i/>
          <w:iCs/>
          <w:color w:val="000000" w:themeColor="text1"/>
        </w:rPr>
        <w:t xml:space="preserve">targeting the state </w:t>
      </w:r>
      <w:r w:rsidRPr="00155FA1">
        <w:rPr>
          <w:rFonts w:cs="Times New Roman"/>
          <w:color w:val="000000" w:themeColor="text1"/>
        </w:rPr>
        <w:t xml:space="preserve">[Element 26]). Notwithstanding, both definitions’ focus on the </w:t>
      </w:r>
      <w:r w:rsidRPr="00155FA1">
        <w:rPr>
          <w:rFonts w:cs="Times New Roman"/>
          <w:i/>
          <w:iCs/>
          <w:color w:val="000000" w:themeColor="text1"/>
        </w:rPr>
        <w:t>destruction of persons</w:t>
      </w:r>
      <w:r w:rsidRPr="00155FA1">
        <w:rPr>
          <w:rFonts w:cs="Times New Roman"/>
          <w:color w:val="000000" w:themeColor="text1"/>
        </w:rPr>
        <w:t xml:space="preserve"> ([Element 4)] and </w:t>
      </w:r>
      <w:r w:rsidRPr="00155FA1">
        <w:rPr>
          <w:rFonts w:cs="Times New Roman"/>
          <w:i/>
          <w:iCs/>
          <w:color w:val="000000" w:themeColor="text1"/>
        </w:rPr>
        <w:t>property</w:t>
      </w:r>
      <w:r w:rsidRPr="00155FA1">
        <w:rPr>
          <w:rFonts w:cs="Times New Roman"/>
          <w:color w:val="000000" w:themeColor="text1"/>
        </w:rPr>
        <w:t xml:space="preserve"> ([Element 2)] as (criminal) </w:t>
      </w:r>
      <w:r w:rsidRPr="00155FA1">
        <w:rPr>
          <w:rFonts w:cs="Times New Roman"/>
          <w:i/>
          <w:iCs/>
          <w:color w:val="000000" w:themeColor="text1"/>
        </w:rPr>
        <w:t>means</w:t>
      </w:r>
      <w:r w:rsidRPr="00155FA1">
        <w:rPr>
          <w:rFonts w:cs="Times New Roman"/>
          <w:color w:val="000000" w:themeColor="text1"/>
        </w:rPr>
        <w:t xml:space="preserve"> that terrorism can use to target people (the constituents of the state). This places terrorists in direct conflict with the state as “the human community that successfully claims the </w:t>
      </w:r>
      <w:r w:rsidRPr="00155FA1">
        <w:rPr>
          <w:rFonts w:cs="Times New Roman"/>
          <w:color w:val="000000" w:themeColor="text1"/>
        </w:rPr>
        <w:lastRenderedPageBreak/>
        <w:t>monopoly of the legitimate use of physical force.”</w:t>
      </w:r>
      <w:r w:rsidRPr="00155FA1">
        <w:rPr>
          <w:rStyle w:val="FootnoteReference"/>
          <w:rFonts w:cs="Times New Roman"/>
          <w:color w:val="000000" w:themeColor="text1"/>
        </w:rPr>
        <w:footnoteReference w:id="417"/>
      </w:r>
      <w:r w:rsidRPr="00155FA1">
        <w:rPr>
          <w:rFonts w:cs="Times New Roman"/>
          <w:color w:val="000000" w:themeColor="text1"/>
        </w:rPr>
        <w:t xml:space="preserve"> As such, both the policy definition of terrorism and the </w:t>
      </w:r>
      <w:r w:rsidRPr="00155FA1">
        <w:rPr>
          <w:rFonts w:cs="Times New Roman"/>
          <w:i/>
          <w:iCs/>
          <w:color w:val="000000" w:themeColor="text1"/>
        </w:rPr>
        <w:t xml:space="preserve">de minimis </w:t>
      </w:r>
      <w:r w:rsidRPr="00155FA1">
        <w:rPr>
          <w:rFonts w:cs="Times New Roman"/>
          <w:color w:val="000000" w:themeColor="text1"/>
        </w:rPr>
        <w:t xml:space="preserve">definition implicit in the media coverage of terrorism provide for the idea that state actors understand terrorism as existing in direct opposition to states. Moreover, both definitions suggest that terrorism is perpetrated to further interests that are diametrically opposed to those of the state </w:t>
      </w:r>
      <w:r w:rsidRPr="00155FA1">
        <w:rPr>
          <w:rFonts w:cs="Times New Roman"/>
          <w:i/>
          <w:iCs/>
          <w:color w:val="000000" w:themeColor="text1"/>
        </w:rPr>
        <w:t>as an institution.</w:t>
      </w:r>
    </w:p>
    <w:p w14:paraId="069B810D" w14:textId="4C08AB73" w:rsidR="002915BC" w:rsidRPr="00155FA1" w:rsidRDefault="002915BC" w:rsidP="002915BC">
      <w:pPr>
        <w:ind w:firstLine="720"/>
        <w:rPr>
          <w:rFonts w:cs="Times New Roman"/>
          <w:color w:val="000000" w:themeColor="text1"/>
        </w:rPr>
      </w:pPr>
      <w:r w:rsidRPr="00155FA1">
        <w:rPr>
          <w:rFonts w:cs="Times New Roman"/>
          <w:color w:val="000000" w:themeColor="text1"/>
        </w:rPr>
        <w:t xml:space="preserve">An effective way to demonstrate the utility of conceiving of these separate </w:t>
      </w:r>
      <w:r w:rsidRPr="00155FA1">
        <w:rPr>
          <w:rFonts w:cs="Times New Roman"/>
          <w:i/>
          <w:iCs/>
          <w:color w:val="000000" w:themeColor="text1"/>
        </w:rPr>
        <w:t xml:space="preserve">de minimis </w:t>
      </w:r>
      <w:r w:rsidRPr="00155FA1">
        <w:rPr>
          <w:rFonts w:cs="Times New Roman"/>
          <w:color w:val="000000" w:themeColor="text1"/>
        </w:rPr>
        <w:t xml:space="preserve">definitions of terrorism involves identifying contemporary examples of media discourse about similar violent criminal incidents. From my perspective, the most relevant, recent examples that can be compared to illustrate the </w:t>
      </w:r>
      <w:r w:rsidRPr="00155FA1">
        <w:rPr>
          <w:rFonts w:cs="Times New Roman"/>
          <w:i/>
          <w:iCs/>
          <w:color w:val="000000" w:themeColor="text1"/>
        </w:rPr>
        <w:t>practical</w:t>
      </w:r>
      <w:r w:rsidRPr="00155FA1">
        <w:rPr>
          <w:rFonts w:cs="Times New Roman"/>
          <w:color w:val="000000" w:themeColor="text1"/>
        </w:rPr>
        <w:t xml:space="preserve"> differences between these two definitions are the 2018 Toronto van attack (which meets the criteria associated with my media coverage definition of terrorism, but not those specified by my policy definition of terrorism) and the 2020 Toronto machete attack (which accords with my policy definition of terrorism, but not my media coverage definition of terrorism).</w:t>
      </w:r>
      <w:r w:rsidR="00157E4A">
        <w:rPr>
          <w:rFonts w:cs="Times New Roman"/>
          <w:color w:val="000000" w:themeColor="text1"/>
        </w:rPr>
        <w:t xml:space="preserve"> These differences are illustrated by the explanations that follow.</w:t>
      </w:r>
    </w:p>
    <w:p w14:paraId="16B2806E" w14:textId="77777777" w:rsidR="002915BC" w:rsidRPr="00155FA1" w:rsidRDefault="002915BC" w:rsidP="002915BC">
      <w:pPr>
        <w:rPr>
          <w:rFonts w:cs="Times New Roman"/>
        </w:rPr>
      </w:pPr>
      <w:r w:rsidRPr="00155FA1">
        <w:rPr>
          <w:rFonts w:cs="Times New Roman"/>
          <w:color w:val="000000" w:themeColor="text1"/>
        </w:rPr>
        <w:tab/>
        <w:t>In the early afternoon of April 23, 2018, 25-year-old Alek Minassian deliberately targeted pedestrians in Toronto’s North York Centre business district with a rented van, killing 11 people and injuring a further 15 in less than ten minutes.</w:t>
      </w:r>
      <w:r w:rsidRPr="00155FA1">
        <w:rPr>
          <w:rStyle w:val="FootnoteReference"/>
          <w:rFonts w:cs="Times New Roman"/>
          <w:color w:val="000000" w:themeColor="text1"/>
        </w:rPr>
        <w:footnoteReference w:id="418"/>
      </w:r>
      <w:r w:rsidRPr="00155FA1">
        <w:rPr>
          <w:rFonts w:cs="Times New Roman"/>
          <w:color w:val="000000" w:themeColor="text1"/>
        </w:rPr>
        <w:t xml:space="preserve"> Within hours of the attack, former New York City Police Commissioner Bill Bratton told MSNBC the incident had “all the hallmarks of” a terrorist attack, and moreover, cited his “[anonymous] sources in Canada” in explicitly characterizing it a terrorist attack. Journalists affiliated with other media sources also published information that seemingly gave credence to the notion that the incident was a terrorist attack before Toronto police had even publicly identified a suspect. Examples of this include Canadian Broadcasting Corporation’s (CBC) Natasha Fatah, who stated that per eye-witness accounts, the perpetrator of the attack “…looked wide-eyed, angry and Middle Eastern.”</w:t>
      </w:r>
      <w:r w:rsidRPr="00155FA1">
        <w:rPr>
          <w:rStyle w:val="FootnoteReference"/>
          <w:rFonts w:cs="Times New Roman"/>
          <w:color w:val="000000" w:themeColor="text1"/>
        </w:rPr>
        <w:footnoteReference w:id="419"/>
      </w:r>
      <w:r w:rsidRPr="00155FA1">
        <w:rPr>
          <w:rFonts w:cs="Times New Roman"/>
          <w:color w:val="000000" w:themeColor="text1"/>
        </w:rPr>
        <w:t xml:space="preserve"> Her description was then cited by Breitbart’s Chris Tomlinson in the headline of his article, “Fatalities as white van hits pedestrians in Toronto, driver described as “angry and Middle Eastern.”</w:t>
      </w:r>
      <w:r w:rsidRPr="00155FA1">
        <w:rPr>
          <w:rStyle w:val="FootnoteReference"/>
          <w:rFonts w:cs="Times New Roman"/>
          <w:color w:val="000000" w:themeColor="text1"/>
        </w:rPr>
        <w:footnoteReference w:id="420"/>
      </w:r>
      <w:r w:rsidRPr="00155FA1">
        <w:rPr>
          <w:rFonts w:cs="Times New Roman"/>
          <w:color w:val="000000" w:themeColor="text1"/>
        </w:rPr>
        <w:t xml:space="preserve"> A more explicit instance of this kind of reporting is Global TV’s Mike </w:t>
      </w:r>
      <w:proofErr w:type="spellStart"/>
      <w:r w:rsidRPr="00155FA1">
        <w:rPr>
          <w:rFonts w:cs="Times New Roman"/>
          <w:color w:val="000000" w:themeColor="text1"/>
        </w:rPr>
        <w:t>Drolet’s</w:t>
      </w:r>
      <w:proofErr w:type="spellEnd"/>
      <w:r w:rsidRPr="00155FA1">
        <w:rPr>
          <w:rFonts w:cs="Times New Roman"/>
          <w:color w:val="000000" w:themeColor="text1"/>
        </w:rPr>
        <w:t xml:space="preserve"> description of the attack as the “alleged Toronto terror incident.”</w:t>
      </w:r>
      <w:r w:rsidRPr="00155FA1">
        <w:rPr>
          <w:rStyle w:val="FootnoteReference"/>
          <w:rFonts w:cs="Times New Roman"/>
          <w:color w:val="000000" w:themeColor="text1"/>
        </w:rPr>
        <w:footnoteReference w:id="421"/>
      </w:r>
      <w:r w:rsidRPr="00155FA1">
        <w:rPr>
          <w:rFonts w:cs="Times New Roman"/>
          <w:color w:val="000000" w:themeColor="text1"/>
        </w:rPr>
        <w:t xml:space="preserve"> An article published by Global News lends credence to this assertion, describing a press conference held in the immediate aftermath of the incident</w:t>
      </w:r>
      <w:r w:rsidRPr="00155FA1">
        <w:rPr>
          <w:rStyle w:val="FootnoteReference"/>
          <w:rFonts w:cs="Times New Roman"/>
          <w:color w:val="000000" w:themeColor="text1"/>
        </w:rPr>
        <w:t xml:space="preserve"> </w:t>
      </w:r>
      <w:r w:rsidRPr="00155FA1">
        <w:rPr>
          <w:rFonts w:cs="Times New Roman"/>
          <w:color w:val="000000" w:themeColor="text1"/>
        </w:rPr>
        <w:t xml:space="preserve">by asserting </w:t>
      </w:r>
      <w:r>
        <w:rPr>
          <w:rFonts w:cs="Times New Roman"/>
          <w:color w:val="000000" w:themeColor="text1"/>
        </w:rPr>
        <w:t>“</w:t>
      </w:r>
      <w:r w:rsidRPr="00155FA1">
        <w:rPr>
          <w:rFonts w:cs="Times New Roman"/>
          <w:color w:val="000000" w:themeColor="text1"/>
        </w:rPr>
        <w:t xml:space="preserve">police aren’t confirming if the incident was an </w:t>
      </w:r>
      <w:r w:rsidRPr="00155FA1">
        <w:rPr>
          <w:rFonts w:cs="Times New Roman"/>
          <w:color w:val="000000" w:themeColor="text1"/>
        </w:rPr>
        <w:lastRenderedPageBreak/>
        <w:t xml:space="preserve">act of terrorism…” </w:t>
      </w:r>
      <w:r w:rsidRPr="00155FA1">
        <w:rPr>
          <w:rStyle w:val="FootnoteReference"/>
          <w:rFonts w:cs="Times New Roman"/>
          <w:color w:val="000000" w:themeColor="text1"/>
        </w:rPr>
        <w:footnoteReference w:id="422"/>
      </w:r>
      <w:r w:rsidRPr="00155FA1">
        <w:rPr>
          <w:rFonts w:cs="Times New Roman"/>
          <w:color w:val="000000" w:themeColor="text1"/>
        </w:rPr>
        <w:t xml:space="preserve"> In reality, Toronto Police Chief Mark Saunders’s answer to a question as to whether the incident was terrorist in nature involved his statement that “at this point with respect to [the evidence] we have right now” it cannot be called terrorism.</w:t>
      </w:r>
      <w:r w:rsidRPr="00155FA1">
        <w:rPr>
          <w:rStyle w:val="FootnoteReference"/>
          <w:rFonts w:cs="Times New Roman"/>
          <w:color w:val="000000" w:themeColor="text1"/>
        </w:rPr>
        <w:footnoteReference w:id="423"/>
      </w:r>
      <w:r w:rsidRPr="00155FA1">
        <w:rPr>
          <w:rFonts w:cs="Times New Roman"/>
          <w:color w:val="000000" w:themeColor="text1"/>
        </w:rPr>
        <w:t xml:space="preserve"> Instead of conveying that there is currently no evidence to suggest that the incident is terrorism, the Global News article frames Saunders’s comment to suggest that law enforcement is just refusing to classify the incident as terrorism </w:t>
      </w:r>
      <w:r w:rsidRPr="00155FA1">
        <w:rPr>
          <w:rFonts w:cs="Times New Roman"/>
          <w:i/>
          <w:iCs/>
          <w:color w:val="000000" w:themeColor="text1"/>
        </w:rPr>
        <w:t>at this time</w:t>
      </w:r>
      <w:r w:rsidRPr="00155FA1">
        <w:rPr>
          <w:rFonts w:cs="Times New Roman"/>
          <w:color w:val="000000" w:themeColor="text1"/>
        </w:rPr>
        <w:t xml:space="preserve"> (implying the terrorist label might be applied later on), when in </w:t>
      </w:r>
      <w:r w:rsidRPr="00155FA1">
        <w:rPr>
          <w:rFonts w:cs="Times New Roman"/>
        </w:rPr>
        <w:t xml:space="preserve">actual fact, Saunders’s statement indicated that there is no reason for police to believe that the incident is terrorism (suggesting that it will </w:t>
      </w:r>
      <w:r w:rsidRPr="00155FA1">
        <w:rPr>
          <w:rFonts w:cs="Times New Roman"/>
          <w:i/>
          <w:iCs/>
        </w:rPr>
        <w:t>not</w:t>
      </w:r>
      <w:r w:rsidRPr="00155FA1">
        <w:rPr>
          <w:rFonts w:cs="Times New Roman"/>
        </w:rPr>
        <w:t xml:space="preserve"> be classified as terrorism </w:t>
      </w:r>
      <w:r w:rsidRPr="00155FA1">
        <w:rPr>
          <w:rFonts w:cs="Times New Roman"/>
          <w:i/>
          <w:iCs/>
        </w:rPr>
        <w:t>at any point</w:t>
      </w:r>
      <w:r w:rsidRPr="00155FA1">
        <w:rPr>
          <w:rFonts w:cs="Times New Roman"/>
        </w:rPr>
        <w:t xml:space="preserve"> in time).</w:t>
      </w:r>
    </w:p>
    <w:p w14:paraId="58F5B1FC" w14:textId="77777777" w:rsidR="002915BC" w:rsidRPr="00155FA1" w:rsidRDefault="002915BC" w:rsidP="002915BC">
      <w:pPr>
        <w:ind w:firstLine="720"/>
        <w:rPr>
          <w:rFonts w:cs="Times New Roman"/>
          <w:color w:val="000000" w:themeColor="text1"/>
        </w:rPr>
      </w:pPr>
      <w:r w:rsidRPr="00155FA1">
        <w:rPr>
          <w:rFonts w:cs="Times New Roman"/>
        </w:rPr>
        <w:t xml:space="preserve">Media speculation that the attack constituted terrorism was also bolstered by the media’s factual representation of statements made by public figures that become what Brian Monahan terms “issue-owners” by virtue of their official capacity. In coining the term “issue owner” to describe an individual “who can draw on their professional expertise or… experience to provide an authoritative voice” in publicly </w:t>
      </w:r>
      <w:r w:rsidRPr="00155FA1">
        <w:rPr>
          <w:rFonts w:cs="Times New Roman"/>
          <w:color w:val="000000" w:themeColor="text1"/>
        </w:rPr>
        <w:t xml:space="preserve">discussing a topical issue with the media, Monahan uses Joseph </w:t>
      </w:r>
      <w:proofErr w:type="spellStart"/>
      <w:r w:rsidRPr="00155FA1">
        <w:rPr>
          <w:rFonts w:cs="Times New Roman"/>
          <w:color w:val="000000" w:themeColor="text1"/>
        </w:rPr>
        <w:t>Gusfield’s</w:t>
      </w:r>
      <w:proofErr w:type="spellEnd"/>
      <w:r w:rsidRPr="00155FA1">
        <w:rPr>
          <w:rFonts w:cs="Times New Roman"/>
          <w:color w:val="000000" w:themeColor="text1"/>
        </w:rPr>
        <w:t xml:space="preserve"> definition of ownership as “a status reward that can be derived from participation in public drama.”</w:t>
      </w:r>
      <w:r w:rsidRPr="00155FA1">
        <w:rPr>
          <w:rStyle w:val="FootnoteReference"/>
          <w:rFonts w:cs="Times New Roman"/>
          <w:color w:val="000000" w:themeColor="text1"/>
        </w:rPr>
        <w:footnoteReference w:id="424"/>
      </w:r>
      <w:r w:rsidRPr="00155FA1">
        <w:rPr>
          <w:rFonts w:cs="Times New Roman"/>
          <w:color w:val="000000" w:themeColor="text1"/>
        </w:rPr>
        <w:t xml:space="preserve"> As such, Monahan’s “issue-owner” tends to “derive… authority from his or her official capacity” and is sought out by journalists who value the legitimacy that this allows them to attribute to comments made by these individuals.</w:t>
      </w:r>
      <w:r w:rsidRPr="00155FA1">
        <w:rPr>
          <w:rStyle w:val="FootnoteReference"/>
          <w:rFonts w:cs="Times New Roman"/>
          <w:color w:val="000000" w:themeColor="text1"/>
        </w:rPr>
        <w:footnoteReference w:id="425"/>
      </w:r>
      <w:r w:rsidRPr="00155FA1">
        <w:rPr>
          <w:rFonts w:cs="Times New Roman"/>
          <w:color w:val="000000" w:themeColor="text1"/>
        </w:rPr>
        <w:t xml:space="preserve"> Statements by issue-owners play a key role in informing the manifestation of bias in the mainstream news media. In the context of the 2018 Toronto van attack, a notable example of this occurs in Deputy Commissioner of the NYPD, Phil </w:t>
      </w:r>
      <w:proofErr w:type="spellStart"/>
      <w:r w:rsidRPr="00155FA1">
        <w:rPr>
          <w:rFonts w:cs="Times New Roman"/>
          <w:color w:val="000000" w:themeColor="text1"/>
        </w:rPr>
        <w:t>Walzak’s</w:t>
      </w:r>
      <w:proofErr w:type="spellEnd"/>
      <w:r w:rsidRPr="00155FA1">
        <w:rPr>
          <w:rFonts w:cs="Times New Roman"/>
          <w:color w:val="000000" w:themeColor="text1"/>
        </w:rPr>
        <w:t xml:space="preserve"> issuance of a press release reassuring the public that “The NYPD is monitoring developments in Toronto… in coordination with the Joint Terrorism Task Force.”</w:t>
      </w:r>
      <w:r w:rsidRPr="00155FA1">
        <w:rPr>
          <w:rStyle w:val="FootnoteReference"/>
          <w:rFonts w:cs="Times New Roman"/>
          <w:color w:val="000000" w:themeColor="text1"/>
        </w:rPr>
        <w:footnoteReference w:id="426"/>
      </w:r>
      <w:r w:rsidRPr="00155FA1">
        <w:rPr>
          <w:rFonts w:cs="Times New Roman"/>
          <w:color w:val="000000" w:themeColor="text1"/>
        </w:rPr>
        <w:t xml:space="preserve"> Notwithstanding that the press release does not explicitly classify the attack as terrorism, its explicit acknowledgement of NYPD efforts to coordinate with the Joint Terrorism Task Force implies a connection between the incident and terrorism as a phenomenon writ large.</w:t>
      </w:r>
    </w:p>
    <w:p w14:paraId="64B9E8F6" w14:textId="2FF6B836" w:rsidR="002915BC" w:rsidRPr="00155FA1" w:rsidRDefault="002915BC" w:rsidP="002915BC">
      <w:pPr>
        <w:rPr>
          <w:rFonts w:cs="Times New Roman"/>
        </w:rPr>
      </w:pPr>
      <w:r w:rsidRPr="00155FA1">
        <w:rPr>
          <w:rFonts w:cs="Times New Roman"/>
          <w:color w:val="FF0000"/>
        </w:rPr>
        <w:tab/>
      </w:r>
      <w:r w:rsidRPr="00155FA1">
        <w:rPr>
          <w:rFonts w:cs="Times New Roman"/>
        </w:rPr>
        <w:t>Ultimately, Minassian was found guilty on 10 counts of first-degree murder and 16 counts of attempted murder in March 2021. Canadian authorities did not pursue terrorism charges against Minassian for perpetrating the attack. In Canada, for an act to be legally classified as terrorism, it must be carried out for political, ideological, or religious reasons with the intention of intimidating the public or compelling the government to do something.</w:t>
      </w:r>
      <w:r>
        <w:rPr>
          <w:rStyle w:val="FootnoteReference"/>
          <w:rFonts w:cs="Times New Roman"/>
        </w:rPr>
        <w:footnoteReference w:id="427"/>
      </w:r>
      <w:r w:rsidRPr="00155FA1">
        <w:rPr>
          <w:rFonts w:cs="Times New Roman"/>
        </w:rPr>
        <w:t xml:space="preserve"> In the judgement document outlining reasons for the verdict, Judge Anne Molloy, who presided over Minassian’s 2020 trial, explains that, because </w:t>
      </w:r>
      <w:r w:rsidRPr="00155FA1">
        <w:rPr>
          <w:rFonts w:cs="Times New Roman"/>
          <w:color w:val="000000"/>
          <w:shd w:val="clear" w:color="auto" w:fill="FFFFFF"/>
        </w:rPr>
        <w:t>“It is almost impossible to tell when [Minassian] is lying and when he is telling the truth...[, w]</w:t>
      </w:r>
      <w:proofErr w:type="spellStart"/>
      <w:r w:rsidRPr="00155FA1">
        <w:rPr>
          <w:rFonts w:cs="Times New Roman"/>
          <w:color w:val="000000"/>
          <w:shd w:val="clear" w:color="auto" w:fill="FFFFFF"/>
        </w:rPr>
        <w:t>orking</w:t>
      </w:r>
      <w:proofErr w:type="spellEnd"/>
      <w:r w:rsidRPr="00155FA1">
        <w:rPr>
          <w:rFonts w:cs="Times New Roman"/>
          <w:color w:val="000000"/>
          <w:shd w:val="clear" w:color="auto" w:fill="FFFFFF"/>
        </w:rPr>
        <w:t xml:space="preserve"> out his exact motivation for this attack is… close to impossible.”</w:t>
      </w:r>
      <w:r w:rsidRPr="00155FA1">
        <w:rPr>
          <w:rStyle w:val="FootnoteReference"/>
          <w:rFonts w:cs="Times New Roman"/>
          <w:color w:val="000000"/>
          <w:shd w:val="clear" w:color="auto" w:fill="FFFFFF"/>
        </w:rPr>
        <w:footnoteReference w:id="428"/>
      </w:r>
      <w:r w:rsidRPr="00155FA1">
        <w:rPr>
          <w:rFonts w:cs="Times New Roman"/>
          <w:color w:val="000000"/>
          <w:shd w:val="clear" w:color="auto" w:fill="FFFFFF"/>
        </w:rPr>
        <w:t xml:space="preserve"> </w:t>
      </w:r>
      <w:r w:rsidRPr="00155FA1">
        <w:rPr>
          <w:rFonts w:cs="Times New Roman"/>
        </w:rPr>
        <w:t xml:space="preserve">Accordingly, while Minassian's attack was horrific and its impact was </w:t>
      </w:r>
      <w:r w:rsidRPr="00155FA1">
        <w:rPr>
          <w:rFonts w:cs="Times New Roman"/>
        </w:rPr>
        <w:lastRenderedPageBreak/>
        <w:t>devastating, it did not fulfill the specific criteria set out in Canadian anti-terrorism legislation that provide for terrorism charges.</w:t>
      </w:r>
      <w:r>
        <w:rPr>
          <w:rStyle w:val="FootnoteReference"/>
          <w:rFonts w:cs="Times New Roman"/>
        </w:rPr>
        <w:footnoteReference w:id="429"/>
      </w:r>
      <w:r w:rsidRPr="00155FA1">
        <w:rPr>
          <w:rFonts w:cs="Times New Roman"/>
        </w:rPr>
        <w:t xml:space="preserve"> </w:t>
      </w:r>
    </w:p>
    <w:p w14:paraId="4D7BCFAE" w14:textId="2D241B27" w:rsidR="002915BC" w:rsidRPr="00F85A92" w:rsidRDefault="002915BC" w:rsidP="00F85A92">
      <w:pPr>
        <w:ind w:firstLine="720"/>
        <w:rPr>
          <w:rFonts w:cs="Times New Roman"/>
          <w:color w:val="000000" w:themeColor="text1"/>
        </w:rPr>
      </w:pPr>
      <w:r w:rsidRPr="00155FA1">
        <w:rPr>
          <w:rFonts w:cs="Times New Roman"/>
          <w:color w:val="000000" w:themeColor="text1"/>
        </w:rPr>
        <w:t>In contrast with the 2018 Toronto van attack, the 2020 Toronto machete attack did not initially receive media attention as a terrorist attack. After a 17-year-old male killed the 24-year-old receptionist of a Toronto erotic spa with a sword and injured the spa’s owner on February 24, 2020, initial news reports only referenced a fatal stabbing and first-degree murder charges.</w:t>
      </w:r>
      <w:r w:rsidRPr="00155FA1">
        <w:rPr>
          <w:rStyle w:val="FootnoteReference"/>
          <w:rFonts w:cs="Times New Roman"/>
          <w:color w:val="000000" w:themeColor="text1"/>
        </w:rPr>
        <w:footnoteReference w:id="430"/>
      </w:r>
      <w:r w:rsidRPr="00155FA1">
        <w:rPr>
          <w:rFonts w:cs="Times New Roman"/>
          <w:color w:val="000000" w:themeColor="text1"/>
        </w:rPr>
        <w:t xml:space="preserve"> Media outlets only began to label the incident a terrorist attack months after it occurred, with the word ‘terrorism’ first appearing in media coverage about the incident on May 19, 2020 – the same day that authorities updated the charges against the perpetrator to include a “terrorist activity” enhancement.</w:t>
      </w:r>
      <w:r w:rsidRPr="00155FA1">
        <w:rPr>
          <w:rStyle w:val="FootnoteReference"/>
          <w:rFonts w:cs="Times New Roman"/>
          <w:color w:val="000000" w:themeColor="text1"/>
        </w:rPr>
        <w:footnoteReference w:id="431"/>
      </w:r>
      <w:r w:rsidRPr="00155FA1">
        <w:rPr>
          <w:rFonts w:cs="Times New Roman"/>
          <w:color w:val="000000" w:themeColor="text1"/>
        </w:rPr>
        <w:t xml:space="preserve"> As such, the public discourse surrounding the 2018 Toronto van attack and the 2020 Toronto machete attack effectively illustrates the difference between my policy and media coverage definitions of terrorism. Media and online discourse labeled Alek Minassian’s murder of 11 civilians terrorism almost immediately after the attack occurred, despite the lack of legal charges to support this classification. In contrast, the perpetrator of the 2020 Toronto machete attack was not referred to as a terrorist in news coverage until June 6, 2023 – the date that Justice </w:t>
      </w:r>
      <w:proofErr w:type="spellStart"/>
      <w:r w:rsidRPr="00155FA1">
        <w:rPr>
          <w:rFonts w:cs="Times New Roman"/>
          <w:color w:val="222222"/>
          <w:shd w:val="clear" w:color="auto" w:fill="FFFFFF"/>
        </w:rPr>
        <w:t>Sukhail</w:t>
      </w:r>
      <w:proofErr w:type="spellEnd"/>
      <w:r w:rsidRPr="00155FA1">
        <w:rPr>
          <w:rFonts w:cs="Times New Roman"/>
          <w:color w:val="222222"/>
          <w:shd w:val="clear" w:color="auto" w:fill="FFFFFF"/>
        </w:rPr>
        <w:t xml:space="preserve"> Akhtar ruled that his 2020 attack on employees of a Toronto massage parlour amounted to an act of terrorism.</w:t>
      </w:r>
      <w:r w:rsidRPr="00155FA1">
        <w:rPr>
          <w:rStyle w:val="FootnoteReference"/>
          <w:rFonts w:cs="Times New Roman"/>
          <w:color w:val="222222"/>
          <w:shd w:val="clear" w:color="auto" w:fill="FFFFFF"/>
        </w:rPr>
        <w:footnoteReference w:id="432"/>
      </w:r>
      <w:r w:rsidRPr="00155FA1">
        <w:rPr>
          <w:rFonts w:cs="Times New Roman"/>
          <w:color w:val="222222"/>
          <w:shd w:val="clear" w:color="auto" w:fill="FFFFFF"/>
        </w:rPr>
        <w:t xml:space="preserve"> </w:t>
      </w:r>
      <w:r w:rsidRPr="00155FA1">
        <w:rPr>
          <w:rFonts w:cs="Times New Roman"/>
          <w:color w:val="000000" w:themeColor="text1"/>
        </w:rPr>
        <w:t xml:space="preserve">The similarities and differences between my policy and media coverage definitions of terrorism suggest that the state and the news media diverge with regard to their perspectives on the utility associated with labeling an incident ‘terrorism.’ For the state, the terrorism label serves the dual function of narrowing down the different components of an incident that can constitute it terrorism and securitizing the state. Providing (more) specific criteria that an offense must meet to be considered terrorism makes it easier for the state to successfully prosecute terrorism. Moreover, terrorism’s securitization of the state implicitly justifies increased state powers (so, state control within its borders) in the aftermath of significant terrorist incidents, which, as mentioned earlier in this chapter, have historically tended to infringe on individual rights and freedoms. As such, my policy definition of terrorism conceptualizes terrorism per the effects that it can generate to benefit the state (that tend to negatively impact its constituents’ personal freedoms and rights to privacy). As mentioned earlier in this chapter, in the case of the 2018 Toronto van attack, Judge Molloy ruled that </w:t>
      </w:r>
      <w:r w:rsidRPr="00155FA1">
        <w:rPr>
          <w:rFonts w:cs="Times New Roman"/>
          <w:color w:val="202122"/>
          <w:shd w:val="clear" w:color="auto" w:fill="FFFFFF"/>
        </w:rPr>
        <w:t>"</w:t>
      </w:r>
      <w:r w:rsidRPr="00155FA1">
        <w:rPr>
          <w:rFonts w:cs="Times New Roman"/>
          <w:color w:val="000000"/>
          <w:shd w:val="clear" w:color="auto" w:fill="FFFFFF"/>
        </w:rPr>
        <w:t>… the incel movement was not in fact a primary driving force behind the attack.”</w:t>
      </w:r>
      <w:r w:rsidRPr="00155FA1">
        <w:rPr>
          <w:rFonts w:cs="Times New Roman"/>
          <w:color w:val="202122"/>
          <w:shd w:val="clear" w:color="auto" w:fill="FFFFFF"/>
        </w:rPr>
        <w:t>"</w:t>
      </w:r>
      <w:r w:rsidRPr="00155FA1">
        <w:rPr>
          <w:rStyle w:val="FootnoteReference"/>
          <w:rFonts w:cs="Times New Roman"/>
          <w:color w:val="202122"/>
          <w:shd w:val="clear" w:color="auto" w:fill="FFFFFF"/>
        </w:rPr>
        <w:footnoteReference w:id="433"/>
      </w:r>
      <w:r w:rsidRPr="00155FA1">
        <w:rPr>
          <w:rFonts w:cs="Times New Roman"/>
          <w:color w:val="202122"/>
          <w:shd w:val="clear" w:color="auto" w:fill="FFFFFF"/>
        </w:rPr>
        <w:t xml:space="preserve"> Accordingly, the incident did not meet the relatively narrow criteria that my policy definition (and Canadian law) establish for a successful terrorism charge.</w:t>
      </w:r>
      <w:r w:rsidRPr="00155FA1">
        <w:rPr>
          <w:rFonts w:cs="Times New Roman"/>
          <w:color w:val="000000" w:themeColor="text1"/>
        </w:rPr>
        <w:t xml:space="preserve"> The news media, on the other hand, implicitly defines terrorism in relation to a (more immediate) tangible benefit that it can provide to its perpetrator(s) by emphasizing a motivation underlying its perpetration (</w:t>
      </w:r>
      <w:r w:rsidRPr="00155FA1">
        <w:rPr>
          <w:rFonts w:cs="Times New Roman"/>
          <w:i/>
          <w:iCs/>
          <w:color w:val="000000" w:themeColor="text1"/>
        </w:rPr>
        <w:t>media coverage, publicity</w:t>
      </w:r>
      <w:r w:rsidRPr="00155FA1">
        <w:rPr>
          <w:rFonts w:cs="Times New Roman"/>
          <w:color w:val="000000" w:themeColor="text1"/>
        </w:rPr>
        <w:t xml:space="preserve"> [Element 19]). This is of direct benefit to the news media, because it amplifies and sensationalizes news for the public and thus </w:t>
      </w:r>
      <w:r w:rsidRPr="00155FA1">
        <w:rPr>
          <w:rFonts w:cs="Times New Roman"/>
          <w:color w:val="000000" w:themeColor="text1"/>
        </w:rPr>
        <w:lastRenderedPageBreak/>
        <w:t>generates readership (revenue).</w:t>
      </w:r>
      <w:r w:rsidR="002D7823">
        <w:rPr>
          <w:rStyle w:val="FootnoteReference"/>
          <w:rFonts w:cs="Times New Roman"/>
          <w:color w:val="000000" w:themeColor="text1"/>
        </w:rPr>
        <w:footnoteReference w:id="434"/>
      </w:r>
      <w:r w:rsidR="000F1AFA">
        <w:rPr>
          <w:rFonts w:cs="Times New Roman"/>
          <w:color w:val="000000" w:themeColor="text1"/>
        </w:rPr>
        <w:t xml:space="preserve"> </w:t>
      </w:r>
      <w:r w:rsidRPr="00155FA1">
        <w:rPr>
          <w:rFonts w:cs="Times New Roman"/>
          <w:color w:val="000000" w:themeColor="text1"/>
        </w:rPr>
        <w:t>This might also be a motivation underlying my media coverage definition’s more overbroad scope as to the incidents that it allows to be classified terrorism, in comparison with my policy definition of terrorism. In the case of the 2020 Toronto machete attack, little information was available about the perpetrator, given that he was underage at the time of the attack. Moreover, the attack only resulted in a single fatality. Given the lack of detail available about the perpetrator and the difficulty associated with sensationalizing the attack itself based on the known facts, media coverage did not deem the attack suitable to generate public drama and thus merit the terrorism classification, even though it met the criteria associated with my policy definition of terrorism (and was ultimately charged as such in the context of the Canadian legal system).</w:t>
      </w:r>
    </w:p>
    <w:p w14:paraId="21DB33AF" w14:textId="77777777" w:rsidR="002915BC" w:rsidRPr="00155FA1" w:rsidRDefault="002915BC" w:rsidP="00787123">
      <w:pPr>
        <w:pStyle w:val="DissertationSection1"/>
      </w:pPr>
      <w:bookmarkStart w:id="66" w:name="_Toc175413157"/>
      <w:r w:rsidRPr="00155FA1">
        <w:t>States and Terrorists Compete for the Same Authority</w:t>
      </w:r>
      <w:bookmarkEnd w:id="66"/>
    </w:p>
    <w:p w14:paraId="715A8282" w14:textId="77777777" w:rsidR="002915BC" w:rsidRPr="00155FA1" w:rsidRDefault="002915BC" w:rsidP="002915BC">
      <w:pPr>
        <w:ind w:firstLine="720"/>
        <w:rPr>
          <w:rFonts w:cs="Times New Roman"/>
        </w:rPr>
      </w:pPr>
      <w:r w:rsidRPr="00155FA1">
        <w:rPr>
          <w:rFonts w:cs="Times New Roman"/>
        </w:rPr>
        <w:t>Historically, the notion of the state as an institution is premised on its endeavor to “successfully claim… the monopoly of the legitimate use of physical force” within a given geographic territory.</w:t>
      </w:r>
      <w:r w:rsidRPr="00155FA1">
        <w:rPr>
          <w:rStyle w:val="FootnoteReference"/>
          <w:rFonts w:cs="Times New Roman"/>
        </w:rPr>
        <w:footnoteReference w:id="435"/>
      </w:r>
      <w:r w:rsidRPr="00155FA1">
        <w:rPr>
          <w:rFonts w:cs="Times New Roman"/>
        </w:rPr>
        <w:t xml:space="preserve"> Consequently, as an institution, the state works to accrue support for its “right to rule,” which is predicated on three interrelated elements: </w:t>
      </w:r>
      <w:r w:rsidRPr="00155FA1">
        <w:rPr>
          <w:rFonts w:cs="Times New Roman"/>
          <w:i/>
          <w:iCs/>
        </w:rPr>
        <w:t>legality</w:t>
      </w:r>
      <w:r w:rsidRPr="00155FA1">
        <w:rPr>
          <w:rFonts w:cs="Times New Roman"/>
        </w:rPr>
        <w:t xml:space="preserve">, </w:t>
      </w:r>
      <w:r w:rsidRPr="00155FA1">
        <w:rPr>
          <w:rFonts w:cs="Times New Roman"/>
          <w:i/>
          <w:iCs/>
        </w:rPr>
        <w:t>justification</w:t>
      </w:r>
      <w:r w:rsidRPr="00155FA1">
        <w:rPr>
          <w:rFonts w:cs="Times New Roman"/>
        </w:rPr>
        <w:t xml:space="preserve">, and </w:t>
      </w:r>
      <w:r w:rsidRPr="00155FA1">
        <w:rPr>
          <w:rFonts w:cs="Times New Roman"/>
          <w:i/>
          <w:iCs/>
        </w:rPr>
        <w:t>consent</w:t>
      </w:r>
      <w:r w:rsidRPr="00155FA1">
        <w:rPr>
          <w:rFonts w:cs="Times New Roman"/>
        </w:rPr>
        <w:t>.</w:t>
      </w:r>
      <w:r w:rsidRPr="00155FA1">
        <w:rPr>
          <w:rStyle w:val="FootnoteReference"/>
          <w:rFonts w:cs="Times New Roman"/>
        </w:rPr>
        <w:footnoteReference w:id="436"/>
      </w:r>
      <w:r w:rsidRPr="00155FA1">
        <w:rPr>
          <w:rFonts w:cs="Times New Roman"/>
        </w:rPr>
        <w:t xml:space="preserve"> Terrorists, on the other hand, work to acquire sufficient (political) authority so as to be considered ‘important enough’ that they </w:t>
      </w:r>
      <w:r w:rsidRPr="00155FA1">
        <w:rPr>
          <w:rFonts w:cs="Times New Roman"/>
          <w:i/>
          <w:iCs/>
        </w:rPr>
        <w:t>need</w:t>
      </w:r>
      <w:r w:rsidRPr="00155FA1">
        <w:rPr>
          <w:rFonts w:cs="Times New Roman"/>
        </w:rPr>
        <w:t xml:space="preserve"> to be obeyed in the context of policy-making and decision-making processes </w:t>
      </w:r>
      <w:r w:rsidRPr="00155FA1">
        <w:rPr>
          <w:rFonts w:cs="Times New Roman"/>
          <w:i/>
          <w:iCs/>
        </w:rPr>
        <w:t>relating to the specific issues that are important to their cause.</w:t>
      </w:r>
      <w:r w:rsidRPr="00155FA1">
        <w:rPr>
          <w:rFonts w:cs="Times New Roman"/>
        </w:rPr>
        <w:t xml:space="preserve"> As such, terrorists and states both seek the ability to make meaningful decisions that will be operationalized in practice. However, where the state pursues the acquisition of this authority by seeking to accrue international and domestic legitimacy, terrorists lay claim to this authority by demonstrating their ability to harness the (traditional) modes of personal, local, and religious authority that the establishment of the state necessarily rendered obsolete.</w:t>
      </w:r>
      <w:r w:rsidRPr="00155FA1">
        <w:rPr>
          <w:rStyle w:val="FootnoteReference"/>
          <w:rFonts w:cs="Times New Roman"/>
        </w:rPr>
        <w:footnoteReference w:id="437"/>
      </w:r>
      <w:r w:rsidRPr="00155FA1">
        <w:rPr>
          <w:rFonts w:cs="Times New Roman"/>
        </w:rPr>
        <w:t xml:space="preserve"> This inherently puts terrorists and the state (as an institution) at odds with each other, as the correspondence between sovereignty, territory and legitimacy that established the state as the “unitary body in which sovereignty rest[s]” does not leave space for entities that cite the traditional claims to authority that the establishment of the state superseded.</w:t>
      </w:r>
      <w:r w:rsidRPr="00155FA1">
        <w:rPr>
          <w:rStyle w:val="FootnoteReference"/>
          <w:rFonts w:cs="Times New Roman"/>
        </w:rPr>
        <w:footnoteReference w:id="438"/>
      </w:r>
      <w:r w:rsidRPr="00155FA1">
        <w:rPr>
          <w:rFonts w:cs="Times New Roman"/>
        </w:rPr>
        <w:t xml:space="preserve"> To be clear, terrorism does not just pose a threat to the state’s monopoly over the legitimate use of force </w:t>
      </w:r>
      <w:r w:rsidRPr="00155FA1">
        <w:rPr>
          <w:rFonts w:cs="Times New Roman"/>
          <w:i/>
          <w:iCs/>
        </w:rPr>
        <w:t>just because</w:t>
      </w:r>
      <w:r w:rsidRPr="00155FA1">
        <w:rPr>
          <w:rFonts w:cs="Times New Roman"/>
        </w:rPr>
        <w:t xml:space="preserve"> it occurs within a state’s geographic borders. The threat that terrorism poses to the legitimacy of the state stems from the </w:t>
      </w:r>
      <w:r w:rsidRPr="00155FA1">
        <w:rPr>
          <w:rFonts w:cs="Times New Roman"/>
        </w:rPr>
        <w:lastRenderedPageBreak/>
        <w:t>public legitimation of the terrorists that occurs when the state recognises the threat that their actions pose, applies the ‘terrorism’ label, and the media disseminates this classification to the state’s constituents.</w:t>
      </w:r>
    </w:p>
    <w:p w14:paraId="384DAF6F" w14:textId="17FDBED9" w:rsidR="002915BC" w:rsidRPr="00155FA1" w:rsidRDefault="002915BC" w:rsidP="002915BC">
      <w:pPr>
        <w:rPr>
          <w:rFonts w:cs="Times New Roman"/>
        </w:rPr>
      </w:pPr>
      <w:r w:rsidRPr="00155FA1">
        <w:rPr>
          <w:rFonts w:cs="Times New Roman"/>
        </w:rPr>
        <w:tab/>
        <w:t xml:space="preserve">Analyzing the different types of bias that occur and co-occur with one another in the media coverage of terrorism indicates that terrorists and states are perceived as competing with one another for prominence and importance on the public agenda. In this context, “positive bias” manifests as its target’s (the terrorists’, or the state’s) depiction as being of vital importance to both setting the public </w:t>
      </w:r>
      <w:r w:rsidR="00873EF9" w:rsidRPr="00155FA1">
        <w:rPr>
          <w:rFonts w:cs="Times New Roman"/>
        </w:rPr>
        <w:t>agenda and</w:t>
      </w:r>
      <w:r w:rsidRPr="00155FA1">
        <w:rPr>
          <w:rFonts w:cs="Times New Roman"/>
        </w:rPr>
        <w:t xml:space="preserve"> resolving key issues on the public agenda. Conversely, “negative bias” serves to portray its target in a manner that detracts from its target’s publicly perceived relevance. Accordingly, I code negative bias on the basis of the six “doubting devices” (neg-factive verbs, low commitment verbs, low commitment modifiers, lack of consensus adjectives, undermining adjectives, and argumentative verbs) identified by </w:t>
      </w:r>
      <w:proofErr w:type="spellStart"/>
      <w:r w:rsidRPr="00155FA1">
        <w:rPr>
          <w:rFonts w:cs="Times New Roman"/>
        </w:rPr>
        <w:t>Yiwei</w:t>
      </w:r>
      <w:proofErr w:type="spellEnd"/>
      <w:r w:rsidRPr="00155FA1">
        <w:rPr>
          <w:rFonts w:cs="Times New Roman"/>
        </w:rPr>
        <w:t xml:space="preserve"> Luo, Dallas Card and Dan </w:t>
      </w:r>
      <w:proofErr w:type="spellStart"/>
      <w:r w:rsidRPr="00155FA1">
        <w:rPr>
          <w:rFonts w:cs="Times New Roman"/>
        </w:rPr>
        <w:t>Jurafsky</w:t>
      </w:r>
      <w:proofErr w:type="spellEnd"/>
      <w:r w:rsidRPr="00155FA1">
        <w:rPr>
          <w:rFonts w:cs="Times New Roman"/>
        </w:rPr>
        <w:t>.</w:t>
      </w:r>
      <w:r w:rsidRPr="00155FA1">
        <w:rPr>
          <w:rStyle w:val="FootnoteReference"/>
          <w:rFonts w:cs="Times New Roman"/>
        </w:rPr>
        <w:footnoteReference w:id="439"/>
      </w:r>
      <w:r w:rsidRPr="00155FA1">
        <w:rPr>
          <w:rFonts w:cs="Times New Roman"/>
        </w:rPr>
        <w:t xml:space="preserve"> Three of these categorizations (neg-factive verbs, low commitment verbs, and low commitment modifiers) fall under </w:t>
      </w:r>
      <w:proofErr w:type="spellStart"/>
      <w:r w:rsidRPr="00155FA1">
        <w:rPr>
          <w:rFonts w:cs="Times New Roman"/>
        </w:rPr>
        <w:t>Recasens</w:t>
      </w:r>
      <w:proofErr w:type="spellEnd"/>
      <w:r w:rsidRPr="00155FA1">
        <w:rPr>
          <w:rFonts w:cs="Times New Roman"/>
        </w:rPr>
        <w:t xml:space="preserve">, </w:t>
      </w:r>
      <w:proofErr w:type="spellStart"/>
      <w:r w:rsidRPr="00155FA1">
        <w:rPr>
          <w:rFonts w:cs="Times New Roman"/>
        </w:rPr>
        <w:t>Danescu</w:t>
      </w:r>
      <w:proofErr w:type="spellEnd"/>
      <w:r w:rsidRPr="00155FA1">
        <w:rPr>
          <w:rFonts w:cs="Times New Roman"/>
        </w:rPr>
        <w:t>-Niculescu-</w:t>
      </w:r>
      <w:proofErr w:type="spellStart"/>
      <w:r w:rsidRPr="00155FA1">
        <w:rPr>
          <w:rFonts w:cs="Times New Roman"/>
        </w:rPr>
        <w:t>Mizil</w:t>
      </w:r>
      <w:proofErr w:type="spellEnd"/>
      <w:r w:rsidRPr="00155FA1">
        <w:rPr>
          <w:rFonts w:cs="Times New Roman"/>
        </w:rPr>
        <w:t xml:space="preserve"> and </w:t>
      </w:r>
      <w:proofErr w:type="spellStart"/>
      <w:r w:rsidRPr="00155FA1">
        <w:rPr>
          <w:rFonts w:cs="Times New Roman"/>
        </w:rPr>
        <w:t>Jurafsky’s</w:t>
      </w:r>
      <w:proofErr w:type="spellEnd"/>
      <w:r w:rsidRPr="00155FA1">
        <w:rPr>
          <w:rFonts w:cs="Times New Roman"/>
        </w:rPr>
        <w:t xml:space="preserve"> </w:t>
      </w:r>
      <w:r w:rsidRPr="00155FA1">
        <w:rPr>
          <w:rFonts w:cs="Times New Roman"/>
          <w:i/>
          <w:iCs/>
        </w:rPr>
        <w:t>epistemological class of bias</w:t>
      </w:r>
      <w:r w:rsidRPr="00155FA1">
        <w:rPr>
          <w:rFonts w:cs="Times New Roman"/>
        </w:rPr>
        <w:t>, which focuses on the believability of a proposal.</w:t>
      </w:r>
      <w:r w:rsidRPr="00155FA1">
        <w:rPr>
          <w:rStyle w:val="FootnoteReference"/>
          <w:rFonts w:cs="Times New Roman"/>
        </w:rPr>
        <w:footnoteReference w:id="440"/>
      </w:r>
      <w:r w:rsidRPr="00155FA1">
        <w:rPr>
          <w:rFonts w:cs="Times New Roman"/>
        </w:rPr>
        <w:t xml:space="preserve"> The remaining three categorizations (lack of consensus adjectives, undermining adjectives, and argumentative verbs) can be classified as indicative of the class of bias that </w:t>
      </w:r>
      <w:proofErr w:type="spellStart"/>
      <w:r w:rsidRPr="00155FA1">
        <w:rPr>
          <w:rFonts w:cs="Times New Roman"/>
        </w:rPr>
        <w:t>Recasens</w:t>
      </w:r>
      <w:proofErr w:type="spellEnd"/>
      <w:r w:rsidRPr="00155FA1">
        <w:rPr>
          <w:rFonts w:cs="Times New Roman"/>
        </w:rPr>
        <w:t xml:space="preserve"> et. al term</w:t>
      </w:r>
      <w:r w:rsidRPr="00155FA1">
        <w:rPr>
          <w:rFonts w:cs="Times New Roman"/>
          <w:i/>
          <w:iCs/>
        </w:rPr>
        <w:t xml:space="preserve"> framing bias</w:t>
      </w:r>
      <w:r w:rsidRPr="00155FA1">
        <w:rPr>
          <w:rFonts w:cs="Times New Roman"/>
        </w:rPr>
        <w:t>, in which “subjective or one-sided works are used, revealing the author’s stance in a particular debate.”</w:t>
      </w:r>
      <w:r w:rsidRPr="00155FA1">
        <w:rPr>
          <w:rStyle w:val="FootnoteReference"/>
          <w:rFonts w:cs="Times New Roman"/>
        </w:rPr>
        <w:footnoteReference w:id="441"/>
      </w:r>
      <w:r w:rsidRPr="00155FA1">
        <w:rPr>
          <w:rFonts w:cs="Times New Roman"/>
        </w:rPr>
        <w:t xml:space="preserve"> Similarly, I code positive bias on the basis of the five “affirming devices” (factive and semi-factive verbs, high commitment adjectives, high commitment verbs, quantity indicators/evidence of consensus modifiers, and hyping adjectives) identified by Luo, Card and </w:t>
      </w:r>
      <w:proofErr w:type="spellStart"/>
      <w:r w:rsidRPr="00155FA1">
        <w:rPr>
          <w:rFonts w:cs="Times New Roman"/>
        </w:rPr>
        <w:t>Jurafsky</w:t>
      </w:r>
      <w:proofErr w:type="spellEnd"/>
      <w:r w:rsidRPr="00155FA1">
        <w:rPr>
          <w:rFonts w:cs="Times New Roman"/>
        </w:rPr>
        <w:t xml:space="preserve">. Four of these five categorizations (factive and semi-factive verbs, high commitment adjectives, high commitment verbs, and quantity indicators/evidence of consensus modifiers) fall under </w:t>
      </w:r>
      <w:proofErr w:type="spellStart"/>
      <w:r w:rsidRPr="00155FA1">
        <w:rPr>
          <w:rFonts w:cs="Times New Roman"/>
        </w:rPr>
        <w:t>Recasens</w:t>
      </w:r>
      <w:proofErr w:type="spellEnd"/>
      <w:r w:rsidRPr="00155FA1">
        <w:rPr>
          <w:rFonts w:cs="Times New Roman"/>
        </w:rPr>
        <w:t xml:space="preserve">, </w:t>
      </w:r>
      <w:proofErr w:type="spellStart"/>
      <w:r w:rsidRPr="00155FA1">
        <w:rPr>
          <w:rFonts w:cs="Times New Roman"/>
        </w:rPr>
        <w:t>Danescu</w:t>
      </w:r>
      <w:proofErr w:type="spellEnd"/>
      <w:r w:rsidRPr="00155FA1">
        <w:rPr>
          <w:rFonts w:cs="Times New Roman"/>
        </w:rPr>
        <w:t>-Niculescu-</w:t>
      </w:r>
      <w:proofErr w:type="spellStart"/>
      <w:r w:rsidRPr="00155FA1">
        <w:rPr>
          <w:rFonts w:cs="Times New Roman"/>
        </w:rPr>
        <w:t>Mizil</w:t>
      </w:r>
      <w:proofErr w:type="spellEnd"/>
      <w:r w:rsidRPr="00155FA1">
        <w:rPr>
          <w:rFonts w:cs="Times New Roman"/>
        </w:rPr>
        <w:t xml:space="preserve"> and </w:t>
      </w:r>
      <w:proofErr w:type="spellStart"/>
      <w:r w:rsidRPr="00155FA1">
        <w:rPr>
          <w:rFonts w:cs="Times New Roman"/>
        </w:rPr>
        <w:t>Jurafsky’s</w:t>
      </w:r>
      <w:proofErr w:type="spellEnd"/>
      <w:r w:rsidRPr="00155FA1">
        <w:rPr>
          <w:rFonts w:cs="Times New Roman"/>
        </w:rPr>
        <w:t xml:space="preserve"> </w:t>
      </w:r>
      <w:r w:rsidRPr="00155FA1">
        <w:rPr>
          <w:rFonts w:cs="Times New Roman"/>
          <w:i/>
          <w:iCs/>
        </w:rPr>
        <w:t>epistemological class of bias</w:t>
      </w:r>
      <w:r w:rsidRPr="00155FA1">
        <w:rPr>
          <w:rFonts w:cs="Times New Roman"/>
        </w:rPr>
        <w:t>.</w:t>
      </w:r>
      <w:r w:rsidRPr="00155FA1">
        <w:rPr>
          <w:rStyle w:val="FootnoteReference"/>
          <w:rFonts w:cs="Times New Roman"/>
        </w:rPr>
        <w:footnoteReference w:id="442"/>
      </w:r>
      <w:r w:rsidRPr="00155FA1">
        <w:rPr>
          <w:rFonts w:cs="Times New Roman"/>
        </w:rPr>
        <w:t xml:space="preserve"> Luo, Card and </w:t>
      </w:r>
      <w:proofErr w:type="spellStart"/>
      <w:r w:rsidRPr="00155FA1">
        <w:rPr>
          <w:rFonts w:cs="Times New Roman"/>
        </w:rPr>
        <w:t>Jurafsky’s</w:t>
      </w:r>
      <w:proofErr w:type="spellEnd"/>
      <w:r w:rsidRPr="00155FA1">
        <w:rPr>
          <w:rFonts w:cs="Times New Roman"/>
        </w:rPr>
        <w:t xml:space="preserve"> fifth categorization of affirming devices – hyping adjectives – comes in a class unto itself, as it involves the “us[e of] positive terms to promote or “spin” [the] </w:t>
      </w:r>
      <w:r w:rsidRPr="00155FA1">
        <w:rPr>
          <w:rFonts w:cs="Times New Roman"/>
        </w:rPr>
        <w:lastRenderedPageBreak/>
        <w:t>accomplishments of [whatever is being described].”</w:t>
      </w:r>
      <w:r w:rsidRPr="00155FA1">
        <w:rPr>
          <w:rStyle w:val="FootnoteReference"/>
          <w:rFonts w:cs="Times New Roman"/>
        </w:rPr>
        <w:footnoteReference w:id="443"/>
      </w:r>
      <w:r w:rsidRPr="00155FA1">
        <w:rPr>
          <w:rFonts w:cs="Times New Roman"/>
        </w:rPr>
        <w:t xml:space="preserve"> To that end, I calculate the overall relative frequencies of the positive and negative bias associated with the targets constituted by terrorism and the state. I also determine the composition of each type of bias by calculating the percentage comprised by each of its sub-categorizations (the five affirming devices signifying positive bias, and the six doubting devices signifying negative bias). Table 7-1, </w:t>
      </w:r>
      <w:r w:rsidR="00787EBB">
        <w:rPr>
          <w:rFonts w:cs="Times New Roman"/>
        </w:rPr>
        <w:t>on the next page</w:t>
      </w:r>
      <w:r w:rsidRPr="00155FA1">
        <w:rPr>
          <w:rFonts w:cs="Times New Roman"/>
        </w:rPr>
        <w:t>, details the occurrence frequencies of each type of bias and its signifiers.</w:t>
      </w:r>
    </w:p>
    <w:tbl>
      <w:tblPr>
        <w:tblStyle w:val="GridTable4"/>
        <w:tblpPr w:leftFromText="180" w:rightFromText="180" w:vertAnchor="text" w:horzAnchor="margin" w:tblpXSpec="center" w:tblpY="-7"/>
        <w:tblW w:w="9035" w:type="dxa"/>
        <w:tblLook w:val="04A0" w:firstRow="1" w:lastRow="0" w:firstColumn="1" w:lastColumn="0" w:noHBand="0" w:noVBand="1"/>
      </w:tblPr>
      <w:tblGrid>
        <w:gridCol w:w="1437"/>
        <w:gridCol w:w="1702"/>
        <w:gridCol w:w="2883"/>
        <w:gridCol w:w="3013"/>
      </w:tblGrid>
      <w:tr w:rsidR="002915BC" w:rsidRPr="00241E6E" w14:paraId="33FC8291" w14:textId="77777777" w:rsidTr="00787EBB">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37" w:type="dxa"/>
          </w:tcPr>
          <w:p w14:paraId="1750190E" w14:textId="338FD33B" w:rsidR="002915BC" w:rsidRPr="00241E6E" w:rsidRDefault="002915BC" w:rsidP="00787EBB">
            <w:pPr>
              <w:spacing w:before="0" w:after="0"/>
              <w:jc w:val="center"/>
              <w:rPr>
                <w:rFonts w:cs="Times New Roman"/>
                <w:color w:val="auto"/>
                <w:szCs w:val="22"/>
              </w:rPr>
            </w:pPr>
          </w:p>
        </w:tc>
        <w:tc>
          <w:tcPr>
            <w:tcW w:w="1702" w:type="dxa"/>
          </w:tcPr>
          <w:p w14:paraId="76DDFEDB" w14:textId="77777777" w:rsidR="002915BC" w:rsidRPr="00241E6E" w:rsidRDefault="002915BC" w:rsidP="00787EBB">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2"/>
              </w:rPr>
            </w:pPr>
            <w:r w:rsidRPr="00241E6E">
              <w:rPr>
                <w:rFonts w:cs="Times New Roman"/>
                <w:color w:val="auto"/>
                <w:szCs w:val="22"/>
              </w:rPr>
              <w:t>Nature of Bias</w:t>
            </w:r>
          </w:p>
        </w:tc>
        <w:tc>
          <w:tcPr>
            <w:tcW w:w="2883" w:type="dxa"/>
          </w:tcPr>
          <w:p w14:paraId="3D87106B" w14:textId="77777777" w:rsidR="002915BC" w:rsidRPr="00241E6E" w:rsidRDefault="002915BC" w:rsidP="00787EBB">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2"/>
              </w:rPr>
            </w:pPr>
            <w:r w:rsidRPr="00241E6E">
              <w:rPr>
                <w:rFonts w:cs="Times New Roman"/>
                <w:color w:val="auto"/>
                <w:szCs w:val="22"/>
              </w:rPr>
              <w:t>Bias Signifier</w:t>
            </w:r>
          </w:p>
        </w:tc>
        <w:tc>
          <w:tcPr>
            <w:tcW w:w="3013" w:type="dxa"/>
          </w:tcPr>
          <w:p w14:paraId="018DB244" w14:textId="77777777" w:rsidR="002915BC" w:rsidRPr="00241E6E" w:rsidRDefault="002915BC" w:rsidP="00787EBB">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2"/>
              </w:rPr>
            </w:pPr>
            <w:r w:rsidRPr="00241E6E">
              <w:rPr>
                <w:rFonts w:cs="Times New Roman"/>
                <w:color w:val="auto"/>
                <w:szCs w:val="22"/>
              </w:rPr>
              <w:t>Occurrence Frequency</w:t>
            </w:r>
          </w:p>
        </w:tc>
      </w:tr>
      <w:tr w:rsidR="002915BC" w:rsidRPr="00241E6E" w14:paraId="4DFD2380" w14:textId="77777777" w:rsidTr="00787EB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37" w:type="dxa"/>
            <w:vMerge w:val="restart"/>
          </w:tcPr>
          <w:p w14:paraId="7929C06D" w14:textId="77777777" w:rsidR="002915BC" w:rsidRPr="00241E6E" w:rsidRDefault="002915BC" w:rsidP="00787EBB">
            <w:pPr>
              <w:spacing w:before="0" w:after="0"/>
              <w:rPr>
                <w:rFonts w:cs="Times New Roman"/>
                <w:szCs w:val="22"/>
              </w:rPr>
            </w:pPr>
          </w:p>
          <w:p w14:paraId="51C81370" w14:textId="77777777" w:rsidR="002915BC" w:rsidRPr="00241E6E" w:rsidRDefault="002915BC" w:rsidP="00787EBB">
            <w:pPr>
              <w:spacing w:before="0" w:after="0"/>
              <w:rPr>
                <w:rFonts w:cs="Times New Roman"/>
                <w:szCs w:val="22"/>
              </w:rPr>
            </w:pPr>
            <w:r w:rsidRPr="00241E6E">
              <w:rPr>
                <w:rFonts w:cs="Times New Roman"/>
                <w:szCs w:val="22"/>
              </w:rPr>
              <w:t>Terrorism</w:t>
            </w:r>
          </w:p>
          <w:p w14:paraId="039E9F42" w14:textId="77777777" w:rsidR="002915BC" w:rsidRPr="00241E6E" w:rsidRDefault="002915BC" w:rsidP="00787EBB">
            <w:pPr>
              <w:spacing w:before="0" w:after="0"/>
              <w:rPr>
                <w:rFonts w:cs="Times New Roman"/>
                <w:szCs w:val="22"/>
              </w:rPr>
            </w:pPr>
          </w:p>
          <w:p w14:paraId="77506C35" w14:textId="77777777" w:rsidR="002915BC" w:rsidRPr="00241E6E" w:rsidRDefault="002915BC" w:rsidP="00787EBB">
            <w:pPr>
              <w:spacing w:before="0" w:after="0"/>
              <w:rPr>
                <w:rFonts w:cs="Times New Roman"/>
                <w:szCs w:val="22"/>
              </w:rPr>
            </w:pPr>
          </w:p>
        </w:tc>
        <w:tc>
          <w:tcPr>
            <w:tcW w:w="1702" w:type="dxa"/>
            <w:vMerge w:val="restart"/>
          </w:tcPr>
          <w:p w14:paraId="63542729"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2E6F3E1E"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Positive</w:t>
            </w:r>
          </w:p>
        </w:tc>
        <w:tc>
          <w:tcPr>
            <w:tcW w:w="2883" w:type="dxa"/>
          </w:tcPr>
          <w:p w14:paraId="7CAEBFCA" w14:textId="77777777" w:rsidR="002915BC" w:rsidRPr="00241E6E" w:rsidRDefault="002915BC" w:rsidP="00787EB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w:t>
            </w:r>
          </w:p>
        </w:tc>
        <w:tc>
          <w:tcPr>
            <w:tcW w:w="3013" w:type="dxa"/>
          </w:tcPr>
          <w:p w14:paraId="57009FBE"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73.1%</w:t>
            </w:r>
          </w:p>
        </w:tc>
      </w:tr>
      <w:tr w:rsidR="002915BC" w:rsidRPr="00241E6E" w14:paraId="2A6E9A46" w14:textId="77777777" w:rsidTr="00787EBB">
        <w:trPr>
          <w:trHeight w:val="134"/>
        </w:trPr>
        <w:tc>
          <w:tcPr>
            <w:cnfStyle w:val="001000000000" w:firstRow="0" w:lastRow="0" w:firstColumn="1" w:lastColumn="0" w:oddVBand="0" w:evenVBand="0" w:oddHBand="0" w:evenHBand="0" w:firstRowFirstColumn="0" w:firstRowLastColumn="0" w:lastRowFirstColumn="0" w:lastRowLastColumn="0"/>
            <w:tcW w:w="1437" w:type="dxa"/>
            <w:vMerge/>
          </w:tcPr>
          <w:p w14:paraId="0347B96C" w14:textId="77777777" w:rsidR="002915BC" w:rsidRPr="00241E6E" w:rsidRDefault="002915BC" w:rsidP="00787EBB">
            <w:pPr>
              <w:spacing w:before="0" w:after="0"/>
              <w:rPr>
                <w:rFonts w:cs="Times New Roman"/>
                <w:szCs w:val="22"/>
              </w:rPr>
            </w:pPr>
          </w:p>
        </w:tc>
        <w:tc>
          <w:tcPr>
            <w:tcW w:w="1702" w:type="dxa"/>
            <w:vMerge/>
          </w:tcPr>
          <w:p w14:paraId="71A1287E"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2883" w:type="dxa"/>
          </w:tcPr>
          <w:p w14:paraId="4E9B55D2"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Factive and Semi-Factive Verbs</w:t>
            </w:r>
          </w:p>
          <w:p w14:paraId="3838475C"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High-Commitment Verbs</w:t>
            </w:r>
          </w:p>
          <w:p w14:paraId="621667BE"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High-Commitment Adjectives</w:t>
            </w:r>
          </w:p>
          <w:p w14:paraId="1096BD44"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Hyping Adjectives</w:t>
            </w:r>
          </w:p>
          <w:p w14:paraId="01E799FF"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Consensus of Evidence Adjectives</w:t>
            </w:r>
          </w:p>
        </w:tc>
        <w:tc>
          <w:tcPr>
            <w:tcW w:w="3013" w:type="dxa"/>
          </w:tcPr>
          <w:p w14:paraId="2D0B7945"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37.9%</w:t>
            </w:r>
          </w:p>
          <w:p w14:paraId="2C38174C"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14.6%</w:t>
            </w:r>
          </w:p>
          <w:p w14:paraId="7EE2972C"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1.6%</w:t>
            </w:r>
          </w:p>
          <w:p w14:paraId="55CE67A6"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88.3%</w:t>
            </w:r>
          </w:p>
          <w:p w14:paraId="6A6B1E19"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25.9%</w:t>
            </w:r>
          </w:p>
        </w:tc>
      </w:tr>
      <w:tr w:rsidR="002915BC" w:rsidRPr="00241E6E" w14:paraId="1B87C614" w14:textId="77777777" w:rsidTr="00787EBB">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37" w:type="dxa"/>
            <w:vMerge/>
          </w:tcPr>
          <w:p w14:paraId="70212633" w14:textId="77777777" w:rsidR="002915BC" w:rsidRPr="00241E6E" w:rsidRDefault="002915BC" w:rsidP="00787EBB">
            <w:pPr>
              <w:spacing w:before="0" w:after="0"/>
              <w:rPr>
                <w:rFonts w:cs="Times New Roman"/>
                <w:szCs w:val="22"/>
              </w:rPr>
            </w:pPr>
          </w:p>
        </w:tc>
        <w:tc>
          <w:tcPr>
            <w:tcW w:w="1702" w:type="dxa"/>
            <w:vMerge w:val="restart"/>
          </w:tcPr>
          <w:p w14:paraId="42C36A43"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5DD0705E"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Negative</w:t>
            </w:r>
          </w:p>
        </w:tc>
        <w:tc>
          <w:tcPr>
            <w:tcW w:w="2883" w:type="dxa"/>
          </w:tcPr>
          <w:p w14:paraId="2073B2CC" w14:textId="77777777" w:rsidR="002915BC" w:rsidRPr="00241E6E" w:rsidRDefault="002915BC" w:rsidP="00787EB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w:t>
            </w:r>
          </w:p>
        </w:tc>
        <w:tc>
          <w:tcPr>
            <w:tcW w:w="3013" w:type="dxa"/>
          </w:tcPr>
          <w:p w14:paraId="119EFE20"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24.5%</w:t>
            </w:r>
          </w:p>
        </w:tc>
      </w:tr>
      <w:tr w:rsidR="002915BC" w:rsidRPr="00241E6E" w14:paraId="0E93A3D5" w14:textId="77777777" w:rsidTr="00787EBB">
        <w:trPr>
          <w:trHeight w:val="134"/>
        </w:trPr>
        <w:tc>
          <w:tcPr>
            <w:cnfStyle w:val="001000000000" w:firstRow="0" w:lastRow="0" w:firstColumn="1" w:lastColumn="0" w:oddVBand="0" w:evenVBand="0" w:oddHBand="0" w:evenHBand="0" w:firstRowFirstColumn="0" w:firstRowLastColumn="0" w:lastRowFirstColumn="0" w:lastRowLastColumn="0"/>
            <w:tcW w:w="1437" w:type="dxa"/>
            <w:vMerge/>
          </w:tcPr>
          <w:p w14:paraId="42C6A670" w14:textId="77777777" w:rsidR="002915BC" w:rsidRPr="00241E6E" w:rsidRDefault="002915BC" w:rsidP="00787EBB">
            <w:pPr>
              <w:spacing w:before="0" w:after="0"/>
              <w:rPr>
                <w:rFonts w:cs="Times New Roman"/>
                <w:szCs w:val="22"/>
              </w:rPr>
            </w:pPr>
          </w:p>
        </w:tc>
        <w:tc>
          <w:tcPr>
            <w:tcW w:w="1702" w:type="dxa"/>
            <w:vMerge/>
          </w:tcPr>
          <w:p w14:paraId="59EBE0DE"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2883" w:type="dxa"/>
          </w:tcPr>
          <w:p w14:paraId="491E77BE"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Neg-Factive Verbs</w:t>
            </w:r>
          </w:p>
          <w:p w14:paraId="30E49EB9"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Argumentative Verbs</w:t>
            </w:r>
          </w:p>
          <w:p w14:paraId="4DA9EBDC"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Low-Commitment Verbs</w:t>
            </w:r>
          </w:p>
          <w:p w14:paraId="0ACA29CC"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Low-Commitment Modifiers</w:t>
            </w:r>
          </w:p>
          <w:p w14:paraId="08B2268B"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Lack of Consensus Adjectives</w:t>
            </w:r>
          </w:p>
          <w:p w14:paraId="357D5526"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Undermining Adjectives</w:t>
            </w:r>
          </w:p>
        </w:tc>
        <w:tc>
          <w:tcPr>
            <w:tcW w:w="3013" w:type="dxa"/>
          </w:tcPr>
          <w:p w14:paraId="2438648E"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6.7%</w:t>
            </w:r>
          </w:p>
          <w:p w14:paraId="22765595"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12.4%</w:t>
            </w:r>
          </w:p>
          <w:p w14:paraId="30BDFF3C"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28.6%</w:t>
            </w:r>
          </w:p>
          <w:p w14:paraId="03F56CEE"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45.7%</w:t>
            </w:r>
          </w:p>
          <w:p w14:paraId="7960888D"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5.7%</w:t>
            </w:r>
          </w:p>
          <w:p w14:paraId="07637BDE"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48.6%</w:t>
            </w:r>
          </w:p>
        </w:tc>
      </w:tr>
      <w:tr w:rsidR="002915BC" w:rsidRPr="00241E6E" w14:paraId="65EE0A6A" w14:textId="77777777" w:rsidTr="00787EB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37" w:type="dxa"/>
            <w:vMerge w:val="restart"/>
          </w:tcPr>
          <w:p w14:paraId="5100CDFD" w14:textId="77777777" w:rsidR="002915BC" w:rsidRPr="00241E6E" w:rsidRDefault="002915BC" w:rsidP="00787EBB">
            <w:pPr>
              <w:spacing w:before="0" w:after="0"/>
              <w:rPr>
                <w:rFonts w:cs="Times New Roman"/>
                <w:szCs w:val="22"/>
              </w:rPr>
            </w:pPr>
          </w:p>
          <w:p w14:paraId="26EB31D0" w14:textId="77777777" w:rsidR="002915BC" w:rsidRPr="00241E6E" w:rsidRDefault="002915BC" w:rsidP="00787EBB">
            <w:pPr>
              <w:spacing w:before="0" w:after="0"/>
              <w:rPr>
                <w:rFonts w:cs="Times New Roman"/>
                <w:szCs w:val="22"/>
              </w:rPr>
            </w:pPr>
            <w:r w:rsidRPr="00241E6E">
              <w:rPr>
                <w:rFonts w:cs="Times New Roman"/>
                <w:szCs w:val="22"/>
              </w:rPr>
              <w:t>The State</w:t>
            </w:r>
          </w:p>
        </w:tc>
        <w:tc>
          <w:tcPr>
            <w:tcW w:w="1702" w:type="dxa"/>
            <w:vMerge w:val="restart"/>
          </w:tcPr>
          <w:p w14:paraId="27E2B64E"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3F789B96"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Positive</w:t>
            </w:r>
          </w:p>
        </w:tc>
        <w:tc>
          <w:tcPr>
            <w:tcW w:w="2883" w:type="dxa"/>
          </w:tcPr>
          <w:p w14:paraId="10F5ADC0" w14:textId="77777777" w:rsidR="002915BC" w:rsidRPr="00241E6E" w:rsidRDefault="002915BC" w:rsidP="00787EB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w:t>
            </w:r>
          </w:p>
        </w:tc>
        <w:tc>
          <w:tcPr>
            <w:tcW w:w="3013" w:type="dxa"/>
          </w:tcPr>
          <w:p w14:paraId="3C175393"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78.1%</w:t>
            </w:r>
          </w:p>
        </w:tc>
      </w:tr>
      <w:tr w:rsidR="002915BC" w:rsidRPr="00241E6E" w14:paraId="3FBFE3C4" w14:textId="77777777" w:rsidTr="00787EBB">
        <w:trPr>
          <w:trHeight w:val="134"/>
        </w:trPr>
        <w:tc>
          <w:tcPr>
            <w:cnfStyle w:val="001000000000" w:firstRow="0" w:lastRow="0" w:firstColumn="1" w:lastColumn="0" w:oddVBand="0" w:evenVBand="0" w:oddHBand="0" w:evenHBand="0" w:firstRowFirstColumn="0" w:firstRowLastColumn="0" w:lastRowFirstColumn="0" w:lastRowLastColumn="0"/>
            <w:tcW w:w="1437" w:type="dxa"/>
            <w:vMerge/>
          </w:tcPr>
          <w:p w14:paraId="78126071" w14:textId="77777777" w:rsidR="002915BC" w:rsidRPr="00241E6E" w:rsidRDefault="002915BC" w:rsidP="00787EBB">
            <w:pPr>
              <w:spacing w:before="0" w:after="0"/>
              <w:rPr>
                <w:rFonts w:cs="Times New Roman"/>
                <w:sz w:val="20"/>
                <w:szCs w:val="20"/>
              </w:rPr>
            </w:pPr>
          </w:p>
        </w:tc>
        <w:tc>
          <w:tcPr>
            <w:tcW w:w="1702" w:type="dxa"/>
            <w:vMerge/>
          </w:tcPr>
          <w:p w14:paraId="740ACA61"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2883" w:type="dxa"/>
          </w:tcPr>
          <w:p w14:paraId="5D02EAD7"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Factive and Semi-Factive Verbs</w:t>
            </w:r>
          </w:p>
          <w:p w14:paraId="53F820D5"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High-Commitment Verbs</w:t>
            </w:r>
          </w:p>
          <w:p w14:paraId="71106657"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High-Commitment Adjectives</w:t>
            </w:r>
          </w:p>
          <w:p w14:paraId="1D330514"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Hyping Adjectives</w:t>
            </w:r>
          </w:p>
          <w:p w14:paraId="49569247"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Consensus of Evidence Adjectives</w:t>
            </w:r>
          </w:p>
        </w:tc>
        <w:tc>
          <w:tcPr>
            <w:tcW w:w="3013" w:type="dxa"/>
          </w:tcPr>
          <w:p w14:paraId="1936889C"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36.2%</w:t>
            </w:r>
          </w:p>
          <w:p w14:paraId="5C2381D7"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19.7%</w:t>
            </w:r>
          </w:p>
          <w:p w14:paraId="593905A6"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3%</w:t>
            </w:r>
          </w:p>
          <w:p w14:paraId="7B9A8466"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91.1%</w:t>
            </w:r>
          </w:p>
          <w:p w14:paraId="71D627C0"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26.2%</w:t>
            </w:r>
          </w:p>
        </w:tc>
      </w:tr>
      <w:tr w:rsidR="002915BC" w:rsidRPr="00241E6E" w14:paraId="223DF7CC" w14:textId="77777777" w:rsidTr="00787EBB">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37" w:type="dxa"/>
            <w:vMerge/>
          </w:tcPr>
          <w:p w14:paraId="3F91A926" w14:textId="77777777" w:rsidR="002915BC" w:rsidRPr="00241E6E" w:rsidRDefault="002915BC" w:rsidP="00787EBB">
            <w:pPr>
              <w:spacing w:before="0" w:after="0"/>
              <w:rPr>
                <w:rFonts w:cs="Times New Roman"/>
                <w:sz w:val="20"/>
                <w:szCs w:val="20"/>
              </w:rPr>
            </w:pPr>
          </w:p>
        </w:tc>
        <w:tc>
          <w:tcPr>
            <w:tcW w:w="1702" w:type="dxa"/>
            <w:vMerge w:val="restart"/>
          </w:tcPr>
          <w:p w14:paraId="5212F391"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3C16D692"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Negative</w:t>
            </w:r>
          </w:p>
        </w:tc>
        <w:tc>
          <w:tcPr>
            <w:tcW w:w="2883" w:type="dxa"/>
          </w:tcPr>
          <w:p w14:paraId="53327129" w14:textId="77777777" w:rsidR="002915BC" w:rsidRPr="00241E6E" w:rsidRDefault="002915BC" w:rsidP="00787EB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w:t>
            </w:r>
          </w:p>
        </w:tc>
        <w:tc>
          <w:tcPr>
            <w:tcW w:w="3013" w:type="dxa"/>
          </w:tcPr>
          <w:p w14:paraId="512C0EBB" w14:textId="77777777" w:rsidR="002915BC" w:rsidRPr="00241E6E" w:rsidRDefault="002915BC" w:rsidP="00787EB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24.5%</w:t>
            </w:r>
          </w:p>
        </w:tc>
      </w:tr>
      <w:tr w:rsidR="002915BC" w:rsidRPr="00241E6E" w14:paraId="074E75DF" w14:textId="77777777" w:rsidTr="00787EBB">
        <w:trPr>
          <w:trHeight w:val="134"/>
        </w:trPr>
        <w:tc>
          <w:tcPr>
            <w:cnfStyle w:val="001000000000" w:firstRow="0" w:lastRow="0" w:firstColumn="1" w:lastColumn="0" w:oddVBand="0" w:evenVBand="0" w:oddHBand="0" w:evenHBand="0" w:firstRowFirstColumn="0" w:firstRowLastColumn="0" w:lastRowFirstColumn="0" w:lastRowLastColumn="0"/>
            <w:tcW w:w="1437" w:type="dxa"/>
            <w:vMerge/>
          </w:tcPr>
          <w:p w14:paraId="3E581B1C" w14:textId="77777777" w:rsidR="002915BC" w:rsidRPr="00241E6E" w:rsidRDefault="002915BC" w:rsidP="00787EBB">
            <w:pPr>
              <w:spacing w:before="0" w:after="0"/>
              <w:rPr>
                <w:rFonts w:cs="Times New Roman"/>
                <w:sz w:val="20"/>
                <w:szCs w:val="20"/>
              </w:rPr>
            </w:pPr>
          </w:p>
        </w:tc>
        <w:tc>
          <w:tcPr>
            <w:tcW w:w="1702" w:type="dxa"/>
            <w:vMerge/>
          </w:tcPr>
          <w:p w14:paraId="5514DE62"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2883" w:type="dxa"/>
          </w:tcPr>
          <w:p w14:paraId="1CA42DF2"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Neg-Factive Verbs</w:t>
            </w:r>
          </w:p>
          <w:p w14:paraId="6183564F"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Argumentative Verbs</w:t>
            </w:r>
          </w:p>
          <w:p w14:paraId="0692F3C9"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Low-Commitment Verbs</w:t>
            </w:r>
          </w:p>
          <w:p w14:paraId="4E9F2CC0"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Low-Commitment Modifiers</w:t>
            </w:r>
          </w:p>
          <w:p w14:paraId="4B84AD92"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Lack of Consensus Adjectives</w:t>
            </w:r>
          </w:p>
          <w:p w14:paraId="3C03A27D"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Undermining Adjectives</w:t>
            </w:r>
          </w:p>
        </w:tc>
        <w:tc>
          <w:tcPr>
            <w:tcW w:w="3013" w:type="dxa"/>
          </w:tcPr>
          <w:p w14:paraId="727D7730"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17.6%</w:t>
            </w:r>
          </w:p>
          <w:p w14:paraId="52526E36"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19.5%</w:t>
            </w:r>
          </w:p>
          <w:p w14:paraId="3F5AFE89"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37.1%</w:t>
            </w:r>
          </w:p>
          <w:p w14:paraId="20E39D58"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37.6%</w:t>
            </w:r>
          </w:p>
          <w:p w14:paraId="57180F0F" w14:textId="77777777" w:rsidR="002915BC" w:rsidRPr="00241E6E" w:rsidRDefault="002915BC" w:rsidP="00787EB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8.3%</w:t>
            </w:r>
          </w:p>
          <w:p w14:paraId="5106A756" w14:textId="77777777" w:rsidR="002915BC" w:rsidRPr="00241E6E" w:rsidRDefault="002915BC" w:rsidP="00787EBB">
            <w:pPr>
              <w:keepNext/>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39.5%</w:t>
            </w:r>
          </w:p>
        </w:tc>
      </w:tr>
    </w:tbl>
    <w:p w14:paraId="602E5151" w14:textId="1CF51691" w:rsidR="002915BC" w:rsidRDefault="002915BC" w:rsidP="00787EBB">
      <w:pPr>
        <w:pStyle w:val="DissertationTableCaption"/>
      </w:pPr>
      <w:bookmarkStart w:id="67" w:name="_Toc168415258"/>
      <w:bookmarkStart w:id="68" w:name="_Toc175413202"/>
      <w:r w:rsidRPr="00155FA1">
        <w:t>Table 7- 1</w:t>
      </w:r>
      <w:r w:rsidR="00880AD8">
        <w:t>:</w:t>
      </w:r>
      <w:r w:rsidR="00C61B98">
        <w:rPr>
          <w:u w:val="none"/>
        </w:rPr>
        <w:tab/>
      </w:r>
      <w:r w:rsidRPr="0028762A">
        <w:rPr>
          <w:u w:val="none"/>
        </w:rPr>
        <w:t xml:space="preserve"> Occurrence Frequencies of Different Types of Bias in the Media Coverage of Terrorism</w:t>
      </w:r>
      <w:r w:rsidR="00873EF9" w:rsidRPr="0028762A">
        <w:rPr>
          <w:u w:val="none"/>
        </w:rPr>
        <w:t xml:space="preserve"> </w:t>
      </w:r>
      <w:r w:rsidR="002C562B" w:rsidRPr="0028762A">
        <w:rPr>
          <w:rStyle w:val="FootnoteReference"/>
          <w:sz w:val="20"/>
          <w:szCs w:val="20"/>
          <w:u w:val="none"/>
        </w:rPr>
        <w:footnoteReference w:id="444"/>
      </w:r>
      <w:bookmarkEnd w:id="67"/>
      <w:bookmarkEnd w:id="68"/>
    </w:p>
    <w:p w14:paraId="5289F936" w14:textId="77777777" w:rsidR="00B31568" w:rsidRDefault="00B31568" w:rsidP="002915BC">
      <w:pPr>
        <w:rPr>
          <w:rFonts w:cs="Times New Roman"/>
        </w:rPr>
      </w:pPr>
    </w:p>
    <w:p w14:paraId="6BF286BC" w14:textId="68E5CA2C" w:rsidR="002915BC" w:rsidRPr="00155FA1" w:rsidRDefault="002915BC" w:rsidP="002915BC">
      <w:pPr>
        <w:rPr>
          <w:rFonts w:cs="Times New Roman"/>
        </w:rPr>
      </w:pPr>
      <w:r w:rsidRPr="00155FA1">
        <w:rPr>
          <w:rFonts w:cs="Times New Roman"/>
        </w:rPr>
        <w:t>In 88.3% of cases involving positive bias towards terrorism (73% of the articles that constitute my sampling frame), and 99.1% of cases involving positive bias towards the state (78% of the articles that constitute my sampling frame), positive bias manifests by way of hyping adjectives that sensationalize its target and/or its target’s actions.</w:t>
      </w:r>
      <w:r w:rsidRPr="00155FA1">
        <w:rPr>
          <w:rStyle w:val="FootnoteReference"/>
          <w:rFonts w:cs="Times New Roman"/>
        </w:rPr>
        <w:footnoteReference w:id="445"/>
      </w:r>
      <w:r w:rsidRPr="00155FA1">
        <w:rPr>
          <w:rFonts w:cs="Times New Roman"/>
        </w:rPr>
        <w:t xml:space="preserve"> These statistics suggest that positive bias in the media coverage of terrorism tends to ascribe prominence and importance to both the state and terrorism by touting their respective actions and reactions as accomplishments and </w:t>
      </w:r>
      <w:r w:rsidRPr="00155FA1">
        <w:rPr>
          <w:rFonts w:cs="Times New Roman"/>
        </w:rPr>
        <w:lastRenderedPageBreak/>
        <w:t>contributions. Conversely, negative bias towards the state tends to co-occur with negative bias towards terrorism. The most frequently occurring negative bias signifiers are hedges (low commitment verbs and low commitment modifiers) and undermining adjectives.</w:t>
      </w:r>
      <w:r w:rsidRPr="00155FA1">
        <w:rPr>
          <w:rStyle w:val="FootnoteReference"/>
          <w:rFonts w:cs="Times New Roman"/>
        </w:rPr>
        <w:footnoteReference w:id="446"/>
      </w:r>
      <w:r w:rsidRPr="00155FA1">
        <w:rPr>
          <w:rFonts w:cs="Times New Roman"/>
        </w:rPr>
        <w:t xml:space="preserve"> In 45.7% of cases involving negative bias towards terrorism, and 37.6% of cases involving negative bias towards the state, this type of negative bias manifests as the use of low commitment modifiers.</w:t>
      </w:r>
      <w:r w:rsidRPr="00155FA1">
        <w:rPr>
          <w:rStyle w:val="FootnoteReference"/>
          <w:rFonts w:cs="Times New Roman"/>
        </w:rPr>
        <w:footnoteReference w:id="447"/>
      </w:r>
      <w:r w:rsidRPr="00155FA1">
        <w:rPr>
          <w:rFonts w:cs="Times New Roman"/>
        </w:rPr>
        <w:t xml:space="preserve"> </w:t>
      </w:r>
      <w:r w:rsidRPr="00155FA1">
        <w:rPr>
          <w:rFonts w:cs="Times New Roman"/>
          <w:iCs/>
        </w:rPr>
        <w:t xml:space="preserve">In 28.6% of cases involving negative bias towards terrorism, and 37.1% </w:t>
      </w:r>
      <w:r w:rsidRPr="00155FA1">
        <w:rPr>
          <w:rFonts w:cs="Times New Roman"/>
        </w:rPr>
        <w:t>of cases involving negative bias towards the state, this type of negative bias manifests as the use of low commitment verbs.</w:t>
      </w:r>
      <w:r w:rsidRPr="00155FA1">
        <w:rPr>
          <w:rStyle w:val="FootnoteReference"/>
          <w:rFonts w:cs="Times New Roman"/>
        </w:rPr>
        <w:footnoteReference w:id="448"/>
      </w:r>
      <w:r w:rsidRPr="00155FA1">
        <w:rPr>
          <w:rFonts w:cs="Times New Roman"/>
        </w:rPr>
        <w:t xml:space="preserve"> </w:t>
      </w:r>
      <w:r w:rsidRPr="00155FA1">
        <w:rPr>
          <w:rFonts w:cs="Times New Roman"/>
          <w:iCs/>
        </w:rPr>
        <w:t xml:space="preserve">In 48.6% </w:t>
      </w:r>
      <w:r w:rsidRPr="00155FA1">
        <w:rPr>
          <w:rFonts w:cs="Times New Roman"/>
        </w:rPr>
        <w:t>of cases involving negative bias towards terrorism</w:t>
      </w:r>
      <w:r w:rsidRPr="00155FA1">
        <w:rPr>
          <w:rFonts w:cs="Times New Roman"/>
          <w:iCs/>
        </w:rPr>
        <w:t>, and 39.5%</w:t>
      </w:r>
      <w:r w:rsidRPr="00155FA1">
        <w:rPr>
          <w:rFonts w:cs="Times New Roman"/>
        </w:rPr>
        <w:t xml:space="preserve"> of cases involving negative bias towards the state, this type of negative bias manifests as the use of undermining adjectives.</w:t>
      </w:r>
      <w:r w:rsidRPr="00155FA1">
        <w:rPr>
          <w:rStyle w:val="FootnoteReference"/>
          <w:rFonts w:cs="Times New Roman"/>
        </w:rPr>
        <w:footnoteReference w:id="449"/>
      </w:r>
      <w:r w:rsidRPr="00155FA1">
        <w:rPr>
          <w:rFonts w:cs="Times New Roman"/>
        </w:rPr>
        <w:t xml:space="preserve"> These statistics imply that negative bias in the media coverage of terrorism (in relation to both terrorism and the state) is somewhat more likely to manifest as </w:t>
      </w:r>
      <w:proofErr w:type="spellStart"/>
      <w:r w:rsidRPr="00155FA1">
        <w:rPr>
          <w:rFonts w:cs="Times New Roman"/>
        </w:rPr>
        <w:t>Recasens</w:t>
      </w:r>
      <w:proofErr w:type="spellEnd"/>
      <w:r w:rsidRPr="00155FA1">
        <w:rPr>
          <w:rFonts w:cs="Times New Roman"/>
        </w:rPr>
        <w:t xml:space="preserve"> et. </w:t>
      </w:r>
      <w:proofErr w:type="spellStart"/>
      <w:r w:rsidRPr="00155FA1">
        <w:rPr>
          <w:rFonts w:cs="Times New Roman"/>
        </w:rPr>
        <w:t>al’s</w:t>
      </w:r>
      <w:proofErr w:type="spellEnd"/>
      <w:r w:rsidRPr="00155FA1">
        <w:rPr>
          <w:rFonts w:cs="Times New Roman"/>
        </w:rPr>
        <w:t xml:space="preserve"> </w:t>
      </w:r>
      <w:r w:rsidRPr="00155FA1">
        <w:rPr>
          <w:rFonts w:cs="Times New Roman"/>
          <w:i/>
          <w:iCs/>
        </w:rPr>
        <w:t>framing bias</w:t>
      </w:r>
      <w:r w:rsidRPr="00155FA1">
        <w:rPr>
          <w:rFonts w:cs="Times New Roman"/>
        </w:rPr>
        <w:t>, which manifests by taking a specific side or stance in relation to the subject matter depicted.</w:t>
      </w:r>
      <w:r w:rsidR="00444B2E">
        <w:rPr>
          <w:rStyle w:val="FootnoteReference"/>
          <w:rFonts w:cs="Times New Roman"/>
        </w:rPr>
        <w:footnoteReference w:id="450"/>
      </w:r>
      <w:r w:rsidRPr="00155FA1">
        <w:rPr>
          <w:rFonts w:cs="Times New Roman"/>
        </w:rPr>
        <w:t xml:space="preserve"> </w:t>
      </w:r>
    </w:p>
    <w:p w14:paraId="5227D33B" w14:textId="734C37BB" w:rsidR="002915BC" w:rsidRPr="00155FA1" w:rsidRDefault="006112AB" w:rsidP="002915BC">
      <w:pPr>
        <w:ind w:firstLine="720"/>
        <w:rPr>
          <w:rFonts w:cs="Times New Roman"/>
        </w:rPr>
      </w:pPr>
      <w:r>
        <w:rPr>
          <w:rFonts w:cs="Times New Roman"/>
        </w:rPr>
        <w:t>R</w:t>
      </w:r>
      <w:r w:rsidR="002915BC" w:rsidRPr="00155FA1">
        <w:rPr>
          <w:rFonts w:cs="Times New Roman"/>
        </w:rPr>
        <w:t xml:space="preserve">elative occurrence frequencies measure how often something happens, in relation to all of the outcomes that occur. As such, my analysis of positive bias towards terrorism indicates that more than three-quarters of all of the instances of this bias present in my sample are expressed through hyping adjectives. Similarly, my examination of positive bias towards the state determines that more than ninety percent of all instances of this type of bias included in my sample manifest as hyping adjectives. Negative bias, on the other hand, presents in a bit more of a diversified fashion in the context of my sample. Negative bias towards terrorism tends to involve the use of undermining adjectives and low-commitment modifiers more than it does any of the other doubting devices. Similarly, negative bias towards the state is overwhelmingly </w:t>
      </w:r>
      <w:r w:rsidR="002915BC" w:rsidRPr="00155FA1">
        <w:rPr>
          <w:rFonts w:cs="Times New Roman"/>
        </w:rPr>
        <w:lastRenderedPageBreak/>
        <w:t>expressed as low-commitment verbs, low-commitment modifiers, and undermining adjectives at similar frequencies.</w:t>
      </w:r>
    </w:p>
    <w:p w14:paraId="00473BBA" w14:textId="6D146D37" w:rsidR="00787EBB" w:rsidRDefault="002915BC" w:rsidP="00787EBB">
      <w:pPr>
        <w:ind w:firstLine="720"/>
        <w:rPr>
          <w:rFonts w:cs="Times New Roman"/>
        </w:rPr>
      </w:pPr>
      <w:r w:rsidRPr="00155FA1">
        <w:rPr>
          <w:rFonts w:cs="Times New Roman"/>
        </w:rPr>
        <w:t xml:space="preserve">After identifying the trends in how each type of bias tends to manifest that are presented in Table 7-1, I use </w:t>
      </w:r>
      <w:proofErr w:type="spellStart"/>
      <w:r w:rsidRPr="00155FA1">
        <w:rPr>
          <w:rFonts w:cs="Times New Roman"/>
        </w:rPr>
        <w:t>WordStat</w:t>
      </w:r>
      <w:proofErr w:type="spellEnd"/>
      <w:r w:rsidRPr="00155FA1">
        <w:rPr>
          <w:rFonts w:cs="Times New Roman"/>
        </w:rPr>
        <w:t xml:space="preserve"> to calculate the co-occurrence frequencies for each type of bias. These frequencies, as well as the strength of each association identified, are presented in Table 7-2, </w:t>
      </w:r>
      <w:r w:rsidR="00B31568">
        <w:rPr>
          <w:rFonts w:cs="Times New Roman"/>
        </w:rPr>
        <w:t>below.</w:t>
      </w:r>
    </w:p>
    <w:p w14:paraId="5117D365" w14:textId="021C0BFD" w:rsidR="002915BC" w:rsidRPr="00787EBB" w:rsidRDefault="002915BC" w:rsidP="00B31568">
      <w:pPr>
        <w:spacing w:before="0" w:after="0"/>
        <w:rPr>
          <w:rFonts w:cs="Times New Roman"/>
        </w:rPr>
      </w:pPr>
    </w:p>
    <w:tbl>
      <w:tblPr>
        <w:tblStyle w:val="GridTable4"/>
        <w:tblW w:w="9356" w:type="dxa"/>
        <w:tblInd w:w="-5" w:type="dxa"/>
        <w:tblLook w:val="04A0" w:firstRow="1" w:lastRow="0" w:firstColumn="1" w:lastColumn="0" w:noHBand="0" w:noVBand="1"/>
      </w:tblPr>
      <w:tblGrid>
        <w:gridCol w:w="3391"/>
        <w:gridCol w:w="3392"/>
        <w:gridCol w:w="2573"/>
      </w:tblGrid>
      <w:tr w:rsidR="002915BC" w:rsidRPr="00155FA1" w14:paraId="07D6FCC0" w14:textId="77777777" w:rsidTr="000D39B7">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391" w:type="dxa"/>
          </w:tcPr>
          <w:p w14:paraId="47CAF037" w14:textId="77777777" w:rsidR="002915BC" w:rsidRPr="00241E6E" w:rsidRDefault="002915BC" w:rsidP="000D39B7">
            <w:pPr>
              <w:jc w:val="center"/>
              <w:rPr>
                <w:rFonts w:cs="Times New Roman"/>
                <w:b w:val="0"/>
                <w:bCs w:val="0"/>
                <w:color w:val="auto"/>
                <w:szCs w:val="22"/>
              </w:rPr>
            </w:pPr>
            <w:r w:rsidRPr="00241E6E">
              <w:rPr>
                <w:rFonts w:cs="Times New Roman"/>
                <w:color w:val="auto"/>
                <w:szCs w:val="22"/>
              </w:rPr>
              <w:t>Type of Bias</w:t>
            </w:r>
          </w:p>
        </w:tc>
        <w:tc>
          <w:tcPr>
            <w:tcW w:w="3392" w:type="dxa"/>
          </w:tcPr>
          <w:p w14:paraId="4F6E36D0" w14:textId="77777777" w:rsidR="002915BC" w:rsidRPr="00241E6E" w:rsidRDefault="002915BC" w:rsidP="000D39B7">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2"/>
              </w:rPr>
            </w:pPr>
            <w:r w:rsidRPr="00241E6E">
              <w:rPr>
                <w:rFonts w:cs="Times New Roman"/>
                <w:color w:val="auto"/>
                <w:szCs w:val="22"/>
              </w:rPr>
              <w:t>Co-Occurring Type of Bias</w:t>
            </w:r>
          </w:p>
        </w:tc>
        <w:tc>
          <w:tcPr>
            <w:tcW w:w="2573" w:type="dxa"/>
          </w:tcPr>
          <w:p w14:paraId="5239A0B4" w14:textId="77777777" w:rsidR="002915BC" w:rsidRPr="00241E6E" w:rsidRDefault="002915BC" w:rsidP="000D39B7">
            <w:pPr>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2"/>
              </w:rPr>
            </w:pPr>
            <w:r w:rsidRPr="00241E6E">
              <w:rPr>
                <w:rFonts w:cs="Times New Roman"/>
                <w:color w:val="auto"/>
                <w:szCs w:val="22"/>
              </w:rPr>
              <w:t>Association Strength</w:t>
            </w:r>
          </w:p>
        </w:tc>
      </w:tr>
      <w:tr w:rsidR="002915BC" w:rsidRPr="00155FA1" w14:paraId="595876BA" w14:textId="77777777" w:rsidTr="000D39B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391" w:type="dxa"/>
          </w:tcPr>
          <w:p w14:paraId="5DAAFFAE" w14:textId="77777777" w:rsidR="002915BC" w:rsidRPr="00241E6E" w:rsidRDefault="002915BC" w:rsidP="000D39B7">
            <w:pPr>
              <w:rPr>
                <w:rFonts w:cs="Times New Roman"/>
                <w:szCs w:val="22"/>
              </w:rPr>
            </w:pPr>
            <w:r w:rsidRPr="00241E6E">
              <w:rPr>
                <w:rFonts w:cs="Times New Roman"/>
                <w:szCs w:val="22"/>
              </w:rPr>
              <w:t>Positive Bias Towards the State</w:t>
            </w:r>
          </w:p>
        </w:tc>
        <w:tc>
          <w:tcPr>
            <w:tcW w:w="3392" w:type="dxa"/>
          </w:tcPr>
          <w:p w14:paraId="041F9D51" w14:textId="77777777" w:rsidR="002915BC" w:rsidRPr="00241E6E" w:rsidRDefault="002915BC" w:rsidP="000D39B7">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Positive Bias Towards Terrorism</w:t>
            </w:r>
          </w:p>
        </w:tc>
        <w:tc>
          <w:tcPr>
            <w:tcW w:w="2573" w:type="dxa"/>
          </w:tcPr>
          <w:p w14:paraId="4BE2DD81" w14:textId="77777777" w:rsidR="002915BC" w:rsidRPr="00241E6E" w:rsidRDefault="002915BC" w:rsidP="000D39B7">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0.024</w:t>
            </w:r>
          </w:p>
        </w:tc>
      </w:tr>
      <w:tr w:rsidR="002915BC" w:rsidRPr="00155FA1" w14:paraId="040C84DC" w14:textId="77777777" w:rsidTr="000D39B7">
        <w:trPr>
          <w:trHeight w:val="246"/>
        </w:trPr>
        <w:tc>
          <w:tcPr>
            <w:cnfStyle w:val="001000000000" w:firstRow="0" w:lastRow="0" w:firstColumn="1" w:lastColumn="0" w:oddVBand="0" w:evenVBand="0" w:oddHBand="0" w:evenHBand="0" w:firstRowFirstColumn="0" w:firstRowLastColumn="0" w:lastRowFirstColumn="0" w:lastRowLastColumn="0"/>
            <w:tcW w:w="3391" w:type="dxa"/>
          </w:tcPr>
          <w:p w14:paraId="31CFA7BF" w14:textId="77777777" w:rsidR="002915BC" w:rsidRPr="00241E6E" w:rsidRDefault="002915BC" w:rsidP="000D39B7">
            <w:pPr>
              <w:rPr>
                <w:rFonts w:cs="Times New Roman"/>
                <w:szCs w:val="22"/>
              </w:rPr>
            </w:pPr>
            <w:r w:rsidRPr="00241E6E">
              <w:rPr>
                <w:rFonts w:cs="Times New Roman"/>
                <w:szCs w:val="22"/>
              </w:rPr>
              <w:t>Positive Bias Towards the State</w:t>
            </w:r>
          </w:p>
        </w:tc>
        <w:tc>
          <w:tcPr>
            <w:tcW w:w="3392" w:type="dxa"/>
          </w:tcPr>
          <w:p w14:paraId="06630CA1" w14:textId="77777777" w:rsidR="002915BC" w:rsidRPr="00241E6E" w:rsidRDefault="002915BC" w:rsidP="000D39B7">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Negative Bias Towards Terrorism</w:t>
            </w:r>
          </w:p>
        </w:tc>
        <w:tc>
          <w:tcPr>
            <w:tcW w:w="2573" w:type="dxa"/>
          </w:tcPr>
          <w:p w14:paraId="20E81F7B" w14:textId="77777777" w:rsidR="002915BC" w:rsidRPr="00241E6E" w:rsidRDefault="002915BC" w:rsidP="000D39B7">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0.000</w:t>
            </w:r>
          </w:p>
        </w:tc>
      </w:tr>
      <w:tr w:rsidR="002915BC" w:rsidRPr="00155FA1" w14:paraId="708A4141" w14:textId="77777777" w:rsidTr="000D39B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391" w:type="dxa"/>
          </w:tcPr>
          <w:p w14:paraId="6F5190DC" w14:textId="77777777" w:rsidR="002915BC" w:rsidRPr="00241E6E" w:rsidRDefault="002915BC" w:rsidP="000D39B7">
            <w:pPr>
              <w:rPr>
                <w:rFonts w:cs="Times New Roman"/>
                <w:szCs w:val="22"/>
              </w:rPr>
            </w:pPr>
            <w:r w:rsidRPr="00241E6E">
              <w:rPr>
                <w:rFonts w:cs="Times New Roman"/>
                <w:szCs w:val="22"/>
              </w:rPr>
              <w:t>Negative Bias Towards the State</w:t>
            </w:r>
          </w:p>
        </w:tc>
        <w:tc>
          <w:tcPr>
            <w:tcW w:w="3392" w:type="dxa"/>
          </w:tcPr>
          <w:p w14:paraId="272F36D1" w14:textId="77777777" w:rsidR="002915BC" w:rsidRPr="00241E6E" w:rsidRDefault="002915BC" w:rsidP="000D39B7">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Negative Bias Towards Terrorism</w:t>
            </w:r>
          </w:p>
        </w:tc>
        <w:tc>
          <w:tcPr>
            <w:tcW w:w="2573" w:type="dxa"/>
          </w:tcPr>
          <w:p w14:paraId="5956C32B" w14:textId="77777777" w:rsidR="002915BC" w:rsidRPr="00241E6E" w:rsidRDefault="002915BC" w:rsidP="000D39B7">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0.018</w:t>
            </w:r>
          </w:p>
        </w:tc>
      </w:tr>
      <w:tr w:rsidR="002915BC" w:rsidRPr="00155FA1" w14:paraId="41383096" w14:textId="77777777" w:rsidTr="000D39B7">
        <w:trPr>
          <w:trHeight w:val="251"/>
        </w:trPr>
        <w:tc>
          <w:tcPr>
            <w:cnfStyle w:val="001000000000" w:firstRow="0" w:lastRow="0" w:firstColumn="1" w:lastColumn="0" w:oddVBand="0" w:evenVBand="0" w:oddHBand="0" w:evenHBand="0" w:firstRowFirstColumn="0" w:firstRowLastColumn="0" w:lastRowFirstColumn="0" w:lastRowLastColumn="0"/>
            <w:tcW w:w="3391" w:type="dxa"/>
          </w:tcPr>
          <w:p w14:paraId="02F64564" w14:textId="77777777" w:rsidR="002915BC" w:rsidRPr="00241E6E" w:rsidRDefault="002915BC" w:rsidP="000D39B7">
            <w:pPr>
              <w:rPr>
                <w:rFonts w:cs="Times New Roman"/>
                <w:szCs w:val="22"/>
              </w:rPr>
            </w:pPr>
            <w:r w:rsidRPr="00241E6E">
              <w:rPr>
                <w:rFonts w:cs="Times New Roman"/>
                <w:szCs w:val="22"/>
              </w:rPr>
              <w:t>Negative Bias Towards Terrorism</w:t>
            </w:r>
          </w:p>
        </w:tc>
        <w:tc>
          <w:tcPr>
            <w:tcW w:w="3392" w:type="dxa"/>
          </w:tcPr>
          <w:p w14:paraId="3CD0BAA9" w14:textId="77777777" w:rsidR="002915BC" w:rsidRPr="00241E6E" w:rsidRDefault="002915BC" w:rsidP="000D39B7">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Positive Bias Towards the State</w:t>
            </w:r>
          </w:p>
        </w:tc>
        <w:tc>
          <w:tcPr>
            <w:tcW w:w="2573" w:type="dxa"/>
          </w:tcPr>
          <w:p w14:paraId="2E95BB1E" w14:textId="77777777" w:rsidR="002915BC" w:rsidRPr="00241E6E" w:rsidRDefault="002915BC" w:rsidP="000D39B7">
            <w:pPr>
              <w:keepNex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0.000</w:t>
            </w:r>
          </w:p>
        </w:tc>
      </w:tr>
    </w:tbl>
    <w:p w14:paraId="0E77F018" w14:textId="77777777" w:rsidR="00B31568" w:rsidRDefault="00B31568" w:rsidP="00787EBB">
      <w:pPr>
        <w:pStyle w:val="DissertationTableCaption"/>
      </w:pPr>
      <w:bookmarkStart w:id="69" w:name="_Toc168415259"/>
      <w:bookmarkStart w:id="70" w:name="_Toc175413203"/>
    </w:p>
    <w:p w14:paraId="3400990E" w14:textId="09048BE8" w:rsidR="002915BC" w:rsidRPr="0028762A" w:rsidRDefault="002915BC" w:rsidP="00787EBB">
      <w:pPr>
        <w:pStyle w:val="DissertationTableCaption"/>
        <w:rPr>
          <w:u w:val="none"/>
        </w:rPr>
      </w:pPr>
      <w:r w:rsidRPr="00155FA1">
        <w:t>Table 7- 2</w:t>
      </w:r>
      <w:r w:rsidR="00880AD8">
        <w:t>:</w:t>
      </w:r>
      <w:r w:rsidR="00C61B98">
        <w:rPr>
          <w:u w:val="none"/>
        </w:rPr>
        <w:tab/>
      </w:r>
      <w:r w:rsidRPr="0028762A">
        <w:rPr>
          <w:u w:val="none"/>
        </w:rPr>
        <w:t xml:space="preserve"> Co-occurring Types of Bias in the Media Coverage of Terrorism</w:t>
      </w:r>
      <w:bookmarkEnd w:id="69"/>
      <w:bookmarkEnd w:id="70"/>
    </w:p>
    <w:p w14:paraId="54E7D13F" w14:textId="77777777" w:rsidR="00B31568" w:rsidRDefault="00B31568" w:rsidP="002915BC">
      <w:pPr>
        <w:rPr>
          <w:rFonts w:cs="Times New Roman"/>
        </w:rPr>
      </w:pPr>
    </w:p>
    <w:p w14:paraId="15FC7BA4" w14:textId="2A4284A7" w:rsidR="002915BC" w:rsidRPr="00155FA1" w:rsidRDefault="002915BC" w:rsidP="002915BC">
      <w:pPr>
        <w:rPr>
          <w:rFonts w:cs="Times New Roman"/>
        </w:rPr>
      </w:pPr>
      <w:r w:rsidRPr="00155FA1">
        <w:rPr>
          <w:rFonts w:cs="Times New Roman"/>
        </w:rPr>
        <w:t xml:space="preserve">The strongest association presented in Table 7-2 relates to the fact that positive bias towards the state tends to co-occur with positive bias towards terrorism in the context of my sample. Similarly, negative bias towards the state recurs at the highest frequency with negative bias towards terrorism. Put simply, in the context of my sample, </w:t>
      </w:r>
      <w:r w:rsidR="00F74D09">
        <w:rPr>
          <w:rFonts w:cs="Times New Roman"/>
        </w:rPr>
        <w:t>media</w:t>
      </w:r>
      <w:r w:rsidRPr="00155FA1">
        <w:rPr>
          <w:rFonts w:cs="Times New Roman"/>
        </w:rPr>
        <w:t xml:space="preserve"> bulletins that depict the state in a more positive manner is likely to depict terrorism in a similarly positive manner and </w:t>
      </w:r>
      <w:r w:rsidR="00F74D09">
        <w:rPr>
          <w:rFonts w:cs="Times New Roman"/>
        </w:rPr>
        <w:t>media</w:t>
      </w:r>
      <w:r w:rsidRPr="00155FA1">
        <w:rPr>
          <w:rFonts w:cs="Times New Roman"/>
        </w:rPr>
        <w:t xml:space="preserve"> bulletins that describe the state in a less favorable way are also likely to describe terrorism in a less favorable way. </w:t>
      </w:r>
    </w:p>
    <w:p w14:paraId="121FF5FB" w14:textId="77DCA3D9" w:rsidR="002915BC" w:rsidRPr="00155FA1" w:rsidRDefault="002915BC" w:rsidP="002915BC">
      <w:pPr>
        <w:ind w:firstLine="720"/>
        <w:rPr>
          <w:rFonts w:cs="Times New Roman"/>
        </w:rPr>
      </w:pPr>
      <w:r w:rsidRPr="00155FA1">
        <w:rPr>
          <w:rFonts w:cs="Times New Roman"/>
        </w:rPr>
        <w:t>That positive bias towards the state tends to co-occur with positive bias towards terrorism, and that negative bias towards the state tends to co-occur with negative bias towards terrorism accords with my contention that terrorists and the state are perceived as seeking the same type of prominence (which, in practice, ultimately translates to authority</w:t>
      </w:r>
      <w:r w:rsidR="000F5FF7">
        <w:rPr>
          <w:rFonts w:cs="Times New Roman"/>
        </w:rPr>
        <w:t xml:space="preserve"> – legitimate or otherwise</w:t>
      </w:r>
      <w:r w:rsidRPr="00155FA1">
        <w:rPr>
          <w:rFonts w:cs="Times New Roman"/>
        </w:rPr>
        <w:t>). Moreover, conceiving of terrorists and the state as in pursuit of the same type of legitimate authority aligns with my claim that terrorism manifests in direct opposition to state authority and legitimacy. Ultimately, it does not matter if terrorists are consciously in pursuit of statehood and/or the monopoly over the legitimate use of force in a given territory because the type of reaction that their actions generate results in effects (which are ultimately emblematic of the terrorists exerting a type of control over the public) that result in the state losing a measure of legitimacy, as I conceptualize it for the purposes of this dissertation.</w:t>
      </w:r>
      <w:r w:rsidRPr="00155FA1">
        <w:rPr>
          <w:rStyle w:val="FootnoteReference"/>
          <w:rFonts w:cs="Times New Roman"/>
        </w:rPr>
        <w:t xml:space="preserve"> </w:t>
      </w:r>
      <w:r w:rsidRPr="00155FA1">
        <w:rPr>
          <w:rStyle w:val="FootnoteReference"/>
          <w:rFonts w:cs="Times New Roman"/>
        </w:rPr>
        <w:footnoteReference w:id="451"/>
      </w:r>
    </w:p>
    <w:p w14:paraId="1B45A9AC" w14:textId="177BA388" w:rsidR="002915BC" w:rsidRPr="00155FA1" w:rsidRDefault="002915BC" w:rsidP="00F85A92">
      <w:pPr>
        <w:ind w:firstLine="720"/>
        <w:rPr>
          <w:rFonts w:cs="Times New Roman"/>
        </w:rPr>
      </w:pPr>
      <w:r w:rsidRPr="00155FA1">
        <w:rPr>
          <w:rFonts w:cs="Times New Roman"/>
        </w:rPr>
        <w:t xml:space="preserve">Further expansion on these ideas requires me to consider the frames that the media coverage of terrorism tends to use in its depictions of terrorism. Thus, the next component of my argument that media coverage of terrorism negatively affects the international legitimacy of the </w:t>
      </w:r>
      <w:r w:rsidRPr="00155FA1">
        <w:rPr>
          <w:rFonts w:cs="Times New Roman"/>
        </w:rPr>
        <w:lastRenderedPageBreak/>
        <w:t xml:space="preserve">state by framing terrorism as necessarily manifesting in direct, diametric opposition to state authority centers on the historical references embedded by media coverage’s framing of terrorism. These references provide tacit context that, taken in conjunction with the way that public figures’ statements implicitly define terrorism, leads me to </w:t>
      </w:r>
      <w:r w:rsidR="00873EF9">
        <w:rPr>
          <w:rFonts w:cs="Times New Roman"/>
        </w:rPr>
        <w:t xml:space="preserve">the conclusion </w:t>
      </w:r>
      <w:r w:rsidRPr="00155FA1">
        <w:rPr>
          <w:rFonts w:cs="Times New Roman"/>
        </w:rPr>
        <w:t>that states have, in effect, created their own worst enemy in terrorists.</w:t>
      </w:r>
      <w:r w:rsidR="00E94B45">
        <w:rPr>
          <w:rFonts w:cs="Times New Roman"/>
        </w:rPr>
        <w:t xml:space="preserve"> States, in short, play a</w:t>
      </w:r>
      <w:r w:rsidR="008B2E72">
        <w:rPr>
          <w:rFonts w:cs="Times New Roman"/>
        </w:rPr>
        <w:t>n important</w:t>
      </w:r>
      <w:r w:rsidR="00E94B45">
        <w:rPr>
          <w:rFonts w:cs="Times New Roman"/>
        </w:rPr>
        <w:t xml:space="preserve"> role </w:t>
      </w:r>
      <w:r w:rsidR="008B2E72">
        <w:rPr>
          <w:rFonts w:cs="Times New Roman"/>
        </w:rPr>
        <w:t xml:space="preserve">in </w:t>
      </w:r>
      <w:r w:rsidR="00E94B45">
        <w:rPr>
          <w:rFonts w:cs="Times New Roman"/>
        </w:rPr>
        <w:t xml:space="preserve">amplifying terrorist messages </w:t>
      </w:r>
      <w:r w:rsidR="008B2E72">
        <w:rPr>
          <w:rFonts w:cs="Times New Roman"/>
        </w:rPr>
        <w:t>through</w:t>
      </w:r>
      <w:r w:rsidR="00E94B45">
        <w:rPr>
          <w:rFonts w:cs="Times New Roman"/>
        </w:rPr>
        <w:t xml:space="preserve"> how their own spokespersons communicate with the media and, in so doing, help terrorists “succeed.”</w:t>
      </w:r>
    </w:p>
    <w:p w14:paraId="5A8AFAC2" w14:textId="7E752690" w:rsidR="002915BC" w:rsidRPr="00787EBB" w:rsidRDefault="002915BC" w:rsidP="00787123">
      <w:pPr>
        <w:pStyle w:val="DissertationSection1"/>
      </w:pPr>
      <w:bookmarkStart w:id="71" w:name="_Toc175413158"/>
      <w:r w:rsidRPr="00155FA1">
        <w:t>Media Coverage of Terrorism Places States and Terrorists on the Same Level</w:t>
      </w:r>
      <w:bookmarkEnd w:id="71"/>
    </w:p>
    <w:p w14:paraId="20C2C510" w14:textId="77777777" w:rsidR="002915BC" w:rsidRPr="00155FA1" w:rsidRDefault="002915BC" w:rsidP="002915BC">
      <w:pPr>
        <w:ind w:firstLine="720"/>
        <w:rPr>
          <w:rFonts w:cs="Times New Roman"/>
        </w:rPr>
      </w:pPr>
      <w:r w:rsidRPr="00155FA1">
        <w:rPr>
          <w:rFonts w:cs="Times New Roman"/>
        </w:rPr>
        <w:t>As discussed in Chapter 5, framing involves making “some aspects of a perceived reality… more salient in a communicating text, in such a way as to promote a particular problem definition, causal interpretation, moral evaluation, and/or treatment for the item described.”</w:t>
      </w:r>
      <w:r w:rsidRPr="00155FA1">
        <w:rPr>
          <w:rStyle w:val="FootnoteReference"/>
          <w:rFonts w:cs="Times New Roman"/>
        </w:rPr>
        <w:footnoteReference w:id="452"/>
      </w:r>
      <w:r w:rsidRPr="00155FA1">
        <w:rPr>
          <w:rFonts w:cs="Times New Roman"/>
        </w:rPr>
        <w:t xml:space="preserve"> Accordingly, there are two components intrinsic to any media frame that provide an analytical dimension: function, and focus.</w:t>
      </w:r>
      <w:r w:rsidRPr="00155FA1">
        <w:rPr>
          <w:rStyle w:val="FootnoteReference"/>
          <w:rFonts w:cs="Times New Roman"/>
        </w:rPr>
        <w:footnoteReference w:id="453"/>
      </w:r>
      <w:r w:rsidRPr="00155FA1">
        <w:rPr>
          <w:rFonts w:cs="Times New Roman"/>
        </w:rPr>
        <w:t xml:space="preserve"> The </w:t>
      </w:r>
      <w:r w:rsidRPr="00155FA1">
        <w:rPr>
          <w:rFonts w:cs="Times New Roman"/>
          <w:i/>
          <w:iCs/>
        </w:rPr>
        <w:t>function</w:t>
      </w:r>
      <w:r w:rsidRPr="00155FA1">
        <w:rPr>
          <w:rFonts w:cs="Times New Roman"/>
        </w:rPr>
        <w:t xml:space="preserve"> of a media frame both “define[s] a [specific] issue, and explains [the] relevance” of that issue, or the problem associated with it.</w:t>
      </w:r>
      <w:r w:rsidRPr="00155FA1">
        <w:rPr>
          <w:rStyle w:val="FootnoteReference"/>
          <w:rFonts w:cs="Times New Roman"/>
        </w:rPr>
        <w:footnoteReference w:id="454"/>
      </w:r>
      <w:r w:rsidRPr="00155FA1">
        <w:rPr>
          <w:rFonts w:cs="Times New Roman"/>
        </w:rPr>
        <w:t xml:space="preserve"> This can (but does not always necessarily) involve “identify[</w:t>
      </w:r>
      <w:proofErr w:type="spellStart"/>
      <w:r w:rsidRPr="00155FA1">
        <w:rPr>
          <w:rFonts w:cs="Times New Roman"/>
        </w:rPr>
        <w:t>ing</w:t>
      </w:r>
      <w:proofErr w:type="spellEnd"/>
      <w:r w:rsidRPr="00155FA1">
        <w:rPr>
          <w:rFonts w:cs="Times New Roman"/>
        </w:rPr>
        <w:t>] the cause of the problem”, “assign[</w:t>
      </w:r>
      <w:proofErr w:type="spellStart"/>
      <w:r w:rsidRPr="00155FA1">
        <w:rPr>
          <w:rFonts w:cs="Times New Roman"/>
        </w:rPr>
        <w:t>ing</w:t>
      </w:r>
      <w:proofErr w:type="spellEnd"/>
      <w:r w:rsidRPr="00155FA1">
        <w:rPr>
          <w:rFonts w:cs="Times New Roman"/>
        </w:rPr>
        <w:t>] a moral evaluation to [the issue identified by the frame],” and/or “</w:t>
      </w:r>
      <w:proofErr w:type="spellStart"/>
      <w:r w:rsidRPr="00155FA1">
        <w:rPr>
          <w:rFonts w:cs="Times New Roman"/>
        </w:rPr>
        <w:t>propos</w:t>
      </w:r>
      <w:proofErr w:type="spellEnd"/>
      <w:r w:rsidRPr="00155FA1">
        <w:rPr>
          <w:rFonts w:cs="Times New Roman"/>
        </w:rPr>
        <w:t>[</w:t>
      </w:r>
      <w:proofErr w:type="spellStart"/>
      <w:r w:rsidRPr="00155FA1">
        <w:rPr>
          <w:rFonts w:cs="Times New Roman"/>
        </w:rPr>
        <w:t>ing</w:t>
      </w:r>
      <w:proofErr w:type="spellEnd"/>
      <w:r w:rsidRPr="00155FA1">
        <w:rPr>
          <w:rFonts w:cs="Times New Roman"/>
        </w:rPr>
        <w:t>] a remedy” for the problem.</w:t>
      </w:r>
      <w:r w:rsidRPr="00155FA1">
        <w:rPr>
          <w:rStyle w:val="FootnoteReference"/>
          <w:rFonts w:cs="Times New Roman"/>
        </w:rPr>
        <w:footnoteReference w:id="455"/>
      </w:r>
      <w:r w:rsidRPr="00155FA1">
        <w:rPr>
          <w:rFonts w:cs="Times New Roman"/>
        </w:rPr>
        <w:t xml:space="preserve"> This understanding of framing focus accords with </w:t>
      </w:r>
      <w:proofErr w:type="spellStart"/>
      <w:r w:rsidRPr="00155FA1">
        <w:rPr>
          <w:rFonts w:cs="Times New Roman"/>
        </w:rPr>
        <w:t>Entman’s</w:t>
      </w:r>
      <w:proofErr w:type="spellEnd"/>
      <w:r w:rsidRPr="00155FA1">
        <w:rPr>
          <w:rFonts w:cs="Times New Roman"/>
        </w:rPr>
        <w:t xml:space="preserve"> articulation of the four ways that media frames can be categorized: as problematizing, as diagnosing a cause of an identified problem, as a “moral” evaluation of the problem identified (or the motivating underlying the problem), and/or as recommending a “treatment” to solve the problem.</w:t>
      </w:r>
      <w:r w:rsidRPr="00155FA1">
        <w:rPr>
          <w:rStyle w:val="FootnoteReference"/>
          <w:rFonts w:cs="Times New Roman"/>
        </w:rPr>
        <w:footnoteReference w:id="456"/>
      </w:r>
      <w:r w:rsidRPr="00155FA1">
        <w:rPr>
          <w:rFonts w:cs="Times New Roman"/>
        </w:rPr>
        <w:t xml:space="preserve"> Alternatively, the </w:t>
      </w:r>
      <w:r w:rsidRPr="00155FA1">
        <w:rPr>
          <w:rFonts w:cs="Times New Roman"/>
          <w:i/>
          <w:iCs/>
        </w:rPr>
        <w:t>focus</w:t>
      </w:r>
      <w:r w:rsidRPr="00155FA1">
        <w:rPr>
          <w:rFonts w:cs="Times New Roman"/>
        </w:rPr>
        <w:t xml:space="preserve"> of a media frame centres on the unit of analysis that the frame focuses on to illustrate its </w:t>
      </w:r>
      <w:r w:rsidRPr="00155FA1">
        <w:rPr>
          <w:rFonts w:cs="Times New Roman"/>
          <w:i/>
          <w:iCs/>
        </w:rPr>
        <w:t>function</w:t>
      </w:r>
      <w:r w:rsidRPr="00155FA1">
        <w:rPr>
          <w:rFonts w:cs="Times New Roman"/>
        </w:rPr>
        <w:t>.</w:t>
      </w:r>
      <w:r w:rsidRPr="00155FA1">
        <w:rPr>
          <w:rStyle w:val="FootnoteReference"/>
          <w:rFonts w:cs="Times New Roman"/>
        </w:rPr>
        <w:footnoteReference w:id="457"/>
      </w:r>
      <w:r w:rsidRPr="00155FA1">
        <w:rPr>
          <w:rFonts w:cs="Times New Roman"/>
        </w:rPr>
        <w:t xml:space="preserve">  In this context, units of analysis consist of issues, events and/or (political) actors.</w:t>
      </w:r>
      <w:r w:rsidRPr="00155FA1">
        <w:rPr>
          <w:rStyle w:val="FootnoteReference"/>
          <w:rFonts w:cs="Times New Roman"/>
        </w:rPr>
        <w:footnoteReference w:id="458"/>
      </w:r>
    </w:p>
    <w:p w14:paraId="6B0EAF75" w14:textId="7A0D89F7" w:rsidR="002915BC" w:rsidRPr="00155FA1" w:rsidRDefault="002915BC" w:rsidP="002915BC">
      <w:pPr>
        <w:ind w:firstLine="720"/>
        <w:rPr>
          <w:rFonts w:cs="Times New Roman"/>
        </w:rPr>
      </w:pPr>
      <w:r w:rsidRPr="00155FA1">
        <w:rPr>
          <w:rFonts w:cs="Times New Roman"/>
        </w:rPr>
        <w:t xml:space="preserve">To identify frames that recur in the media coverage of terrorism, I conducted a basic content analysis of the media coverage of terrorism produced on seven </w:t>
      </w:r>
      <w:r w:rsidRPr="00155FA1">
        <w:rPr>
          <w:rFonts w:cs="Times New Roman"/>
          <w:i/>
          <w:iCs/>
        </w:rPr>
        <w:t>high coverage</w:t>
      </w:r>
      <w:r w:rsidRPr="00155FA1">
        <w:rPr>
          <w:rFonts w:cs="Times New Roman"/>
        </w:rPr>
        <w:t xml:space="preserve"> dates, and 35 </w:t>
      </w:r>
      <w:r w:rsidRPr="00155FA1">
        <w:rPr>
          <w:rFonts w:cs="Times New Roman"/>
          <w:i/>
          <w:iCs/>
        </w:rPr>
        <w:t>low coverage</w:t>
      </w:r>
      <w:r w:rsidRPr="00155FA1">
        <w:rPr>
          <w:rFonts w:cs="Times New Roman"/>
        </w:rPr>
        <w:t xml:space="preserve"> dates.</w:t>
      </w:r>
      <w:r w:rsidRPr="00155FA1">
        <w:rPr>
          <w:rStyle w:val="FootnoteReference"/>
          <w:rFonts w:cs="Times New Roman"/>
        </w:rPr>
        <w:t xml:space="preserve"> </w:t>
      </w:r>
      <w:r w:rsidRPr="00155FA1">
        <w:rPr>
          <w:rStyle w:val="FootnoteReference"/>
          <w:rFonts w:cs="Times New Roman"/>
        </w:rPr>
        <w:footnoteReference w:id="459"/>
      </w:r>
      <w:r w:rsidRPr="00155FA1">
        <w:rPr>
          <w:rFonts w:cs="Times New Roman"/>
        </w:rPr>
        <w:t xml:space="preserve"> (These dates fall within the larger sampling frame used in Chapter 6 – all English-language media coverage of terrorism produced by the Associated Press, </w:t>
      </w:r>
      <w:proofErr w:type="spellStart"/>
      <w:r w:rsidRPr="00155FA1">
        <w:rPr>
          <w:rFonts w:cs="Times New Roman"/>
        </w:rPr>
        <w:t>Agence</w:t>
      </w:r>
      <w:proofErr w:type="spellEnd"/>
      <w:r w:rsidRPr="00155FA1">
        <w:rPr>
          <w:rFonts w:cs="Times New Roman"/>
        </w:rPr>
        <w:t xml:space="preserve"> France-Presse, and Reuters between January 1, 2012 and December 31, 2018).</w:t>
      </w:r>
      <w:r w:rsidRPr="00155FA1">
        <w:rPr>
          <w:rStyle w:val="FootnoteReference"/>
          <w:rFonts w:cs="Times New Roman"/>
        </w:rPr>
        <w:footnoteReference w:id="460"/>
      </w:r>
      <w:r w:rsidRPr="00155FA1">
        <w:rPr>
          <w:rFonts w:cs="Times New Roman"/>
        </w:rPr>
        <w:t xml:space="preserve">  This content </w:t>
      </w:r>
      <w:r w:rsidRPr="00155FA1">
        <w:rPr>
          <w:rFonts w:cs="Times New Roman"/>
        </w:rPr>
        <w:lastRenderedPageBreak/>
        <w:t xml:space="preserve">analysis allowed me to identify six types of media frames that emerge on a recurring basis in the context of the media coverage of terrorism. Then, I hand-coded 836 </w:t>
      </w:r>
      <w:r w:rsidR="00F74D09">
        <w:rPr>
          <w:rFonts w:cs="Times New Roman"/>
        </w:rPr>
        <w:t>media</w:t>
      </w:r>
      <w:r w:rsidRPr="00155FA1">
        <w:rPr>
          <w:rFonts w:cs="Times New Roman"/>
        </w:rPr>
        <w:t xml:space="preserve"> bulletins (approximately 37% of my sampling frame) to quantify the frequency with which each of these frames appears, and to identify keywords and phrases characteristic of each frame. Finally, I used </w:t>
      </w:r>
      <w:proofErr w:type="spellStart"/>
      <w:r w:rsidRPr="00155FA1">
        <w:rPr>
          <w:rFonts w:cs="Times New Roman"/>
        </w:rPr>
        <w:t>WordStat</w:t>
      </w:r>
      <w:proofErr w:type="spellEnd"/>
      <w:r w:rsidRPr="00155FA1">
        <w:rPr>
          <w:rFonts w:cs="Times New Roman"/>
        </w:rPr>
        <w:t xml:space="preserve"> to conduct a series of keyword searches to quantify the prevalence of each frame throughout the remainder of my 2,276-</w:t>
      </w:r>
      <w:r w:rsidR="00F74D09">
        <w:rPr>
          <w:rFonts w:cs="Times New Roman"/>
        </w:rPr>
        <w:t>media</w:t>
      </w:r>
      <w:r w:rsidRPr="00155FA1">
        <w:rPr>
          <w:rFonts w:cs="Times New Roman"/>
        </w:rPr>
        <w:t xml:space="preserve"> bulletin sample.</w:t>
      </w:r>
      <w:r w:rsidRPr="00155FA1">
        <w:rPr>
          <w:rStyle w:val="FootnoteReference"/>
          <w:rFonts w:cs="Times New Roman"/>
        </w:rPr>
        <w:footnoteReference w:id="461"/>
      </w:r>
      <w:r w:rsidRPr="00155FA1">
        <w:rPr>
          <w:rFonts w:cs="Times New Roman"/>
        </w:rPr>
        <w:t xml:space="preserve"> The six media frames and the frequency with which each recurs in the context of each the title and body of my 2,276-news </w:t>
      </w:r>
    </w:p>
    <w:p w14:paraId="5FCB6DF8" w14:textId="1D96ADE4" w:rsidR="00D03C79" w:rsidRPr="00155FA1" w:rsidRDefault="002915BC" w:rsidP="002915BC">
      <w:pPr>
        <w:rPr>
          <w:rFonts w:cs="Times New Roman"/>
        </w:rPr>
      </w:pPr>
      <w:r w:rsidRPr="00155FA1">
        <w:rPr>
          <w:rFonts w:cs="Times New Roman"/>
        </w:rPr>
        <w:t>bulletin sample is detailed in Table 7-3, below.</w:t>
      </w:r>
    </w:p>
    <w:tbl>
      <w:tblPr>
        <w:tblStyle w:val="GridTable4"/>
        <w:tblpPr w:leftFromText="180" w:rightFromText="180" w:vertAnchor="text" w:horzAnchor="margin" w:tblpY="82"/>
        <w:tblW w:w="9493" w:type="dxa"/>
        <w:tblLook w:val="04A0" w:firstRow="1" w:lastRow="0" w:firstColumn="1" w:lastColumn="0" w:noHBand="0" w:noVBand="1"/>
      </w:tblPr>
      <w:tblGrid>
        <w:gridCol w:w="562"/>
        <w:gridCol w:w="2552"/>
        <w:gridCol w:w="6379"/>
      </w:tblGrid>
      <w:tr w:rsidR="002915BC" w:rsidRPr="00155FA1" w14:paraId="4E2C0C00" w14:textId="77777777" w:rsidTr="000D39B7">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62" w:type="dxa"/>
          </w:tcPr>
          <w:p w14:paraId="70416D81" w14:textId="77777777" w:rsidR="002915BC" w:rsidRPr="00155FA1" w:rsidRDefault="002915BC" w:rsidP="000D39B7">
            <w:pPr>
              <w:jc w:val="center"/>
              <w:rPr>
                <w:rFonts w:cs="Times New Roman"/>
              </w:rPr>
            </w:pPr>
          </w:p>
        </w:tc>
        <w:tc>
          <w:tcPr>
            <w:tcW w:w="2552" w:type="dxa"/>
          </w:tcPr>
          <w:p w14:paraId="1912DCE9" w14:textId="77777777" w:rsidR="002915BC" w:rsidRPr="00241E6E" w:rsidRDefault="002915BC" w:rsidP="000D39B7">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2"/>
              </w:rPr>
            </w:pPr>
            <w:r w:rsidRPr="00241E6E">
              <w:rPr>
                <w:rFonts w:cs="Times New Roman"/>
                <w:szCs w:val="22"/>
              </w:rPr>
              <w:t>Frame</w:t>
            </w:r>
          </w:p>
        </w:tc>
        <w:tc>
          <w:tcPr>
            <w:tcW w:w="6379" w:type="dxa"/>
          </w:tcPr>
          <w:p w14:paraId="03B1919E" w14:textId="77777777" w:rsidR="002915BC" w:rsidRPr="00241E6E" w:rsidRDefault="002915BC" w:rsidP="000D39B7">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2"/>
              </w:rPr>
            </w:pPr>
            <w:r w:rsidRPr="00241E6E">
              <w:rPr>
                <w:rFonts w:cs="Times New Roman"/>
                <w:szCs w:val="22"/>
              </w:rPr>
              <w:t>Recurrence Frequency – Body of News Bulletin</w:t>
            </w:r>
          </w:p>
        </w:tc>
      </w:tr>
      <w:tr w:rsidR="002915BC" w:rsidRPr="00155FA1" w14:paraId="322BBA59" w14:textId="77777777" w:rsidTr="000D39B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62" w:type="dxa"/>
          </w:tcPr>
          <w:p w14:paraId="0AD53F49" w14:textId="77777777" w:rsidR="002915BC" w:rsidRPr="00241E6E" w:rsidRDefault="002915BC" w:rsidP="000D39B7">
            <w:pPr>
              <w:jc w:val="center"/>
              <w:rPr>
                <w:rFonts w:cs="Times New Roman"/>
                <w:b w:val="0"/>
                <w:bCs w:val="0"/>
                <w:sz w:val="20"/>
                <w:szCs w:val="20"/>
              </w:rPr>
            </w:pPr>
            <w:r w:rsidRPr="00241E6E">
              <w:rPr>
                <w:rFonts w:cs="Times New Roman"/>
                <w:b w:val="0"/>
                <w:bCs w:val="0"/>
                <w:sz w:val="20"/>
                <w:szCs w:val="20"/>
              </w:rPr>
              <w:t>(A)</w:t>
            </w:r>
          </w:p>
        </w:tc>
        <w:tc>
          <w:tcPr>
            <w:tcW w:w="2552" w:type="dxa"/>
          </w:tcPr>
          <w:p w14:paraId="31E97A7C" w14:textId="77777777" w:rsidR="002915BC" w:rsidRPr="00241E6E" w:rsidRDefault="002915BC" w:rsidP="000D39B7">
            <w:pPr>
              <w:ind w:firstLine="17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Good vs. Evil</w:t>
            </w:r>
          </w:p>
        </w:tc>
        <w:tc>
          <w:tcPr>
            <w:tcW w:w="6379" w:type="dxa"/>
          </w:tcPr>
          <w:p w14:paraId="650CABE7" w14:textId="77777777" w:rsidR="002915BC" w:rsidRPr="00241E6E" w:rsidRDefault="002915BC" w:rsidP="000D39B7">
            <w:pPr>
              <w:ind w:firstLine="2876"/>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73.8%</w:t>
            </w:r>
          </w:p>
        </w:tc>
      </w:tr>
      <w:tr w:rsidR="002915BC" w:rsidRPr="00155FA1" w14:paraId="55420D5A" w14:textId="77777777" w:rsidTr="000D39B7">
        <w:trPr>
          <w:trHeight w:val="325"/>
        </w:trPr>
        <w:tc>
          <w:tcPr>
            <w:cnfStyle w:val="001000000000" w:firstRow="0" w:lastRow="0" w:firstColumn="1" w:lastColumn="0" w:oddVBand="0" w:evenVBand="0" w:oddHBand="0" w:evenHBand="0" w:firstRowFirstColumn="0" w:firstRowLastColumn="0" w:lastRowFirstColumn="0" w:lastRowLastColumn="0"/>
            <w:tcW w:w="562" w:type="dxa"/>
          </w:tcPr>
          <w:p w14:paraId="5298C4B8" w14:textId="77777777" w:rsidR="002915BC" w:rsidRPr="00241E6E" w:rsidRDefault="002915BC" w:rsidP="000D39B7">
            <w:pPr>
              <w:jc w:val="center"/>
              <w:rPr>
                <w:rFonts w:cs="Times New Roman"/>
                <w:b w:val="0"/>
                <w:bCs w:val="0"/>
                <w:sz w:val="20"/>
                <w:szCs w:val="20"/>
              </w:rPr>
            </w:pPr>
            <w:r w:rsidRPr="00241E6E">
              <w:rPr>
                <w:rFonts w:cs="Times New Roman"/>
                <w:b w:val="0"/>
                <w:bCs w:val="0"/>
                <w:sz w:val="20"/>
                <w:szCs w:val="20"/>
              </w:rPr>
              <w:t>(B)</w:t>
            </w:r>
          </w:p>
        </w:tc>
        <w:tc>
          <w:tcPr>
            <w:tcW w:w="2552" w:type="dxa"/>
          </w:tcPr>
          <w:p w14:paraId="49BF9F42" w14:textId="77777777" w:rsidR="002915BC" w:rsidRPr="00241E6E" w:rsidRDefault="002915BC" w:rsidP="000D39B7">
            <w:pPr>
              <w:ind w:firstLine="172"/>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(International) Unity</w:t>
            </w:r>
          </w:p>
        </w:tc>
        <w:tc>
          <w:tcPr>
            <w:tcW w:w="6379" w:type="dxa"/>
          </w:tcPr>
          <w:p w14:paraId="574D8DB4" w14:textId="77777777" w:rsidR="002915BC" w:rsidRPr="00241E6E" w:rsidRDefault="002915BC" w:rsidP="000D39B7">
            <w:pPr>
              <w:ind w:firstLine="2876"/>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33.5%</w:t>
            </w:r>
          </w:p>
        </w:tc>
      </w:tr>
      <w:tr w:rsidR="002915BC" w:rsidRPr="00155FA1" w14:paraId="5E78A666" w14:textId="77777777" w:rsidTr="000D39B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62" w:type="dxa"/>
          </w:tcPr>
          <w:p w14:paraId="6207232A" w14:textId="77777777" w:rsidR="002915BC" w:rsidRPr="00241E6E" w:rsidRDefault="002915BC" w:rsidP="000D39B7">
            <w:pPr>
              <w:jc w:val="center"/>
              <w:rPr>
                <w:rFonts w:cs="Times New Roman"/>
                <w:b w:val="0"/>
                <w:bCs w:val="0"/>
                <w:sz w:val="20"/>
                <w:szCs w:val="20"/>
              </w:rPr>
            </w:pPr>
            <w:r w:rsidRPr="00241E6E">
              <w:rPr>
                <w:rFonts w:cs="Times New Roman"/>
                <w:b w:val="0"/>
                <w:bCs w:val="0"/>
                <w:sz w:val="20"/>
                <w:szCs w:val="20"/>
              </w:rPr>
              <w:t>(C)</w:t>
            </w:r>
          </w:p>
        </w:tc>
        <w:tc>
          <w:tcPr>
            <w:tcW w:w="2552" w:type="dxa"/>
          </w:tcPr>
          <w:p w14:paraId="46DCEA8F" w14:textId="77777777" w:rsidR="002915BC" w:rsidRPr="00241E6E" w:rsidRDefault="002915BC" w:rsidP="000D39B7">
            <w:pPr>
              <w:ind w:firstLine="17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Freedom vs. Terrorism</w:t>
            </w:r>
          </w:p>
        </w:tc>
        <w:tc>
          <w:tcPr>
            <w:tcW w:w="6379" w:type="dxa"/>
          </w:tcPr>
          <w:p w14:paraId="241F43CC" w14:textId="77777777" w:rsidR="002915BC" w:rsidRPr="00241E6E" w:rsidRDefault="002915BC" w:rsidP="000D39B7">
            <w:pPr>
              <w:ind w:firstLine="2876"/>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1.2%</w:t>
            </w:r>
          </w:p>
        </w:tc>
      </w:tr>
      <w:tr w:rsidR="002915BC" w:rsidRPr="00155FA1" w14:paraId="19DAB480" w14:textId="77777777" w:rsidTr="000D39B7">
        <w:trPr>
          <w:trHeight w:val="325"/>
        </w:trPr>
        <w:tc>
          <w:tcPr>
            <w:cnfStyle w:val="001000000000" w:firstRow="0" w:lastRow="0" w:firstColumn="1" w:lastColumn="0" w:oddVBand="0" w:evenVBand="0" w:oddHBand="0" w:evenHBand="0" w:firstRowFirstColumn="0" w:firstRowLastColumn="0" w:lastRowFirstColumn="0" w:lastRowLastColumn="0"/>
            <w:tcW w:w="562" w:type="dxa"/>
          </w:tcPr>
          <w:p w14:paraId="55948739" w14:textId="77777777" w:rsidR="002915BC" w:rsidRPr="00241E6E" w:rsidRDefault="002915BC" w:rsidP="000D39B7">
            <w:pPr>
              <w:jc w:val="center"/>
              <w:rPr>
                <w:rFonts w:cs="Times New Roman"/>
                <w:b w:val="0"/>
                <w:bCs w:val="0"/>
                <w:sz w:val="20"/>
                <w:szCs w:val="20"/>
              </w:rPr>
            </w:pPr>
            <w:r w:rsidRPr="00241E6E">
              <w:rPr>
                <w:rFonts w:cs="Times New Roman"/>
                <w:b w:val="0"/>
                <w:bCs w:val="0"/>
                <w:sz w:val="20"/>
                <w:szCs w:val="20"/>
              </w:rPr>
              <w:t>(D)</w:t>
            </w:r>
          </w:p>
        </w:tc>
        <w:tc>
          <w:tcPr>
            <w:tcW w:w="2552" w:type="dxa"/>
          </w:tcPr>
          <w:p w14:paraId="3E146C53" w14:textId="77777777" w:rsidR="002915BC" w:rsidRPr="00241E6E" w:rsidRDefault="002915BC" w:rsidP="000D39B7">
            <w:pPr>
              <w:ind w:firstLine="172"/>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Democracy vs. Terrorism</w:t>
            </w:r>
          </w:p>
        </w:tc>
        <w:tc>
          <w:tcPr>
            <w:tcW w:w="6379" w:type="dxa"/>
          </w:tcPr>
          <w:p w14:paraId="308C8518" w14:textId="77777777" w:rsidR="002915BC" w:rsidRPr="00241E6E" w:rsidRDefault="002915BC" w:rsidP="000D39B7">
            <w:pPr>
              <w:ind w:firstLine="2876"/>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78.1%</w:t>
            </w:r>
          </w:p>
        </w:tc>
      </w:tr>
      <w:tr w:rsidR="002915BC" w:rsidRPr="00155FA1" w14:paraId="2DB36647" w14:textId="77777777" w:rsidTr="000D39B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62" w:type="dxa"/>
          </w:tcPr>
          <w:p w14:paraId="764B509D" w14:textId="77777777" w:rsidR="002915BC" w:rsidRPr="00241E6E" w:rsidRDefault="002915BC" w:rsidP="000D39B7">
            <w:pPr>
              <w:jc w:val="center"/>
              <w:rPr>
                <w:rFonts w:cs="Times New Roman"/>
                <w:b w:val="0"/>
                <w:bCs w:val="0"/>
                <w:sz w:val="20"/>
                <w:szCs w:val="20"/>
              </w:rPr>
            </w:pPr>
            <w:r w:rsidRPr="00241E6E">
              <w:rPr>
                <w:rFonts w:cs="Times New Roman"/>
                <w:b w:val="0"/>
                <w:bCs w:val="0"/>
                <w:sz w:val="20"/>
                <w:szCs w:val="20"/>
              </w:rPr>
              <w:t>(E)</w:t>
            </w:r>
          </w:p>
        </w:tc>
        <w:tc>
          <w:tcPr>
            <w:tcW w:w="2552" w:type="dxa"/>
          </w:tcPr>
          <w:p w14:paraId="42608721" w14:textId="77777777" w:rsidR="002915BC" w:rsidRPr="00241E6E" w:rsidRDefault="002915BC" w:rsidP="000D39B7">
            <w:pPr>
              <w:ind w:firstLine="172"/>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Humanity vs. Terrorism</w:t>
            </w:r>
          </w:p>
        </w:tc>
        <w:tc>
          <w:tcPr>
            <w:tcW w:w="6379" w:type="dxa"/>
          </w:tcPr>
          <w:p w14:paraId="0C2CCCA4" w14:textId="77777777" w:rsidR="002915BC" w:rsidRPr="00241E6E" w:rsidRDefault="002915BC" w:rsidP="000D39B7">
            <w:pPr>
              <w:ind w:firstLine="2876"/>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241E6E">
              <w:rPr>
                <w:rFonts w:cs="Times New Roman"/>
                <w:sz w:val="20"/>
                <w:szCs w:val="20"/>
              </w:rPr>
              <w:t>2.5%</w:t>
            </w:r>
          </w:p>
        </w:tc>
      </w:tr>
      <w:tr w:rsidR="002915BC" w:rsidRPr="00155FA1" w14:paraId="7266FBFE" w14:textId="77777777" w:rsidTr="000D39B7">
        <w:trPr>
          <w:trHeight w:val="325"/>
        </w:trPr>
        <w:tc>
          <w:tcPr>
            <w:cnfStyle w:val="001000000000" w:firstRow="0" w:lastRow="0" w:firstColumn="1" w:lastColumn="0" w:oddVBand="0" w:evenVBand="0" w:oddHBand="0" w:evenHBand="0" w:firstRowFirstColumn="0" w:firstRowLastColumn="0" w:lastRowFirstColumn="0" w:lastRowLastColumn="0"/>
            <w:tcW w:w="562" w:type="dxa"/>
          </w:tcPr>
          <w:p w14:paraId="56677C32" w14:textId="77777777" w:rsidR="002915BC" w:rsidRPr="00241E6E" w:rsidRDefault="002915BC" w:rsidP="000D39B7">
            <w:pPr>
              <w:jc w:val="center"/>
              <w:rPr>
                <w:rFonts w:cs="Times New Roman"/>
                <w:b w:val="0"/>
                <w:bCs w:val="0"/>
                <w:sz w:val="20"/>
                <w:szCs w:val="20"/>
              </w:rPr>
            </w:pPr>
            <w:r w:rsidRPr="00241E6E">
              <w:rPr>
                <w:rFonts w:cs="Times New Roman"/>
                <w:b w:val="0"/>
                <w:bCs w:val="0"/>
                <w:sz w:val="20"/>
                <w:szCs w:val="20"/>
              </w:rPr>
              <w:t>(F)</w:t>
            </w:r>
          </w:p>
        </w:tc>
        <w:tc>
          <w:tcPr>
            <w:tcW w:w="2552" w:type="dxa"/>
          </w:tcPr>
          <w:p w14:paraId="5B14722A" w14:textId="77777777" w:rsidR="002915BC" w:rsidRPr="00241E6E" w:rsidRDefault="002915BC" w:rsidP="000D39B7">
            <w:pPr>
              <w:ind w:firstLine="172"/>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War on Terrorism</w:t>
            </w:r>
          </w:p>
        </w:tc>
        <w:tc>
          <w:tcPr>
            <w:tcW w:w="6379" w:type="dxa"/>
          </w:tcPr>
          <w:p w14:paraId="3A6C9398" w14:textId="77777777" w:rsidR="002915BC" w:rsidRPr="00241E6E" w:rsidRDefault="002915BC" w:rsidP="000D39B7">
            <w:pPr>
              <w:ind w:firstLine="2876"/>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41E6E">
              <w:rPr>
                <w:rFonts w:cs="Times New Roman"/>
                <w:sz w:val="20"/>
                <w:szCs w:val="20"/>
              </w:rPr>
              <w:t>15.3%</w:t>
            </w:r>
          </w:p>
        </w:tc>
      </w:tr>
    </w:tbl>
    <w:p w14:paraId="2D955B55" w14:textId="2B699C45" w:rsidR="002915BC" w:rsidRPr="0028762A" w:rsidRDefault="002915BC" w:rsidP="00787EBB">
      <w:pPr>
        <w:pStyle w:val="DissertationTableCaption"/>
        <w:rPr>
          <w:u w:val="none"/>
        </w:rPr>
      </w:pPr>
      <w:bookmarkStart w:id="72" w:name="_Toc168415260"/>
      <w:bookmarkStart w:id="73" w:name="_Toc175413204"/>
      <w:r w:rsidRPr="00155FA1">
        <w:t xml:space="preserve">Table 7 </w:t>
      </w:r>
      <w:r w:rsidR="00C61B98">
        <w:t>–</w:t>
      </w:r>
      <w:r w:rsidRPr="00155FA1">
        <w:t xml:space="preserve"> 3</w:t>
      </w:r>
      <w:r w:rsidR="00880AD8">
        <w:t>:</w:t>
      </w:r>
      <w:r w:rsidR="00C61B98">
        <w:rPr>
          <w:u w:val="none"/>
        </w:rPr>
        <w:tab/>
      </w:r>
      <w:r w:rsidRPr="0028762A">
        <w:rPr>
          <w:u w:val="none"/>
        </w:rPr>
        <w:t xml:space="preserve"> Terrorism Content Analysis Frames Present in Media Coverage of Terrorism</w:t>
      </w:r>
      <w:bookmarkEnd w:id="72"/>
      <w:bookmarkEnd w:id="73"/>
    </w:p>
    <w:p w14:paraId="55DD8B31" w14:textId="77777777" w:rsidR="002915BC" w:rsidRPr="00241E6E" w:rsidRDefault="002915BC" w:rsidP="002915BC">
      <w:pPr>
        <w:rPr>
          <w:rFonts w:cs="Times New Roman"/>
          <w:sz w:val="12"/>
          <w:szCs w:val="12"/>
        </w:rPr>
      </w:pPr>
    </w:p>
    <w:p w14:paraId="2F31C34C" w14:textId="5907115C" w:rsidR="002915BC" w:rsidRPr="00155FA1" w:rsidRDefault="002915BC" w:rsidP="002915BC">
      <w:pPr>
        <w:rPr>
          <w:rFonts w:cs="Times New Roman"/>
        </w:rPr>
      </w:pPr>
      <w:r w:rsidRPr="00155FA1">
        <w:rPr>
          <w:rFonts w:cs="Times New Roman"/>
        </w:rPr>
        <w:t xml:space="preserve">In interpreting the recurrence frequencies cited in Table 7-3, above, higher numbers (numbers that are closer to 100%) indicate that the frame in question occurs in an increased number of the articles in the sample. Conversely, lower numbers (numbers that are closer to 0%) indicate that the frame in question is used in fewer articles in the sample. Per Table 7-3, the two frames with the highest recurrence frequencies in the body text of the </w:t>
      </w:r>
      <w:r w:rsidR="00F74D09">
        <w:rPr>
          <w:rFonts w:cs="Times New Roman"/>
        </w:rPr>
        <w:t>media</w:t>
      </w:r>
      <w:r w:rsidRPr="00155FA1">
        <w:rPr>
          <w:rFonts w:cs="Times New Roman"/>
        </w:rPr>
        <w:t xml:space="preserve"> bulletins are Frame D (democracy vs. terrorism), and Frame A (good vs. evil). Frame D is present in 78.1% of my sample (so, in approximately 1,778 out of 2,276 </w:t>
      </w:r>
      <w:r w:rsidR="00F74D09">
        <w:rPr>
          <w:rFonts w:cs="Times New Roman"/>
        </w:rPr>
        <w:t>media</w:t>
      </w:r>
      <w:r w:rsidRPr="00155FA1">
        <w:rPr>
          <w:rFonts w:cs="Times New Roman"/>
        </w:rPr>
        <w:t xml:space="preserve"> bulletins). Similarly, Frame A occurs in approximately 1,680 </w:t>
      </w:r>
      <w:r w:rsidR="00F74D09">
        <w:rPr>
          <w:rFonts w:cs="Times New Roman"/>
        </w:rPr>
        <w:t>media</w:t>
      </w:r>
      <w:r w:rsidRPr="00155FA1">
        <w:rPr>
          <w:rFonts w:cs="Times New Roman"/>
        </w:rPr>
        <w:t xml:space="preserve"> bulletins (a 73.8% recurrence frequency in the context of my 2,276-</w:t>
      </w:r>
      <w:r w:rsidR="00F74D09">
        <w:rPr>
          <w:rFonts w:cs="Times New Roman"/>
        </w:rPr>
        <w:t>media</w:t>
      </w:r>
      <w:r w:rsidRPr="00155FA1">
        <w:rPr>
          <w:rFonts w:cs="Times New Roman"/>
        </w:rPr>
        <w:t xml:space="preserve"> bulletin sample).</w:t>
      </w:r>
      <w:r w:rsidRPr="00155FA1">
        <w:rPr>
          <w:rStyle w:val="FootnoteReference"/>
          <w:rFonts w:cs="Times New Roman"/>
        </w:rPr>
        <w:footnoteReference w:id="462"/>
      </w:r>
      <w:r w:rsidRPr="00155FA1">
        <w:rPr>
          <w:rFonts w:cs="Times New Roman"/>
        </w:rPr>
        <w:t xml:space="preserve"> </w:t>
      </w:r>
    </w:p>
    <w:p w14:paraId="653B72D4" w14:textId="15C69E60" w:rsidR="00C61B98" w:rsidRPr="00155FA1" w:rsidRDefault="002915BC" w:rsidP="00787EBB">
      <w:pPr>
        <w:pStyle w:val="NormalWeb"/>
        <w:spacing w:after="120" w:afterAutospacing="0"/>
        <w:ind w:firstLine="720"/>
      </w:pPr>
      <w:r w:rsidRPr="00155FA1">
        <w:t xml:space="preserve">For the most part, the media coverage of terrorism operationalizes Frame A (good vs. evil) and Frame D (democracy vs. terrorism) by explicitly quoting political and diplomatic statements made regarding specific terrorist incidents and actors. Two obvious examples of this arise within my sampling frame (media coverage of terrorism produced between 2012 and 2018). </w:t>
      </w:r>
      <w:r w:rsidRPr="00155FA1">
        <w:lastRenderedPageBreak/>
        <w:t>The first example relates to media coverage produced in relation to the 2016 Nice truck attack that occurred on July 14, 2016.</w:t>
      </w:r>
      <w:r w:rsidRPr="00155FA1">
        <w:rPr>
          <w:rStyle w:val="FootnoteReference"/>
        </w:rPr>
        <w:footnoteReference w:id="463"/>
      </w:r>
      <w:r w:rsidRPr="00155FA1">
        <w:t xml:space="preserve"> The second example that occurs in this time period is the media coverage associated with the 2015 Paris attacks that occurred on November 13, 2015.</w:t>
      </w:r>
      <w:r w:rsidRPr="00155FA1">
        <w:rPr>
          <w:rStyle w:val="FootnoteReference"/>
        </w:rPr>
        <w:footnoteReference w:id="464"/>
      </w:r>
      <w:r w:rsidRPr="00155FA1">
        <w:t xml:space="preserve"> Table 7-4, below, lists the quotations that are most often cited in </w:t>
      </w:r>
      <w:r w:rsidR="00F74D09">
        <w:t>media</w:t>
      </w:r>
      <w:r w:rsidRPr="00155FA1">
        <w:t xml:space="preserve"> bulletins in connection </w:t>
      </w:r>
      <w:r w:rsidR="00C61B98" w:rsidRPr="00155FA1">
        <w:t>with these specific attacks that use Frame A and Frame D in their depictions of terrorism.</w:t>
      </w:r>
    </w:p>
    <w:tbl>
      <w:tblPr>
        <w:tblStyle w:val="GridTable4"/>
        <w:tblpPr w:leftFromText="180" w:rightFromText="180" w:vertAnchor="text" w:horzAnchor="margin" w:tblpXSpec="center" w:tblpY="34"/>
        <w:tblW w:w="11057" w:type="dxa"/>
        <w:tblLook w:val="04A0" w:firstRow="1" w:lastRow="0" w:firstColumn="1" w:lastColumn="0" w:noHBand="0" w:noVBand="1"/>
      </w:tblPr>
      <w:tblGrid>
        <w:gridCol w:w="1696"/>
        <w:gridCol w:w="2350"/>
        <w:gridCol w:w="120"/>
        <w:gridCol w:w="2922"/>
        <w:gridCol w:w="3969"/>
      </w:tblGrid>
      <w:tr w:rsidR="00C61B98" w:rsidRPr="00155FA1" w14:paraId="2E309265" w14:textId="77777777" w:rsidTr="00B3156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166" w:type="dxa"/>
            <w:gridSpan w:val="3"/>
          </w:tcPr>
          <w:p w14:paraId="3D088DAE" w14:textId="77777777" w:rsidR="00C61B98" w:rsidRPr="00B31568" w:rsidRDefault="00C61B98" w:rsidP="00C61B98">
            <w:pPr>
              <w:pStyle w:val="NormalWeb"/>
              <w:spacing w:before="0" w:beforeAutospacing="0" w:after="0" w:afterAutospacing="0"/>
              <w:jc w:val="center"/>
              <w:rPr>
                <w:color w:val="auto"/>
                <w:sz w:val="20"/>
                <w:szCs w:val="20"/>
              </w:rPr>
            </w:pPr>
            <w:r w:rsidRPr="00B31568">
              <w:rPr>
                <w:color w:val="auto"/>
                <w:sz w:val="20"/>
                <w:szCs w:val="20"/>
              </w:rPr>
              <w:t>2016 Nice Truck Attack</w:t>
            </w:r>
          </w:p>
        </w:tc>
        <w:tc>
          <w:tcPr>
            <w:tcW w:w="6891" w:type="dxa"/>
            <w:gridSpan w:val="2"/>
          </w:tcPr>
          <w:p w14:paraId="0C30260E" w14:textId="77777777" w:rsidR="00C61B98" w:rsidRPr="00B31568" w:rsidRDefault="00C61B98" w:rsidP="00C61B9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31568">
              <w:rPr>
                <w:color w:val="auto"/>
                <w:sz w:val="20"/>
                <w:szCs w:val="20"/>
              </w:rPr>
              <w:t>2015 Paris Attacks</w:t>
            </w:r>
          </w:p>
        </w:tc>
      </w:tr>
      <w:tr w:rsidR="00C61B98" w:rsidRPr="00155FA1" w14:paraId="1C324FAB" w14:textId="77777777" w:rsidTr="00B3156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696" w:type="dxa"/>
          </w:tcPr>
          <w:p w14:paraId="186D0615" w14:textId="77777777" w:rsidR="00C61B98" w:rsidRPr="00B31568" w:rsidRDefault="00C61B98" w:rsidP="00C61B98">
            <w:pPr>
              <w:pStyle w:val="NormalWeb"/>
              <w:spacing w:before="0" w:beforeAutospacing="0" w:after="0" w:afterAutospacing="0"/>
              <w:jc w:val="center"/>
              <w:rPr>
                <w:sz w:val="19"/>
                <w:szCs w:val="19"/>
              </w:rPr>
            </w:pPr>
            <w:r w:rsidRPr="00B31568">
              <w:rPr>
                <w:sz w:val="19"/>
                <w:szCs w:val="19"/>
              </w:rPr>
              <w:t>Democracy vs. Terrorism</w:t>
            </w:r>
          </w:p>
        </w:tc>
        <w:tc>
          <w:tcPr>
            <w:tcW w:w="2470" w:type="dxa"/>
            <w:gridSpan w:val="2"/>
          </w:tcPr>
          <w:p w14:paraId="298F21DB" w14:textId="77777777" w:rsidR="00C61B98" w:rsidRPr="00B31568" w:rsidRDefault="00C61B98" w:rsidP="00C61B9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19"/>
                <w:szCs w:val="19"/>
              </w:rPr>
            </w:pPr>
            <w:r w:rsidRPr="00B31568">
              <w:rPr>
                <w:b/>
                <w:bCs/>
                <w:sz w:val="19"/>
                <w:szCs w:val="19"/>
              </w:rPr>
              <w:t>Good vs. Evil</w:t>
            </w:r>
          </w:p>
        </w:tc>
        <w:tc>
          <w:tcPr>
            <w:tcW w:w="2922" w:type="dxa"/>
          </w:tcPr>
          <w:p w14:paraId="73129A4F" w14:textId="77777777" w:rsidR="00C61B98" w:rsidRPr="00B31568" w:rsidRDefault="00C61B98" w:rsidP="00C61B9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19"/>
                <w:szCs w:val="19"/>
              </w:rPr>
            </w:pPr>
            <w:r w:rsidRPr="00B31568">
              <w:rPr>
                <w:b/>
                <w:bCs/>
                <w:sz w:val="19"/>
                <w:szCs w:val="19"/>
              </w:rPr>
              <w:t>Democracy vs. Terrorism</w:t>
            </w:r>
          </w:p>
        </w:tc>
        <w:tc>
          <w:tcPr>
            <w:tcW w:w="3969" w:type="dxa"/>
          </w:tcPr>
          <w:p w14:paraId="2BB6BB0B" w14:textId="77777777" w:rsidR="00C61B98" w:rsidRPr="00B31568" w:rsidRDefault="00C61B98" w:rsidP="00C61B9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b/>
                <w:bCs/>
                <w:sz w:val="19"/>
                <w:szCs w:val="19"/>
              </w:rPr>
            </w:pPr>
            <w:r w:rsidRPr="00B31568">
              <w:rPr>
                <w:b/>
                <w:bCs/>
                <w:sz w:val="19"/>
                <w:szCs w:val="19"/>
              </w:rPr>
              <w:t>Good vs. Evil</w:t>
            </w:r>
          </w:p>
        </w:tc>
      </w:tr>
      <w:tr w:rsidR="00C61B98" w:rsidRPr="00155FA1" w14:paraId="573CCD87" w14:textId="77777777" w:rsidTr="00B31568">
        <w:trPr>
          <w:trHeight w:val="983"/>
        </w:trPr>
        <w:tc>
          <w:tcPr>
            <w:cnfStyle w:val="001000000000" w:firstRow="0" w:lastRow="0" w:firstColumn="1" w:lastColumn="0" w:oddVBand="0" w:evenVBand="0" w:oddHBand="0" w:evenHBand="0" w:firstRowFirstColumn="0" w:firstRowLastColumn="0" w:lastRowFirstColumn="0" w:lastRowLastColumn="0"/>
            <w:tcW w:w="1696" w:type="dxa"/>
          </w:tcPr>
          <w:p w14:paraId="51270F36" w14:textId="77777777" w:rsidR="00C61B98" w:rsidRPr="00B31568" w:rsidRDefault="00C61B98" w:rsidP="00C61B98">
            <w:pPr>
              <w:pStyle w:val="FootnoteText"/>
              <w:spacing w:after="100"/>
              <w:rPr>
                <w:rFonts w:eastAsia="Times New Roman" w:cs="Times New Roman"/>
                <w:b w:val="0"/>
                <w:bCs w:val="0"/>
                <w:sz w:val="18"/>
                <w:szCs w:val="18"/>
                <w:lang w:eastAsia="en-CA"/>
              </w:rPr>
            </w:pPr>
            <w:r w:rsidRPr="00B31568">
              <w:rPr>
                <w:rFonts w:eastAsia="Times New Roman" w:cs="Times New Roman"/>
                <w:b w:val="0"/>
                <w:bCs w:val="0"/>
                <w:sz w:val="18"/>
                <w:szCs w:val="18"/>
                <w:lang w:eastAsia="en-CA"/>
              </w:rPr>
              <w:t>"We are determined to show that democracy is stronger than the terrorists," – Charles Michel, Belgian Prime Minister</w:t>
            </w:r>
          </w:p>
          <w:p w14:paraId="627F7E61" w14:textId="77777777" w:rsidR="00C61B98" w:rsidRPr="00B31568" w:rsidRDefault="00C61B98" w:rsidP="00C61B98">
            <w:pPr>
              <w:pStyle w:val="FootnoteText"/>
              <w:spacing w:after="100"/>
              <w:rPr>
                <w:rFonts w:eastAsia="Times New Roman" w:cs="Times New Roman"/>
                <w:b w:val="0"/>
                <w:bCs w:val="0"/>
                <w:sz w:val="18"/>
                <w:szCs w:val="18"/>
                <w:lang w:eastAsia="en-CA"/>
              </w:rPr>
            </w:pPr>
            <w:r w:rsidRPr="00B31568">
              <w:rPr>
                <w:rFonts w:eastAsia="Times New Roman" w:cs="Times New Roman"/>
                <w:b w:val="0"/>
                <w:bCs w:val="0"/>
                <w:sz w:val="18"/>
                <w:szCs w:val="18"/>
                <w:lang w:eastAsia="en-CA"/>
              </w:rPr>
              <w:t>“… we are reminded of the extraordinary resilience and democratic values that have made France an inspiration to the entire world… We know that the character of the French Republic will endure long after [this terrorist attack].” – Barack Obama, President of the United States</w:t>
            </w:r>
          </w:p>
        </w:tc>
        <w:tc>
          <w:tcPr>
            <w:tcW w:w="2350" w:type="dxa"/>
          </w:tcPr>
          <w:p w14:paraId="5020416E"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 xml:space="preserve">“[The perpetrators of such terrorist attacks] have followed the footsteps of the devil, shed blood, and terrorized" innocent people. - </w:t>
            </w:r>
            <w:proofErr w:type="spellStart"/>
            <w:r w:rsidRPr="00B31568">
              <w:rPr>
                <w:sz w:val="18"/>
                <w:szCs w:val="18"/>
              </w:rPr>
              <w:t>Shawki</w:t>
            </w:r>
            <w:proofErr w:type="spellEnd"/>
            <w:r w:rsidRPr="00B31568">
              <w:rPr>
                <w:sz w:val="18"/>
                <w:szCs w:val="18"/>
              </w:rPr>
              <w:t xml:space="preserve"> Allam, Egypt's Grand Mufti</w:t>
            </w:r>
          </w:p>
          <w:p w14:paraId="007AEBE9"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 xml:space="preserve">“… terrorism is an evil phenomenon that will only be eradicated through international unity and collaboration," - Bahram </w:t>
            </w:r>
            <w:proofErr w:type="spellStart"/>
            <w:r w:rsidRPr="00B31568">
              <w:rPr>
                <w:sz w:val="18"/>
                <w:szCs w:val="18"/>
              </w:rPr>
              <w:t>Ghasemi</w:t>
            </w:r>
            <w:proofErr w:type="spellEnd"/>
            <w:r w:rsidRPr="00B31568">
              <w:rPr>
                <w:sz w:val="18"/>
                <w:szCs w:val="18"/>
              </w:rPr>
              <w:t>, Spokesman for the Iranian Foreign Ministry</w:t>
            </w:r>
          </w:p>
          <w:p w14:paraId="06B9000C"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“[Israel is willing to send] help to the French government to fight against this evil which must be eradicated.”</w:t>
            </w:r>
          </w:p>
          <w:p w14:paraId="02437AE5"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“[Israel stands ready] to help the French government fight this evil until it is defeated”. – Benjamin Netanyahu, Israeli Prime Minister</w:t>
            </w:r>
          </w:p>
        </w:tc>
        <w:tc>
          <w:tcPr>
            <w:tcW w:w="3042" w:type="dxa"/>
            <w:gridSpan w:val="2"/>
          </w:tcPr>
          <w:p w14:paraId="71CE5A73" w14:textId="77777777" w:rsidR="00C61B98" w:rsidRPr="00B31568" w:rsidRDefault="00C61B98" w:rsidP="00C61B98">
            <w:pPr>
              <w:pStyle w:val="FootnoteText"/>
              <w:spacing w:after="10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CA"/>
              </w:rPr>
            </w:pPr>
            <w:r w:rsidRPr="00B31568">
              <w:rPr>
                <w:rFonts w:eastAsia="Times New Roman" w:cs="Times New Roman"/>
                <w:sz w:val="18"/>
                <w:szCs w:val="18"/>
                <w:lang w:eastAsia="en-CA"/>
              </w:rPr>
              <w:t>“… the United States stands with the people of France and its vibrant, multicultural democracy.” – Ash Carter, United States Defence Secretary</w:t>
            </w:r>
          </w:p>
          <w:p w14:paraId="1470D944" w14:textId="77777777" w:rsidR="00C61B98" w:rsidRPr="00B31568" w:rsidRDefault="00C61B98" w:rsidP="00C61B98">
            <w:pPr>
              <w:spacing w:after="10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CA"/>
              </w:rPr>
            </w:pPr>
            <w:r w:rsidRPr="00B31568">
              <w:rPr>
                <w:rFonts w:eastAsia="Times New Roman" w:cs="Times New Roman"/>
                <w:sz w:val="18"/>
                <w:szCs w:val="18"/>
                <w:lang w:eastAsia="en-CA"/>
              </w:rPr>
              <w:t xml:space="preserve">“… Europe is a fortress of democracy and human rights. Even the brutal attacks of Islamist terrorists won't change this.” – Joachim </w:t>
            </w:r>
            <w:proofErr w:type="spellStart"/>
            <w:r w:rsidRPr="00B31568">
              <w:rPr>
                <w:rFonts w:eastAsia="Times New Roman" w:cs="Times New Roman"/>
                <w:sz w:val="18"/>
                <w:szCs w:val="18"/>
                <w:lang w:eastAsia="en-CA"/>
              </w:rPr>
              <w:t>Gauck</w:t>
            </w:r>
            <w:proofErr w:type="spellEnd"/>
            <w:r w:rsidRPr="00B31568">
              <w:rPr>
                <w:rFonts w:eastAsia="Times New Roman" w:cs="Times New Roman"/>
                <w:sz w:val="18"/>
                <w:szCs w:val="18"/>
                <w:lang w:eastAsia="en-CA"/>
              </w:rPr>
              <w:t>, German President</w:t>
            </w:r>
          </w:p>
          <w:p w14:paraId="484BD2A8"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 terrorists must be defeated. They cannot break democracies that stand together.” – Kristian Jensen, Danish Foreign Minister</w:t>
            </w:r>
          </w:p>
          <w:p w14:paraId="1FDD3F6A" w14:textId="77777777" w:rsidR="00C61B98" w:rsidRPr="00B31568" w:rsidRDefault="00C61B98" w:rsidP="00C61B98">
            <w:pPr>
              <w:spacing w:after="100"/>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B31568">
              <w:rPr>
                <w:rFonts w:eastAsia="Times New Roman" w:cs="Times New Roman"/>
                <w:sz w:val="18"/>
                <w:szCs w:val="18"/>
                <w:lang w:eastAsia="en-CA"/>
              </w:rPr>
              <w:t>“When you see what happened in Paris, and what is happening over here, you realise that a democracy that cannot defend itself will find it much harder to prevail,” – Zev Elkin, Israeli Security Cabinet Minister</w:t>
            </w:r>
          </w:p>
          <w:p w14:paraId="12984E71" w14:textId="52A680EF" w:rsidR="00C61B98" w:rsidRPr="00B31568" w:rsidRDefault="00C61B98" w:rsidP="00B31568">
            <w:pPr>
              <w:spacing w:after="10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CA"/>
              </w:rPr>
            </w:pPr>
            <w:r w:rsidRPr="00B31568">
              <w:rPr>
                <w:rFonts w:eastAsia="Times New Roman" w:cs="Times New Roman"/>
                <w:sz w:val="18"/>
                <w:szCs w:val="18"/>
                <w:lang w:eastAsia="en-CA"/>
              </w:rPr>
              <w:t>“This is the fast response of a democracy faced with barbarism.” – Manuel Valls, French Prime Minister</w:t>
            </w:r>
          </w:p>
        </w:tc>
        <w:tc>
          <w:tcPr>
            <w:tcW w:w="3969" w:type="dxa"/>
          </w:tcPr>
          <w:p w14:paraId="780608B5"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“[The attacks in Paris are] “heinous, evil” and “vile,” calling them “an assault on our common humanity.” – John Kerry, United States Secretary of State</w:t>
            </w:r>
          </w:p>
          <w:p w14:paraId="1A8908C8"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 xml:space="preserve">“[Other disputes should be put aside to] unite our efforts in our fight against this evil, this terrorism”. </w:t>
            </w:r>
          </w:p>
          <w:p w14:paraId="1622B268"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“It's obvious that an effective fight against this evil demands a real unity of the forces of the international community.” – Vladimir Putin, Russian President</w:t>
            </w:r>
          </w:p>
          <w:p w14:paraId="4C22F9C6"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“It is a global struggle for freedom against those who seek to suppress it and seek to assert some form of religious tyranny; a threat in the name of God but is truthfully the work of the devil” – Malcolm Turnbull, Australian Prime Minister</w:t>
            </w:r>
          </w:p>
          <w:p w14:paraId="74D51165"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“ISIL is the face of evil.” – Barack Obama, President of the United States</w:t>
            </w:r>
          </w:p>
          <w:p w14:paraId="2D09422F" w14:textId="77777777" w:rsidR="00C61B98" w:rsidRPr="00B31568" w:rsidRDefault="00C61B98" w:rsidP="00C61B98">
            <w:pPr>
              <w:pStyle w:val="NormalWeb"/>
              <w:spacing w:before="0" w:beforeAutospacing="0" w:afterAutospacing="0"/>
              <w:cnfStyle w:val="000000000000" w:firstRow="0" w:lastRow="0" w:firstColumn="0" w:lastColumn="0" w:oddVBand="0" w:evenVBand="0" w:oddHBand="0" w:evenHBand="0" w:firstRowFirstColumn="0" w:firstRowLastColumn="0" w:lastRowFirstColumn="0" w:lastRowLastColumn="0"/>
              <w:rPr>
                <w:sz w:val="18"/>
                <w:szCs w:val="18"/>
              </w:rPr>
            </w:pPr>
            <w:r w:rsidRPr="00B31568">
              <w:rPr>
                <w:sz w:val="18"/>
                <w:szCs w:val="18"/>
              </w:rPr>
              <w:t xml:space="preserve">“… if you create a product that allows evil monsters to communicate in this way, to behead children, to strike innocents -- whether it's at a game in a stadium, in a small restaurant in Paris, take down an airliner -- that's a big problem.” – Danielle Feinstein, United States Senate Intelligence Committee </w:t>
            </w:r>
          </w:p>
        </w:tc>
      </w:tr>
    </w:tbl>
    <w:p w14:paraId="2202580A" w14:textId="6D6B1125" w:rsidR="00BB2A42" w:rsidRDefault="002915BC" w:rsidP="00BB2A42">
      <w:pPr>
        <w:pStyle w:val="DissertationTableCaption"/>
        <w:rPr>
          <w:u w:val="none"/>
        </w:rPr>
      </w:pPr>
      <w:bookmarkStart w:id="74" w:name="_Toc168415261"/>
      <w:bookmarkStart w:id="75" w:name="_Toc175413205"/>
      <w:r w:rsidRPr="00155FA1">
        <w:t>Table 7- 4</w:t>
      </w:r>
      <w:r w:rsidR="00880AD8">
        <w:t>:</w:t>
      </w:r>
      <w:r w:rsidR="00C61B98">
        <w:rPr>
          <w:u w:val="none"/>
        </w:rPr>
        <w:tab/>
      </w:r>
      <w:r w:rsidRPr="0028762A">
        <w:rPr>
          <w:u w:val="none"/>
        </w:rPr>
        <w:t xml:space="preserve"> Examples of Frequently Cited Quotations that Frame Terrorism in Terms of Frames A and D</w:t>
      </w:r>
      <w:bookmarkEnd w:id="74"/>
      <w:bookmarkEnd w:id="75"/>
    </w:p>
    <w:p w14:paraId="0CAECA73" w14:textId="67642B12" w:rsidR="00BB2A42" w:rsidRPr="00BB2A42" w:rsidRDefault="00BB2A42" w:rsidP="00BB2A42">
      <w:pPr>
        <w:jc w:val="center"/>
        <w:rPr>
          <w:sz w:val="18"/>
          <w:szCs w:val="18"/>
        </w:rPr>
      </w:pPr>
      <w:r>
        <w:rPr>
          <w:sz w:val="18"/>
          <w:szCs w:val="18"/>
        </w:rPr>
        <w:t>(</w:t>
      </w:r>
      <w:r w:rsidRPr="00BB2A42">
        <w:rPr>
          <w:sz w:val="18"/>
          <w:szCs w:val="18"/>
        </w:rPr>
        <w:t>NOTE: Titles associated with individual public figures mentioned in this table reflect their positions as of 2015-2016</w:t>
      </w:r>
      <w:r>
        <w:rPr>
          <w:sz w:val="18"/>
          <w:szCs w:val="18"/>
        </w:rPr>
        <w:t>.)</w:t>
      </w:r>
    </w:p>
    <w:p w14:paraId="3DE4CDBA" w14:textId="45880782" w:rsidR="002915BC" w:rsidRPr="00155FA1" w:rsidRDefault="002915BC" w:rsidP="00C61B98">
      <w:pPr>
        <w:ind w:firstLine="720"/>
        <w:rPr>
          <w:rFonts w:cs="Times New Roman"/>
        </w:rPr>
      </w:pPr>
      <w:r w:rsidRPr="00155FA1">
        <w:rPr>
          <w:rFonts w:cs="Times New Roman"/>
        </w:rPr>
        <w:lastRenderedPageBreak/>
        <w:t xml:space="preserve">I use </w:t>
      </w:r>
      <w:proofErr w:type="spellStart"/>
      <w:r w:rsidRPr="00155FA1">
        <w:rPr>
          <w:rFonts w:cs="Times New Roman"/>
        </w:rPr>
        <w:t>WordStat</w:t>
      </w:r>
      <w:proofErr w:type="spellEnd"/>
      <w:r w:rsidRPr="00155FA1">
        <w:rPr>
          <w:rFonts w:cs="Times New Roman"/>
        </w:rPr>
        <w:t xml:space="preserve"> to determine that the majority of media coverage of terrorism that frames terrorism in terms of democracy vs. terrorism (Frame D) in connection with the </w:t>
      </w:r>
      <w:proofErr w:type="gramStart"/>
      <w:r w:rsidRPr="00155FA1">
        <w:rPr>
          <w:rFonts w:cs="Times New Roman"/>
        </w:rPr>
        <w:t>Nice</w:t>
      </w:r>
      <w:proofErr w:type="gramEnd"/>
      <w:r w:rsidRPr="00155FA1">
        <w:rPr>
          <w:rFonts w:cs="Times New Roman"/>
        </w:rPr>
        <w:t xml:space="preserve"> truck attack does so by directly citing one of the quotations listed in the first column of Table 7-4, above. Similarly, I find that media coverage of that same attack that frames terrorism in relation to good vs. evil (Frame A) tends to do so using one or more of the quotations listed in the second column of Table 7-4. Meanwhile, media coverage of terrorism relating to the 2015 Paris attacks that employs Frame D tends to cite one or more of the quotations in the third column of Table 7-4. Finally, media coverage of the Paris attacks that frames terrorism in terms of Frame A tends to use one or more of the quotations listed in the fourth column of Table 7-4 to do so.</w:t>
      </w:r>
    </w:p>
    <w:p w14:paraId="0DB51AE3" w14:textId="77777777" w:rsidR="002915BC" w:rsidRDefault="002915BC" w:rsidP="002915BC">
      <w:pPr>
        <w:ind w:firstLine="720"/>
        <w:rPr>
          <w:rFonts w:cs="Times New Roman"/>
          <w:i/>
          <w:iCs/>
        </w:rPr>
      </w:pPr>
      <w:r w:rsidRPr="00155FA1">
        <w:rPr>
          <w:rFonts w:cs="Times New Roman"/>
        </w:rPr>
        <w:t xml:space="preserve">In Table 7-5, below, I deconstruct these two frames (democracy vs. terrorists, and good vs. evil) as they are operationalized in the quotations cited in Table 7-4 on the basis of their </w:t>
      </w:r>
      <w:r w:rsidRPr="00155FA1">
        <w:rPr>
          <w:rFonts w:cs="Times New Roman"/>
          <w:i/>
          <w:iCs/>
        </w:rPr>
        <w:t>function</w:t>
      </w:r>
      <w:r w:rsidRPr="00155FA1">
        <w:rPr>
          <w:rFonts w:cs="Times New Roman"/>
        </w:rPr>
        <w:t xml:space="preserve"> and </w:t>
      </w:r>
      <w:r w:rsidRPr="00155FA1">
        <w:rPr>
          <w:rFonts w:cs="Times New Roman"/>
          <w:i/>
          <w:iCs/>
        </w:rPr>
        <w:t>focus.</w:t>
      </w:r>
    </w:p>
    <w:tbl>
      <w:tblPr>
        <w:tblStyle w:val="GridTable4"/>
        <w:tblpPr w:leftFromText="180" w:rightFromText="180" w:vertAnchor="text" w:horzAnchor="margin" w:tblpXSpec="center" w:tblpY="30"/>
        <w:tblW w:w="10615" w:type="dxa"/>
        <w:tblLayout w:type="fixed"/>
        <w:tblLook w:val="04A0" w:firstRow="1" w:lastRow="0" w:firstColumn="1" w:lastColumn="0" w:noHBand="0" w:noVBand="1"/>
      </w:tblPr>
      <w:tblGrid>
        <w:gridCol w:w="562"/>
        <w:gridCol w:w="1560"/>
        <w:gridCol w:w="1984"/>
        <w:gridCol w:w="2054"/>
        <w:gridCol w:w="1859"/>
        <w:gridCol w:w="1327"/>
        <w:gridCol w:w="1269"/>
      </w:tblGrid>
      <w:tr w:rsidR="00C61B98" w:rsidRPr="00E14878" w14:paraId="61587CA4" w14:textId="77777777" w:rsidTr="00B31568">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22" w:type="dxa"/>
            <w:gridSpan w:val="2"/>
            <w:vMerge w:val="restart"/>
          </w:tcPr>
          <w:p w14:paraId="43E8DA80" w14:textId="77777777" w:rsidR="00C61B98" w:rsidRPr="00E14878" w:rsidRDefault="00C61B98" w:rsidP="00C61B98">
            <w:pPr>
              <w:rPr>
                <w:rFonts w:cs="Times New Roman"/>
                <w:sz w:val="20"/>
                <w:szCs w:val="20"/>
              </w:rPr>
            </w:pPr>
          </w:p>
        </w:tc>
        <w:tc>
          <w:tcPr>
            <w:tcW w:w="5897" w:type="dxa"/>
            <w:gridSpan w:val="3"/>
          </w:tcPr>
          <w:p w14:paraId="57132835" w14:textId="77777777" w:rsidR="00C61B98" w:rsidRPr="00E14878" w:rsidRDefault="00C61B98" w:rsidP="00C61B98">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u w:val="single"/>
              </w:rPr>
            </w:pPr>
            <w:r w:rsidRPr="00E14878">
              <w:rPr>
                <w:rFonts w:cs="Times New Roman"/>
                <w:sz w:val="20"/>
                <w:szCs w:val="20"/>
                <w:u w:val="single"/>
              </w:rPr>
              <w:t>Frame Function</w:t>
            </w:r>
          </w:p>
        </w:tc>
        <w:tc>
          <w:tcPr>
            <w:tcW w:w="2596" w:type="dxa"/>
            <w:gridSpan w:val="2"/>
          </w:tcPr>
          <w:p w14:paraId="14FA4C94" w14:textId="77777777" w:rsidR="00C61B98" w:rsidRPr="00E14878" w:rsidRDefault="00C61B98" w:rsidP="00C61B98">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u w:val="single"/>
              </w:rPr>
            </w:pPr>
            <w:r w:rsidRPr="00E14878">
              <w:rPr>
                <w:rFonts w:cs="Times New Roman"/>
                <w:sz w:val="20"/>
                <w:szCs w:val="20"/>
                <w:u w:val="single"/>
              </w:rPr>
              <w:t>Frame Focus</w:t>
            </w:r>
          </w:p>
        </w:tc>
      </w:tr>
      <w:tr w:rsidR="00C61B98" w:rsidRPr="00E14878" w14:paraId="1A04AA09" w14:textId="77777777" w:rsidTr="00B3156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122" w:type="dxa"/>
            <w:gridSpan w:val="2"/>
            <w:vMerge/>
          </w:tcPr>
          <w:p w14:paraId="1AB2863C" w14:textId="77777777" w:rsidR="00C61B98" w:rsidRPr="00E14878" w:rsidRDefault="00C61B98" w:rsidP="00C61B98">
            <w:pPr>
              <w:rPr>
                <w:rFonts w:cs="Times New Roman"/>
                <w:sz w:val="20"/>
                <w:szCs w:val="20"/>
              </w:rPr>
            </w:pPr>
          </w:p>
        </w:tc>
        <w:tc>
          <w:tcPr>
            <w:tcW w:w="1984" w:type="dxa"/>
          </w:tcPr>
          <w:p w14:paraId="4DD4596D" w14:textId="77777777" w:rsidR="00C61B98" w:rsidRPr="00E14878" w:rsidRDefault="00C61B98" w:rsidP="00C61B9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E14878">
              <w:rPr>
                <w:rFonts w:cs="Times New Roman"/>
                <w:b/>
                <w:bCs/>
                <w:sz w:val="20"/>
                <w:szCs w:val="20"/>
              </w:rPr>
              <w:t>Problem Definition, Relevance</w:t>
            </w:r>
          </w:p>
        </w:tc>
        <w:tc>
          <w:tcPr>
            <w:tcW w:w="2054" w:type="dxa"/>
            <w:tcBorders>
              <w:bottom w:val="single" w:sz="4" w:space="0" w:color="666666" w:themeColor="text1" w:themeTint="99"/>
            </w:tcBorders>
          </w:tcPr>
          <w:p w14:paraId="66779C30" w14:textId="77777777" w:rsidR="00C61B98" w:rsidRPr="00E14878" w:rsidRDefault="00C61B98" w:rsidP="00C61B9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E14878">
              <w:rPr>
                <w:rFonts w:cs="Times New Roman"/>
                <w:b/>
                <w:bCs/>
                <w:sz w:val="20"/>
                <w:szCs w:val="20"/>
              </w:rPr>
              <w:t>Moral Evaluation</w:t>
            </w:r>
          </w:p>
          <w:p w14:paraId="15AFC55E" w14:textId="77777777" w:rsidR="00C61B98" w:rsidRPr="00E14878" w:rsidRDefault="00C61B98" w:rsidP="00C61B9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p>
        </w:tc>
        <w:tc>
          <w:tcPr>
            <w:tcW w:w="1859" w:type="dxa"/>
          </w:tcPr>
          <w:p w14:paraId="13335828" w14:textId="77777777" w:rsidR="00C61B98" w:rsidRPr="00E14878" w:rsidRDefault="00C61B98" w:rsidP="00C61B9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E14878">
              <w:rPr>
                <w:rFonts w:cs="Times New Roman"/>
                <w:b/>
                <w:bCs/>
                <w:sz w:val="20"/>
                <w:szCs w:val="20"/>
              </w:rPr>
              <w:t>Remedy Proposal</w:t>
            </w:r>
          </w:p>
        </w:tc>
        <w:tc>
          <w:tcPr>
            <w:tcW w:w="1327" w:type="dxa"/>
          </w:tcPr>
          <w:p w14:paraId="33C9A211" w14:textId="77777777" w:rsidR="00C61B98" w:rsidRPr="00E14878" w:rsidRDefault="00C61B98" w:rsidP="00C61B9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E14878">
              <w:rPr>
                <w:rFonts w:cs="Times New Roman"/>
                <w:b/>
                <w:bCs/>
                <w:sz w:val="20"/>
                <w:szCs w:val="20"/>
              </w:rPr>
              <w:t>Issue</w:t>
            </w:r>
          </w:p>
        </w:tc>
        <w:tc>
          <w:tcPr>
            <w:tcW w:w="1269" w:type="dxa"/>
          </w:tcPr>
          <w:p w14:paraId="595B2E1B" w14:textId="77777777" w:rsidR="00C61B98" w:rsidRPr="00E14878" w:rsidRDefault="00C61B98" w:rsidP="00C61B9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E14878">
              <w:rPr>
                <w:rFonts w:cs="Times New Roman"/>
                <w:b/>
                <w:bCs/>
                <w:sz w:val="20"/>
                <w:szCs w:val="20"/>
              </w:rPr>
              <w:t>Actor(s)</w:t>
            </w:r>
          </w:p>
        </w:tc>
      </w:tr>
      <w:tr w:rsidR="00C61B98" w:rsidRPr="00E14878" w14:paraId="5B0720D6" w14:textId="77777777" w:rsidTr="00B31568">
        <w:trPr>
          <w:trHeight w:val="462"/>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3FFBE825" w14:textId="77777777" w:rsidR="00C61B98" w:rsidRPr="00E14878" w:rsidRDefault="00C61B98" w:rsidP="00C61B98">
            <w:pPr>
              <w:rPr>
                <w:rFonts w:cs="Times New Roman"/>
                <w:sz w:val="20"/>
                <w:szCs w:val="20"/>
              </w:rPr>
            </w:pPr>
            <w:r w:rsidRPr="00E14878">
              <w:rPr>
                <w:rFonts w:cs="Times New Roman"/>
                <w:sz w:val="20"/>
                <w:szCs w:val="20"/>
              </w:rPr>
              <w:t>(A)</w:t>
            </w:r>
          </w:p>
        </w:tc>
        <w:tc>
          <w:tcPr>
            <w:tcW w:w="1560" w:type="dxa"/>
            <w:vMerge w:val="restart"/>
          </w:tcPr>
          <w:p w14:paraId="3E05BB38"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E14878">
              <w:rPr>
                <w:rFonts w:cs="Times New Roman"/>
                <w:b/>
                <w:bCs/>
                <w:sz w:val="20"/>
                <w:szCs w:val="20"/>
              </w:rPr>
              <w:t>Good vs. Evil</w:t>
            </w:r>
          </w:p>
        </w:tc>
        <w:tc>
          <w:tcPr>
            <w:tcW w:w="1984" w:type="dxa"/>
            <w:vMerge w:val="restart"/>
          </w:tcPr>
          <w:p w14:paraId="7CEC1CC5"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0918B212"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14878">
              <w:rPr>
                <w:rFonts w:cs="Times New Roman"/>
                <w:sz w:val="20"/>
                <w:szCs w:val="20"/>
              </w:rPr>
              <w:t>Terrorism as an extreme/ taking something too far.</w:t>
            </w:r>
            <w:r w:rsidRPr="00E14878">
              <w:rPr>
                <w:rStyle w:val="FootnoteReference"/>
                <w:rFonts w:cs="Times New Roman"/>
                <w:sz w:val="20"/>
                <w:szCs w:val="20"/>
              </w:rPr>
              <w:footnoteReference w:id="465"/>
            </w:r>
          </w:p>
          <w:p w14:paraId="137423CD"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2054" w:type="dxa"/>
            <w:tcBorders>
              <w:bottom w:val="double" w:sz="6" w:space="0" w:color="D0CECE" w:themeColor="background2" w:themeShade="E6"/>
            </w:tcBorders>
            <w:shd w:val="clear" w:color="auto" w:fill="D0CECE" w:themeFill="background2" w:themeFillShade="E6"/>
          </w:tcPr>
          <w:p w14:paraId="698E18FB"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859" w:type="dxa"/>
            <w:vMerge w:val="restart"/>
          </w:tcPr>
          <w:p w14:paraId="0B614727"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2DF36136"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14878">
              <w:rPr>
                <w:rFonts w:cs="Times New Roman"/>
                <w:sz w:val="20"/>
                <w:szCs w:val="20"/>
              </w:rPr>
              <w:t>Moral condemnation.</w:t>
            </w:r>
            <w:r w:rsidRPr="00E14878">
              <w:rPr>
                <w:rStyle w:val="FootnoteReference"/>
                <w:rFonts w:cs="Times New Roman"/>
                <w:sz w:val="20"/>
                <w:szCs w:val="20"/>
              </w:rPr>
              <w:footnoteReference w:id="466"/>
            </w:r>
          </w:p>
        </w:tc>
        <w:tc>
          <w:tcPr>
            <w:tcW w:w="1327" w:type="dxa"/>
            <w:vMerge w:val="restart"/>
          </w:tcPr>
          <w:p w14:paraId="6CE51760"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2BBEB802"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14878">
              <w:rPr>
                <w:rFonts w:cs="Times New Roman"/>
                <w:sz w:val="20"/>
                <w:szCs w:val="20"/>
              </w:rPr>
              <w:t>Us vs. them;</w:t>
            </w:r>
          </w:p>
          <w:p w14:paraId="4EA60190"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14878">
              <w:rPr>
                <w:rFonts w:cs="Times New Roman"/>
                <w:sz w:val="20"/>
                <w:szCs w:val="20"/>
              </w:rPr>
              <w:t>“Othering”</w:t>
            </w:r>
          </w:p>
        </w:tc>
        <w:tc>
          <w:tcPr>
            <w:tcW w:w="1269" w:type="dxa"/>
            <w:vMerge w:val="restart"/>
          </w:tcPr>
          <w:p w14:paraId="5196CD2D"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214A055A"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2FBC048B"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14878">
              <w:rPr>
                <w:rFonts w:cs="Times New Roman"/>
                <w:sz w:val="20"/>
                <w:szCs w:val="20"/>
              </w:rPr>
              <w:t>A group.</w:t>
            </w:r>
            <w:r w:rsidRPr="00E14878">
              <w:rPr>
                <w:rStyle w:val="FootnoteReference"/>
                <w:rFonts w:cs="Times New Roman"/>
                <w:sz w:val="20"/>
                <w:szCs w:val="20"/>
              </w:rPr>
              <w:footnoteReference w:id="467"/>
            </w:r>
          </w:p>
        </w:tc>
      </w:tr>
      <w:tr w:rsidR="00C61B98" w:rsidRPr="00E14878" w14:paraId="2523F88E" w14:textId="77777777" w:rsidTr="00B3156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62" w:type="dxa"/>
            <w:vMerge/>
          </w:tcPr>
          <w:p w14:paraId="3B839180" w14:textId="77777777" w:rsidR="00C61B98" w:rsidRPr="00E14878" w:rsidRDefault="00C61B98" w:rsidP="00C61B98">
            <w:pPr>
              <w:rPr>
                <w:rFonts w:cs="Times New Roman"/>
                <w:sz w:val="20"/>
                <w:szCs w:val="20"/>
              </w:rPr>
            </w:pPr>
          </w:p>
        </w:tc>
        <w:tc>
          <w:tcPr>
            <w:tcW w:w="1560" w:type="dxa"/>
            <w:vMerge/>
          </w:tcPr>
          <w:p w14:paraId="4171BA96"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984" w:type="dxa"/>
            <w:vMerge/>
            <w:tcBorders>
              <w:top w:val="double" w:sz="6" w:space="0" w:color="D0CECE" w:themeColor="background2" w:themeShade="E6"/>
            </w:tcBorders>
          </w:tcPr>
          <w:p w14:paraId="430FD33A"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2054" w:type="dxa"/>
            <w:tcBorders>
              <w:top w:val="double" w:sz="6" w:space="0" w:color="D0CECE" w:themeColor="background2" w:themeShade="E6"/>
            </w:tcBorders>
          </w:tcPr>
          <w:p w14:paraId="51271D87"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14878">
              <w:rPr>
                <w:rFonts w:cs="Times New Roman"/>
                <w:sz w:val="20"/>
                <w:szCs w:val="20"/>
              </w:rPr>
              <w:t>Terrorists are (extra-normally) bad.</w:t>
            </w:r>
          </w:p>
        </w:tc>
        <w:tc>
          <w:tcPr>
            <w:tcW w:w="1859" w:type="dxa"/>
            <w:vMerge/>
          </w:tcPr>
          <w:p w14:paraId="64A4AC7E"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327" w:type="dxa"/>
            <w:vMerge/>
          </w:tcPr>
          <w:p w14:paraId="1C7A3F8F" w14:textId="77777777" w:rsidR="00C61B98" w:rsidRPr="00E14878" w:rsidRDefault="00C61B98" w:rsidP="00C61B9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69" w:type="dxa"/>
            <w:vMerge/>
          </w:tcPr>
          <w:p w14:paraId="18E50600" w14:textId="77777777" w:rsidR="00C61B98" w:rsidRPr="00E14878" w:rsidRDefault="00C61B98" w:rsidP="00C61B9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r w:rsidR="00C61B98" w:rsidRPr="00E14878" w14:paraId="516F3ECA" w14:textId="77777777" w:rsidTr="00B31568">
        <w:trPr>
          <w:trHeight w:val="144"/>
        </w:trPr>
        <w:tc>
          <w:tcPr>
            <w:cnfStyle w:val="001000000000" w:firstRow="0" w:lastRow="0" w:firstColumn="1" w:lastColumn="0" w:oddVBand="0" w:evenVBand="0" w:oddHBand="0" w:evenHBand="0" w:firstRowFirstColumn="0" w:firstRowLastColumn="0" w:lastRowFirstColumn="0" w:lastRowLastColumn="0"/>
            <w:tcW w:w="562" w:type="dxa"/>
            <w:vMerge/>
          </w:tcPr>
          <w:p w14:paraId="70032F28" w14:textId="77777777" w:rsidR="00C61B98" w:rsidRPr="00E14878" w:rsidRDefault="00C61B98" w:rsidP="00C61B98">
            <w:pPr>
              <w:rPr>
                <w:rFonts w:cs="Times New Roman"/>
                <w:sz w:val="20"/>
                <w:szCs w:val="20"/>
              </w:rPr>
            </w:pPr>
          </w:p>
        </w:tc>
        <w:tc>
          <w:tcPr>
            <w:tcW w:w="1560" w:type="dxa"/>
            <w:vMerge/>
          </w:tcPr>
          <w:p w14:paraId="45350DFD"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984" w:type="dxa"/>
            <w:vMerge/>
          </w:tcPr>
          <w:p w14:paraId="1F667183"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2054" w:type="dxa"/>
            <w:tcBorders>
              <w:bottom w:val="single" w:sz="4" w:space="0" w:color="666666" w:themeColor="text1" w:themeTint="99"/>
            </w:tcBorders>
          </w:tcPr>
          <w:p w14:paraId="381D76D2"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14878">
              <w:rPr>
                <w:rFonts w:cs="Times New Roman"/>
                <w:sz w:val="20"/>
                <w:szCs w:val="20"/>
              </w:rPr>
              <w:t>Opponents of terrorism are good.</w:t>
            </w:r>
          </w:p>
        </w:tc>
        <w:tc>
          <w:tcPr>
            <w:tcW w:w="1859" w:type="dxa"/>
            <w:vMerge/>
          </w:tcPr>
          <w:p w14:paraId="5D643406"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27" w:type="dxa"/>
            <w:vMerge/>
          </w:tcPr>
          <w:p w14:paraId="682CACEF"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69" w:type="dxa"/>
            <w:vMerge/>
          </w:tcPr>
          <w:p w14:paraId="14F3361A" w14:textId="77777777" w:rsidR="00C61B98" w:rsidRPr="00E14878" w:rsidRDefault="00C61B98" w:rsidP="00C61B9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C61B98" w:rsidRPr="00E14878" w14:paraId="5F277F80" w14:textId="77777777" w:rsidTr="00B31568">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33C89FD4" w14:textId="77777777" w:rsidR="00C61B98" w:rsidRPr="00E14878" w:rsidRDefault="00C61B98" w:rsidP="00C61B98">
            <w:pPr>
              <w:rPr>
                <w:rFonts w:cs="Times New Roman"/>
                <w:sz w:val="20"/>
                <w:szCs w:val="20"/>
              </w:rPr>
            </w:pPr>
            <w:r w:rsidRPr="00E14878">
              <w:rPr>
                <w:rFonts w:cs="Times New Roman"/>
                <w:sz w:val="20"/>
                <w:szCs w:val="20"/>
              </w:rPr>
              <w:t>(D)</w:t>
            </w:r>
          </w:p>
        </w:tc>
        <w:tc>
          <w:tcPr>
            <w:tcW w:w="1560" w:type="dxa"/>
            <w:vMerge w:val="restart"/>
          </w:tcPr>
          <w:p w14:paraId="32A856B1"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E14878">
              <w:rPr>
                <w:rFonts w:cs="Times New Roman"/>
                <w:b/>
                <w:bCs/>
                <w:sz w:val="20"/>
                <w:szCs w:val="20"/>
              </w:rPr>
              <w:t>Democracy vs.  Terrorism</w:t>
            </w:r>
          </w:p>
        </w:tc>
        <w:tc>
          <w:tcPr>
            <w:tcW w:w="1984" w:type="dxa"/>
            <w:vMerge w:val="restart"/>
          </w:tcPr>
          <w:p w14:paraId="7F12937F"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14878">
              <w:rPr>
                <w:rFonts w:cs="Times New Roman"/>
                <w:sz w:val="20"/>
                <w:szCs w:val="20"/>
              </w:rPr>
              <w:t>A value (democracy) is being threatened.</w:t>
            </w:r>
          </w:p>
        </w:tc>
        <w:tc>
          <w:tcPr>
            <w:tcW w:w="2054" w:type="dxa"/>
            <w:tcBorders>
              <w:bottom w:val="double" w:sz="6" w:space="0" w:color="FFFFFF" w:themeColor="background1"/>
            </w:tcBorders>
            <w:shd w:val="clear" w:color="auto" w:fill="FFFFFF" w:themeFill="background1"/>
          </w:tcPr>
          <w:p w14:paraId="06B16F1E"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859" w:type="dxa"/>
            <w:vMerge w:val="restart"/>
          </w:tcPr>
          <w:p w14:paraId="60008EAA"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106DF583"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14878">
              <w:rPr>
                <w:rFonts w:cs="Times New Roman"/>
                <w:sz w:val="20"/>
                <w:szCs w:val="20"/>
              </w:rPr>
              <w:t>Work to defeat the ideology underlying terrorism.</w:t>
            </w:r>
          </w:p>
          <w:p w14:paraId="65706FB0"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485323D4" w14:textId="4F39A47E"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14878">
              <w:rPr>
                <w:rFonts w:cs="Times New Roman"/>
                <w:sz w:val="20"/>
                <w:szCs w:val="20"/>
              </w:rPr>
              <w:t>(Continue to support/ believe in democracy/ democratic institutions.)</w:t>
            </w:r>
          </w:p>
        </w:tc>
        <w:tc>
          <w:tcPr>
            <w:tcW w:w="1327" w:type="dxa"/>
            <w:vMerge w:val="restart"/>
          </w:tcPr>
          <w:p w14:paraId="38925747"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612B21C6"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14878">
              <w:rPr>
                <w:rFonts w:cs="Times New Roman"/>
                <w:sz w:val="20"/>
                <w:szCs w:val="20"/>
              </w:rPr>
              <w:t>Democracy; Democratic values.</w:t>
            </w:r>
          </w:p>
        </w:tc>
        <w:tc>
          <w:tcPr>
            <w:tcW w:w="1269" w:type="dxa"/>
            <w:vMerge w:val="restart"/>
          </w:tcPr>
          <w:p w14:paraId="4EBB80BF"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14878">
              <w:rPr>
                <w:rFonts w:cs="Times New Roman"/>
                <w:sz w:val="20"/>
                <w:szCs w:val="20"/>
              </w:rPr>
              <w:t>\</w:t>
            </w:r>
          </w:p>
          <w:p w14:paraId="0A46F4BC"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14878">
              <w:rPr>
                <w:rFonts w:cs="Times New Roman"/>
                <w:sz w:val="20"/>
                <w:szCs w:val="20"/>
              </w:rPr>
              <w:t>Terrorists; Democracies (so, states).</w:t>
            </w:r>
          </w:p>
        </w:tc>
      </w:tr>
      <w:tr w:rsidR="00C61B98" w:rsidRPr="00E14878" w14:paraId="32B8B542" w14:textId="77777777" w:rsidTr="00B31568">
        <w:trPr>
          <w:trHeight w:val="144"/>
        </w:trPr>
        <w:tc>
          <w:tcPr>
            <w:cnfStyle w:val="001000000000" w:firstRow="0" w:lastRow="0" w:firstColumn="1" w:lastColumn="0" w:oddVBand="0" w:evenVBand="0" w:oddHBand="0" w:evenHBand="0" w:firstRowFirstColumn="0" w:firstRowLastColumn="0" w:lastRowFirstColumn="0" w:lastRowLastColumn="0"/>
            <w:tcW w:w="562" w:type="dxa"/>
            <w:vMerge/>
          </w:tcPr>
          <w:p w14:paraId="09533BFA" w14:textId="77777777" w:rsidR="00C61B98" w:rsidRPr="00E14878" w:rsidRDefault="00C61B98" w:rsidP="00C61B98">
            <w:pPr>
              <w:rPr>
                <w:rFonts w:cs="Times New Roman"/>
                <w:sz w:val="20"/>
                <w:szCs w:val="20"/>
              </w:rPr>
            </w:pPr>
          </w:p>
        </w:tc>
        <w:tc>
          <w:tcPr>
            <w:tcW w:w="1560" w:type="dxa"/>
            <w:vMerge/>
          </w:tcPr>
          <w:p w14:paraId="59309D91"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984" w:type="dxa"/>
            <w:vMerge/>
          </w:tcPr>
          <w:p w14:paraId="3919A2E9"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2054" w:type="dxa"/>
            <w:tcBorders>
              <w:top w:val="double" w:sz="6" w:space="0" w:color="FFFFFF" w:themeColor="background1"/>
            </w:tcBorders>
          </w:tcPr>
          <w:p w14:paraId="278B9951"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14878">
              <w:rPr>
                <w:rFonts w:cs="Times New Roman"/>
                <w:sz w:val="20"/>
                <w:szCs w:val="20"/>
              </w:rPr>
              <w:t xml:space="preserve">Democracy is a desirable value. </w:t>
            </w:r>
          </w:p>
          <w:p w14:paraId="318575A5" w14:textId="77777777" w:rsidR="00C61B98" w:rsidRPr="00E14878" w:rsidRDefault="00C61B98" w:rsidP="00C61B98">
            <w:pPr>
              <w:ind w:left="288"/>
              <w:cnfStyle w:val="000000000000" w:firstRow="0" w:lastRow="0" w:firstColumn="0" w:lastColumn="0" w:oddVBand="0" w:evenVBand="0" w:oddHBand="0" w:evenHBand="0" w:firstRowFirstColumn="0" w:firstRowLastColumn="0" w:lastRowFirstColumn="0" w:lastRowLastColumn="0"/>
              <w:rPr>
                <w:rFonts w:cs="Times New Roman"/>
                <w:i/>
                <w:iCs/>
                <w:sz w:val="20"/>
                <w:szCs w:val="20"/>
              </w:rPr>
            </w:pPr>
            <w:r w:rsidRPr="00E14878">
              <w:rPr>
                <w:rFonts w:cs="Times New Roman"/>
                <w:i/>
                <w:iCs/>
                <w:sz w:val="20"/>
                <w:szCs w:val="20"/>
              </w:rPr>
              <w:t>(Implicit.)</w:t>
            </w:r>
          </w:p>
        </w:tc>
        <w:tc>
          <w:tcPr>
            <w:tcW w:w="1859" w:type="dxa"/>
            <w:vMerge/>
          </w:tcPr>
          <w:p w14:paraId="67FEFDC6"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27" w:type="dxa"/>
            <w:vMerge/>
          </w:tcPr>
          <w:p w14:paraId="3C5A9608"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69" w:type="dxa"/>
            <w:vMerge/>
          </w:tcPr>
          <w:p w14:paraId="7A3A8978" w14:textId="77777777" w:rsidR="00C61B98" w:rsidRPr="00E14878" w:rsidRDefault="00C61B98" w:rsidP="00C61B9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C61B98" w:rsidRPr="00E14878" w14:paraId="150194C8" w14:textId="77777777" w:rsidTr="00B3156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62" w:type="dxa"/>
            <w:vMerge/>
          </w:tcPr>
          <w:p w14:paraId="730E77C5" w14:textId="77777777" w:rsidR="00C61B98" w:rsidRPr="00E14878" w:rsidRDefault="00C61B98" w:rsidP="00C61B98">
            <w:pPr>
              <w:rPr>
                <w:rFonts w:cs="Times New Roman"/>
                <w:sz w:val="20"/>
                <w:szCs w:val="20"/>
              </w:rPr>
            </w:pPr>
          </w:p>
        </w:tc>
        <w:tc>
          <w:tcPr>
            <w:tcW w:w="1560" w:type="dxa"/>
            <w:vMerge/>
          </w:tcPr>
          <w:p w14:paraId="0D15B5C2"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984" w:type="dxa"/>
            <w:vMerge/>
          </w:tcPr>
          <w:p w14:paraId="14EA8A41"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2054" w:type="dxa"/>
          </w:tcPr>
          <w:p w14:paraId="04C68AA0"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14878">
              <w:rPr>
                <w:rFonts w:cs="Times New Roman"/>
                <w:sz w:val="20"/>
                <w:szCs w:val="20"/>
              </w:rPr>
              <w:t>Thus, terrorism is bad because it exists counter to democracy.</w:t>
            </w:r>
          </w:p>
        </w:tc>
        <w:tc>
          <w:tcPr>
            <w:tcW w:w="1859" w:type="dxa"/>
            <w:vMerge/>
          </w:tcPr>
          <w:p w14:paraId="4FC0D9A4"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327" w:type="dxa"/>
            <w:vMerge/>
          </w:tcPr>
          <w:p w14:paraId="346A474A"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269" w:type="dxa"/>
            <w:vMerge/>
          </w:tcPr>
          <w:p w14:paraId="6C3DAC22" w14:textId="77777777" w:rsidR="00C61B98" w:rsidRPr="00E14878" w:rsidRDefault="00C61B98" w:rsidP="00C61B98">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14:paraId="1DB5A2FF" w14:textId="560D0ADE" w:rsidR="002915BC" w:rsidRPr="0028762A" w:rsidRDefault="002915BC" w:rsidP="00E14878">
      <w:pPr>
        <w:pStyle w:val="DissertationTableCaption"/>
        <w:rPr>
          <w:u w:val="none"/>
        </w:rPr>
      </w:pPr>
      <w:bookmarkStart w:id="76" w:name="_Toc168415262"/>
      <w:bookmarkStart w:id="77" w:name="_Toc175413206"/>
      <w:r w:rsidRPr="00155FA1">
        <w:t>Table 7 - 5:</w:t>
      </w:r>
      <w:r w:rsidRPr="0028762A">
        <w:rPr>
          <w:u w:val="none"/>
        </w:rPr>
        <w:t xml:space="preserve"> </w:t>
      </w:r>
      <w:r w:rsidR="00880AD8">
        <w:rPr>
          <w:u w:val="none"/>
        </w:rPr>
        <w:tab/>
      </w:r>
      <w:r w:rsidRPr="0028762A">
        <w:rPr>
          <w:u w:val="none"/>
        </w:rPr>
        <w:t>Deconstruction of the Terrorism Content Analysis Frames with the Highest Recurrence Frequencies</w:t>
      </w:r>
      <w:bookmarkEnd w:id="76"/>
      <w:bookmarkEnd w:id="77"/>
    </w:p>
    <w:p w14:paraId="55404CAF" w14:textId="2C1C63B2" w:rsidR="002915BC" w:rsidRPr="00155FA1" w:rsidRDefault="002915BC" w:rsidP="00C61B98">
      <w:pPr>
        <w:spacing w:before="240"/>
        <w:rPr>
          <w:rFonts w:cs="Times New Roman"/>
        </w:rPr>
      </w:pPr>
      <w:r w:rsidRPr="00155FA1">
        <w:rPr>
          <w:rFonts w:cs="Times New Roman"/>
        </w:rPr>
        <w:t xml:space="preserve">The frame function/frame focus deconstruction depicted in Table 7-5, above, allows me to compare Frame A and Frame D along the site of contestation (clash) created by Frame A’s function as morally evaluative, on the one hand, and Frame D’s proffer of a remedy proposal, on </w:t>
      </w:r>
      <w:r w:rsidRPr="00155FA1">
        <w:rPr>
          <w:rFonts w:cs="Times New Roman"/>
        </w:rPr>
        <w:lastRenderedPageBreak/>
        <w:t>the other.</w:t>
      </w:r>
      <w:r w:rsidRPr="00155FA1">
        <w:rPr>
          <w:rStyle w:val="FootnoteReference"/>
          <w:rFonts w:cs="Times New Roman"/>
        </w:rPr>
        <w:footnoteReference w:id="468"/>
      </w:r>
      <w:r w:rsidRPr="00155FA1">
        <w:rPr>
          <w:rFonts w:cs="Times New Roman"/>
        </w:rPr>
        <w:t xml:space="preserve"> Good vs. evil (Frame A) is a master frame, “a generic type of collective action frame</w:t>
      </w:r>
      <w:r w:rsidRPr="00155FA1">
        <w:rPr>
          <w:rFonts w:cs="Times New Roman"/>
          <w:i/>
          <w:iCs/>
        </w:rPr>
        <w:t>”</w:t>
      </w:r>
      <w:r w:rsidRPr="00155FA1">
        <w:rPr>
          <w:rFonts w:cs="Times New Roman"/>
        </w:rPr>
        <w:t xml:space="preserve"> with scope and influence that are wide enough to affect “articulations and attributions… sufficiently elastic, flexible, and inclusive enough… that any number of other social movements can successfully adopt and deploy it in their campaigns.”</w:t>
      </w:r>
      <w:r w:rsidRPr="00155FA1">
        <w:rPr>
          <w:rStyle w:val="FootnoteReference"/>
          <w:rFonts w:cs="Times New Roman"/>
        </w:rPr>
        <w:footnoteReference w:id="469"/>
      </w:r>
      <w:r w:rsidRPr="00155FA1">
        <w:rPr>
          <w:rFonts w:cs="Times New Roman"/>
        </w:rPr>
        <w:t xml:space="preserve"> Similar to moral equivalence arguments, master frames like good vs. evil are effective because they operationalize the suggestion that their negatively-evaluated subject matter (in this case, terrorism) is equivalent to other societally relevant issues that have received similar treatment. This type of framing has the reverse effect of constituting the issue or actor that is (either implicitly or explicitly) determined to exist counter to the </w:t>
      </w:r>
      <w:r w:rsidR="00873EF9" w:rsidRPr="00155FA1">
        <w:rPr>
          <w:rFonts w:cs="Times New Roman"/>
        </w:rPr>
        <w:t>negatively evaluated</w:t>
      </w:r>
      <w:r w:rsidRPr="00155FA1">
        <w:rPr>
          <w:rFonts w:cs="Times New Roman"/>
        </w:rPr>
        <w:t xml:space="preserve"> subject matter (in this case, the state) as desirable or valuable. Diverging from Frame A’s focus on moral evaluation, Frame D (democracy vs. terrorism) emphasizes the necessity of remedying (implicitly, eliminating) terrorism. As such, Frame D’s problem definition situates democracy as necessarily opposing the ideological underpinnings of terrorism and their practical (institutional) manifestations. Thus, employing Frame D establishes the conflict between terrorists and democracies as a zero-sum game. Put another way, Frame D creates a </w:t>
      </w:r>
      <w:r w:rsidRPr="00155FA1">
        <w:rPr>
          <w:rFonts w:cs="Times New Roman"/>
          <w:i/>
          <w:iCs/>
        </w:rPr>
        <w:t>pareto-efficient</w:t>
      </w:r>
      <w:r w:rsidRPr="00155FA1">
        <w:rPr>
          <w:rFonts w:cs="Times New Roman"/>
        </w:rPr>
        <w:t xml:space="preserve"> situation, a circumstance in which either terrorism </w:t>
      </w:r>
      <w:r w:rsidRPr="00155FA1">
        <w:rPr>
          <w:rFonts w:cs="Times New Roman"/>
          <w:i/>
          <w:iCs/>
        </w:rPr>
        <w:t>or</w:t>
      </w:r>
      <w:r w:rsidRPr="00155FA1">
        <w:rPr>
          <w:rFonts w:cs="Times New Roman"/>
        </w:rPr>
        <w:t xml:space="preserve"> democracy must ‘win,’ eliminating the possibility for both to prevail. (In essence, this constitutes media coverage that employs Frame D pro-state propaganda.) The clash inherent to comparing Frame A (good vs. evil) to Frame D (democracy vs. terrorism), then, is whether the way terrorism is framed should focus on situating it as an extra-normally problematic issue within international public consciousness, </w:t>
      </w:r>
      <w:r w:rsidRPr="00155FA1">
        <w:rPr>
          <w:rFonts w:cs="Times New Roman"/>
          <w:i/>
          <w:iCs/>
        </w:rPr>
        <w:t>or</w:t>
      </w:r>
      <w:r w:rsidRPr="00155FA1">
        <w:rPr>
          <w:rFonts w:cs="Times New Roman"/>
        </w:rPr>
        <w:t xml:space="preserve"> whether it should center on implicitly informing the international public that it is necessary for democracy to ‘win’ in order to eliminate terrorism.</w:t>
      </w:r>
    </w:p>
    <w:p w14:paraId="1ECAA959" w14:textId="525863D1" w:rsidR="002915BC" w:rsidRPr="00155FA1" w:rsidRDefault="002915BC" w:rsidP="002915BC">
      <w:pPr>
        <w:ind w:firstLine="720"/>
        <w:rPr>
          <w:rFonts w:cs="Times New Roman"/>
        </w:rPr>
      </w:pPr>
      <w:r w:rsidRPr="00155FA1">
        <w:rPr>
          <w:rFonts w:cs="Times New Roman"/>
        </w:rPr>
        <w:t>In addition to revealing the clash between moral evaluation-focused and remedy proposal-focused framing of terrorism, Frame A (good vs. evil) and Frame D (democracy vs. terrorism) also provide historical perspective supporting my conceptualization of terrorism as post-modern warfare. The media frame most frequently employed in the media coverage of terrorism, Frame D (democracy vs. terrorism), is reminiscent of another frame that held for decades in the context of the Cold War (and post-Cold War) contest for hegemony between the United States and the Union of Soviet Socialist Republics (USSR). In the aftermath of World War II, there were significant international efforts to prevent the recurrence of general warfare of a similar magnitude and consequence in affecting both casualties and destruction.</w:t>
      </w:r>
      <w:r w:rsidRPr="00155FA1">
        <w:rPr>
          <w:rStyle w:val="FootnoteReference"/>
          <w:rFonts w:cs="Times New Roman"/>
        </w:rPr>
        <w:footnoteReference w:id="470"/>
      </w:r>
      <w:r w:rsidRPr="00155FA1">
        <w:rPr>
          <w:rFonts w:cs="Times New Roman"/>
        </w:rPr>
        <w:t xml:space="preserve"> In this context, the United States and the USSR – the ‘victors’ of the “total warfare” of World War II – emerged as the figureheads of a newly bipolar world order.</w:t>
      </w:r>
      <w:r w:rsidRPr="00155FA1">
        <w:rPr>
          <w:rStyle w:val="FootnoteReference"/>
          <w:rFonts w:cs="Times New Roman"/>
        </w:rPr>
        <w:footnoteReference w:id="471"/>
      </w:r>
      <w:r w:rsidRPr="00155FA1">
        <w:rPr>
          <w:rFonts w:cs="Times New Roman"/>
        </w:rPr>
        <w:t xml:space="preserve"> On a basic level, the Cold War </w:t>
      </w:r>
      <w:r w:rsidRPr="00155FA1">
        <w:rPr>
          <w:rFonts w:cs="Times New Roman"/>
        </w:rPr>
        <w:lastRenderedPageBreak/>
        <w:t>constituted these two powers’ contest for global influence, which manifested under the guise of clashing political ideologies (capitalism, and communism). These ideologies manifested as “two very different political systems…[and] their built-in ideological conflict, [which] ensured a deadly political and military rivalry.”</w:t>
      </w:r>
      <w:r w:rsidRPr="00155FA1">
        <w:rPr>
          <w:rStyle w:val="FootnoteReference"/>
          <w:rFonts w:cs="Times New Roman"/>
        </w:rPr>
        <w:footnoteReference w:id="472"/>
      </w:r>
      <w:r w:rsidRPr="00155FA1">
        <w:rPr>
          <w:rFonts w:cs="Times New Roman"/>
        </w:rPr>
        <w:t xml:space="preserve"> The practical manifestation of these rivalries evolved over the course of the two major phases of the Cold War.</w:t>
      </w:r>
      <w:r w:rsidRPr="00155FA1">
        <w:rPr>
          <w:rStyle w:val="FootnoteReference"/>
          <w:rFonts w:cs="Times New Roman"/>
        </w:rPr>
        <w:footnoteReference w:id="473"/>
      </w:r>
      <w:r w:rsidRPr="00155FA1">
        <w:rPr>
          <w:rFonts w:cs="Times New Roman"/>
        </w:rPr>
        <w:t xml:space="preserve"> In the détente phase of the Cold War, in the late 1960s and early 1970s, the United States and the USSR “[came] to several agreements whereby they tacitly regulated the arms race and tried to avoid conflict in sensitive areas.”</w:t>
      </w:r>
      <w:r w:rsidRPr="00155FA1">
        <w:rPr>
          <w:rStyle w:val="FootnoteReference"/>
          <w:rFonts w:cs="Times New Roman"/>
        </w:rPr>
        <w:footnoteReference w:id="474"/>
      </w:r>
      <w:r w:rsidRPr="00155FA1">
        <w:rPr>
          <w:rFonts w:cs="Times New Roman"/>
        </w:rPr>
        <w:t xml:space="preserve"> These agreements were the impetus for the marked increase in both powers’ involvement in proxy warfare, whereby both countries would engage in an existing conflict, each through a different actor that served as the conduit for its superpower benefactor’s weapons, training and funding.</w:t>
      </w:r>
      <w:r w:rsidRPr="00155FA1">
        <w:rPr>
          <w:rStyle w:val="FootnoteReference"/>
          <w:rFonts w:cs="Times New Roman"/>
        </w:rPr>
        <w:footnoteReference w:id="475"/>
      </w:r>
      <w:r w:rsidRPr="00155FA1">
        <w:rPr>
          <w:rFonts w:cs="Times New Roman"/>
        </w:rPr>
        <w:t xml:space="preserve"> In the context of these smaller conflicts that carried far less of a risk of inciting nuclear war, the United States often intervened on the pretext of spreading democracy.</w:t>
      </w:r>
      <w:r w:rsidRPr="00155FA1">
        <w:rPr>
          <w:rStyle w:val="FootnoteReference"/>
          <w:rFonts w:cs="Times New Roman"/>
        </w:rPr>
        <w:footnoteReference w:id="476"/>
      </w:r>
      <w:r w:rsidRPr="00155FA1">
        <w:rPr>
          <w:rFonts w:cs="Times New Roman"/>
        </w:rPr>
        <w:t xml:space="preserve"> Such interventions were often presented as countering USSR intervention efforts in the same conflict, with the ultimate objective of containing communism.</w:t>
      </w:r>
      <w:r w:rsidRPr="00155FA1">
        <w:rPr>
          <w:rStyle w:val="FootnoteReference"/>
          <w:rFonts w:cs="Times New Roman"/>
        </w:rPr>
        <w:footnoteReference w:id="477"/>
      </w:r>
      <w:r w:rsidRPr="00155FA1">
        <w:rPr>
          <w:rFonts w:cs="Times New Roman"/>
        </w:rPr>
        <w:t xml:space="preserve"> As such, notions of the USSR as an active opponent of democracy propagated over the course of the Cold War, as a component of the United States’ campaign against the USSR and the communist ideology.</w:t>
      </w:r>
    </w:p>
    <w:p w14:paraId="5FCF71A7" w14:textId="0D68EADD" w:rsidR="002915BC" w:rsidRPr="00155FA1" w:rsidRDefault="002915BC" w:rsidP="002915BC">
      <w:pPr>
        <w:ind w:firstLine="720"/>
        <w:rPr>
          <w:rFonts w:cs="Times New Roman"/>
        </w:rPr>
      </w:pPr>
      <w:r w:rsidRPr="00155FA1">
        <w:rPr>
          <w:rFonts w:cs="Times New Roman"/>
        </w:rPr>
        <w:t>Situating terrorism in the context of the bipolar struggle for global dominance that characterized the Cold War analogizes terrorists with “great power” states. To that end, the democracy vs. terrorism media frame implicitly elevates the importance of the fight against terrorism to the pedestal generally reserved for interstate conflicts of an international magnitude – “war[s] to end all wars.”</w:t>
      </w:r>
      <w:r w:rsidRPr="00155FA1">
        <w:rPr>
          <w:rStyle w:val="FootnoteReference"/>
          <w:rFonts w:cs="Times New Roman"/>
        </w:rPr>
        <w:footnoteReference w:id="478"/>
      </w:r>
      <w:r w:rsidRPr="00155FA1">
        <w:rPr>
          <w:rFonts w:cs="Times New Roman"/>
        </w:rPr>
        <w:t xml:space="preserve"> As previously established in Chapter 4, states are the primary actors in international relations. Put differently, </w:t>
      </w:r>
      <w:r w:rsidRPr="00155FA1">
        <w:rPr>
          <w:rFonts w:cs="Times New Roman"/>
          <w:i/>
          <w:iCs/>
        </w:rPr>
        <w:t>states</w:t>
      </w:r>
      <w:r w:rsidRPr="00155FA1">
        <w:rPr>
          <w:rFonts w:cs="Times New Roman"/>
        </w:rPr>
        <w:t xml:space="preserve"> are the actors whose voices and decisions necessarily matter the most in the conduct of international politics.</w:t>
      </w:r>
      <w:r w:rsidRPr="00155FA1">
        <w:rPr>
          <w:rStyle w:val="FootnoteReference"/>
          <w:rFonts w:cs="Times New Roman"/>
        </w:rPr>
        <w:footnoteReference w:id="479"/>
      </w:r>
      <w:r w:rsidRPr="00155FA1">
        <w:rPr>
          <w:rFonts w:cs="Times New Roman"/>
        </w:rPr>
        <w:t xml:space="preserve"> By contrast, terrorists are explicitly violent </w:t>
      </w:r>
      <w:r w:rsidRPr="00155FA1">
        <w:rPr>
          <w:rFonts w:cs="Times New Roman"/>
          <w:i/>
          <w:iCs/>
        </w:rPr>
        <w:t>non-state</w:t>
      </w:r>
      <w:r w:rsidRPr="00155FA1">
        <w:rPr>
          <w:rFonts w:cs="Times New Roman"/>
        </w:rPr>
        <w:t xml:space="preserve"> (or even </w:t>
      </w:r>
      <w:r w:rsidRPr="00155FA1">
        <w:rPr>
          <w:rFonts w:cs="Times New Roman"/>
          <w:i/>
          <w:iCs/>
        </w:rPr>
        <w:t>sub-state</w:t>
      </w:r>
      <w:r w:rsidRPr="00155FA1">
        <w:rPr>
          <w:rFonts w:cs="Times New Roman"/>
        </w:rPr>
        <w:t>) actors, which are, by definition, less significant than states.</w:t>
      </w:r>
      <w:r w:rsidRPr="00155FA1">
        <w:rPr>
          <w:rStyle w:val="FootnoteReference"/>
          <w:rFonts w:cs="Times New Roman"/>
        </w:rPr>
        <w:footnoteReference w:id="480"/>
      </w:r>
      <w:r w:rsidRPr="00155FA1">
        <w:rPr>
          <w:rFonts w:cs="Times New Roman"/>
        </w:rPr>
        <w:t xml:space="preserve"> Notwithstanding, media coverage of terrorism’s treatment of terrorists (specifically </w:t>
      </w:r>
      <w:r w:rsidRPr="00155FA1">
        <w:rPr>
          <w:rFonts w:cs="Times New Roman"/>
        </w:rPr>
        <w:lastRenderedPageBreak/>
        <w:t>relating to the employ of the democracy vs. terrorism frame) implies that, as actors, terrorists are of equal import to states in the context of international relations</w:t>
      </w:r>
      <w:r w:rsidR="002149BD">
        <w:rPr>
          <w:rFonts w:cs="Times New Roman"/>
        </w:rPr>
        <w:t xml:space="preserve"> or at least worthy adversaries to merit such attention in binary frames</w:t>
      </w:r>
      <w:r w:rsidRPr="00155FA1">
        <w:rPr>
          <w:rFonts w:cs="Times New Roman"/>
        </w:rPr>
        <w:t xml:space="preserve">. Using the terrorism label sensationalizes the ideological and real challenge that terrorism poses – hyperinflating it, given the rhetoric employed. To be clear, I am not trying to suggest that terrorists </w:t>
      </w:r>
      <w:r w:rsidRPr="00155FA1">
        <w:rPr>
          <w:rFonts w:cs="Times New Roman"/>
          <w:i/>
          <w:iCs/>
        </w:rPr>
        <w:t xml:space="preserve">are </w:t>
      </w:r>
      <w:r w:rsidRPr="00155FA1">
        <w:rPr>
          <w:rFonts w:cs="Times New Roman"/>
        </w:rPr>
        <w:t xml:space="preserve">on equal footing with states, in terms of their practical capabilities and other real-world considerations. (Put another way, I absolutely believe that, in practice, the dominant actors in the practice of international relations are still state actors.) Rather, I contend that media coverage’s depiction of terrorism contributes to the hyperinflation of the public </w:t>
      </w:r>
      <w:r w:rsidRPr="00155FA1">
        <w:rPr>
          <w:rFonts w:cs="Times New Roman"/>
          <w:i/>
          <w:iCs/>
        </w:rPr>
        <w:t>perception</w:t>
      </w:r>
      <w:r w:rsidRPr="00155FA1">
        <w:rPr>
          <w:rFonts w:cs="Times New Roman"/>
        </w:rPr>
        <w:t xml:space="preserve"> of the threat posed by terrorism by implicitly framing the conflict between states and terrorists as one where the two parties to the conflict are on (relatively) equal footing with one another. This framing constitutes states’ collective and individual decision-making strategies (and policy-making in general) </w:t>
      </w:r>
      <w:r w:rsidRPr="00155FA1">
        <w:rPr>
          <w:rFonts w:cs="Times New Roman"/>
          <w:i/>
          <w:iCs/>
        </w:rPr>
        <w:t>reactive</w:t>
      </w:r>
      <w:r w:rsidRPr="00155FA1">
        <w:rPr>
          <w:rFonts w:cs="Times New Roman"/>
        </w:rPr>
        <w:t xml:space="preserve"> in the context of the conflict between states and terrorists. </w:t>
      </w:r>
    </w:p>
    <w:p w14:paraId="344807F5" w14:textId="77777777" w:rsidR="002915BC" w:rsidRPr="00155FA1" w:rsidRDefault="002915BC" w:rsidP="002915BC">
      <w:pPr>
        <w:pStyle w:val="NormalWeb"/>
        <w:spacing w:before="0" w:beforeAutospacing="0" w:after="120" w:afterAutospacing="0"/>
        <w:ind w:firstLine="720"/>
      </w:pPr>
      <w:r w:rsidRPr="00155FA1">
        <w:t>The second of the two media frames that recurs in my sampling frame with the highest frequency is Frame A (good vs. evil). Like Frame D (democracy vs. terrorism), discussed above, Frame A hearkens to the Cold War, albeit more subtly. Moreover, Frame A also implicitly references the immediate aftermath of the fall of communism, a time period that extends from the 1991 collapse of the USSR until the September 11, 2001 terrorist attacks and is significant in this context because it saw the inception of the ‘human security debate’ in International Relations (IR).</w:t>
      </w:r>
      <w:r w:rsidRPr="00155FA1">
        <w:rPr>
          <w:rStyle w:val="FootnoteReference"/>
        </w:rPr>
        <w:footnoteReference w:id="481"/>
      </w:r>
      <w:r w:rsidRPr="00155FA1">
        <w:t xml:space="preserve"> On a disciplinary level, IR has traditionally concerned itself with the connection “between men, states and war,” focusing on conflict and the practices of statecraft and strategy formulation through the lenses of competition and fear.</w:t>
      </w:r>
      <w:r w:rsidRPr="00155FA1">
        <w:rPr>
          <w:rStyle w:val="FootnoteReference"/>
        </w:rPr>
        <w:footnoteReference w:id="482"/>
      </w:r>
      <w:r w:rsidRPr="00155FA1">
        <w:t xml:space="preserve"> Even though the emerging conception of ‘human security’ in the post-Cold War era problematized and expanded the referent object associated with notions of ‘security’, state (and group) actors continue to dominate the international system and the practice of international relations. Notwithstanding, the human security debate’s reframing the focus of contemporary IR to include individuals in addition to states ultimately allows terrorist decision-making processes to be understood on the basis of the </w:t>
      </w:r>
      <w:r w:rsidRPr="00155FA1">
        <w:lastRenderedPageBreak/>
        <w:t>same implicit assumptions as states.</w:t>
      </w:r>
      <w:r w:rsidRPr="00155FA1">
        <w:rPr>
          <w:rStyle w:val="FootnoteReference"/>
        </w:rPr>
        <w:footnoteReference w:id="483"/>
      </w:r>
      <w:r w:rsidRPr="00155FA1">
        <w:t xml:space="preserve"> The human security debate expansion of IR gives terrorists more agency, ultimately providing for any ability terrorists have to be considered as being of similar import to states, and, crucially, to have their decision-making processes understood on the basis of the same implicit assumptions.</w:t>
      </w:r>
      <w:r w:rsidRPr="00155FA1">
        <w:rPr>
          <w:rStyle w:val="FootnoteReference"/>
        </w:rPr>
        <w:footnoteReference w:id="484"/>
      </w:r>
      <w:r w:rsidRPr="00155FA1">
        <w:t xml:space="preserve"> This is significant in relation to any discussion deconstructing Frame A because considering good vs. evil in the context of IR benefits from an understanding of its employ in the Cold War. Moreover, the good vs. evil frame alludes to Western (particularly American) notions of its contentions with terrorism (i.e., “The War on Terror”) as having filled the void in the sensationalized coverage of potential violence/threat left by the abrupt conclusion of the East-West conflict that characterized the Cold War era.</w:t>
      </w:r>
    </w:p>
    <w:p w14:paraId="4A66183F" w14:textId="1FCAEE57" w:rsidR="002915BC" w:rsidRPr="00155FA1" w:rsidRDefault="002915BC" w:rsidP="002915BC">
      <w:pPr>
        <w:pStyle w:val="NormalWeb"/>
        <w:spacing w:before="0" w:beforeAutospacing="0" w:after="120" w:afterAutospacing="0"/>
        <w:ind w:firstLine="720"/>
      </w:pPr>
      <w:r w:rsidRPr="00155FA1">
        <w:t>Good vs. evil framing was prominently employed in the Cold War-era propaganda produced by both the United States and the USSR.</w:t>
      </w:r>
      <w:r w:rsidRPr="00155FA1">
        <w:rPr>
          <w:rStyle w:val="FootnoteReference"/>
        </w:rPr>
        <w:footnoteReference w:id="485"/>
      </w:r>
      <w:r w:rsidRPr="00155FA1">
        <w:t xml:space="preserve"> In the context of the Cold War, each superpower used the good vs. evil frame to implicitly emphasize the superiority of its own ideology and values while simultaneously denigrating those of its adversary.</w:t>
      </w:r>
      <w:r w:rsidRPr="00155FA1">
        <w:rPr>
          <w:rStyle w:val="FootnoteReference"/>
        </w:rPr>
        <w:footnoteReference w:id="486"/>
      </w:r>
      <w:r w:rsidRPr="00155FA1">
        <w:t xml:space="preserve"> Consequently, either superpower’s use of this frame casts its adversary’s ideology and values as immoral, while glorifying its own ideology, beliefs and values. During the Cold War, this was invaluable to the US and the USSR because it enabled them to both cultivate a sense of superiority among their own </w:t>
      </w:r>
      <w:r w:rsidR="0075050F" w:rsidRPr="00155FA1">
        <w:t>citizens and</w:t>
      </w:r>
      <w:r w:rsidRPr="00155FA1">
        <w:t xml:space="preserve"> create and maintain alliances with countries of a similar ideological persuasion.</w:t>
      </w:r>
      <w:r w:rsidRPr="00155FA1">
        <w:rPr>
          <w:rStyle w:val="FootnoteReference"/>
        </w:rPr>
        <w:footnoteReference w:id="487"/>
      </w:r>
      <w:r w:rsidRPr="00155FA1">
        <w:t xml:space="preserve"> This binary framing of good and evil pitted ‘good’ democratic countries (led by the United States) against ‘evil’ communist states (championed by the USSR). After the 1991 collapse of the USSR put an end to the bipolar world order of the Cold War era, subsequent outbreaks of intrastate violence in Somalia, Rwanda, and the former Yugoslavia exemplified the newly unipolar system’s inability to act as a ‘check’ on mass atrocity violence. The effects of </w:t>
      </w:r>
      <w:r w:rsidR="0075050F">
        <w:t xml:space="preserve">post-Cold War </w:t>
      </w:r>
      <w:r w:rsidRPr="00155FA1">
        <w:t xml:space="preserve">globalization coupled with the technological and communications-related developments of the 1990s, facilitated greater public access to the graphic details of these conflicts, which served to demonstrate that evil continues to exist in the aftermath of communism’s demise. Implicit questions as to the root cause(s) of ‘evil’ internationally became seminal to the United States-helmed international system of the 1990s, which spent more than a decade working to reframe and situate the </w:t>
      </w:r>
      <w:r w:rsidRPr="00155FA1">
        <w:rPr>
          <w:i/>
          <w:iCs/>
        </w:rPr>
        <w:t>delicta juris gentium</w:t>
      </w:r>
      <w:r w:rsidRPr="00155FA1">
        <w:t xml:space="preserve"> (most serious crimes of concern to the international community) in the “new order of international criminal justice” of the post-Cold War era.</w:t>
      </w:r>
      <w:r w:rsidRPr="00155FA1">
        <w:rPr>
          <w:rStyle w:val="FootnoteReference"/>
        </w:rPr>
        <w:footnoteReference w:id="488"/>
      </w:r>
    </w:p>
    <w:p w14:paraId="738306B7" w14:textId="74800427" w:rsidR="002915BC" w:rsidRPr="00155FA1" w:rsidRDefault="002915BC" w:rsidP="00F85A92">
      <w:pPr>
        <w:pStyle w:val="NormalWeb"/>
        <w:spacing w:before="0" w:beforeAutospacing="0" w:after="120" w:afterAutospacing="0"/>
        <w:ind w:firstLine="720"/>
      </w:pPr>
      <w:r w:rsidRPr="00155FA1">
        <w:t xml:space="preserve">By and large, both Frame A (good vs. evil) and Frame D (democracy vs. terrorism) reference the context and manner in which states have, to some extent, ceased to exist as the only primary actor of note to contemporary international relations. Framing terrorism in terms of </w:t>
      </w:r>
      <w:r w:rsidRPr="00155FA1">
        <w:lastRenderedPageBreak/>
        <w:t xml:space="preserve">either good vs. evil or democracy vs. terrorism suggests that the significance and magnitude often attributed to terrorism should resonate with the (international) public similar to the way that the narrative regarding communism and the USSR colored the experiences of the (Western) public throughout the Cold War. The tacit implication here, in the context of the democracy vs. terrorism and good vs. evil frames, is that terrorists constitute the new foil for (Western) states, replacing communism and the USSR as the international system antagonist that ‘explains’ the continued existence of evil in post-Cold War, post-communist international relations. Going back to the idea (presented in Chapter 5) that media coverage necessarily reflects public perceptions of what is going on in the world, the prominence (and therefore salience) of terrorism framed as </w:t>
      </w:r>
      <w:r w:rsidRPr="00155FA1">
        <w:rPr>
          <w:i/>
          <w:iCs/>
        </w:rPr>
        <w:t>the</w:t>
      </w:r>
      <w:r w:rsidRPr="00155FA1">
        <w:t xml:space="preserve"> most significant threat since that which the USSR posed to the US is noteworthy because it elevates terrorist actors in terms of the level of consideration that they are afforded in the context of international relations.</w:t>
      </w:r>
      <w:r w:rsidRPr="00155FA1">
        <w:rPr>
          <w:rStyle w:val="FootnoteReference"/>
        </w:rPr>
        <w:footnoteReference w:id="489"/>
      </w:r>
    </w:p>
    <w:p w14:paraId="04A57D17" w14:textId="77777777" w:rsidR="002915BC" w:rsidRPr="00155FA1" w:rsidRDefault="002915BC" w:rsidP="00787123">
      <w:pPr>
        <w:pStyle w:val="DissertationSection1"/>
        <w:rPr>
          <w:rFonts w:eastAsia="Times New Roman"/>
        </w:rPr>
      </w:pPr>
      <w:bookmarkStart w:id="78" w:name="_Toc175413159"/>
      <w:r w:rsidRPr="00155FA1">
        <w:t>States Have Established Their Own Worst Enemy in Terrorists</w:t>
      </w:r>
      <w:bookmarkEnd w:id="78"/>
      <w:r w:rsidRPr="00155FA1">
        <w:t xml:space="preserve"> </w:t>
      </w:r>
    </w:p>
    <w:p w14:paraId="5BBC9054" w14:textId="2C6C31CF" w:rsidR="002915BC" w:rsidRPr="00155FA1" w:rsidRDefault="002915BC" w:rsidP="002915BC">
      <w:pPr>
        <w:pStyle w:val="NormalWeb"/>
        <w:spacing w:before="0" w:beforeAutospacing="0" w:after="120" w:afterAutospacing="0"/>
        <w:ind w:firstLine="720"/>
      </w:pPr>
      <w:r w:rsidRPr="00155FA1">
        <w:t xml:space="preserve">Conceptualizing terrorists and states as international actors that have similarly important statuses in the international system is problematic because, based on surface level analysis alone, terrorists and states have vastly different material and strategic capabilities. It is true that each specific instance of terrorism may be fleeting, practically speaking. </w:t>
      </w:r>
      <w:proofErr w:type="gramStart"/>
      <w:r w:rsidRPr="00155FA1">
        <w:t>Moreover</w:t>
      </w:r>
      <w:proofErr w:type="gramEnd"/>
      <w:r w:rsidRPr="00155FA1">
        <w:t xml:space="preserve"> states tend to have more long-term endurance (‘staying power’) than specific terrorists/terrorist organizations. Notwithstanding, the label “terrorism” bundles different terrorist attacks and terrorists together within public discourse, almost constituting “terrorism” a single, amorphous actor. To wit, this observable discrepancy in the resources and capabilities available to different types of actors that engage in violent conflict provided the impetus for scholarship addressing the disappearing distinction between symmetrical and asymmetrical tactics in the context of contemporary conflicts.</w:t>
      </w:r>
      <w:r w:rsidRPr="00155FA1">
        <w:rPr>
          <w:rStyle w:val="FootnoteReference"/>
        </w:rPr>
        <w:footnoteReference w:id="490"/>
      </w:r>
      <w:r w:rsidRPr="00155FA1">
        <w:t xml:space="preserve"> Based on the objective facts alone, terrorists are not (and should not be) considered the same type of actor as states. So, why does the international public (specifically, the news media) favor the ‘states vs. terrorists’ narrative? </w:t>
      </w:r>
    </w:p>
    <w:p w14:paraId="6BF9D076" w14:textId="77777777" w:rsidR="002915BC" w:rsidRPr="00155FA1" w:rsidRDefault="002915BC" w:rsidP="002915BC">
      <w:pPr>
        <w:pStyle w:val="NormalWeb"/>
        <w:spacing w:before="0" w:beforeAutospacing="0" w:after="120" w:afterAutospacing="0"/>
        <w:ind w:firstLine="720"/>
      </w:pPr>
      <w:r w:rsidRPr="00155FA1">
        <w:t>Reasons that international news media tends to use the ‘states vs. terrorists’ narrative to frame the discourse about terrorism relate to the scholarly debate (outlined in Chapter 5) about whether violence constitutes inherent propaganda, or whether violent actors like terrorists use violence with the conscious intention of generating propaganda.</w:t>
      </w:r>
      <w:r w:rsidRPr="00155FA1">
        <w:rPr>
          <w:rStyle w:val="FootnoteReference"/>
        </w:rPr>
        <w:footnoteReference w:id="491"/>
      </w:r>
      <w:r w:rsidRPr="00155FA1">
        <w:t xml:space="preserve"> Ultimately, this seemingly philosophical discussion boils down to whether the media is to any extent culpable for the effects of terrorism, given that publicity is said to incentivize perpetrators of extra-normal violence. On the basis of its inclusion of definitional element [19] – </w:t>
      </w:r>
      <w:r w:rsidRPr="00155FA1">
        <w:rPr>
          <w:i/>
          <w:iCs/>
        </w:rPr>
        <w:t>publicity, propaganda</w:t>
      </w:r>
      <w:r w:rsidRPr="00155FA1">
        <w:t xml:space="preserve">, the media coverage definition of terrorism established earlier in this chapter ostensibly supports the position that </w:t>
      </w:r>
      <w:r w:rsidRPr="00155FA1">
        <w:lastRenderedPageBreak/>
        <w:t>terrorists intentionally use violence to generate propaganda.</w:t>
      </w:r>
      <w:r w:rsidRPr="00155FA1">
        <w:rPr>
          <w:rStyle w:val="FootnoteReference"/>
        </w:rPr>
        <w:footnoteReference w:id="492"/>
      </w:r>
      <w:r w:rsidRPr="00155FA1">
        <w:t xml:space="preserve"> However, it is necessary to examine how states – the purported actors of note to international relations – conceive of the relationship between terrorism and the media. While it is true that states cannot be reduced to the rhetorical flourish that populates the media frames discussed here in terms of what they </w:t>
      </w:r>
      <w:r w:rsidRPr="00155FA1">
        <w:rPr>
          <w:i/>
          <w:iCs/>
        </w:rPr>
        <w:t>actually do in practice</w:t>
      </w:r>
      <w:r w:rsidRPr="00155FA1">
        <w:t xml:space="preserve">, legitimacy (as it is conceived of in this dissertation) depends to a not insignificant extent on the perception of the general public. To that end, what matters in the context of the discussion here is that a large part of the public conceives of the state in terms of how it (and its actions) </w:t>
      </w:r>
      <w:proofErr w:type="gramStart"/>
      <w:r w:rsidRPr="00155FA1">
        <w:t>are</w:t>
      </w:r>
      <w:proofErr w:type="gramEnd"/>
      <w:r w:rsidRPr="00155FA1">
        <w:t xml:space="preserve"> depicted in media coverage. Thus, it is important to determine how states understand the relationship between terrorism and the media in order to not only understand whether states see terrorists as intentionally perpetrating violence to provoke media coverage, but also to examine the state’s perspective as to how important terrorist actors really are in the context of international relations.</w:t>
      </w:r>
    </w:p>
    <w:p w14:paraId="36D474AE" w14:textId="77777777" w:rsidR="00B31568" w:rsidRDefault="002915BC" w:rsidP="00B31568">
      <w:pPr>
        <w:pStyle w:val="NormalWeb"/>
        <w:spacing w:before="0" w:beforeAutospacing="0" w:after="120" w:afterAutospacing="0"/>
        <w:ind w:firstLine="720"/>
      </w:pPr>
      <w:r w:rsidRPr="00155FA1">
        <w:t xml:space="preserve"> The </w:t>
      </w:r>
      <w:r w:rsidRPr="00155FA1">
        <w:rPr>
          <w:i/>
          <w:iCs/>
        </w:rPr>
        <w:t>de minimis</w:t>
      </w:r>
      <w:r w:rsidRPr="00155FA1">
        <w:t xml:space="preserve"> definition of terrorism employed here relates to state </w:t>
      </w:r>
      <w:r w:rsidRPr="00155FA1">
        <w:rPr>
          <w:i/>
          <w:iCs/>
        </w:rPr>
        <w:t>conduct.</w:t>
      </w:r>
      <w:r w:rsidRPr="00155FA1">
        <w:t xml:space="preserve"> It is necessary for me to determine how state conduct treats terrorism in a manner that is separate from the policy definition established in Chapter 3 because states distinguish between their conduct in international relations and the establishment of international law, in that there tends to be a disconnect between the ‘lip service’ paid to shared norms in establishing legislation, on the one hand, and states’ behaviour as it manifests in practice, on the other.</w:t>
      </w:r>
      <w:r w:rsidRPr="00155FA1">
        <w:rPr>
          <w:rStyle w:val="FootnoteReference"/>
        </w:rPr>
        <w:footnoteReference w:id="493"/>
      </w:r>
      <w:r w:rsidRPr="00155FA1">
        <w:t xml:space="preserve"> My </w:t>
      </w:r>
      <w:r w:rsidRPr="00155FA1">
        <w:rPr>
          <w:i/>
          <w:iCs/>
        </w:rPr>
        <w:t xml:space="preserve">de minimis </w:t>
      </w:r>
      <w:r w:rsidRPr="00155FA1">
        <w:t xml:space="preserve">policy definition of terrorism is derived by analyzing state domestic legislation – effectively constituting a state’s statement of intent – to infer how states define terrorism. Taken in isolation, this </w:t>
      </w:r>
      <w:r w:rsidRPr="00155FA1">
        <w:rPr>
          <w:i/>
          <w:iCs/>
        </w:rPr>
        <w:t xml:space="preserve">de minimis </w:t>
      </w:r>
      <w:r w:rsidRPr="00155FA1">
        <w:t xml:space="preserve">policy definition of terrorism is not necessarily representative of </w:t>
      </w:r>
      <w:r w:rsidRPr="00155FA1">
        <w:rPr>
          <w:i/>
          <w:iCs/>
        </w:rPr>
        <w:t>how</w:t>
      </w:r>
      <w:r w:rsidRPr="00155FA1">
        <w:t xml:space="preserve"> states understand terrorism in deciding what practices to carry out to combat terrorists in emergent situations. </w:t>
      </w:r>
    </w:p>
    <w:p w14:paraId="03DA4038" w14:textId="4BF9523B" w:rsidR="002915BC" w:rsidRDefault="00F85A92" w:rsidP="00B31568">
      <w:pPr>
        <w:pStyle w:val="NormalWeb"/>
        <w:spacing w:before="0" w:beforeAutospacing="0" w:after="120" w:afterAutospacing="0"/>
        <w:ind w:firstLine="720"/>
      </w:pPr>
      <w:r>
        <w:rPr>
          <w:noProof/>
          <w:sz w:val="20"/>
          <w:szCs w:val="20"/>
        </w:rPr>
        <w:lastRenderedPageBreak/>
        <mc:AlternateContent>
          <mc:Choice Requires="wps">
            <w:drawing>
              <wp:anchor distT="0" distB="0" distL="114300" distR="114300" simplePos="0" relativeHeight="251666432" behindDoc="0" locked="0" layoutInCell="1" allowOverlap="1" wp14:anchorId="1C164CDE" wp14:editId="32C950D0">
                <wp:simplePos x="0" y="0"/>
                <wp:positionH relativeFrom="column">
                  <wp:posOffset>3810</wp:posOffset>
                </wp:positionH>
                <wp:positionV relativeFrom="paragraph">
                  <wp:posOffset>5181600</wp:posOffset>
                </wp:positionV>
                <wp:extent cx="5928995" cy="482600"/>
                <wp:effectExtent l="0" t="0" r="0" b="0"/>
                <wp:wrapNone/>
                <wp:docPr id="315556037" name="Text Box 2"/>
                <wp:cNvGraphicFramePr/>
                <a:graphic xmlns:a="http://schemas.openxmlformats.org/drawingml/2006/main">
                  <a:graphicData uri="http://schemas.microsoft.com/office/word/2010/wordprocessingShape">
                    <wps:wsp>
                      <wps:cNvSpPr txBox="1"/>
                      <wps:spPr>
                        <a:xfrm>
                          <a:off x="0" y="0"/>
                          <a:ext cx="5928995" cy="482600"/>
                        </a:xfrm>
                        <a:prstGeom prst="rect">
                          <a:avLst/>
                        </a:prstGeom>
                        <a:noFill/>
                        <a:ln w="6350">
                          <a:noFill/>
                        </a:ln>
                      </wps:spPr>
                      <wps:txbx>
                        <w:txbxContent>
                          <w:p w14:paraId="0D585094" w14:textId="4D66C8FE" w:rsidR="00D03C79" w:rsidRPr="0028762A" w:rsidRDefault="00D03C79" w:rsidP="00F85A92">
                            <w:pPr>
                              <w:pStyle w:val="DissertationFigureCaption"/>
                              <w:rPr>
                                <w:u w:val="none"/>
                              </w:rPr>
                            </w:pPr>
                            <w:bookmarkStart w:id="79" w:name="_Toc168415561"/>
                            <w:bookmarkStart w:id="80" w:name="_Toc175413243"/>
                            <w:r w:rsidRPr="00155FA1">
                              <w:t>Fi</w:t>
                            </w:r>
                            <w:r w:rsidR="0028762A">
                              <w:t>gure</w:t>
                            </w:r>
                            <w:r w:rsidRPr="00155FA1">
                              <w:t xml:space="preserve"> 7- 3</w:t>
                            </w:r>
                            <w:r w:rsidR="00880AD8">
                              <w:t>:</w:t>
                            </w:r>
                            <w:r w:rsidR="00C61B98">
                              <w:rPr>
                                <w:u w:val="none"/>
                              </w:rPr>
                              <w:tab/>
                            </w:r>
                            <w:r w:rsidRPr="0028762A">
                              <w:rPr>
                                <w:u w:val="none"/>
                              </w:rPr>
                              <w:t xml:space="preserve"> Recurrence Frequencies of 28 Definitional Elements that Co-occur in Public Figures’ Statements about Terrorism and State’s Domestic Legislation on Terrorism</w:t>
                            </w:r>
                            <w:bookmarkEnd w:id="79"/>
                            <w:bookmarkEnd w:id="80"/>
                          </w:p>
                          <w:p w14:paraId="1017EB8D" w14:textId="77777777" w:rsidR="00D03C79" w:rsidRPr="0028762A" w:rsidRDefault="00D03C79" w:rsidP="00F85A92">
                            <w:pPr>
                              <w:pStyle w:val="DissertationFigureCaption"/>
                              <w:rPr>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C164CDE" id="Text Box 2" o:spid="_x0000_s1027" type="#_x0000_t202" style="position:absolute;left:0;text-align:left;margin-left:.3pt;margin-top:408pt;width:466.85pt;height:3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" filled="f" stroked="f" strokeweight=".5pt">
                <v:textbox>
                  <w:txbxContent>
                    <w:p w14:paraId="0D585094" w14:textId="4D66C8FE" w:rsidR="00D03C79" w:rsidRPr="0028762A" w:rsidRDefault="00D03C79" w:rsidP="00F85A92">
                      <w:pPr>
                        <w:pStyle w:val="DissertationFigureCaption"/>
                        <w:rPr>
                          <w:u w:val="none"/>
                        </w:rPr>
                      </w:pPr>
                      <w:bookmarkStart w:id="83" w:name="_Toc168415561"/>
                      <w:bookmarkStart w:id="84" w:name="_Toc175413243"/>
                      <w:r w:rsidRPr="00155FA1">
                        <w:t>Fi</w:t>
                      </w:r>
                      <w:r w:rsidR="0028762A">
                        <w:t>gure</w:t>
                      </w:r>
                      <w:r w:rsidRPr="00155FA1">
                        <w:t xml:space="preserve"> 7- 3</w:t>
                      </w:r>
                      <w:r w:rsidR="00880AD8">
                        <w:t>:</w:t>
                      </w:r>
                      <w:r w:rsidR="00C61B98">
                        <w:rPr>
                          <w:u w:val="none"/>
                        </w:rPr>
                        <w:tab/>
                      </w:r>
                      <w:r w:rsidRPr="0028762A">
                        <w:rPr>
                          <w:u w:val="none"/>
                        </w:rPr>
                        <w:t xml:space="preserve"> Recurrence Frequencies of 28 Definitional Elements that Co-occur in Public Figures’ Statements about Terrorism and State’s Domestic Legislation on Terrorism</w:t>
                      </w:r>
                      <w:bookmarkEnd w:id="83"/>
                      <w:bookmarkEnd w:id="84"/>
                    </w:p>
                    <w:p w14:paraId="1017EB8D" w14:textId="77777777" w:rsidR="00D03C79" w:rsidRPr="0028762A" w:rsidRDefault="00D03C79" w:rsidP="00F85A92">
                      <w:pPr>
                        <w:pStyle w:val="DissertationFigureCaption"/>
                        <w:rPr>
                          <w:u w:val="none"/>
                        </w:rPr>
                      </w:pPr>
                    </w:p>
                  </w:txbxContent>
                </v:textbox>
              </v:shape>
            </w:pict>
          </mc:Fallback>
        </mc:AlternateContent>
      </w:r>
      <w:r w:rsidRPr="00155FA1">
        <w:rPr>
          <w:noProof/>
          <w:sz w:val="20"/>
          <w:szCs w:val="20"/>
        </w:rPr>
        <w:drawing>
          <wp:anchor distT="0" distB="0" distL="114300" distR="114300" simplePos="0" relativeHeight="251664384" behindDoc="1" locked="0" layoutInCell="1" allowOverlap="1" wp14:anchorId="582342F6" wp14:editId="02C55331">
            <wp:simplePos x="0" y="0"/>
            <wp:positionH relativeFrom="column">
              <wp:posOffset>0</wp:posOffset>
            </wp:positionH>
            <wp:positionV relativeFrom="paragraph">
              <wp:posOffset>1667510</wp:posOffset>
            </wp:positionV>
            <wp:extent cx="5928995" cy="3517900"/>
            <wp:effectExtent l="0" t="0" r="14605" b="12700"/>
            <wp:wrapTight wrapText="bothSides">
              <wp:wrapPolygon edited="0">
                <wp:start x="0" y="0"/>
                <wp:lineTo x="0" y="21600"/>
                <wp:lineTo x="21607" y="21600"/>
                <wp:lineTo x="21607"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2915BC" w:rsidRPr="00155FA1">
        <w:t xml:space="preserve">To rectify this oversight, I use the methodology outlined in Chapter 3 (and used earlier in this chapter) to determine which of the 28 definitional elements public figures prioritize when making public statements in the aftermath of significant terrorist incidents. This leads to my initial identification of four elements (Element [27] - </w:t>
      </w:r>
      <w:r w:rsidR="002915BC" w:rsidRPr="00155FA1">
        <w:rPr>
          <w:i/>
          <w:iCs/>
        </w:rPr>
        <w:t>public; general population;</w:t>
      </w:r>
      <w:r w:rsidR="002915BC" w:rsidRPr="00155FA1">
        <w:t xml:space="preserve"> Element [8] – </w:t>
      </w:r>
      <w:r w:rsidR="002915BC" w:rsidRPr="00155FA1">
        <w:rPr>
          <w:i/>
          <w:iCs/>
        </w:rPr>
        <w:t xml:space="preserve">extranormality; </w:t>
      </w:r>
      <w:r w:rsidR="002915BC" w:rsidRPr="00155FA1">
        <w:t xml:space="preserve">Element [26] – </w:t>
      </w:r>
      <w:r w:rsidR="002915BC" w:rsidRPr="00155FA1">
        <w:rPr>
          <w:i/>
          <w:iCs/>
        </w:rPr>
        <w:t xml:space="preserve">state; country; national; and </w:t>
      </w:r>
      <w:r w:rsidR="002915BC" w:rsidRPr="00155FA1">
        <w:t>Element [4]</w:t>
      </w:r>
      <w:r w:rsidR="002915BC" w:rsidRPr="00155FA1">
        <w:rPr>
          <w:i/>
          <w:iCs/>
        </w:rPr>
        <w:t xml:space="preserve"> - physical injury; homicide; death of a victim</w:t>
      </w:r>
      <w:r w:rsidR="002915BC" w:rsidRPr="00155FA1">
        <w:t>) that recur with greater than 20 percent frequency.</w:t>
      </w:r>
      <w:r w:rsidR="002915BC" w:rsidRPr="00155FA1">
        <w:rPr>
          <w:rStyle w:val="FootnoteReference"/>
        </w:rPr>
        <w:footnoteReference w:id="494"/>
      </w:r>
      <w:r w:rsidR="002915BC" w:rsidRPr="00155FA1">
        <w:t xml:space="preserve"> Then, I determine which of the definitional elements used by a given state’s officials overlap with the definition of terrorism cited in its domestic legislation. The results of this process are depicted in Figure 7-3, below.</w:t>
      </w:r>
    </w:p>
    <w:p w14:paraId="3E29B00C" w14:textId="77777777" w:rsidR="00D03C79" w:rsidRDefault="00D03C79" w:rsidP="002915BC">
      <w:pPr>
        <w:pStyle w:val="NormalWeb"/>
        <w:spacing w:before="0" w:beforeAutospacing="0" w:after="120" w:afterAutospacing="0"/>
      </w:pPr>
    </w:p>
    <w:p w14:paraId="3E76E3C2" w14:textId="77777777" w:rsidR="00E14878" w:rsidRDefault="00E14878" w:rsidP="002915BC">
      <w:pPr>
        <w:pStyle w:val="NormalWeb"/>
        <w:spacing w:before="0" w:beforeAutospacing="0" w:after="120" w:afterAutospacing="0"/>
      </w:pPr>
    </w:p>
    <w:p w14:paraId="66DE5E56" w14:textId="46DD9A57" w:rsidR="002915BC" w:rsidRPr="00155FA1" w:rsidRDefault="002915BC" w:rsidP="002915BC">
      <w:pPr>
        <w:pStyle w:val="NormalWeb"/>
        <w:spacing w:before="0" w:beforeAutospacing="0" w:after="120" w:afterAutospacing="0"/>
      </w:pPr>
      <w:r w:rsidRPr="00155FA1">
        <w:t xml:space="preserve">The definitional element that co-occurs in public figures’ statements and domestic legislation in the individual United Nations member states surveyed with the highest frequency is Element [27] - </w:t>
      </w:r>
      <w:r w:rsidRPr="00155FA1">
        <w:rPr>
          <w:i/>
          <w:iCs/>
        </w:rPr>
        <w:t>public; general population</w:t>
      </w:r>
      <w:r w:rsidRPr="00155FA1">
        <w:t xml:space="preserve">. The definitional element that co-occurs with the second highest frequency is Element [8] – </w:t>
      </w:r>
      <w:r w:rsidRPr="00155FA1">
        <w:rPr>
          <w:i/>
          <w:iCs/>
        </w:rPr>
        <w:t>extranormality</w:t>
      </w:r>
      <w:r w:rsidRPr="00155FA1">
        <w:t xml:space="preserve">, followed by Element [26] – </w:t>
      </w:r>
      <w:r w:rsidRPr="00155FA1">
        <w:rPr>
          <w:i/>
          <w:iCs/>
        </w:rPr>
        <w:t>state; country; national</w:t>
      </w:r>
      <w:r w:rsidRPr="00155FA1">
        <w:t xml:space="preserve">. The abovementioned definitional elements are the only three elements with co-occurrence frequencies that meet the 20-percent inclusion threshold established above. Thus, based on analysis of the overlapping definitional elements in the policy and state practice definitions of terrorism associated with the relevant states depicted in Figure 7-3, above, the </w:t>
      </w:r>
      <w:r w:rsidRPr="00155FA1">
        <w:rPr>
          <w:i/>
          <w:iCs/>
        </w:rPr>
        <w:t xml:space="preserve">de minimis </w:t>
      </w:r>
      <w:r w:rsidRPr="00155FA1">
        <w:t xml:space="preserve">definition of terrorism that takes into account both a state’s conduct and its legislative policy </w:t>
      </w:r>
      <w:r w:rsidRPr="00155FA1">
        <w:lastRenderedPageBreak/>
        <w:t xml:space="preserve">(henceforth, the </w:t>
      </w:r>
      <w:r w:rsidRPr="00155FA1">
        <w:rPr>
          <w:i/>
          <w:iCs/>
        </w:rPr>
        <w:t xml:space="preserve">de minimis </w:t>
      </w:r>
      <w:r w:rsidRPr="00155FA1">
        <w:t>state</w:t>
      </w:r>
      <w:r w:rsidRPr="00155FA1">
        <w:rPr>
          <w:i/>
          <w:iCs/>
        </w:rPr>
        <w:t xml:space="preserve"> </w:t>
      </w:r>
      <w:r w:rsidRPr="00155FA1">
        <w:t xml:space="preserve">definition of terrorism) constitutes </w:t>
      </w:r>
      <w:r w:rsidRPr="00155FA1">
        <w:rPr>
          <w:i/>
          <w:iCs/>
        </w:rPr>
        <w:t>extra-normative action against the general population that ultimately targets the state</w:t>
      </w:r>
      <w:r w:rsidRPr="00155FA1">
        <w:t>.</w:t>
      </w:r>
      <w:r w:rsidRPr="00155FA1">
        <w:rPr>
          <w:rStyle w:val="FootnoteReference"/>
        </w:rPr>
        <w:footnoteReference w:id="495"/>
      </w:r>
    </w:p>
    <w:p w14:paraId="7BD5F9B5" w14:textId="77777777" w:rsidR="002915BC" w:rsidRPr="00155FA1" w:rsidRDefault="002915BC" w:rsidP="002915BC">
      <w:pPr>
        <w:pStyle w:val="NormalWeb"/>
        <w:spacing w:before="0" w:beforeAutospacing="0" w:after="120" w:afterAutospacing="0"/>
        <w:ind w:firstLine="720"/>
      </w:pPr>
      <w:r w:rsidRPr="00155FA1">
        <w:t xml:space="preserve">Here, I must note that the limitations associated with this analysis. Only 34 of 193 United Nations member states (put differently, 17.61% of the United Nations total membership) are represented in this analysis. Additionally, certain states are represented by multiple (different) statements made by different public figures. Moreover, statements analyzed were made at different times in the wake of the relevant terrorist incident, and thus reflect the ways that investigations into the relevant incident had evolved up until that point. To that end, the official statements I analyzed to provide evidence for my proposed </w:t>
      </w:r>
      <w:r w:rsidRPr="00155FA1">
        <w:rPr>
          <w:i/>
          <w:iCs/>
        </w:rPr>
        <w:t xml:space="preserve">de minimis </w:t>
      </w:r>
      <w:r w:rsidRPr="00155FA1">
        <w:t>definition of terrorism implicit to</w:t>
      </w:r>
      <w:r w:rsidRPr="00155FA1">
        <w:rPr>
          <w:i/>
          <w:iCs/>
        </w:rPr>
        <w:t xml:space="preserve"> </w:t>
      </w:r>
      <w:r w:rsidRPr="00155FA1">
        <w:t xml:space="preserve">state </w:t>
      </w:r>
      <w:r w:rsidRPr="00155FA1">
        <w:rPr>
          <w:i/>
          <w:iCs/>
        </w:rPr>
        <w:t xml:space="preserve">conduct </w:t>
      </w:r>
      <w:r w:rsidRPr="00155FA1">
        <w:t xml:space="preserve">are not directly comparable with one another. Notwithstanding, comparing each of these 34 countries’ state practice definitions of terrorism with their counterparts in domestic state legislation (and thereby generating my proposed </w:t>
      </w:r>
      <w:r w:rsidRPr="00155FA1">
        <w:rPr>
          <w:i/>
          <w:iCs/>
        </w:rPr>
        <w:t xml:space="preserve">de minimis </w:t>
      </w:r>
      <w:r w:rsidRPr="00155FA1">
        <w:t>state</w:t>
      </w:r>
      <w:r w:rsidRPr="00155FA1">
        <w:rPr>
          <w:i/>
          <w:iCs/>
        </w:rPr>
        <w:t xml:space="preserve"> </w:t>
      </w:r>
      <w:r w:rsidRPr="00155FA1">
        <w:t>definition of terrorism) provides some understanding as to the extent to which ‘talk and action’ differ in the context of the state’s perspective on terrorism when the abovementioned caveats are taken into consideration.</w:t>
      </w:r>
      <w:r w:rsidRPr="00155FA1">
        <w:rPr>
          <w:rStyle w:val="FootnoteReference"/>
        </w:rPr>
        <w:footnoteReference w:id="496"/>
      </w:r>
      <w:r w:rsidRPr="00155FA1">
        <w:t xml:space="preserve"> </w:t>
      </w:r>
    </w:p>
    <w:p w14:paraId="5AD9873E" w14:textId="77777777" w:rsidR="002915BC" w:rsidRPr="00155FA1" w:rsidRDefault="002915BC" w:rsidP="002915BC">
      <w:pPr>
        <w:pStyle w:val="NormalWeb"/>
        <w:spacing w:before="0" w:beforeAutospacing="0" w:after="120" w:afterAutospacing="0"/>
        <w:ind w:firstLine="720"/>
      </w:pPr>
      <w:r w:rsidRPr="00155FA1">
        <w:t xml:space="preserve">In practice, how does the </w:t>
      </w:r>
      <w:r w:rsidRPr="00155FA1">
        <w:rPr>
          <w:i/>
          <w:iCs/>
        </w:rPr>
        <w:t>de minimis</w:t>
      </w:r>
      <w:r w:rsidRPr="00155FA1">
        <w:t xml:space="preserve"> state definition of terrorism compare to the </w:t>
      </w:r>
      <w:r w:rsidRPr="00155FA1">
        <w:rPr>
          <w:i/>
          <w:iCs/>
        </w:rPr>
        <w:t xml:space="preserve">de minimis </w:t>
      </w:r>
      <w:r w:rsidRPr="00155FA1">
        <w:t xml:space="preserve">policy definition of terrorism outlined here? Moreover, how does the </w:t>
      </w:r>
      <w:r w:rsidRPr="00155FA1">
        <w:rPr>
          <w:i/>
          <w:iCs/>
        </w:rPr>
        <w:t>de minimis</w:t>
      </w:r>
      <w:r w:rsidRPr="00155FA1">
        <w:t xml:space="preserve"> state definition of terrorism compare to my </w:t>
      </w:r>
      <w:r w:rsidRPr="00155FA1">
        <w:rPr>
          <w:i/>
          <w:iCs/>
        </w:rPr>
        <w:t>de minimis</w:t>
      </w:r>
      <w:r w:rsidRPr="00155FA1">
        <w:t xml:space="preserve"> media coverage definition of terrorism?  To answer these questions, I must first increase the definitional element inclusion threshold associated with my policy and media coverage definitions to 20-percent to match the threshold associated with my </w:t>
      </w:r>
      <w:r w:rsidRPr="00155FA1">
        <w:rPr>
          <w:i/>
          <w:iCs/>
        </w:rPr>
        <w:t xml:space="preserve">de minimis </w:t>
      </w:r>
      <w:r w:rsidRPr="00155FA1">
        <w:t>state definition of terrorism.</w:t>
      </w:r>
      <w:r w:rsidRPr="00155FA1">
        <w:rPr>
          <w:rStyle w:val="FootnoteReference"/>
        </w:rPr>
        <w:footnoteReference w:id="497"/>
      </w:r>
      <w:r w:rsidRPr="00155FA1">
        <w:t xml:space="preserve"> At this inclusion threshold, all three definitional elements present in my </w:t>
      </w:r>
      <w:r w:rsidRPr="00155FA1">
        <w:rPr>
          <w:i/>
          <w:iCs/>
        </w:rPr>
        <w:t>de minimis</w:t>
      </w:r>
      <w:r w:rsidRPr="00155FA1">
        <w:t xml:space="preserve"> state definition of terrorism (Element [27] – </w:t>
      </w:r>
      <w:r w:rsidRPr="00155FA1">
        <w:rPr>
          <w:i/>
          <w:iCs/>
        </w:rPr>
        <w:t>public; general population</w:t>
      </w:r>
      <w:r w:rsidRPr="00155FA1">
        <w:t xml:space="preserve">; Element [26] – </w:t>
      </w:r>
      <w:r w:rsidRPr="00155FA1">
        <w:rPr>
          <w:i/>
          <w:iCs/>
        </w:rPr>
        <w:t>state; country; national</w:t>
      </w:r>
      <w:r w:rsidRPr="00155FA1">
        <w:t xml:space="preserve">; Element [8] – </w:t>
      </w:r>
      <w:r w:rsidRPr="00155FA1">
        <w:rPr>
          <w:i/>
          <w:iCs/>
        </w:rPr>
        <w:t>extranormality</w:t>
      </w:r>
      <w:r w:rsidRPr="00155FA1">
        <w:t xml:space="preserve">) are included in my policy definition of terrorism. It is of note that at the 20-percent inclusion threshold, my policy definition also encompasses an additional 18 definitional elements that do not present in my </w:t>
      </w:r>
      <w:r w:rsidRPr="00155FA1">
        <w:rPr>
          <w:i/>
          <w:iCs/>
        </w:rPr>
        <w:t>de minimis</w:t>
      </w:r>
      <w:r w:rsidRPr="00155FA1">
        <w:t xml:space="preserve"> state definition of terrorism.</w:t>
      </w:r>
      <w:r w:rsidRPr="00155FA1">
        <w:rPr>
          <w:rStyle w:val="FootnoteReference"/>
        </w:rPr>
        <w:footnoteReference w:id="498"/>
      </w:r>
      <w:r w:rsidRPr="00155FA1">
        <w:t xml:space="preserve"> Moreover, Element [27] – </w:t>
      </w:r>
      <w:r w:rsidRPr="00155FA1">
        <w:rPr>
          <w:i/>
          <w:iCs/>
        </w:rPr>
        <w:t>public; general population</w:t>
      </w:r>
      <w:r w:rsidRPr="00155FA1">
        <w:t xml:space="preserve"> occurs with the highest frequency in the analyses used to derive both my </w:t>
      </w:r>
      <w:r w:rsidRPr="00155FA1">
        <w:rPr>
          <w:i/>
          <w:iCs/>
        </w:rPr>
        <w:t xml:space="preserve">de minimis </w:t>
      </w:r>
      <w:r w:rsidRPr="00155FA1">
        <w:t xml:space="preserve">state definition of terrorism and my </w:t>
      </w:r>
      <w:r w:rsidRPr="00155FA1">
        <w:rPr>
          <w:i/>
          <w:iCs/>
        </w:rPr>
        <w:t>de minimis</w:t>
      </w:r>
      <w:r w:rsidRPr="00155FA1">
        <w:t xml:space="preserve"> policy definition of terrorism, presenting with a 58.82% frequency across the 34 definitions implicit to state conduct, and an 85.29% frequency across these states’ corresponding policy definitions. </w:t>
      </w:r>
    </w:p>
    <w:p w14:paraId="66264457" w14:textId="29C06498" w:rsidR="002915BC" w:rsidRPr="00155FA1" w:rsidRDefault="002915BC" w:rsidP="002915BC">
      <w:pPr>
        <w:pStyle w:val="NormalWeb"/>
        <w:spacing w:before="0" w:beforeAutospacing="0" w:after="120" w:afterAutospacing="0"/>
        <w:ind w:firstLine="720"/>
      </w:pPr>
      <w:r w:rsidRPr="00155FA1">
        <w:t xml:space="preserve">As established above, the </w:t>
      </w:r>
      <w:r w:rsidRPr="00155FA1">
        <w:rPr>
          <w:i/>
          <w:iCs/>
        </w:rPr>
        <w:t>de minimis</w:t>
      </w:r>
      <w:r w:rsidRPr="00155FA1">
        <w:t xml:space="preserve"> policy definition of terrorism contains all of the elements associated with the </w:t>
      </w:r>
      <w:r w:rsidRPr="00155FA1">
        <w:rPr>
          <w:i/>
          <w:iCs/>
        </w:rPr>
        <w:t>de minimis</w:t>
      </w:r>
      <w:r w:rsidRPr="00155FA1">
        <w:t xml:space="preserve"> state definition of terrorism. However, this congruence is not reflected when the </w:t>
      </w:r>
      <w:r w:rsidRPr="00155FA1">
        <w:rPr>
          <w:i/>
          <w:iCs/>
        </w:rPr>
        <w:t>de minimis</w:t>
      </w:r>
      <w:r w:rsidRPr="00155FA1">
        <w:t xml:space="preserve"> media coverage definition of terrorism is compared to the </w:t>
      </w:r>
      <w:r w:rsidRPr="00155FA1">
        <w:rPr>
          <w:i/>
          <w:iCs/>
        </w:rPr>
        <w:t>de minimis</w:t>
      </w:r>
      <w:r w:rsidRPr="00155FA1">
        <w:t xml:space="preserve"> state definition of terrorism. This is important because, in the context of my sample, it </w:t>
      </w:r>
      <w:r w:rsidRPr="00155FA1">
        <w:lastRenderedPageBreak/>
        <w:t xml:space="preserve">suggests that media reporting on terrorism (which influences public understanding of what terrorism </w:t>
      </w:r>
      <w:r w:rsidRPr="00081228">
        <w:rPr>
          <w:i/>
          <w:iCs/>
        </w:rPr>
        <w:t>is</w:t>
      </w:r>
      <w:r w:rsidRPr="00155FA1">
        <w:t xml:space="preserve">) </w:t>
      </w:r>
      <w:r w:rsidR="00081228">
        <w:t>does not emphasize the same underlying features of terrorism as</w:t>
      </w:r>
      <w:r w:rsidRPr="00155FA1">
        <w:t xml:space="preserve"> the people perceived as speaking </w:t>
      </w:r>
      <w:r w:rsidR="00081228">
        <w:t>on behalf of</w:t>
      </w:r>
      <w:r w:rsidRPr="00155FA1">
        <w:t xml:space="preserve"> the country</w:t>
      </w:r>
      <w:r w:rsidR="00081228">
        <w:t>.</w:t>
      </w:r>
      <w:r w:rsidRPr="00155FA1">
        <w:t xml:space="preserve"> </w:t>
      </w:r>
      <w:r w:rsidR="00081228">
        <w:t xml:space="preserve">This sends conflicting messages to the public, in terms of what </w:t>
      </w:r>
      <w:r w:rsidRPr="00155FA1">
        <w:t xml:space="preserve">the country’s government </w:t>
      </w:r>
      <w:r w:rsidR="00081228">
        <w:t>considers the important features of terrorism</w:t>
      </w:r>
      <w:r w:rsidRPr="00155FA1">
        <w:t xml:space="preserve">. Only one of the three definitional elements included in the </w:t>
      </w:r>
      <w:r w:rsidRPr="00155FA1">
        <w:rPr>
          <w:i/>
          <w:iCs/>
        </w:rPr>
        <w:t xml:space="preserve">de minimis </w:t>
      </w:r>
      <w:r w:rsidRPr="00155FA1">
        <w:t>state</w:t>
      </w:r>
      <w:r w:rsidRPr="00155FA1">
        <w:rPr>
          <w:i/>
          <w:iCs/>
        </w:rPr>
        <w:t xml:space="preserve"> </w:t>
      </w:r>
      <w:r w:rsidRPr="00155FA1">
        <w:t xml:space="preserve">definition of terrorism (Element [27] – </w:t>
      </w:r>
      <w:r w:rsidRPr="00155FA1">
        <w:rPr>
          <w:i/>
          <w:iCs/>
        </w:rPr>
        <w:t>public; general population</w:t>
      </w:r>
      <w:r w:rsidRPr="00155FA1">
        <w:t xml:space="preserve">) co-occurs in the </w:t>
      </w:r>
      <w:r w:rsidRPr="00155FA1">
        <w:rPr>
          <w:i/>
          <w:iCs/>
        </w:rPr>
        <w:t xml:space="preserve">de minimis </w:t>
      </w:r>
      <w:r w:rsidRPr="00155FA1">
        <w:t xml:space="preserve">media coverage definition of terrorism. Moreover, my media coverage definition of terrorism actually expands upon (and, in doing so, makes more specific) </w:t>
      </w:r>
      <w:r w:rsidRPr="00155FA1">
        <w:rPr>
          <w:i/>
          <w:iCs/>
        </w:rPr>
        <w:t>what actually constitutes terrorism</w:t>
      </w:r>
      <w:r w:rsidRPr="00155FA1">
        <w:t xml:space="preserve"> by including 13 additional elements at the twenty percent inclusion threshold that do not co-occur in my state practice definition.</w:t>
      </w:r>
      <w:r w:rsidRPr="00155FA1">
        <w:rPr>
          <w:rStyle w:val="FootnoteReference"/>
        </w:rPr>
        <w:footnoteReference w:id="499"/>
      </w:r>
    </w:p>
    <w:p w14:paraId="7F2E3747" w14:textId="715A7C5F" w:rsidR="002915BC" w:rsidRPr="00F85A92" w:rsidRDefault="002915BC" w:rsidP="00F85A92">
      <w:pPr>
        <w:pStyle w:val="NormalWeb"/>
        <w:spacing w:before="0" w:beforeAutospacing="0" w:after="120" w:afterAutospacing="0"/>
        <w:ind w:firstLine="720"/>
      </w:pPr>
      <w:r w:rsidRPr="00155FA1">
        <w:t xml:space="preserve">The analysis of the definitions of terrorism associated with 34 states’ conduct surveyed here suggest that the manner in which terrorism is implicitly defined by state conduct (through states officials’ public statements) does not necessarily reflect the way that domestic state legislation implicitly defines terrorism. More significantly, this analysis highlights that the media coverage definition of terrorism does </w:t>
      </w:r>
      <w:r w:rsidRPr="00155FA1">
        <w:rPr>
          <w:i/>
          <w:iCs/>
        </w:rPr>
        <w:t>not</w:t>
      </w:r>
      <w:r w:rsidRPr="00155FA1">
        <w:t xml:space="preserve"> explicitly define terrorism on the basis of the state as the ultimate target of terrorism. Specifically, while Element [26] (state, country, national) is present in both the </w:t>
      </w:r>
      <w:r w:rsidRPr="00155FA1">
        <w:rPr>
          <w:i/>
          <w:iCs/>
        </w:rPr>
        <w:t xml:space="preserve">de minimis </w:t>
      </w:r>
      <w:r w:rsidRPr="00155FA1">
        <w:t xml:space="preserve">policy definition and the </w:t>
      </w:r>
      <w:r w:rsidRPr="00155FA1">
        <w:rPr>
          <w:i/>
          <w:iCs/>
        </w:rPr>
        <w:t xml:space="preserve">de minimis </w:t>
      </w:r>
      <w:r w:rsidRPr="00155FA1">
        <w:t xml:space="preserve">state definition, it is not present in the </w:t>
      </w:r>
      <w:r w:rsidRPr="00155FA1">
        <w:rPr>
          <w:i/>
          <w:iCs/>
        </w:rPr>
        <w:t>de minimis</w:t>
      </w:r>
      <w:r w:rsidRPr="00155FA1">
        <w:t xml:space="preserve"> media coverage definition at the 20-percent inclusion threshold. This suggests that the blame that scholars who view the media as “‘culpable,’ [and] instrumental to terrorism” misattribute the blame that they place on media coverage for the consequences of terrorist incidents.</w:t>
      </w:r>
      <w:r w:rsidRPr="00155FA1">
        <w:rPr>
          <w:rStyle w:val="FootnoteReference"/>
        </w:rPr>
        <w:footnoteReference w:id="500"/>
      </w:r>
      <w:r w:rsidRPr="00155FA1">
        <w:t xml:space="preserve"> The media is neither “pro-terrorist” nor “anti-terrorist”; media coverage merely reports on newsworthy events and occurrences, which necessarily include a significant number of repetitive citations of statements made by state officials in response to events that have occurred.</w:t>
      </w:r>
      <w:r w:rsidRPr="00155FA1">
        <w:rPr>
          <w:rStyle w:val="FootnoteReference"/>
        </w:rPr>
        <w:footnoteReference w:id="501"/>
      </w:r>
      <w:r w:rsidRPr="00155FA1">
        <w:t xml:space="preserve"> Thus, states (through the public figures that derive authority from their official capacity related to a specific country) have re-affirmed terrorists as a significant adversary given how their statements about terrorist incidents serve to situate and frame terrorism in the context of the international system. Put simply, states have created their own asserted worst enemy as a result of the framing that contextualizes the official discourse on terrorism.</w:t>
      </w:r>
    </w:p>
    <w:p w14:paraId="2B0B8931" w14:textId="77777777" w:rsidR="002915BC" w:rsidRPr="00155FA1" w:rsidRDefault="002915BC" w:rsidP="00787123">
      <w:pPr>
        <w:pStyle w:val="DissertationSection1"/>
      </w:pPr>
      <w:bookmarkStart w:id="81" w:name="_Toc175413160"/>
      <w:r w:rsidRPr="00155FA1">
        <w:t>Conclusion</w:t>
      </w:r>
      <w:bookmarkEnd w:id="81"/>
    </w:p>
    <w:p w14:paraId="749AF3F1" w14:textId="77777777" w:rsidR="002915BC" w:rsidRPr="00155FA1" w:rsidRDefault="002915BC" w:rsidP="002915BC">
      <w:pPr>
        <w:pStyle w:val="NormalWeb"/>
        <w:spacing w:before="0" w:beforeAutospacing="0" w:after="120" w:afterAutospacing="0"/>
        <w:ind w:firstLine="720"/>
      </w:pPr>
      <w:r w:rsidRPr="00155FA1">
        <w:t xml:space="preserve">Although terrorism does </w:t>
      </w:r>
      <w:r w:rsidRPr="00155FA1">
        <w:rPr>
          <w:i/>
          <w:iCs/>
        </w:rPr>
        <w:t>not</w:t>
      </w:r>
      <w:r w:rsidRPr="00155FA1">
        <w:t xml:space="preserve">, on its own, have a measurable effect on international (state) legitimacy, the media coverage of terrorism </w:t>
      </w:r>
      <w:r w:rsidRPr="00155FA1">
        <w:rPr>
          <w:i/>
          <w:iCs/>
        </w:rPr>
        <w:t>does</w:t>
      </w:r>
      <w:r w:rsidRPr="00155FA1">
        <w:t xml:space="preserve"> have a detrimental effect on international (state) legitimacy. In this chapter, I expand on this idea, premised on my hypothesis that </w:t>
      </w:r>
      <w:r w:rsidRPr="00155FA1">
        <w:rPr>
          <w:i/>
          <w:iCs/>
        </w:rPr>
        <w:t>media coverage</w:t>
      </w:r>
      <w:r w:rsidRPr="00155FA1">
        <w:t xml:space="preserve"> is the key factor that enables terrorism to have a demonstrable effect on international (state) legitimacy. In exploring </w:t>
      </w:r>
      <w:r w:rsidRPr="00155FA1">
        <w:rPr>
          <w:i/>
          <w:iCs/>
        </w:rPr>
        <w:t>how</w:t>
      </w:r>
      <w:r w:rsidRPr="00155FA1">
        <w:t xml:space="preserve"> the media coverage of terrorism detracts from the international legitimacy of the state as an institution, I construct four interconnected arguments. First, I derive a </w:t>
      </w:r>
      <w:r w:rsidRPr="00155FA1">
        <w:rPr>
          <w:i/>
          <w:iCs/>
        </w:rPr>
        <w:t>de minimis</w:t>
      </w:r>
      <w:r w:rsidRPr="00155FA1">
        <w:t xml:space="preserve"> definition of terrorism implicit within the media coverage supports the argument that terrorism is in direct opposition to state authority. In the context of the media coverage of terrorism, I suggest terrorism is </w:t>
      </w:r>
    </w:p>
    <w:p w14:paraId="778D47E7" w14:textId="556D4593" w:rsidR="002915BC" w:rsidRPr="00155FA1" w:rsidRDefault="002915BC" w:rsidP="002915BC">
      <w:pPr>
        <w:pStyle w:val="NormalWeb"/>
        <w:spacing w:before="0" w:beforeAutospacing="0" w:after="120" w:afterAutospacing="0"/>
        <w:ind w:left="720"/>
      </w:pPr>
      <w:r w:rsidRPr="00155FA1">
        <w:rPr>
          <w:i/>
          <w:iCs/>
        </w:rPr>
        <w:lastRenderedPageBreak/>
        <w:t xml:space="preserve">the intentional targeting of the general population in order to generate news or garner publicity. (This can include, but is not limited to, perpetrating homicide, other actions that result in physical injury or death to </w:t>
      </w:r>
      <w:r w:rsidR="00981E41" w:rsidRPr="00155FA1">
        <w:rPr>
          <w:i/>
          <w:iCs/>
        </w:rPr>
        <w:t>persons and</w:t>
      </w:r>
      <w:r w:rsidRPr="00155FA1">
        <w:rPr>
          <w:i/>
          <w:iCs/>
        </w:rPr>
        <w:t xml:space="preserve"> damaging or destroying property.)</w:t>
      </w:r>
      <w:r w:rsidRPr="00155FA1">
        <w:t xml:space="preserve"> </w:t>
      </w:r>
    </w:p>
    <w:p w14:paraId="020C63BB" w14:textId="77777777" w:rsidR="002915BC" w:rsidRPr="009529AA" w:rsidRDefault="002915BC" w:rsidP="002915BC">
      <w:pPr>
        <w:pStyle w:val="NormalWeb"/>
        <w:spacing w:before="0" w:beforeAutospacing="0" w:after="120" w:afterAutospacing="0"/>
      </w:pPr>
      <w:r w:rsidRPr="00155FA1">
        <w:t xml:space="preserve">Second, I use cooccurrence frequencies associated with positive and negative bias towards terrorism, and towards the state to support the argument that terrorists and state necessarily </w:t>
      </w:r>
      <w:r w:rsidRPr="00155FA1">
        <w:rPr>
          <w:i/>
          <w:iCs/>
        </w:rPr>
        <w:t xml:space="preserve">compete </w:t>
      </w:r>
      <w:r w:rsidRPr="00155FA1">
        <w:t xml:space="preserve">with one another for the same overarching type of authority. Third, I analyze frames that the media coverage of terrorism tends to employ in reporting terrorism. This analysis facilitates my contention that the way that the media covers terrorism suggests some equivalence between terrorists and states in the context of the </w:t>
      </w:r>
      <w:r w:rsidRPr="00155FA1">
        <w:rPr>
          <w:color w:val="000000" w:themeColor="text1"/>
        </w:rPr>
        <w:t xml:space="preserve">international system. Fourth, I propose that states have created their own asserted worst enemy in terrorists based on analyzing how public figures’ statements suggest that (perceived) state </w:t>
      </w:r>
      <w:r w:rsidRPr="00155FA1">
        <w:rPr>
          <w:i/>
          <w:iCs/>
          <w:color w:val="000000" w:themeColor="text1"/>
        </w:rPr>
        <w:t xml:space="preserve">conduct </w:t>
      </w:r>
      <w:r w:rsidRPr="00155FA1">
        <w:rPr>
          <w:color w:val="000000" w:themeColor="text1"/>
        </w:rPr>
        <w:t xml:space="preserve">implicitly defines terrorism. All told, these four claims together suggest that the media coverage of terrorism negatively affects international (state) legitimacy. By framing terrorism as necessarily manifesting in direct, diametric opposition to the state’s authority, media coverage of terrorism questions the state’s legitimacy. In the next chapter, I extend and demonstrate the relevance and import of the results presented in both this chapter (Chapter 7) and Chapter 6. This involves drawing policy-relevant conclusions from the interplay between the media coverage of terrorism and (state) legitimacy, and furthermore, suggesting policy recommendations that can contribute to global efforts to combat the threat posed by terrorism’s effect on international (state) legitimacy. </w:t>
      </w:r>
    </w:p>
    <w:p w14:paraId="2980FB36" w14:textId="4E08958D" w:rsidR="002915BC" w:rsidRDefault="002915BC">
      <w:pPr>
        <w:rPr>
          <w:rFonts w:cs="Times New Roman"/>
          <w:bCs/>
          <w:color w:val="000000" w:themeColor="text1"/>
        </w:rPr>
      </w:pPr>
      <w:r>
        <w:rPr>
          <w:rFonts w:cs="Times New Roman"/>
          <w:bCs/>
          <w:color w:val="000000" w:themeColor="text1"/>
        </w:rPr>
        <w:br w:type="page"/>
      </w:r>
    </w:p>
    <w:p w14:paraId="489181A8" w14:textId="7411C20A" w:rsidR="009A57BF" w:rsidRDefault="009A57BF" w:rsidP="0039518C">
      <w:pPr>
        <w:pStyle w:val="DissertationChapterName"/>
      </w:pPr>
      <w:bookmarkStart w:id="82" w:name="_Toc175413161"/>
      <w:r w:rsidRPr="00700A42">
        <w:lastRenderedPageBreak/>
        <w:t xml:space="preserve">Chapter 8 – </w:t>
      </w:r>
      <w:r w:rsidR="0049283C">
        <w:t xml:space="preserve">Existing </w:t>
      </w:r>
      <w:r w:rsidR="00FD5048">
        <w:t>Policies and Guidelines for Journalists</w:t>
      </w:r>
      <w:bookmarkEnd w:id="82"/>
    </w:p>
    <w:p w14:paraId="03036534" w14:textId="77777777" w:rsidR="00D03C79" w:rsidRPr="00700A42" w:rsidRDefault="00D03C79" w:rsidP="009A57BF">
      <w:pPr>
        <w:ind w:firstLine="720"/>
        <w:jc w:val="center"/>
        <w:rPr>
          <w:rFonts w:cs="Times New Roman"/>
          <w:b/>
          <w:bCs/>
        </w:rPr>
      </w:pPr>
    </w:p>
    <w:p w14:paraId="1127F016" w14:textId="1635F5A4" w:rsidR="009A57BF" w:rsidRPr="00700A42" w:rsidRDefault="009A57BF" w:rsidP="009A57BF">
      <w:pPr>
        <w:ind w:firstLine="720"/>
        <w:rPr>
          <w:rFonts w:cs="Times New Roman"/>
        </w:rPr>
      </w:pPr>
      <w:r w:rsidRPr="00700A42">
        <w:rPr>
          <w:rFonts w:cs="Times New Roman"/>
        </w:rPr>
        <w:t>As I establish in Chapter 5, extant scholarship on the purported connection between terrorism and the mass media (or media coverage) tends either to be premised on the notion of an inherent symbiosis between terrorists and the media, or to focus on answering the question of whether the media is partially “‘culpable’” for terrorists’ actions, or “’vulnerable’ – in effect, a victim itself of the manipulation of terrorists” that does not itself bear responsibility for the damage terrorism wreaks on society at large.</w:t>
      </w:r>
      <w:r w:rsidRPr="00700A42">
        <w:rPr>
          <w:rStyle w:val="FootnoteReference"/>
          <w:rFonts w:cs="Times New Roman"/>
        </w:rPr>
        <w:footnoteReference w:id="502"/>
      </w:r>
      <w:r w:rsidRPr="00700A42">
        <w:rPr>
          <w:rFonts w:cs="Times New Roman"/>
        </w:rPr>
        <w:t xml:space="preserve"> I diverge from these themes by providing </w:t>
      </w:r>
      <w:r w:rsidRPr="00700A42">
        <w:rPr>
          <w:rFonts w:cs="Times New Roman"/>
          <w:color w:val="000000" w:themeColor="text1"/>
        </w:rPr>
        <w:t>a comprehensive analysis of the integral role that media coverage plays in determining and exacerbating the threat that terrorism poses to the international system. Up</w:t>
      </w:r>
      <w:r w:rsidRPr="00700A42">
        <w:rPr>
          <w:rFonts w:cs="Times New Roman"/>
        </w:rPr>
        <w:t xml:space="preserve"> until this point (the penultimate chapter of this dissertation), I seek to establish that there is a negative correlation between the media coverage of terrorism and international (state) legitimacy. This is facilitated by both the quantitative (in Chapter 6) and mixed methods analyses (in Chapter 7), which I use to suggest both </w:t>
      </w:r>
      <w:r w:rsidRPr="00700A42">
        <w:rPr>
          <w:rFonts w:cs="Times New Roman"/>
          <w:i/>
          <w:iCs/>
        </w:rPr>
        <w:t xml:space="preserve">whether </w:t>
      </w:r>
      <w:r w:rsidRPr="00700A42">
        <w:rPr>
          <w:rFonts w:cs="Times New Roman"/>
        </w:rPr>
        <w:t xml:space="preserve">and </w:t>
      </w:r>
      <w:r w:rsidRPr="00700A42">
        <w:rPr>
          <w:rFonts w:cs="Times New Roman"/>
          <w:i/>
          <w:iCs/>
        </w:rPr>
        <w:t xml:space="preserve">how </w:t>
      </w:r>
      <w:r w:rsidRPr="00700A42">
        <w:rPr>
          <w:rFonts w:cs="Times New Roman"/>
        </w:rPr>
        <w:t xml:space="preserve">the media coverage of terrorism might exert the proposed detrimental impact on international (state) legitimacy. These analyses culminate </w:t>
      </w:r>
      <w:r w:rsidR="00981E41">
        <w:rPr>
          <w:rFonts w:cs="Times New Roman"/>
        </w:rPr>
        <w:t>with</w:t>
      </w:r>
      <w:r w:rsidRPr="00700A42">
        <w:rPr>
          <w:rFonts w:cs="Times New Roman"/>
        </w:rPr>
        <w:t xml:space="preserve"> my contention (in Chapter 7) that states and terrorists compete for the same type of authority, and moreover, that media coverage of terrorism might negatively affect international (state) legitimacy due to its implicit framing of terrorism as directly opposing state authority. </w:t>
      </w:r>
      <w:r w:rsidRPr="00700A42">
        <w:rPr>
          <w:rFonts w:cs="Times New Roman"/>
          <w:color w:val="000000" w:themeColor="text1"/>
        </w:rPr>
        <w:t xml:space="preserve">In order to interpret and apply this conclusion in a meaningful, policy-relevant manner, I must also examine existing policies related to how the media depicts terrorism and terrorists. Using policy analysis to extend the conclusions that I reach in Chapters 6 and 7 is integral to my ultimate aim in conceiving of and conducting the research presented in this dissertation, because </w:t>
      </w:r>
      <w:r w:rsidR="00981E41" w:rsidRPr="00700A42">
        <w:rPr>
          <w:rFonts w:cs="Times New Roman"/>
          <w:color w:val="000000" w:themeColor="text1"/>
        </w:rPr>
        <w:t>considering</w:t>
      </w:r>
      <w:r w:rsidRPr="00700A42">
        <w:rPr>
          <w:rFonts w:cs="Times New Roman"/>
          <w:color w:val="000000" w:themeColor="text1"/>
        </w:rPr>
        <w:t xml:space="preserve"> the effects – the successes and failures – of existing policy is the only effective way to ensure that my research has real-world implications. Put simply, determining what works and what does not work in policies that have already been implemented is the best way for me to ensure that the research I present in this dissertation can be used to improve (current) journalistic</w:t>
      </w:r>
      <w:r>
        <w:rPr>
          <w:rFonts w:cs="Times New Roman"/>
          <w:color w:val="000000" w:themeColor="text1"/>
        </w:rPr>
        <w:t xml:space="preserve"> and state</w:t>
      </w:r>
      <w:r w:rsidRPr="00700A42">
        <w:rPr>
          <w:rFonts w:cs="Times New Roman"/>
          <w:color w:val="000000" w:themeColor="text1"/>
        </w:rPr>
        <w:t xml:space="preserve"> practices pertaining to terrorism.</w:t>
      </w:r>
    </w:p>
    <w:p w14:paraId="33C45A1F" w14:textId="50E497C0" w:rsidR="00D03C79" w:rsidRPr="00E14878" w:rsidRDefault="009A57BF" w:rsidP="00E14878">
      <w:pPr>
        <w:ind w:firstLine="709"/>
        <w:rPr>
          <w:rFonts w:cs="Times New Roman"/>
          <w:color w:val="000000" w:themeColor="text1"/>
        </w:rPr>
      </w:pPr>
      <w:r w:rsidRPr="00700A42">
        <w:rPr>
          <w:rFonts w:cs="Times New Roman"/>
          <w:color w:val="000000" w:themeColor="text1"/>
        </w:rPr>
        <w:t xml:space="preserve">To facilitate my research’s policy applicability, I structure this chapter in the following manner. I begin with an overview of notable extant guidelines related to the production of journalism about terrorism. In particular, my review emphasizes guidelines that are endorsed by significant international actors. For example, countries (the United States), regional organizations (the Council of Europe) and international organizations (the United Nations Educational, Scientific and Cultural Organization – UNESCO). Then, </w:t>
      </w:r>
      <w:r w:rsidRPr="00700A42">
        <w:rPr>
          <w:rFonts w:cs="Times New Roman"/>
          <w:iCs/>
          <w:color w:val="000000" w:themeColor="text1"/>
        </w:rPr>
        <w:t xml:space="preserve">I discuss news agency style guides, and the role that they play in the news production process. Here, I identify the dearth of policy scholarship pertaining to terrorism that mentions style guides in any meaningful way. Furthermore, I identify and explain insights about the role of style guides (particularly style guides produced by reputable English-language international news agencies) play in informing news production offered in extant journalism and sociolinguistic scholarship. Finally, I compare and contrast the guidelines pertaining to terrorism in each of the style guides produced by the Associated Press (AP), </w:t>
      </w:r>
      <w:proofErr w:type="spellStart"/>
      <w:r w:rsidRPr="00700A42">
        <w:rPr>
          <w:rFonts w:cs="Times New Roman"/>
          <w:iCs/>
          <w:color w:val="000000" w:themeColor="text1"/>
        </w:rPr>
        <w:t>Agence</w:t>
      </w:r>
      <w:proofErr w:type="spellEnd"/>
      <w:r w:rsidRPr="00700A42">
        <w:rPr>
          <w:rFonts w:cs="Times New Roman"/>
          <w:iCs/>
          <w:color w:val="000000" w:themeColor="text1"/>
        </w:rPr>
        <w:t xml:space="preserve"> France-Presse (A</w:t>
      </w:r>
      <w:r w:rsidRPr="00700A42">
        <w:rPr>
          <w:rStyle w:val="PageNumber"/>
          <w:rFonts w:cs="Times New Roman"/>
        </w:rPr>
        <w:t>FP) and Reuters both to one another, and to the coverage of terrorism produced by each publication in the sampling frame examined in this dissertation (January 1, 2012 to December 31, 2018, inclusive</w:t>
      </w:r>
      <w:r w:rsidR="00981E41">
        <w:rPr>
          <w:rStyle w:val="PageNumber"/>
          <w:rFonts w:cs="Times New Roman"/>
        </w:rPr>
        <w:t>)</w:t>
      </w:r>
      <w:r w:rsidRPr="00700A42">
        <w:rPr>
          <w:rStyle w:val="PageNumber"/>
          <w:rFonts w:cs="Times New Roman"/>
        </w:rPr>
        <w:t>.</w:t>
      </w:r>
    </w:p>
    <w:p w14:paraId="2FC7F74D" w14:textId="77777777" w:rsidR="00E14878" w:rsidRDefault="00E14878">
      <w:pPr>
        <w:spacing w:before="0" w:after="0"/>
        <w:rPr>
          <w:rFonts w:cs="Times New Roman"/>
          <w:b/>
          <w:bCs/>
        </w:rPr>
      </w:pPr>
      <w:r>
        <w:br w:type="page"/>
      </w:r>
    </w:p>
    <w:p w14:paraId="56988624" w14:textId="31CA0FAC" w:rsidR="009A57BF" w:rsidRPr="00700A42" w:rsidRDefault="009A57BF" w:rsidP="00787123">
      <w:pPr>
        <w:pStyle w:val="DissertationSection1"/>
      </w:pPr>
      <w:bookmarkStart w:id="83" w:name="_Toc175413162"/>
      <w:r w:rsidRPr="00700A42">
        <w:lastRenderedPageBreak/>
        <w:t>Existing Policy Relating to the Media Coverage of Terrorism</w:t>
      </w:r>
      <w:bookmarkEnd w:id="83"/>
    </w:p>
    <w:p w14:paraId="345EF802" w14:textId="37F90BA3" w:rsidR="009A57BF" w:rsidRPr="00700A42" w:rsidRDefault="009A57BF" w:rsidP="009A57BF">
      <w:pPr>
        <w:ind w:firstLine="720"/>
        <w:rPr>
          <w:rFonts w:cs="Times New Roman"/>
          <w:spacing w:val="-2"/>
        </w:rPr>
      </w:pPr>
      <w:r w:rsidRPr="00700A42">
        <w:rPr>
          <w:rFonts w:cs="Times New Roman"/>
        </w:rPr>
        <w:t xml:space="preserve">The idea (presented in Chapter 7) that either media or terrorists are the only relevant </w:t>
      </w:r>
      <w:proofErr w:type="spellStart"/>
      <w:r w:rsidRPr="00700A42">
        <w:rPr>
          <w:rFonts w:cs="Times New Roman"/>
        </w:rPr>
        <w:t>actors</w:t>
      </w:r>
      <w:proofErr w:type="spellEnd"/>
      <w:r w:rsidRPr="00700A42">
        <w:rPr>
          <w:rFonts w:cs="Times New Roman"/>
        </w:rPr>
        <w:t xml:space="preserve"> to consider in the context of the media coverage of terrorism is reflected by the limited existing policies aiming to mitigate and minimize terrorism’s use of violence as a communication technique. Based on th</w:t>
      </w:r>
      <w:r w:rsidR="00981E41">
        <w:rPr>
          <w:rFonts w:cs="Times New Roman"/>
        </w:rPr>
        <w:t>is</w:t>
      </w:r>
      <w:r w:rsidRPr="00700A42">
        <w:rPr>
          <w:rFonts w:cs="Times New Roman"/>
        </w:rPr>
        <w:t xml:space="preserve"> incorrect view of media as the lone amplifiers of terrorism, some</w:t>
      </w:r>
      <w:r w:rsidRPr="00700A42">
        <w:rPr>
          <w:rFonts w:cs="Times New Roman"/>
          <w:spacing w:val="-2"/>
        </w:rPr>
        <w:t xml:space="preserve"> intergovernmental organizations have weighed in with suggestions as to how journalists can facilitate ethical and factual media coverage of terrorism. Of particular note in this regard is UNESCO’s 2017 handbook of advice to journalists that aims “to raise awareness, of… challenges [associated with mitigating media coverage’s tendency to “play… into the interests of fearmongers”] and better support journalists reporting [on terrorism].”</w:t>
      </w:r>
      <w:r w:rsidRPr="00700A42">
        <w:rPr>
          <w:rStyle w:val="FootnoteReference"/>
          <w:rFonts w:cs="Times New Roman"/>
          <w:spacing w:val="-2"/>
        </w:rPr>
        <w:footnoteReference w:id="503"/>
      </w:r>
      <w:r w:rsidRPr="00700A42">
        <w:rPr>
          <w:rFonts w:cs="Times New Roman"/>
          <w:spacing w:val="-2"/>
        </w:rPr>
        <w:t xml:space="preserve"> In terms of specific policy suggestions, the handbook’s “Ground Rules” chapter stresses the necessity of both fact-checking and clearly delineating the sourcing of information (so as to suggest how implicit bias might have occurred) in media coverage of terrorism. Further, the handbook clearly asserts that it is of utmost importance for journalists to consult and reference information from “many, varied sources… whether they are institutions, universities or civil society” while at the same time advocating for the exercise of caution in choosing both which experts to consult and determining how to frame their qualifications.</w:t>
      </w:r>
      <w:r w:rsidRPr="00700A42">
        <w:rPr>
          <w:rStyle w:val="FootnoteReference"/>
          <w:rFonts w:cs="Times New Roman"/>
          <w:spacing w:val="-2"/>
        </w:rPr>
        <w:footnoteReference w:id="504"/>
      </w:r>
      <w:r w:rsidRPr="00700A42">
        <w:rPr>
          <w:rFonts w:cs="Times New Roman"/>
          <w:spacing w:val="-2"/>
        </w:rPr>
        <w:t xml:space="preserve"> The UNESCO handbook also discusses potential issues relating to framing and “semantic propaganda,” advising against employing express moral evaluations of terrorism by “speaking of it as ‘an axis of evil’, ‘barbarity’ or ‘abjection’.”</w:t>
      </w:r>
      <w:r w:rsidRPr="00700A42">
        <w:rPr>
          <w:rStyle w:val="FootnoteReference"/>
          <w:rFonts w:cs="Times New Roman"/>
          <w:spacing w:val="-2"/>
        </w:rPr>
        <w:footnoteReference w:id="505"/>
      </w:r>
      <w:r w:rsidRPr="00700A42">
        <w:rPr>
          <w:rFonts w:cs="Times New Roman"/>
          <w:spacing w:val="-2"/>
        </w:rPr>
        <w:t>The handbook further argues that “the media must use caution when they take up words coined</w:t>
      </w:r>
      <w:r w:rsidR="00981E41">
        <w:rPr>
          <w:rFonts w:cs="Times New Roman"/>
          <w:spacing w:val="-2"/>
        </w:rPr>
        <w:t xml:space="preserve"> either</w:t>
      </w:r>
      <w:r w:rsidRPr="00700A42">
        <w:rPr>
          <w:rFonts w:cs="Times New Roman"/>
          <w:spacing w:val="-2"/>
        </w:rPr>
        <w:t xml:space="preserve"> by terrorists or </w:t>
      </w:r>
      <w:r w:rsidR="00981E41" w:rsidRPr="00700A42">
        <w:rPr>
          <w:rFonts w:cs="Times New Roman"/>
          <w:spacing w:val="-2"/>
        </w:rPr>
        <w:t xml:space="preserve"> </w:t>
      </w:r>
      <w:r w:rsidRPr="00700A42">
        <w:rPr>
          <w:rFonts w:cs="Times New Roman"/>
          <w:spacing w:val="-2"/>
        </w:rPr>
        <w:t>authorities.”</w:t>
      </w:r>
      <w:r w:rsidRPr="00700A42">
        <w:rPr>
          <w:rStyle w:val="FootnoteReference"/>
          <w:rFonts w:cs="Times New Roman"/>
          <w:spacing w:val="-2"/>
        </w:rPr>
        <w:footnoteReference w:id="506"/>
      </w:r>
      <w:r w:rsidRPr="00700A42">
        <w:rPr>
          <w:rFonts w:cs="Times New Roman"/>
          <w:spacing w:val="-2"/>
        </w:rPr>
        <w:t xml:space="preserve"> However, although the UNESCO handbook does address media bias and framing to some extent, it places an overwhelming emphasis on best practices relating to journalist safety. In addition, the authors of the publication prioritize citing media and communication studies scholarship and in doing so, largely fail to integrate insights from International Relations, political science, and security studies literature on terrorism.</w:t>
      </w:r>
      <w:r w:rsidRPr="00700A42">
        <w:rPr>
          <w:rStyle w:val="FootnoteReference"/>
          <w:rFonts w:cs="Times New Roman"/>
          <w:spacing w:val="-2"/>
        </w:rPr>
        <w:footnoteReference w:id="507"/>
      </w:r>
      <w:r w:rsidRPr="00700A42">
        <w:rPr>
          <w:rFonts w:cs="Times New Roman"/>
          <w:spacing w:val="-2"/>
        </w:rPr>
        <w:t xml:space="preserve"> The handbook only addresses specific newswire and news organization reporting practices in the context of the debate about publishing visual content depicting victims of terrorism. In doing so, it notably fails to reference the journalistic style guides adhered to by major news producers like Reuters, the AP and AFP. Indeed, the phrase “style guide” is mentioned only once in the handbook’s 110 pages.</w:t>
      </w:r>
      <w:r w:rsidRPr="00700A42">
        <w:rPr>
          <w:rStyle w:val="FootnoteReference"/>
          <w:rFonts w:cs="Times New Roman"/>
          <w:spacing w:val="-2"/>
        </w:rPr>
        <w:footnoteReference w:id="508"/>
      </w:r>
      <w:r w:rsidRPr="00700A42">
        <w:rPr>
          <w:rFonts w:cs="Times New Roman"/>
          <w:spacing w:val="-2"/>
        </w:rPr>
        <w:t xml:space="preserve"> </w:t>
      </w:r>
    </w:p>
    <w:p w14:paraId="487E3FAA" w14:textId="32E62016" w:rsidR="00D03C79" w:rsidRPr="00656E5B" w:rsidRDefault="009A57BF" w:rsidP="00656E5B">
      <w:pPr>
        <w:ind w:firstLine="720"/>
        <w:rPr>
          <w:rFonts w:cs="Times New Roman"/>
        </w:rPr>
      </w:pPr>
      <w:r w:rsidRPr="00700A42">
        <w:rPr>
          <w:rFonts w:cs="Times New Roman"/>
        </w:rPr>
        <w:t>Notwithstanding the contributions of the UNESCO handbook, coping with terrorism’s manifestation as “essentially violence for effect” is, for the most part, managed on an individualized country or regional basis that involves suggesting guidelines to journalists so as to facilitate responsible reporting practices.</w:t>
      </w:r>
      <w:r w:rsidRPr="00700A42">
        <w:rPr>
          <w:rStyle w:val="FootnoteReference"/>
          <w:rFonts w:cs="Times New Roman"/>
        </w:rPr>
        <w:footnoteReference w:id="509"/>
      </w:r>
      <w:r w:rsidRPr="00700A42">
        <w:rPr>
          <w:rFonts w:cs="Times New Roman"/>
        </w:rPr>
        <w:t xml:space="preserve"> This is reflected in the UNESCO handbook, which notes, “the right and duty to inform in the name of public interest do not exonerate the media from respecting a certain number of laws… in force in [countries] where [the media] sends their </w:t>
      </w:r>
      <w:r w:rsidRPr="00700A42">
        <w:rPr>
          <w:rFonts w:cs="Times New Roman"/>
        </w:rPr>
        <w:lastRenderedPageBreak/>
        <w:t>reporters.”</w:t>
      </w:r>
      <w:r w:rsidRPr="00700A42">
        <w:rPr>
          <w:rStyle w:val="FootnoteReference"/>
          <w:rFonts w:cs="Times New Roman"/>
        </w:rPr>
        <w:footnoteReference w:id="510"/>
      </w:r>
      <w:r w:rsidRPr="00700A42">
        <w:rPr>
          <w:rFonts w:cs="Times New Roman"/>
          <w:spacing w:val="-2"/>
        </w:rPr>
        <w:t xml:space="preserve"> </w:t>
      </w:r>
      <w:r w:rsidRPr="00700A42">
        <w:rPr>
          <w:rFonts w:cs="Times New Roman"/>
        </w:rPr>
        <w:t xml:space="preserve">This is also noted in </w:t>
      </w:r>
      <w:r w:rsidRPr="00700A42">
        <w:rPr>
          <w:rFonts w:cs="Times New Roman"/>
          <w:spacing w:val="-2"/>
        </w:rPr>
        <w:t xml:space="preserve">a 2005 </w:t>
      </w:r>
      <w:r w:rsidRPr="00700A42">
        <w:rPr>
          <w:rFonts w:eastAsia="Times New Roman" w:cs="Times New Roman"/>
          <w:spacing w:val="-2"/>
          <w:shd w:val="clear" w:color="auto" w:fill="FFFFFF"/>
        </w:rPr>
        <w:t>Parliamentary Assembly of the Council of Europe draft recommendation, which mentions “continuing “cultural” differences in dealing with the media when it comes to terrorism.”</w:t>
      </w:r>
      <w:r w:rsidRPr="00700A42">
        <w:rPr>
          <w:rStyle w:val="FootnoteReference"/>
          <w:rFonts w:eastAsia="Times New Roman" w:cs="Times New Roman"/>
          <w:spacing w:val="-2"/>
          <w:shd w:val="clear" w:color="auto" w:fill="FFFFFF"/>
        </w:rPr>
        <w:footnoteReference w:id="511"/>
      </w:r>
      <w:r w:rsidRPr="00700A42">
        <w:rPr>
          <w:rFonts w:eastAsia="Times New Roman" w:cs="Times New Roman"/>
          <w:spacing w:val="-2"/>
          <w:shd w:val="clear" w:color="auto" w:fill="FFFFFF"/>
        </w:rPr>
        <w:t xml:space="preserve"> In this context, “cultural differences” indicate that a majority of European (Western) countries “</w:t>
      </w:r>
      <w:r w:rsidRPr="00700A42">
        <w:rPr>
          <w:rFonts w:cs="Times New Roman"/>
          <w:shd w:val="clear" w:color="auto" w:fill="FFFFFF"/>
        </w:rPr>
        <w:t>prefer a liberal approach to the freedom of expression and information” that prioritizes “the freedom of journalists” over “the potential risk that media reporting might cause to individual citizens” because “by limiting freedom of expression, terrorists would have indirectly realised a major aim, namely to change the political system and make it more oppressive.”</w:t>
      </w:r>
      <w:r w:rsidRPr="00700A42">
        <w:rPr>
          <w:rStyle w:val="FootnoteReference"/>
          <w:rFonts w:cs="Times New Roman"/>
          <w:shd w:val="clear" w:color="auto" w:fill="FFFFFF"/>
        </w:rPr>
        <w:footnoteReference w:id="512"/>
      </w:r>
      <w:r w:rsidRPr="00700A42">
        <w:rPr>
          <w:rFonts w:cs="Times New Roman"/>
          <w:shd w:val="clear" w:color="auto" w:fill="FFFFFF"/>
        </w:rPr>
        <w:t xml:space="preserve"> (Notwithstanding, the draft recommendation does acknowledge that “some countries… still subscribe to a more restrictive policy, [as t]hey want to avoid any risk of promotion of terrorist activities through media reporting.” More often than not, such policies restrict or “block</w:t>
      </w:r>
      <w:r w:rsidR="00981E41">
        <w:rPr>
          <w:rFonts w:cs="Times New Roman"/>
          <w:shd w:val="clear" w:color="auto" w:fill="FFFFFF"/>
        </w:rPr>
        <w:t xml:space="preserve">… </w:t>
      </w:r>
      <w:r w:rsidRPr="00700A42">
        <w:rPr>
          <w:rFonts w:cs="Times New Roman"/>
          <w:shd w:val="clear" w:color="auto" w:fill="FFFFFF"/>
        </w:rPr>
        <w:t>journalists’ access to sites where a violent attack takes place.”)</w:t>
      </w:r>
      <w:r w:rsidRPr="00700A42">
        <w:rPr>
          <w:rStyle w:val="FootnoteReference"/>
          <w:rFonts w:cs="Times New Roman"/>
          <w:shd w:val="clear" w:color="auto" w:fill="FFFFFF"/>
        </w:rPr>
        <w:footnoteReference w:id="513"/>
      </w:r>
      <w:r w:rsidRPr="00700A42">
        <w:rPr>
          <w:rFonts w:cs="Times New Roman"/>
          <w:shd w:val="clear" w:color="auto" w:fill="FFFFFF"/>
        </w:rPr>
        <w:t xml:space="preserve">  Similarly, J.M. Berger advocated for</w:t>
      </w:r>
      <w:r w:rsidRPr="00700A42">
        <w:rPr>
          <w:rFonts w:cs="Times New Roman"/>
          <w:spacing w:val="-2"/>
        </w:rPr>
        <w:t xml:space="preserve"> minimal restriction in civilian posting of content relating to terrorist activities</w:t>
      </w:r>
      <w:r w:rsidRPr="00700A42">
        <w:rPr>
          <w:rFonts w:cs="Times New Roman"/>
          <w:shd w:val="clear" w:color="auto" w:fill="FFFFFF"/>
        </w:rPr>
        <w:t xml:space="preserve"> in testimony to the United States House of Representatives Committee on Foreign Affairs.</w:t>
      </w:r>
      <w:r w:rsidRPr="00700A42">
        <w:rPr>
          <w:rStyle w:val="FootnoteReference"/>
          <w:rFonts w:cs="Times New Roman"/>
          <w:shd w:val="clear" w:color="auto" w:fill="FFFFFF"/>
        </w:rPr>
        <w:footnoteReference w:id="514"/>
      </w:r>
      <w:r w:rsidRPr="00700A42">
        <w:rPr>
          <w:rFonts w:cs="Times New Roman"/>
          <w:shd w:val="clear" w:color="auto" w:fill="FFFFFF"/>
        </w:rPr>
        <w:t xml:space="preserve"> Although his remarks did not explicitly address the conduct of media outlets specific to the reporting process, Berger’s perspective aligns with </w:t>
      </w:r>
      <w:r w:rsidR="00981E41">
        <w:rPr>
          <w:rFonts w:cs="Times New Roman"/>
          <w:shd w:val="clear" w:color="auto" w:fill="FFFFFF"/>
        </w:rPr>
        <w:t xml:space="preserve">that of the </w:t>
      </w:r>
      <w:r w:rsidRPr="00700A42">
        <w:rPr>
          <w:rFonts w:cs="Times New Roman"/>
          <w:shd w:val="clear" w:color="auto" w:fill="FFFFFF"/>
        </w:rPr>
        <w:t xml:space="preserve"> Council of Europe. This is particularly true of his affirmation that </w:t>
      </w:r>
      <w:r w:rsidRPr="00700A42">
        <w:rPr>
          <w:rFonts w:cs="Times New Roman"/>
          <w:spacing w:val="-2"/>
        </w:rPr>
        <w:t>“we do not wish to create precedents and authorities that would empower tyrants and repressive movements with tools to silence legitimate dissent.”</w:t>
      </w:r>
      <w:r w:rsidRPr="00700A42">
        <w:rPr>
          <w:rStyle w:val="FootnoteReference"/>
          <w:rFonts w:cs="Times New Roman"/>
          <w:shd w:val="clear" w:color="auto" w:fill="FFFFFF"/>
        </w:rPr>
        <w:footnoteReference w:id="515"/>
      </w:r>
      <w:r w:rsidRPr="00700A42">
        <w:rPr>
          <w:rFonts w:cs="Times New Roman"/>
          <w:spacing w:val="-2"/>
        </w:rPr>
        <w:t xml:space="preserve"> Correspondingly, states and regional organizations tend to view potential policy solutions to the issues posed by media coverage of terrorism in a way that, if presented on a ‘clash’ continuum (like those used in Chapter 3), errs towards preserving the underlying principles of freedom of the press at one ‘end’, and is permissive of more significant media censorship on its other ‘end.’ This is, perhaps, a reason underlying the dearth of literature – scholarly or otherwise – </w:t>
      </w:r>
      <w:r w:rsidRPr="00700A42">
        <w:rPr>
          <w:rFonts w:cs="Times New Roman"/>
        </w:rPr>
        <w:t>proposing meaningful policy recommendations to combat the issues associated with the media coverage of terrorism.</w:t>
      </w:r>
    </w:p>
    <w:p w14:paraId="24504835" w14:textId="77D0CD93" w:rsidR="009A57BF" w:rsidRPr="00E14878" w:rsidRDefault="009A57BF" w:rsidP="00787123">
      <w:pPr>
        <w:pStyle w:val="DissertationSection1"/>
      </w:pPr>
      <w:bookmarkStart w:id="84" w:name="_Toc175413163"/>
      <w:r w:rsidRPr="00700A42">
        <w:t xml:space="preserve">International News Agency Style Guides </w:t>
      </w:r>
      <w:r w:rsidR="00656E5B">
        <w:t>o</w:t>
      </w:r>
      <w:r w:rsidRPr="00700A42">
        <w:t>n Terrorism</w:t>
      </w:r>
      <w:bookmarkEnd w:id="84"/>
    </w:p>
    <w:p w14:paraId="36EED233" w14:textId="77777777" w:rsidR="009A57BF" w:rsidRPr="00700A42" w:rsidRDefault="009A57BF" w:rsidP="009A57BF">
      <w:pPr>
        <w:ind w:firstLine="720"/>
        <w:rPr>
          <w:rFonts w:cs="Times New Roman"/>
        </w:rPr>
      </w:pPr>
      <w:r w:rsidRPr="00700A42">
        <w:rPr>
          <w:rFonts w:cs="Times New Roman"/>
        </w:rPr>
        <w:t>Although the abovementioned policy recommendations aim to combat the issues associated with media coverage of terrorism, they are deficient, falling short of addressing what should be the crux of the issue from the state’s perspective: media coverage of terrorism’s erosion of international (state) legitimacy. As well, even though these policy recommendations do not contradict my Chapter 7 argument that the way bias and framing manifest in media coverage of terrorism is responsible for its ultimate effect on international (state) legitimacy, they do not meaningfully take into account existing style guides adhered to by the news media. Indeed, one of the major shortcomings of existing scholarship is that it</w:t>
      </w:r>
      <w:r>
        <w:rPr>
          <w:rFonts w:cs="Times New Roman"/>
        </w:rPr>
        <w:t xml:space="preserve"> fails</w:t>
      </w:r>
      <w:r w:rsidRPr="00700A42">
        <w:rPr>
          <w:rFonts w:cs="Times New Roman"/>
        </w:rPr>
        <w:t>, for the most part, to mention journalistic style guides at all in deconstructing and analyzing the news production process.</w:t>
      </w:r>
      <w:r w:rsidRPr="00700A42">
        <w:rPr>
          <w:rStyle w:val="FootnoteReference"/>
          <w:rFonts w:cs="Times New Roman"/>
        </w:rPr>
        <w:footnoteReference w:id="516"/>
      </w:r>
      <w:r w:rsidRPr="00700A42">
        <w:rPr>
          <w:rFonts w:cs="Times New Roman"/>
        </w:rPr>
        <w:t xml:space="preserve"> As codified sets of standards and guidelines for journalists, style guides play an </w:t>
      </w:r>
      <w:r w:rsidRPr="00700A42">
        <w:rPr>
          <w:rFonts w:cs="Times New Roman"/>
        </w:rPr>
        <w:lastRenderedPageBreak/>
        <w:t>important role in ensuring the factual accuracy, stylistic consistency and ethical production of news published by a specific media outlet. Style guides are often discussed in pedagogical studies that focus on journalism education, as they are key in teaching trainee journalists to conform to professional expectations.</w:t>
      </w:r>
      <w:r w:rsidRPr="00700A42">
        <w:rPr>
          <w:rStyle w:val="FootnoteReference"/>
          <w:rFonts w:cs="Times New Roman"/>
        </w:rPr>
        <w:footnoteReference w:id="517"/>
      </w:r>
      <w:r w:rsidRPr="00700A42">
        <w:rPr>
          <w:rFonts w:cs="Times New Roman"/>
        </w:rPr>
        <w:t xml:space="preserve"> Deborah Cameron notes that style guides serve a dual purpose from a sociolinguistic perspective, providing for “general consistency of journalistic style,” on the one hand, and “particular consistency of institutional voice,” on the other.</w:t>
      </w:r>
      <w:r w:rsidRPr="00700A42">
        <w:rPr>
          <w:rStyle w:val="FootnoteReference"/>
          <w:rFonts w:cs="Times New Roman"/>
        </w:rPr>
        <w:footnoteReference w:id="518"/>
      </w:r>
      <w:r w:rsidRPr="00700A42">
        <w:rPr>
          <w:rFonts w:cs="Times New Roman"/>
        </w:rPr>
        <w:t xml:space="preserve"> To that end, style guides set out standards and best practices for journalists to follow in generating news content. While they generally prescribe rules for grammar, punctuation, capitalization, abbreviations and other aspects of writing style, they may also provide guidance relating to issues like journalistic ethics, the redistribution of user generated content, and the creation of audio-visual news content.</w:t>
      </w:r>
    </w:p>
    <w:p w14:paraId="0302CA2B" w14:textId="77777777" w:rsidR="009A57BF" w:rsidRPr="00700A42" w:rsidRDefault="009A57BF" w:rsidP="009A57BF">
      <w:pPr>
        <w:ind w:firstLine="720"/>
        <w:rPr>
          <w:rFonts w:cs="Times New Roman"/>
        </w:rPr>
      </w:pPr>
      <w:r w:rsidRPr="00700A42">
        <w:rPr>
          <w:rFonts w:cs="Times New Roman"/>
        </w:rPr>
        <w:t>A style guide’s role in enabling consistency of a “distinctive institutional voice” across the output of a particular news producer is especially vital for the operations of international news agencies.</w:t>
      </w:r>
      <w:r w:rsidRPr="00700A42">
        <w:rPr>
          <w:rStyle w:val="FootnoteReference"/>
          <w:rFonts w:cs="Times New Roman"/>
        </w:rPr>
        <w:footnoteReference w:id="519"/>
      </w:r>
      <w:r w:rsidRPr="00700A42">
        <w:rPr>
          <w:rFonts w:cs="Times New Roman"/>
        </w:rPr>
        <w:t xml:space="preserve"> This is because the success of newswires like AFP, the AP and Reuters rely, at least to some degree, on their perceived credibility and professionalism. Indeed, the reputations of these international news agencies are such that their decisions on style tend to inform the decisions of smaller organizations, many of whom adopt the larger organizations’ style guides in relation to their own news production.</w:t>
      </w:r>
      <w:r w:rsidRPr="00700A42">
        <w:rPr>
          <w:rStyle w:val="FootnoteReference"/>
          <w:rFonts w:cs="Times New Roman"/>
        </w:rPr>
        <w:footnoteReference w:id="520"/>
      </w:r>
      <w:r w:rsidRPr="00700A42">
        <w:rPr>
          <w:rFonts w:cs="Times New Roman"/>
        </w:rPr>
        <w:t xml:space="preserve"> As Michael </w:t>
      </w:r>
      <w:proofErr w:type="spellStart"/>
      <w:r w:rsidRPr="00700A42">
        <w:rPr>
          <w:rFonts w:cs="Times New Roman"/>
        </w:rPr>
        <w:t>Munnik</w:t>
      </w:r>
      <w:proofErr w:type="spellEnd"/>
      <w:r w:rsidRPr="00700A42">
        <w:rPr>
          <w:rFonts w:cs="Times New Roman"/>
        </w:rPr>
        <w:t xml:space="preserve"> asserts, “the advice journalists receive from [style guides published by these significant international media producers] shapes the language of news reports, conditioning the national lexicon.”</w:t>
      </w:r>
      <w:r w:rsidRPr="00700A42">
        <w:rPr>
          <w:rStyle w:val="FootnoteReference"/>
          <w:rFonts w:cs="Times New Roman"/>
        </w:rPr>
        <w:footnoteReference w:id="521"/>
      </w:r>
    </w:p>
    <w:p w14:paraId="1D128CB8" w14:textId="2F76A4D8" w:rsidR="009A57BF" w:rsidRPr="00700A42" w:rsidRDefault="009A57BF" w:rsidP="009A57BF">
      <w:pPr>
        <w:ind w:firstLine="720"/>
        <w:rPr>
          <w:rFonts w:cs="Times New Roman"/>
        </w:rPr>
      </w:pPr>
      <w:r w:rsidRPr="00700A42">
        <w:rPr>
          <w:rFonts w:cs="Times New Roman"/>
        </w:rPr>
        <w:t>In order to make substantive and meaningful policy recommendations relating to the media coverage of terrorism, it is imperative to deconstruct and analyze the AFP, AP and Reuters style guides with particular attention to their content (or lack of content) about terrorism. In official publications and internal communiques, AFP cautions journalists against using the term ‘terrorism’ in a way that could stigmatize or generalize entire communities or religions. Unlike AP and Reuters, AFP explicitly conceptualizes terrorism as “the use or threat of use, of violence by an individual, group, or state organization to pursue political, religious or ideological objectives.”</w:t>
      </w:r>
      <w:r w:rsidRPr="00700A42">
        <w:rPr>
          <w:rStyle w:val="FootnoteReference"/>
          <w:rFonts w:cs="Times New Roman"/>
        </w:rPr>
        <w:footnoteReference w:id="522"/>
      </w:r>
      <w:r w:rsidRPr="00700A42">
        <w:rPr>
          <w:rFonts w:cs="Times New Roman"/>
        </w:rPr>
        <w:t xml:space="preserve"> This understanding expands on the definition of terrorism employed in the International Press Telecommunications Council (IPTC) Subject Codes and Media Topics taxonomy. The IPTC “creates and maintains sets of concepts – called a controlled vocabulary or a taxonomy – to be assigned… to news objects… [in order to allow] for consisting coding of news… across news providers and over the course of time.”</w:t>
      </w:r>
      <w:r w:rsidRPr="00700A42">
        <w:rPr>
          <w:rStyle w:val="FootnoteReference"/>
          <w:rFonts w:cs="Times New Roman"/>
        </w:rPr>
        <w:footnoteReference w:id="523"/>
      </w:r>
      <w:r w:rsidRPr="00700A42">
        <w:rPr>
          <w:rFonts w:cs="Times New Roman"/>
        </w:rPr>
        <w:t xml:space="preserve"> Used by “the world’s largest news agencies, such as </w:t>
      </w:r>
      <w:proofErr w:type="spellStart"/>
      <w:r w:rsidRPr="00700A42">
        <w:rPr>
          <w:rFonts w:cs="Times New Roman"/>
        </w:rPr>
        <w:t>Agence</w:t>
      </w:r>
      <w:proofErr w:type="spellEnd"/>
      <w:r w:rsidRPr="00700A42">
        <w:rPr>
          <w:rFonts w:cs="Times New Roman"/>
        </w:rPr>
        <w:t xml:space="preserve"> France-Presse, Associated Press and Reuters” to describe different subjects and topics in news content, IPTC taxonomies assign “every news-item… to one of 17 categories, each comprising 117 ‘elements’.”</w:t>
      </w:r>
      <w:r w:rsidRPr="00700A42">
        <w:rPr>
          <w:rStyle w:val="FootnoteReference"/>
          <w:rFonts w:cs="Times New Roman"/>
        </w:rPr>
        <w:footnoteReference w:id="524"/>
      </w:r>
      <w:r w:rsidRPr="00700A42">
        <w:rPr>
          <w:rFonts w:cs="Times New Roman"/>
        </w:rPr>
        <w:t xml:space="preserve"> In the context of the IPTC Subject Codes, </w:t>
      </w:r>
      <w:r w:rsidRPr="00700A42">
        <w:rPr>
          <w:rFonts w:cs="Times New Roman"/>
        </w:rPr>
        <w:lastRenderedPageBreak/>
        <w:t>‘terrorism’ (“violence against people to create fear in order to achieve political or ideological objectives”) is situated within the “crime” subdivision of the overarching “crime, law and justice” categorization, while ‘act of terror’ (“act of violence, often deadly, designed to raise fear and anxiety in a population”) is classified under “unrest, conflicts and war.”</w:t>
      </w:r>
      <w:r w:rsidRPr="00700A42">
        <w:rPr>
          <w:rStyle w:val="FootnoteReference"/>
          <w:rFonts w:cs="Times New Roman"/>
        </w:rPr>
        <w:footnoteReference w:id="525"/>
      </w:r>
      <w:r w:rsidRPr="00700A42">
        <w:rPr>
          <w:rFonts w:cs="Times New Roman"/>
        </w:rPr>
        <w:t xml:space="preserve"> The current IPTC Media Topic </w:t>
      </w:r>
      <w:proofErr w:type="spellStart"/>
      <w:r w:rsidRPr="00700A42">
        <w:rPr>
          <w:rFonts w:cs="Times New Roman"/>
        </w:rPr>
        <w:t>NewsCodes</w:t>
      </w:r>
      <w:proofErr w:type="spellEnd"/>
      <w:r w:rsidRPr="00700A42">
        <w:rPr>
          <w:rFonts w:cs="Times New Roman"/>
        </w:rPr>
        <w:t xml:space="preserve"> also place ‘terrorism’ in the “crime” section of “crime, law and justice,” but somewhat differently, contextualize ‘act of terror’ under “conflict, war and peace.”</w:t>
      </w:r>
      <w:r w:rsidRPr="00700A42">
        <w:rPr>
          <w:rStyle w:val="FootnoteReference"/>
          <w:rFonts w:cs="Times New Roman"/>
        </w:rPr>
        <w:footnoteReference w:id="526"/>
      </w:r>
      <w:r w:rsidRPr="00700A42">
        <w:rPr>
          <w:rFonts w:cs="Times New Roman"/>
        </w:rPr>
        <w:t xml:space="preserve"> Moreover, the Media Topic </w:t>
      </w:r>
      <w:proofErr w:type="spellStart"/>
      <w:r w:rsidRPr="00700A42">
        <w:rPr>
          <w:rFonts w:cs="Times New Roman"/>
        </w:rPr>
        <w:t>NewsCodes</w:t>
      </w:r>
      <w:proofErr w:type="spellEnd"/>
      <w:r w:rsidRPr="00700A42">
        <w:rPr>
          <w:rFonts w:cs="Times New Roman"/>
        </w:rPr>
        <w:t xml:space="preserve"> subdivide ‘act of terror’ into “bombings” and “bioterrorism,” which is defined as “attacks using biological agents intended to raise the level of fear within a population.”</w:t>
      </w:r>
      <w:r w:rsidRPr="00700A42">
        <w:rPr>
          <w:rStyle w:val="FootnoteReference"/>
          <w:rFonts w:cs="Times New Roman"/>
        </w:rPr>
        <w:footnoteReference w:id="527"/>
      </w:r>
    </w:p>
    <w:p w14:paraId="6BAD320E" w14:textId="77777777" w:rsidR="009A57BF" w:rsidRPr="00700A42" w:rsidRDefault="009A57BF" w:rsidP="009A57BF">
      <w:pPr>
        <w:ind w:firstLine="720"/>
        <w:rPr>
          <w:rFonts w:cs="Times New Roman"/>
        </w:rPr>
      </w:pPr>
      <w:r w:rsidRPr="00700A42">
        <w:rPr>
          <w:rFonts w:cs="Times New Roman"/>
        </w:rPr>
        <w:t>By contrast with AFP, Reuters fails to explicitly define terrorism. Notwithstanding, Reuters’ “news editorial guidelines oppose… the use of the term ‘terrorist’ except in sources quotes from others.”</w:t>
      </w:r>
      <w:r w:rsidRPr="00700A42">
        <w:rPr>
          <w:rStyle w:val="FootnoteReference"/>
          <w:rFonts w:cs="Times New Roman"/>
        </w:rPr>
        <w:footnoteReference w:id="528"/>
      </w:r>
      <w:r w:rsidRPr="00700A42">
        <w:rPr>
          <w:rFonts w:cs="Times New Roman"/>
        </w:rPr>
        <w:t xml:space="preserve"> The Reuters style guide also stipulates that journalists should not refer to specific events as terrorism, or use the word ‘terrorist’ “without attribution to qualify specific individuals, groups, or events,” and references terrorism’s status as an emotive word with particular emotional resonance that must “be used with special care in the interests of neutrality and accuracy.”</w:t>
      </w:r>
      <w:r w:rsidRPr="00700A42">
        <w:rPr>
          <w:rStyle w:val="FootnoteReference"/>
          <w:rFonts w:cs="Times New Roman"/>
        </w:rPr>
        <w:footnoteReference w:id="529"/>
      </w:r>
      <w:r w:rsidRPr="00700A42">
        <w:rPr>
          <w:rFonts w:cs="Times New Roman"/>
        </w:rPr>
        <w:t xml:space="preserve"> Additionally, a post-9/11 addition specifies that while the terms ‘terrorism’ and ‘terrorist’ should be retained when directly quoting a source, they should not be used as single words in quotation marks. To that end, the guide specifies that journalists should “use a fuller quote if necessary.”</w:t>
      </w:r>
      <w:r w:rsidRPr="00700A42">
        <w:rPr>
          <w:rStyle w:val="FootnoteReference"/>
          <w:rFonts w:cs="Times New Roman"/>
        </w:rPr>
        <w:footnoteReference w:id="530"/>
      </w:r>
      <w:r w:rsidRPr="00700A42">
        <w:rPr>
          <w:rFonts w:cs="Times New Roman"/>
        </w:rPr>
        <w:t xml:space="preserve"> </w:t>
      </w:r>
    </w:p>
    <w:p w14:paraId="4843C5EB" w14:textId="53C3483B" w:rsidR="00D03C79" w:rsidRPr="00700A42" w:rsidRDefault="009A57BF" w:rsidP="00656E5B">
      <w:pPr>
        <w:ind w:firstLine="720"/>
        <w:rPr>
          <w:rFonts w:cs="Times New Roman"/>
        </w:rPr>
      </w:pPr>
      <w:r w:rsidRPr="00700A42">
        <w:rPr>
          <w:rFonts w:cs="Times New Roman"/>
        </w:rPr>
        <w:t xml:space="preserve">Distinct from both Reuters and AFP, the AP style guide does not address terrorism at all. Despite containing entries for 13 different groups that have been branded ‘terrorist organizations’ by various state governments and 5 definitions that directly relate to the September 11, 2001 </w:t>
      </w:r>
      <w:r w:rsidRPr="00700A42">
        <w:rPr>
          <w:rFonts w:cs="Times New Roman"/>
        </w:rPr>
        <w:lastRenderedPageBreak/>
        <w:t>terrorist attacks, the word “terrorist” appears only once throughout the entirety of the 628-page style guide.</w:t>
      </w:r>
      <w:r w:rsidRPr="00700A42">
        <w:rPr>
          <w:rStyle w:val="FootnoteReference"/>
          <w:rFonts w:cs="Times New Roman"/>
        </w:rPr>
        <w:footnoteReference w:id="531"/>
      </w:r>
      <w:r w:rsidRPr="00700A42">
        <w:rPr>
          <w:rFonts w:cs="Times New Roman"/>
        </w:rPr>
        <w:t xml:space="preserve"> Like the Reuters style guide, the AP style guide also contains descriptive terms of a pejorative nature that are widely used in connection with terrorism (like guerilla, fundamentalist, radical, jihadist, Islamist). AP does not specifically use the phrase “emotive words,” but offers guidance on the use of these words. For example, the AP style guide specifies that ‘jihadist’, ‘jihadi’ and ‘Islamist’ are “non-preferred terms.”</w:t>
      </w:r>
      <w:r w:rsidRPr="00700A42">
        <w:rPr>
          <w:rStyle w:val="FootnoteReference"/>
          <w:rFonts w:cs="Times New Roman"/>
        </w:rPr>
        <w:footnoteReference w:id="532"/>
      </w:r>
      <w:r w:rsidRPr="00700A42">
        <w:rPr>
          <w:rFonts w:cs="Times New Roman"/>
        </w:rPr>
        <w:t xml:space="preserve"> Furthermore, it recommends that reporters strive to use clear, neutral language. This exhortation from the AP corresponds with Reuters’ refrain that journalists should “try to use more neutral or more specific words that describe what happened factually.”</w:t>
      </w:r>
      <w:r w:rsidRPr="00700A42">
        <w:rPr>
          <w:rStyle w:val="FootnoteReference"/>
          <w:rFonts w:cs="Times New Roman"/>
        </w:rPr>
        <w:footnoteReference w:id="533"/>
      </w:r>
      <w:r w:rsidRPr="00700A42">
        <w:rPr>
          <w:rFonts w:cs="Times New Roman"/>
        </w:rPr>
        <w:t xml:space="preserve"> The AP style guide also expands on AFP’s more generalized caution regarding the use of the words ‘terrorist’ and ‘terrorism’, reiterating the principles of accurate and impartial reporting. AP asks journalists to use clear and concise language that accurately conveys the facts without injecting their own opinions or emotions. AP further extends this emphasis on language and word choice by providing specific guidance on use of terminology relating to race, gender, sexual orientation and identity to avoid perpetuating harmful stereotypes and to promote inclusivity.</w:t>
      </w:r>
      <w:r w:rsidR="002629DF">
        <w:rPr>
          <w:rFonts w:cs="Times New Roman"/>
        </w:rPr>
        <w:t xml:space="preserve"> </w:t>
      </w:r>
    </w:p>
    <w:p w14:paraId="617E5EAB" w14:textId="77777777" w:rsidR="009A57BF" w:rsidRPr="00700A42" w:rsidRDefault="009A57BF" w:rsidP="00787123">
      <w:pPr>
        <w:pStyle w:val="DissertationSection1"/>
      </w:pPr>
      <w:bookmarkStart w:id="85" w:name="_Toc175413164"/>
      <w:r w:rsidRPr="00700A42">
        <w:t>The Effect of Style Guides on Terrorism’s Depiction in Media Coverage</w:t>
      </w:r>
      <w:bookmarkEnd w:id="85"/>
    </w:p>
    <w:p w14:paraId="48029E29" w14:textId="77777777" w:rsidR="009A57BF" w:rsidRPr="00700A42" w:rsidRDefault="009A57BF" w:rsidP="009A57BF">
      <w:pPr>
        <w:ind w:firstLine="720"/>
        <w:rPr>
          <w:rFonts w:cs="Times New Roman"/>
        </w:rPr>
      </w:pPr>
      <w:r w:rsidRPr="00700A42">
        <w:rPr>
          <w:rFonts w:cs="Times New Roman"/>
        </w:rPr>
        <w:t>There is a direct correlation between the contents of a media outlet’s style guide and the different types of bias and framing that manifest in the media coverage of terrorism. Put simply, what a media agency chooses to include (or not include) in its style guide corresponds with the way that the media coverage generated by that agency depicts terrorism. This becomes readily apparent when the elements of the AFP, AP and Reuters style guides that I highlight above are taken into consideration in conjunction with Chapter 7’s conclusions about how terrorism is framed in media coverage. The terms “terror attack”, “terrorist attack” and “terrorist” are more likely to be used in media coverage produced by AFP, while the terms “terrorism” and “extremist” tend to arise in coverage produced by AP, and the phrase “act of terror” is most often used in Reuters’ reporting about terrorism. The Reuters style guide expressly prohibits both “refer[ring] to specific events as terrorism,” and “us[</w:t>
      </w:r>
      <w:proofErr w:type="spellStart"/>
      <w:r w:rsidRPr="00700A42">
        <w:rPr>
          <w:rFonts w:cs="Times New Roman"/>
        </w:rPr>
        <w:t>ing</w:t>
      </w:r>
      <w:proofErr w:type="spellEnd"/>
      <w:r w:rsidRPr="00700A42">
        <w:rPr>
          <w:rFonts w:cs="Times New Roman"/>
        </w:rPr>
        <w:t>] the word terrorist without attribution to qualify specific individuals, groups or events.” Moreover, the Reuters style guide also instructs its journalists to avoid using the terms “terror”, “terror attack” and “terror cell.”</w:t>
      </w:r>
      <w:r w:rsidRPr="00700A42">
        <w:rPr>
          <w:rStyle w:val="FootnoteReference"/>
          <w:rFonts w:cs="Times New Roman"/>
        </w:rPr>
        <w:footnoteReference w:id="534"/>
      </w:r>
      <w:r w:rsidRPr="00700A42">
        <w:rPr>
          <w:rFonts w:cs="Times New Roman"/>
        </w:rPr>
        <w:t xml:space="preserve"> Notably, “act of terror” – the phrase most often used in Reuters’ media coverage of terrorism – is </w:t>
      </w:r>
      <w:r w:rsidRPr="00700A42">
        <w:rPr>
          <w:rFonts w:cs="Times New Roman"/>
          <w:i/>
          <w:iCs/>
        </w:rPr>
        <w:t>not</w:t>
      </w:r>
      <w:r w:rsidRPr="00700A42">
        <w:rPr>
          <w:rFonts w:cs="Times New Roman"/>
        </w:rPr>
        <w:t xml:space="preserve"> mentioned at any point in these reporting guidelines. Likewise, “terrorism” and “extremist” – the terms that tend to arise in AP’s coverage of terrorism – are not mentioned at any point in the 628-pages of the AP style guide.</w:t>
      </w:r>
      <w:r w:rsidRPr="00700A42">
        <w:rPr>
          <w:rStyle w:val="FootnoteReference"/>
          <w:rFonts w:cs="Times New Roman"/>
        </w:rPr>
        <w:footnoteReference w:id="535"/>
      </w:r>
      <w:r w:rsidRPr="00700A42">
        <w:rPr>
          <w:rFonts w:cs="Times New Roman"/>
        </w:rPr>
        <w:t xml:space="preserve"> Of the three news agencies analyzed here, AFP, the agency that is most heavily reliant on IPTC definitions, is more likely to employ terms that do not have </w:t>
      </w:r>
      <w:r w:rsidRPr="00700A42">
        <w:rPr>
          <w:rFonts w:cs="Times New Roman"/>
        </w:rPr>
        <w:lastRenderedPageBreak/>
        <w:t xml:space="preserve">assigned definitions within the IPTC </w:t>
      </w:r>
      <w:proofErr w:type="spellStart"/>
      <w:r w:rsidRPr="00700A42">
        <w:rPr>
          <w:rFonts w:cs="Times New Roman"/>
        </w:rPr>
        <w:t>NewsCodes</w:t>
      </w:r>
      <w:proofErr w:type="spellEnd"/>
      <w:r w:rsidRPr="00700A42">
        <w:rPr>
          <w:rFonts w:cs="Times New Roman"/>
        </w:rPr>
        <w:t xml:space="preserve"> scheme. The IPTC explicitly defines the terms “terrorism”, “act of terror” and “bioterrorism”, making no mention of “terror attack”, “terrorist attack” or “terrorist.”</w:t>
      </w:r>
      <w:r w:rsidRPr="00700A42">
        <w:rPr>
          <w:rStyle w:val="FootnoteReference"/>
          <w:rFonts w:cs="Times New Roman"/>
        </w:rPr>
        <w:footnoteReference w:id="536"/>
      </w:r>
    </w:p>
    <w:p w14:paraId="277A7525" w14:textId="5DAC47A6" w:rsidR="009A57BF" w:rsidRPr="00700A42" w:rsidRDefault="009A57BF" w:rsidP="009A57BF">
      <w:pPr>
        <w:ind w:firstLine="720"/>
        <w:rPr>
          <w:rFonts w:cs="Times New Roman"/>
        </w:rPr>
      </w:pPr>
      <w:r w:rsidRPr="00700A42">
        <w:rPr>
          <w:rFonts w:cs="Times New Roman"/>
        </w:rPr>
        <w:t xml:space="preserve">Moreover, as discussed in Chapter 7, media coverage of terrorism tends to frame terrorism in terms of good vs. evil (Frame A), and democracy vs. terrorism (Frame D). AP </w:t>
      </w:r>
      <w:r w:rsidR="00F74D09">
        <w:rPr>
          <w:rFonts w:cs="Times New Roman"/>
        </w:rPr>
        <w:t>media</w:t>
      </w:r>
      <w:r w:rsidRPr="00700A42">
        <w:rPr>
          <w:rFonts w:cs="Times New Roman"/>
        </w:rPr>
        <w:t xml:space="preserve"> bulletins comprise 38.64% of all of the </w:t>
      </w:r>
      <w:r w:rsidR="00F74D09">
        <w:rPr>
          <w:rFonts w:cs="Times New Roman"/>
        </w:rPr>
        <w:t>media</w:t>
      </w:r>
      <w:r w:rsidRPr="00700A42">
        <w:rPr>
          <w:rFonts w:cs="Times New Roman"/>
        </w:rPr>
        <w:t xml:space="preserve"> bulletins in my sampling frame that employ Frame A, while Reuters journalists generated 57.68% of bulletins in my sampling frame that describe terrorism in relation to Frame D. (For comparison’s sake, 36.36% of </w:t>
      </w:r>
      <w:r w:rsidR="00F74D09">
        <w:rPr>
          <w:rFonts w:cs="Times New Roman"/>
        </w:rPr>
        <w:t>media</w:t>
      </w:r>
      <w:r w:rsidRPr="00700A42">
        <w:rPr>
          <w:rFonts w:cs="Times New Roman"/>
        </w:rPr>
        <w:t xml:space="preserve"> bulletins employing Frame A were published by AFP, while only 25% were produced by Reuters. AFP generated 20.33% of the </w:t>
      </w:r>
      <w:r w:rsidR="00F74D09">
        <w:rPr>
          <w:rFonts w:cs="Times New Roman"/>
        </w:rPr>
        <w:t>media</w:t>
      </w:r>
      <w:r w:rsidRPr="00700A42">
        <w:rPr>
          <w:rFonts w:cs="Times New Roman"/>
        </w:rPr>
        <w:t xml:space="preserve"> bulletins that employ Frame D, while AP generated the remaining 19.92%.) Both frames (Frame A – good vs. evil and Frame D – democracy vs. terrorism) overwhelmingly manifest in the media coverage of terrorism as a result of direct quotations from </w:t>
      </w:r>
      <w:r w:rsidR="005073FA">
        <w:rPr>
          <w:rFonts w:cs="Times New Roman"/>
        </w:rPr>
        <w:t>public figures’</w:t>
      </w:r>
      <w:r w:rsidRPr="00700A42">
        <w:rPr>
          <w:rFonts w:cs="Times New Roman"/>
        </w:rPr>
        <w:t xml:space="preserve"> statements about terrorism.</w:t>
      </w:r>
      <w:r w:rsidRPr="00700A42">
        <w:rPr>
          <w:rStyle w:val="FootnoteReference"/>
          <w:rFonts w:cs="Times New Roman"/>
        </w:rPr>
        <w:footnoteReference w:id="537"/>
      </w:r>
      <w:r w:rsidRPr="00700A42">
        <w:rPr>
          <w:rFonts w:cs="Times New Roman"/>
        </w:rPr>
        <w:t xml:space="preserve"> Notably, Reuters – the news agency most likely to employ Frame D – specifies that journalists should only refer to specific events as terrorism, and specific individuals and groups as terrorists if they are “quoting someone in direct speech.”</w:t>
      </w:r>
      <w:r w:rsidRPr="00700A42">
        <w:rPr>
          <w:rStyle w:val="FootnoteReference"/>
          <w:rFonts w:cs="Times New Roman"/>
        </w:rPr>
        <w:footnoteReference w:id="538"/>
      </w:r>
      <w:r w:rsidRPr="00700A42">
        <w:rPr>
          <w:rFonts w:cs="Times New Roman"/>
        </w:rPr>
        <w:t xml:space="preserve"> By contrast, AP and AFP </w:t>
      </w:r>
      <w:r w:rsidR="00F74D09">
        <w:rPr>
          <w:rFonts w:cs="Times New Roman"/>
        </w:rPr>
        <w:t>media</w:t>
      </w:r>
      <w:r w:rsidRPr="00700A42">
        <w:rPr>
          <w:rFonts w:cs="Times New Roman"/>
        </w:rPr>
        <w:t xml:space="preserve"> bulletins tend to be less reliant on direct quotations. The AP style guide, in particular, specifies that journalists should only “use direct quotes only when a paraphrase doesn’t work better,” even asserting that, in most cases, paraphrasing is more effective than directly quoting a source. </w:t>
      </w:r>
      <w:r w:rsidRPr="00700A42">
        <w:rPr>
          <w:rStyle w:val="FootnoteReference"/>
          <w:rFonts w:cs="Times New Roman"/>
        </w:rPr>
        <w:footnoteReference w:id="539"/>
      </w:r>
      <w:r w:rsidRPr="00700A42">
        <w:rPr>
          <w:rFonts w:cs="Times New Roman"/>
        </w:rPr>
        <w:t xml:space="preserve"> AFP, meanwhile, states that journalists “can use a partial quote or paraphrase if necessary” and further, that journalists “should give complete quotes and limit partial quotes.”</w:t>
      </w:r>
      <w:r w:rsidRPr="00700A42">
        <w:rPr>
          <w:rStyle w:val="FootnoteReference"/>
          <w:rFonts w:cs="Times New Roman"/>
        </w:rPr>
        <w:footnoteReference w:id="540"/>
      </w:r>
      <w:r w:rsidRPr="00700A42">
        <w:rPr>
          <w:rFonts w:cs="Times New Roman"/>
        </w:rPr>
        <w:t xml:space="preserve"> Both AP and AFP policy relating to the use of quotations in news coverage thus aligns with their style guides’ instructions. Specifically, the </w:t>
      </w:r>
      <w:r w:rsidR="00F74D09">
        <w:rPr>
          <w:rFonts w:cs="Times New Roman"/>
        </w:rPr>
        <w:t>media</w:t>
      </w:r>
      <w:r w:rsidRPr="00700A42">
        <w:rPr>
          <w:rFonts w:cs="Times New Roman"/>
        </w:rPr>
        <w:t xml:space="preserve"> bulletins that these organizations follow their style guides’ moderate (in comparison with Reuters) stance on employing both emotive terminology without attribution to a source and emotive terms in general. </w:t>
      </w:r>
    </w:p>
    <w:p w14:paraId="5FC8D700" w14:textId="17DC5071" w:rsidR="00D03C79" w:rsidRDefault="009A57BF" w:rsidP="009A57BF">
      <w:pPr>
        <w:rPr>
          <w:rFonts w:cs="Times New Roman"/>
        </w:rPr>
      </w:pPr>
      <w:r w:rsidRPr="00700A42">
        <w:rPr>
          <w:rFonts w:cs="Times New Roman"/>
        </w:rPr>
        <w:tab/>
        <w:t>Emotive terms play an even more integral role in how good vs. evil framing manifests in the context of media coverage relating to terrorism. As discussed in Chapter 7, casting terrorism as ‘evil’ contextualizes it as antithetical to the ‘right way’ – so implicitly, basic so-called Western values. This taps into a strong emotional response that encourages action against what is portrayed as an existential threat. Thus, such descriptions of terrorism implicitly try to counterweight the ‘evil’ constituted by terrorism by proffering a remedy proposal (condemning terrorist acts).</w:t>
      </w:r>
      <w:r w:rsidRPr="00700A42">
        <w:rPr>
          <w:rStyle w:val="FootnoteReference"/>
          <w:rFonts w:cs="Times New Roman"/>
        </w:rPr>
        <w:footnoteReference w:id="541"/>
      </w:r>
      <w:r w:rsidRPr="00700A42">
        <w:rPr>
          <w:rFonts w:cs="Times New Roman"/>
        </w:rPr>
        <w:t xml:space="preserve"> On a more subtle note, framing terrorism as ‘evil’ alludes to a firm conception of journalism as ‘good’ by virtue of its inherent relation to social justice and human rights in the context of democracies. This view of journalism accords with the AP style guide, again thematically premised on adherence to ethical journalistic practices, placing particular emphasis on ensuring that journalists promote societal inclusivity and avoid perpetuating harmful stereotypes.</w:t>
      </w:r>
      <w:r w:rsidRPr="00700A42">
        <w:rPr>
          <w:rStyle w:val="FootnoteReference"/>
          <w:rFonts w:cs="Times New Roman"/>
        </w:rPr>
        <w:footnoteReference w:id="542"/>
      </w:r>
      <w:r w:rsidRPr="00700A42">
        <w:rPr>
          <w:rFonts w:cs="Times New Roman"/>
        </w:rPr>
        <w:t xml:space="preserve"> Moreover, the AP style guide does not provide a prescription relating to its journalists’ use of ‘evil’ as a descriptor. Indeed, the AP style guide treats ‘evil’ the same way that </w:t>
      </w:r>
      <w:r w:rsidRPr="00700A42">
        <w:rPr>
          <w:rFonts w:cs="Times New Roman"/>
        </w:rPr>
        <w:lastRenderedPageBreak/>
        <w:t xml:space="preserve">it treats ‘terrorism’ – it neglects to establish a definition of the term and, indeed, fails to explicitly mention it at any point. For these reasons, it makes sense that AP is the news agency relevant to my sampling frame that produces the most </w:t>
      </w:r>
      <w:r w:rsidR="00F74D09">
        <w:rPr>
          <w:rFonts w:cs="Times New Roman"/>
        </w:rPr>
        <w:t>media</w:t>
      </w:r>
      <w:r w:rsidRPr="00700A42">
        <w:rPr>
          <w:rFonts w:cs="Times New Roman"/>
        </w:rPr>
        <w:t xml:space="preserve"> bulletins that frame terrorism as ‘evil.’ Similar to AP, AFP – the news agency that produces a slightly lesser, although still comparable </w:t>
      </w:r>
      <w:proofErr w:type="gramStart"/>
      <w:r w:rsidRPr="00700A42">
        <w:rPr>
          <w:rFonts w:cs="Times New Roman"/>
        </w:rPr>
        <w:t>amount</w:t>
      </w:r>
      <w:proofErr w:type="gramEnd"/>
      <w:r w:rsidRPr="00700A42">
        <w:rPr>
          <w:rFonts w:cs="Times New Roman"/>
        </w:rPr>
        <w:t xml:space="preserve"> of </w:t>
      </w:r>
      <w:r w:rsidR="00F74D09">
        <w:rPr>
          <w:rFonts w:cs="Times New Roman"/>
        </w:rPr>
        <w:t>media</w:t>
      </w:r>
      <w:r w:rsidRPr="00700A42">
        <w:rPr>
          <w:rFonts w:cs="Times New Roman"/>
        </w:rPr>
        <w:t xml:space="preserve"> bulletins that frame terrorism in terms of good vs. evil </w:t>
      </w:r>
      <w:r w:rsidRPr="007D7AC0">
        <w:rPr>
          <w:rFonts w:cs="Times New Roman"/>
          <w:color w:val="000000" w:themeColor="text1"/>
        </w:rPr>
        <w:t>–</w:t>
      </w:r>
      <w:r w:rsidRPr="00700A42">
        <w:rPr>
          <w:rFonts w:cs="Times New Roman"/>
        </w:rPr>
        <w:t xml:space="preserve"> fails to dictate what constitutes acceptable (or conversely, unacceptable) journalistic use of the term ‘evil.’ This, in conjunction with AFP’s tolerance for paraphrasing in place of directly quoting sources, provides some explanation as to AFP journalists’ willingness to frame terrorism as ‘evil’ in their media coverage of terrorism.</w:t>
      </w:r>
    </w:p>
    <w:p w14:paraId="5BCD0689" w14:textId="77777777" w:rsidR="009A57BF" w:rsidRDefault="009A57BF" w:rsidP="00787123">
      <w:pPr>
        <w:pStyle w:val="DissertationSection1"/>
      </w:pPr>
      <w:bookmarkStart w:id="86" w:name="_Toc175413165"/>
      <w:r>
        <w:t>Conclusion</w:t>
      </w:r>
      <w:bookmarkEnd w:id="86"/>
    </w:p>
    <w:p w14:paraId="6380AFAD" w14:textId="00B613C9" w:rsidR="009A57BF" w:rsidRPr="00B71945" w:rsidRDefault="00F74D09" w:rsidP="009A57BF">
      <w:pPr>
        <w:ind w:firstLine="720"/>
        <w:rPr>
          <w:rFonts w:cs="Times New Roman"/>
          <w:color w:val="000000" w:themeColor="text1"/>
        </w:rPr>
      </w:pPr>
      <w:r>
        <w:rPr>
          <w:rFonts w:cs="Times New Roman"/>
          <w:color w:val="000000" w:themeColor="text1"/>
        </w:rPr>
        <w:t>Media</w:t>
      </w:r>
      <w:r w:rsidR="009A57BF" w:rsidRPr="00D62B90">
        <w:rPr>
          <w:rFonts w:cs="Times New Roman"/>
          <w:color w:val="000000" w:themeColor="text1"/>
        </w:rPr>
        <w:t xml:space="preserve"> bulletins that frame terrorism in the ways that I have outlined in this dissertation</w:t>
      </w:r>
      <w:r w:rsidR="009A57BF">
        <w:rPr>
          <w:rFonts w:cs="Times New Roman"/>
          <w:color w:val="000000" w:themeColor="text1"/>
        </w:rPr>
        <w:t xml:space="preserve"> likely play a significant role in facilitating </w:t>
      </w:r>
      <w:r w:rsidR="009A57BF" w:rsidRPr="00D62B90">
        <w:rPr>
          <w:rFonts w:cs="Times New Roman"/>
          <w:color w:val="000000" w:themeColor="text1"/>
        </w:rPr>
        <w:t xml:space="preserve">the </w:t>
      </w:r>
      <w:r w:rsidR="009A57BF">
        <w:rPr>
          <w:rFonts w:cs="Times New Roman"/>
          <w:color w:val="000000" w:themeColor="text1"/>
        </w:rPr>
        <w:t>negative correlation between</w:t>
      </w:r>
      <w:r w:rsidR="009A57BF" w:rsidRPr="00D62B90">
        <w:rPr>
          <w:rFonts w:cs="Times New Roman"/>
          <w:color w:val="000000" w:themeColor="text1"/>
        </w:rPr>
        <w:t xml:space="preserve"> terrorism </w:t>
      </w:r>
      <w:r w:rsidR="009A57BF">
        <w:rPr>
          <w:rFonts w:cs="Times New Roman"/>
          <w:color w:val="000000" w:themeColor="text1"/>
        </w:rPr>
        <w:t>and</w:t>
      </w:r>
      <w:r w:rsidR="009A57BF" w:rsidRPr="00D62B90">
        <w:rPr>
          <w:rFonts w:cs="Times New Roman"/>
          <w:color w:val="000000" w:themeColor="text1"/>
        </w:rPr>
        <w:t xml:space="preserve"> international (state) legitimacy. However, given </w:t>
      </w:r>
      <w:r w:rsidR="009A57BF">
        <w:rPr>
          <w:rFonts w:cs="Times New Roman"/>
          <w:color w:val="000000" w:themeColor="text1"/>
        </w:rPr>
        <w:t>this chapter’s</w:t>
      </w:r>
      <w:r w:rsidR="009A57BF" w:rsidRPr="00D62B90">
        <w:rPr>
          <w:rFonts w:cs="Times New Roman"/>
          <w:color w:val="000000" w:themeColor="text1"/>
        </w:rPr>
        <w:t xml:space="preserve"> analysis of the journalistic guidance that prominent international news agencies include (or fail to include) in their style guides, concluding that the news media and the terrorists are the </w:t>
      </w:r>
      <w:r w:rsidR="009A57BF" w:rsidRPr="00D62B90">
        <w:rPr>
          <w:rFonts w:cs="Times New Roman"/>
          <w:i/>
          <w:iCs/>
          <w:color w:val="000000" w:themeColor="text1"/>
        </w:rPr>
        <w:t>sole</w:t>
      </w:r>
      <w:r w:rsidR="009A57BF" w:rsidRPr="00D62B90">
        <w:rPr>
          <w:rFonts w:cs="Times New Roman"/>
          <w:color w:val="000000" w:themeColor="text1"/>
        </w:rPr>
        <w:t xml:space="preserve"> actors </w:t>
      </w:r>
      <w:r w:rsidR="009A57BF">
        <w:rPr>
          <w:rFonts w:cs="Times New Roman"/>
          <w:color w:val="000000" w:themeColor="text1"/>
        </w:rPr>
        <w:t>that</w:t>
      </w:r>
      <w:r w:rsidR="009A57BF" w:rsidRPr="00D62B90">
        <w:rPr>
          <w:rFonts w:cs="Times New Roman"/>
          <w:color w:val="000000" w:themeColor="text1"/>
        </w:rPr>
        <w:t xml:space="preserve"> facilitat</w:t>
      </w:r>
      <w:r w:rsidR="009A57BF">
        <w:rPr>
          <w:rFonts w:cs="Times New Roman"/>
          <w:color w:val="000000" w:themeColor="text1"/>
        </w:rPr>
        <w:t>e</w:t>
      </w:r>
      <w:r w:rsidR="009A57BF" w:rsidRPr="00D62B90">
        <w:rPr>
          <w:rFonts w:cs="Times New Roman"/>
          <w:color w:val="000000" w:themeColor="text1"/>
        </w:rPr>
        <w:t xml:space="preserve"> terrorism’s erosion of the state’s institutional legitimacy is a disingenuous oversimplification. As I discuss in </w:t>
      </w:r>
      <w:r w:rsidR="009A57BF">
        <w:rPr>
          <w:rFonts w:cs="Times New Roman"/>
          <w:color w:val="000000" w:themeColor="text1"/>
        </w:rPr>
        <w:t>the preceding chapter (</w:t>
      </w:r>
      <w:r w:rsidR="009A57BF" w:rsidRPr="00D62B90">
        <w:rPr>
          <w:rFonts w:cs="Times New Roman"/>
          <w:color w:val="000000" w:themeColor="text1"/>
        </w:rPr>
        <w:t>Chapter 7</w:t>
      </w:r>
      <w:r w:rsidR="009A57BF">
        <w:rPr>
          <w:rFonts w:cs="Times New Roman"/>
          <w:color w:val="000000" w:themeColor="text1"/>
        </w:rPr>
        <w:t>)</w:t>
      </w:r>
      <w:r w:rsidR="009A57BF" w:rsidRPr="00D62B90">
        <w:rPr>
          <w:rFonts w:cs="Times New Roman"/>
          <w:color w:val="000000" w:themeColor="text1"/>
        </w:rPr>
        <w:t xml:space="preserve">, significant culpability for the prominence and importance ascribed to terrorists can actually be attributed to </w:t>
      </w:r>
      <w:r w:rsidR="009A57BF" w:rsidRPr="00BD5F2E">
        <w:rPr>
          <w:rFonts w:cs="Times New Roman"/>
          <w:i/>
          <w:iCs/>
          <w:color w:val="000000" w:themeColor="text1"/>
        </w:rPr>
        <w:t>states</w:t>
      </w:r>
      <w:r w:rsidR="009A57BF" w:rsidRPr="00D62B90">
        <w:rPr>
          <w:rFonts w:cs="Times New Roman"/>
          <w:color w:val="000000" w:themeColor="text1"/>
        </w:rPr>
        <w:t xml:space="preserve"> by virtue of the way </w:t>
      </w:r>
      <w:r w:rsidR="009A57BF">
        <w:rPr>
          <w:rFonts w:cs="Times New Roman"/>
          <w:color w:val="000000" w:themeColor="text1"/>
        </w:rPr>
        <w:t>public figures</w:t>
      </w:r>
      <w:r w:rsidR="009A57BF" w:rsidRPr="00D62B90">
        <w:rPr>
          <w:rFonts w:cs="Times New Roman"/>
          <w:color w:val="000000" w:themeColor="text1"/>
        </w:rPr>
        <w:t xml:space="preserve"> discuss terrorists as adversaries.</w:t>
      </w:r>
      <w:r w:rsidR="009A57BF">
        <w:rPr>
          <w:rFonts w:cs="Times New Roman"/>
          <w:color w:val="000000" w:themeColor="text1"/>
        </w:rPr>
        <w:t xml:space="preserve"> To successfully mitigate the effects that media coverage of terrorism has on international (state) legitimacy, then, it is essential for two different types of policy recommendations be implemented concurrently: recommendations for media producers, and recommendations for states. To that end, in the final chapter of this dissertation (the next chapter – Chapter 9) I extend the insights gained through this chapter’s comparative analysis of the AP, AFP and Reuters style guides to develop and suggest policy recommendations for media producers and states regarding the manner in which media coverage of terrorism negatively affects state legitimacy.</w:t>
      </w:r>
    </w:p>
    <w:p w14:paraId="3A5E1BC3" w14:textId="775F3543" w:rsidR="009A57BF" w:rsidRDefault="009A57BF">
      <w:pPr>
        <w:rPr>
          <w:rFonts w:cs="Times New Roman"/>
          <w:bCs/>
          <w:color w:val="000000" w:themeColor="text1"/>
        </w:rPr>
      </w:pPr>
    </w:p>
    <w:p w14:paraId="6DDAD9DC" w14:textId="77777777" w:rsidR="00656E5B" w:rsidRDefault="00656E5B">
      <w:pPr>
        <w:rPr>
          <w:rFonts w:eastAsiaTheme="minorEastAsia" w:cs="Times New Roman"/>
          <w:b/>
          <w:bCs/>
        </w:rPr>
      </w:pPr>
      <w:r>
        <w:br w:type="page"/>
      </w:r>
    </w:p>
    <w:p w14:paraId="3337A416" w14:textId="1A8B5223" w:rsidR="00B72623" w:rsidRPr="00CB512F" w:rsidRDefault="00B72623" w:rsidP="0039518C">
      <w:pPr>
        <w:pStyle w:val="DissertationChapterName"/>
      </w:pPr>
      <w:bookmarkStart w:id="87" w:name="_Toc175413166"/>
      <w:r w:rsidRPr="00CB512F">
        <w:lastRenderedPageBreak/>
        <w:t>Chapter 9 – Conclusion</w:t>
      </w:r>
      <w:bookmarkEnd w:id="87"/>
    </w:p>
    <w:p w14:paraId="789EBBED" w14:textId="77777777" w:rsidR="00B72623" w:rsidRPr="006F6630" w:rsidRDefault="00B72623" w:rsidP="00B72623">
      <w:pPr>
        <w:jc w:val="center"/>
        <w:rPr>
          <w:rFonts w:cs="Times New Roman"/>
          <w:b/>
          <w:bCs/>
          <w:color w:val="000000" w:themeColor="text1"/>
          <w:u w:val="single"/>
        </w:rPr>
      </w:pPr>
    </w:p>
    <w:p w14:paraId="7C9C6E6D" w14:textId="77777777" w:rsidR="00B72623" w:rsidRPr="006F6630" w:rsidRDefault="00B72623" w:rsidP="00342E63">
      <w:pPr>
        <w:pStyle w:val="DissertationQuotation"/>
      </w:pPr>
      <w:r w:rsidRPr="006F6630">
        <w:t>“Call him Voldemort, Harry. Always use the proper name for things. Fear of a name increases fear of the thing itself.”</w:t>
      </w:r>
    </w:p>
    <w:p w14:paraId="18454B34" w14:textId="327E5B44" w:rsidR="00B72623" w:rsidRPr="000F1AFA" w:rsidRDefault="00B72623" w:rsidP="00342E63">
      <w:pPr>
        <w:pStyle w:val="DissertationQuotationAuthor"/>
        <w:numPr>
          <w:ilvl w:val="0"/>
          <w:numId w:val="33"/>
        </w:numPr>
      </w:pPr>
      <w:r w:rsidRPr="006F6630">
        <w:t>Albus Dumbledore, Harry Potter and the Philosopher’s Stone</w:t>
      </w:r>
      <w:r w:rsidR="002629DF">
        <w:t xml:space="preserve"> </w:t>
      </w:r>
    </w:p>
    <w:p w14:paraId="3562CA41" w14:textId="77777777" w:rsidR="00B72623" w:rsidRPr="000F1AFA" w:rsidRDefault="00B72623" w:rsidP="00342E63">
      <w:pPr>
        <w:pStyle w:val="ListParagraph"/>
        <w:ind w:left="1080"/>
        <w:rPr>
          <w:rFonts w:cs="Times New Roman"/>
          <w:color w:val="000000" w:themeColor="text1"/>
        </w:rPr>
      </w:pPr>
    </w:p>
    <w:p w14:paraId="29F5FA94" w14:textId="77777777" w:rsidR="00B72623" w:rsidRPr="006F6630" w:rsidRDefault="00B72623" w:rsidP="00B72623">
      <w:pPr>
        <w:ind w:firstLine="720"/>
        <w:rPr>
          <w:rFonts w:cs="Times New Roman"/>
          <w:color w:val="000000" w:themeColor="text1"/>
        </w:rPr>
      </w:pPr>
      <w:r w:rsidRPr="006F6630">
        <w:rPr>
          <w:rFonts w:cs="Times New Roman"/>
          <w:color w:val="000000" w:themeColor="text1"/>
        </w:rPr>
        <w:t xml:space="preserve">Throughout the </w:t>
      </w:r>
      <w:r w:rsidRPr="006F6630">
        <w:rPr>
          <w:rFonts w:cs="Times New Roman"/>
          <w:i/>
          <w:iCs/>
          <w:color w:val="000000" w:themeColor="text1"/>
        </w:rPr>
        <w:t>Harry Potter</w:t>
      </w:r>
      <w:r w:rsidRPr="006F6630">
        <w:rPr>
          <w:rFonts w:cs="Times New Roman"/>
          <w:color w:val="000000" w:themeColor="text1"/>
        </w:rPr>
        <w:t xml:space="preserve"> series, the wizarding world’s fear of Lord Voldemort – the series’ main antagonist – is exemplified by characters’ avoidance of referring to him by his name. By the beginning of </w:t>
      </w:r>
      <w:r w:rsidRPr="006F6630">
        <w:rPr>
          <w:rFonts w:cs="Times New Roman"/>
          <w:i/>
          <w:iCs/>
          <w:color w:val="000000" w:themeColor="text1"/>
        </w:rPr>
        <w:t xml:space="preserve">Harry Potter and the Philosopher’s </w:t>
      </w:r>
      <w:r w:rsidRPr="006F6630">
        <w:rPr>
          <w:rFonts w:cs="Times New Roman"/>
          <w:color w:val="000000" w:themeColor="text1"/>
        </w:rPr>
        <w:t xml:space="preserve">Stone, this culture of fear is so pervasive within the wizarding world that the euphemisms “You-Know-Who” and “He-Who-Must-Not-Be-Named” are commonly understood to refer to Voldemort. </w:t>
      </w:r>
    </w:p>
    <w:p w14:paraId="5C9AC6DF" w14:textId="77777777" w:rsidR="00B72623" w:rsidRPr="006F6630" w:rsidRDefault="00B72623" w:rsidP="00B72623">
      <w:pPr>
        <w:ind w:firstLine="720"/>
        <w:rPr>
          <w:rFonts w:cs="Times New Roman"/>
          <w:color w:val="000000" w:themeColor="text1"/>
        </w:rPr>
      </w:pPr>
      <w:r w:rsidRPr="006F6630">
        <w:rPr>
          <w:rFonts w:cs="Times New Roman"/>
          <w:color w:val="000000" w:themeColor="text1"/>
        </w:rPr>
        <w:t xml:space="preserve">Near the end of </w:t>
      </w:r>
      <w:r w:rsidRPr="006F6630">
        <w:rPr>
          <w:rFonts w:cs="Times New Roman"/>
          <w:i/>
          <w:iCs/>
          <w:color w:val="000000" w:themeColor="text1"/>
        </w:rPr>
        <w:t>Harry Potter and the Philosopher’s Stone</w:t>
      </w:r>
      <w:r w:rsidRPr="006F6630">
        <w:rPr>
          <w:rFonts w:cs="Times New Roman"/>
          <w:color w:val="000000" w:themeColor="text1"/>
        </w:rPr>
        <w:t>, Albus Dumbledore explicitly diverges from this norm, instructing Harry Potter “call him Voldemort, Harry.”</w:t>
      </w:r>
      <w:r w:rsidRPr="006F6630">
        <w:rPr>
          <w:rStyle w:val="FootnoteReference"/>
          <w:rFonts w:cs="Times New Roman"/>
          <w:color w:val="000000" w:themeColor="text1"/>
        </w:rPr>
        <w:footnoteReference w:id="543"/>
      </w:r>
      <w:r w:rsidRPr="006F6630">
        <w:rPr>
          <w:rFonts w:cs="Times New Roman"/>
          <w:color w:val="000000" w:themeColor="text1"/>
        </w:rPr>
        <w:t xml:space="preserve"> Dumbledore justifies this by explaining that one must “always use the proper name for things,” because “fear of a name increases fear of the thing itself.”</w:t>
      </w:r>
      <w:r w:rsidRPr="006F6630">
        <w:rPr>
          <w:rStyle w:val="FootnoteReference"/>
          <w:rFonts w:cs="Times New Roman"/>
          <w:color w:val="000000" w:themeColor="text1"/>
        </w:rPr>
        <w:footnoteReference w:id="544"/>
      </w:r>
      <w:r w:rsidRPr="006F6630">
        <w:rPr>
          <w:rFonts w:cs="Times New Roman"/>
          <w:color w:val="000000" w:themeColor="text1"/>
        </w:rPr>
        <w:t xml:space="preserve"> By maintaining that avoiding acknowledging something by name can make it seem scarier than it actually is, Dumbledore acknowledges that the widespread use of euphemisms is reflective of the power that Voldemort holds over the wizarding world at large. Moreover, the idea that “fear of a name increases fear of the thing itself” suggests that understanding and confronting – </w:t>
      </w:r>
      <w:r w:rsidRPr="006F6630">
        <w:rPr>
          <w:rFonts w:cs="Times New Roman"/>
          <w:i/>
          <w:iCs/>
          <w:color w:val="000000" w:themeColor="text1"/>
        </w:rPr>
        <w:t xml:space="preserve">naming </w:t>
      </w:r>
      <w:r w:rsidRPr="006F6630">
        <w:rPr>
          <w:rFonts w:cs="Times New Roman"/>
          <w:color w:val="000000" w:themeColor="text1"/>
        </w:rPr>
        <w:t>– our fears directly is key to overcoming them.</w:t>
      </w:r>
    </w:p>
    <w:p w14:paraId="38CC4150" w14:textId="77777777" w:rsidR="00B72623" w:rsidRPr="006F6630" w:rsidRDefault="00B72623" w:rsidP="00B72623">
      <w:pPr>
        <w:rPr>
          <w:rFonts w:cs="Times New Roman"/>
          <w:color w:val="000000" w:themeColor="text1"/>
        </w:rPr>
      </w:pPr>
      <w:r w:rsidRPr="006F6630">
        <w:rPr>
          <w:rFonts w:cs="Times New Roman"/>
          <w:color w:val="000000" w:themeColor="text1"/>
        </w:rPr>
        <w:t xml:space="preserve"> </w:t>
      </w:r>
      <w:r w:rsidRPr="006F6630">
        <w:rPr>
          <w:rFonts w:cs="Times New Roman"/>
          <w:color w:val="000000" w:themeColor="text1"/>
        </w:rPr>
        <w:tab/>
        <w:t xml:space="preserve">Dumbledore’s assertion that one must “always use the proper name for things” is directly relevant to the subject matter that I address in this dissertation. More specifically, it constitutes a response to scholars that argue </w:t>
      </w:r>
      <w:r w:rsidRPr="006F6630">
        <w:rPr>
          <w:rFonts w:cs="Times New Roman"/>
          <w:i/>
          <w:iCs/>
          <w:color w:val="000000" w:themeColor="text1"/>
        </w:rPr>
        <w:t>against</w:t>
      </w:r>
      <w:r w:rsidRPr="006F6630">
        <w:rPr>
          <w:rFonts w:cs="Times New Roman"/>
          <w:color w:val="000000" w:themeColor="text1"/>
        </w:rPr>
        <w:t xml:space="preserve"> using the word ‘terrorism’ to label instances of violence (or threatened violence) given the pejorative and normatively-loaded nature of the term, as well as its lack of analytical “precision, objectivity and certainty.”</w:t>
      </w:r>
      <w:r w:rsidRPr="006F6630">
        <w:rPr>
          <w:rStyle w:val="FootnoteReference"/>
          <w:rFonts w:cs="Times New Roman"/>
          <w:color w:val="000000" w:themeColor="text1"/>
        </w:rPr>
        <w:footnoteReference w:id="545"/>
      </w:r>
      <w:r w:rsidRPr="006F6630">
        <w:rPr>
          <w:rFonts w:cs="Times New Roman"/>
          <w:color w:val="000000" w:themeColor="text1"/>
        </w:rPr>
        <w:t xml:space="preserve"> The type of focus on terrorism’s ontological nature that is exemplified by arguments about the academic propriety of the ‘terrorist’ label hinders public understandings of what terrorism actually </w:t>
      </w:r>
      <w:r w:rsidRPr="006F6630">
        <w:rPr>
          <w:rFonts w:cs="Times New Roman"/>
          <w:i/>
          <w:iCs/>
          <w:color w:val="000000" w:themeColor="text1"/>
        </w:rPr>
        <w:t>is</w:t>
      </w:r>
      <w:r w:rsidRPr="006F6630">
        <w:rPr>
          <w:rFonts w:cs="Times New Roman"/>
          <w:color w:val="000000" w:themeColor="text1"/>
        </w:rPr>
        <w:t>. The (particularly unhelpful) query, “will we not know terrorism when we see it?” aside, the ambiguity associated with terrorism (and therefore, with the risk that it might pose to the public) provides for depictions of terrorism that implicitly constitute it a disproportionately significant threat that in no way reflects reality.</w:t>
      </w:r>
      <w:r w:rsidRPr="006F6630">
        <w:rPr>
          <w:rStyle w:val="FootnoteReference"/>
          <w:rFonts w:cs="Times New Roman"/>
          <w:color w:val="000000" w:themeColor="text1"/>
        </w:rPr>
        <w:footnoteReference w:id="546"/>
      </w:r>
      <w:r w:rsidRPr="006F6630">
        <w:rPr>
          <w:rFonts w:cs="Times New Roman"/>
          <w:color w:val="000000" w:themeColor="text1"/>
        </w:rPr>
        <w:t xml:space="preserve"> The scholarly and policy literatures’ collective failure to define terrorism has led to the general public implicitly premising its feelings about terrorism based on how terrorism is framed in media coverage. This is problematic because, as I establish in this dissertation, media coverage tends to frame terrorism in a way that reflects the state’s conception of terrorism as necessarily and inherently threatening its legitimacy (and therefore, its continued primacy in the international system). While what ultimately makes terrorism ‘scary’ to states is that its perpetration necessarily involves a sub-state actor’s demonstrated (or threatened) use of force that undermines international (state) legitimacy, it is actually the uncertainty – more specifically, the unspecified extranormality – implied by the ‘terrorism’ label that has such “rhetorical impact that ought not </w:t>
      </w:r>
      <w:r w:rsidRPr="006F6630">
        <w:rPr>
          <w:rFonts w:cs="Times New Roman"/>
          <w:color w:val="000000" w:themeColor="text1"/>
        </w:rPr>
        <w:lastRenderedPageBreak/>
        <w:t>to be underestimated” on the general public.</w:t>
      </w:r>
      <w:r w:rsidRPr="006F6630">
        <w:rPr>
          <w:rStyle w:val="FootnoteReference"/>
          <w:rFonts w:cs="Times New Roman"/>
          <w:color w:val="000000" w:themeColor="text1"/>
        </w:rPr>
        <w:footnoteReference w:id="547"/>
      </w:r>
      <w:r w:rsidRPr="006F6630">
        <w:rPr>
          <w:rFonts w:cs="Times New Roman"/>
          <w:color w:val="000000" w:themeColor="text1"/>
        </w:rPr>
        <w:t xml:space="preserve"> Avoiding the use – or explicit definition – of a specific term can thus lead to a lack of overall understanding of the issue that it connotes, allowing it to perpetuate and creating a culture of fear that can be greater “than fear of the thing itself.”</w:t>
      </w:r>
      <w:r w:rsidRPr="006F6630">
        <w:rPr>
          <w:rStyle w:val="FootnoteReference"/>
          <w:rFonts w:cs="Times New Roman"/>
          <w:color w:val="000000" w:themeColor="text1"/>
        </w:rPr>
        <w:footnoteReference w:id="548"/>
      </w:r>
    </w:p>
    <w:p w14:paraId="0EF26DE9" w14:textId="77777777" w:rsidR="00B72623" w:rsidRPr="006F6630" w:rsidRDefault="00B72623" w:rsidP="00B72623">
      <w:pPr>
        <w:ind w:firstLine="720"/>
        <w:rPr>
          <w:rFonts w:cs="Times New Roman"/>
          <w:color w:val="000000" w:themeColor="text1"/>
        </w:rPr>
      </w:pPr>
      <w:r w:rsidRPr="006F6630">
        <w:rPr>
          <w:rFonts w:cs="Times New Roman"/>
          <w:color w:val="000000" w:themeColor="text1"/>
        </w:rPr>
        <w:t xml:space="preserve">In this dissertation, I discuss the manner in which terrorism ‘succeeds’, originally hypothesizing that media coverage of terrorism facilitates terrorism’s ‘success’ by eroding the legitimacy of the state as </w:t>
      </w:r>
      <w:r w:rsidRPr="006F6630">
        <w:rPr>
          <w:rFonts w:cs="Times New Roman"/>
          <w:i/>
          <w:iCs/>
          <w:color w:val="000000" w:themeColor="text1"/>
        </w:rPr>
        <w:t>the</w:t>
      </w:r>
      <w:r w:rsidRPr="006F6630">
        <w:rPr>
          <w:rFonts w:cs="Times New Roman"/>
          <w:color w:val="000000" w:themeColor="text1"/>
        </w:rPr>
        <w:t xml:space="preserve"> actor of note in international relations.</w:t>
      </w:r>
      <w:r w:rsidRPr="006F6630">
        <w:rPr>
          <w:rStyle w:val="FootnoteReference"/>
          <w:rFonts w:cs="Times New Roman"/>
          <w:color w:val="000000" w:themeColor="text1"/>
        </w:rPr>
        <w:footnoteReference w:id="549"/>
      </w:r>
      <w:r w:rsidRPr="006F6630">
        <w:rPr>
          <w:rFonts w:cs="Times New Roman"/>
          <w:color w:val="000000" w:themeColor="text1"/>
        </w:rPr>
        <w:t xml:space="preserve"> While a universally accepted definition of terrorism has yet to be established, I emphasize state priorities in conceptualizing terrorism in a policy-relevant manner because states are widely considered the primary noteworthy actors in international relations. This fact grounds my proposal that the integral feature of terrorism is not the means by which it is perpetrated, the modes of violence that it employs, its indiscriminate fear-inducing nature, or the motivations underlying its perception. Instead, the crucial factor implicit in any conceptualization of state-seeking terrorism is the sub-state actor’s demonstrated use or threatened use of force that undermines international (state) legitimacy. Accordingly, I conceive of media coverage of terrorism as the </w:t>
      </w:r>
      <w:r w:rsidRPr="006F6630">
        <w:rPr>
          <w:rFonts w:cs="Times New Roman"/>
          <w:i/>
          <w:iCs/>
          <w:color w:val="000000" w:themeColor="text1"/>
        </w:rPr>
        <w:t>mode</w:t>
      </w:r>
      <w:r w:rsidRPr="006F6630">
        <w:rPr>
          <w:rFonts w:cs="Times New Roman"/>
          <w:color w:val="000000" w:themeColor="text1"/>
        </w:rPr>
        <w:t xml:space="preserve"> of post-modern warfare that connects terrorism as its </w:t>
      </w:r>
      <w:r w:rsidRPr="006F6630">
        <w:rPr>
          <w:rFonts w:cs="Times New Roman"/>
          <w:i/>
          <w:iCs/>
          <w:color w:val="000000" w:themeColor="text1"/>
        </w:rPr>
        <w:t>means</w:t>
      </w:r>
      <w:r w:rsidRPr="006F6630">
        <w:rPr>
          <w:rFonts w:cs="Times New Roman"/>
          <w:color w:val="000000" w:themeColor="text1"/>
        </w:rPr>
        <w:t xml:space="preserve"> with the </w:t>
      </w:r>
      <w:r w:rsidRPr="006F6630">
        <w:rPr>
          <w:rFonts w:cs="Times New Roman"/>
          <w:i/>
          <w:iCs/>
          <w:color w:val="000000" w:themeColor="text1"/>
        </w:rPr>
        <w:t>ends</w:t>
      </w:r>
      <w:r w:rsidRPr="006F6630">
        <w:rPr>
          <w:rFonts w:cs="Times New Roman"/>
          <w:color w:val="000000" w:themeColor="text1"/>
        </w:rPr>
        <w:t xml:space="preserve"> of delegitimizing the state as an institution. This framework contextualizes the results of the empirical research that I present, which suggest that while the perpetration of terrorism in and of itself does not have a measurable effect on international (state) legitimacy, increased</w:t>
      </w:r>
      <w:r w:rsidRPr="006F6630">
        <w:rPr>
          <w:rFonts w:cs="Times New Roman"/>
          <w:i/>
          <w:iCs/>
          <w:color w:val="000000" w:themeColor="text1"/>
        </w:rPr>
        <w:t xml:space="preserve"> media coverage of terrorism</w:t>
      </w:r>
      <w:r w:rsidRPr="006F6630">
        <w:rPr>
          <w:rFonts w:cs="Times New Roman"/>
          <w:color w:val="000000" w:themeColor="text1"/>
        </w:rPr>
        <w:t xml:space="preserve"> correlates with decreased state legitimacy. I suggest that any detrimental effect that the media coverage of terrorism might exert on international (state) legitimacy occurs because media coverage of terrorism tends to frame terrorism as opposing state authority, in turn calling into question state legitimacy. Moreover, I contend that </w:t>
      </w:r>
      <w:r w:rsidRPr="006F6630">
        <w:rPr>
          <w:rFonts w:cs="Times New Roman"/>
          <w:i/>
          <w:iCs/>
          <w:color w:val="000000" w:themeColor="text1"/>
        </w:rPr>
        <w:t>states</w:t>
      </w:r>
      <w:r w:rsidRPr="006F6630">
        <w:rPr>
          <w:rFonts w:cs="Times New Roman"/>
          <w:color w:val="000000" w:themeColor="text1"/>
        </w:rPr>
        <w:t xml:space="preserve"> are the actors responsible for the prominence that enables terrorism to have this effect, meaning that states themselves have constructed terrorists effectively as their own worst enemy.</w:t>
      </w:r>
    </w:p>
    <w:p w14:paraId="056F40F1" w14:textId="77777777" w:rsidR="00B72623" w:rsidRPr="006F6630" w:rsidRDefault="00B72623" w:rsidP="00B72623">
      <w:pPr>
        <w:rPr>
          <w:rFonts w:cs="Times New Roman"/>
          <w:color w:val="000000" w:themeColor="text1"/>
        </w:rPr>
      </w:pPr>
      <w:r w:rsidRPr="006F6630">
        <w:rPr>
          <w:rFonts w:cs="Times New Roman"/>
          <w:color w:val="000000" w:themeColor="text1"/>
        </w:rPr>
        <w:tab/>
        <w:t>In short, my conclusion suggests state actors are ultimately responsible for the attention that media coverage showers on terrorist actors. The conclusion challenges earlier ideas about the media as either “‘culpable,’ instrumental to terrorism,” or “‘vulnerable’ – in effect a victim itself of the manipulation by terrorists… [and] not directly responsible for their deeds.”</w:t>
      </w:r>
      <w:r w:rsidRPr="006F6630">
        <w:rPr>
          <w:rStyle w:val="FootnoteReference"/>
          <w:rFonts w:cs="Times New Roman"/>
          <w:color w:val="000000" w:themeColor="text1"/>
        </w:rPr>
        <w:footnoteReference w:id="550"/>
      </w:r>
      <w:r w:rsidRPr="006F6630">
        <w:rPr>
          <w:rFonts w:cs="Times New Roman"/>
          <w:color w:val="000000" w:themeColor="text1"/>
        </w:rPr>
        <w:t xml:space="preserve"> Rather than associating the media coverage of terrorism as inherently tied to a “symbiotic relationship” between terrorists and the media, I contend that it is the media’s coverage of public figures’ rhetoric about terrorism that has a significant detrimental effect on international (state) legitimacy.</w:t>
      </w:r>
      <w:r w:rsidRPr="006F6630">
        <w:rPr>
          <w:rStyle w:val="FootnoteReference"/>
          <w:rFonts w:cs="Times New Roman"/>
          <w:color w:val="000000" w:themeColor="text1"/>
        </w:rPr>
        <w:footnoteReference w:id="551"/>
      </w:r>
      <w:r w:rsidRPr="006F6630">
        <w:rPr>
          <w:rFonts w:cs="Times New Roman"/>
          <w:color w:val="000000" w:themeColor="text1"/>
        </w:rPr>
        <w:t xml:space="preserve"> This re-situates the relationship between terrorism and the media. By conceptualizing </w:t>
      </w:r>
      <w:r w:rsidRPr="006F6630">
        <w:rPr>
          <w:rFonts w:cs="Times New Roman"/>
          <w:i/>
          <w:iCs/>
          <w:color w:val="000000" w:themeColor="text1"/>
        </w:rPr>
        <w:t>states</w:t>
      </w:r>
      <w:r w:rsidRPr="006F6630">
        <w:rPr>
          <w:rFonts w:cs="Times New Roman"/>
          <w:color w:val="000000" w:themeColor="text1"/>
        </w:rPr>
        <w:t xml:space="preserve"> as essential to amplifying terrorist violence that is crucial to terrorism, this study diverges from and corrects earlier scholarship’s focus on </w:t>
      </w:r>
      <w:r w:rsidRPr="006F6630">
        <w:rPr>
          <w:rFonts w:cs="Times New Roman"/>
          <w:i/>
          <w:iCs/>
          <w:color w:val="000000" w:themeColor="text1"/>
        </w:rPr>
        <w:t>either</w:t>
      </w:r>
      <w:r w:rsidRPr="006F6630">
        <w:rPr>
          <w:rFonts w:cs="Times New Roman"/>
          <w:color w:val="000000" w:themeColor="text1"/>
        </w:rPr>
        <w:t xml:space="preserve"> the media </w:t>
      </w:r>
      <w:r w:rsidRPr="006F6630">
        <w:rPr>
          <w:rFonts w:cs="Times New Roman"/>
          <w:i/>
          <w:iCs/>
          <w:color w:val="000000" w:themeColor="text1"/>
        </w:rPr>
        <w:t>or</w:t>
      </w:r>
      <w:r w:rsidRPr="006F6630">
        <w:rPr>
          <w:rFonts w:cs="Times New Roman"/>
          <w:color w:val="000000" w:themeColor="text1"/>
        </w:rPr>
        <w:t xml:space="preserve"> the terrorists as the noteworthy actors in discussions about media coverage of terrorism.</w:t>
      </w:r>
    </w:p>
    <w:p w14:paraId="5F01E6E4" w14:textId="66E1F33D" w:rsidR="00B72623" w:rsidRPr="006F6630" w:rsidRDefault="00B72623" w:rsidP="00B72623">
      <w:pPr>
        <w:rPr>
          <w:rFonts w:cs="Times New Roman"/>
          <w:color w:val="000000" w:themeColor="text1"/>
        </w:rPr>
      </w:pPr>
      <w:r w:rsidRPr="006F6630">
        <w:rPr>
          <w:rFonts w:cs="Times New Roman"/>
          <w:color w:val="000000" w:themeColor="text1"/>
        </w:rPr>
        <w:lastRenderedPageBreak/>
        <w:tab/>
        <w:t>In order to build on these conclusions, and moreover, to further enrich this dissertation’s contributions to</w:t>
      </w:r>
      <w:r w:rsidR="002629DF">
        <w:rPr>
          <w:rFonts w:cs="Times New Roman"/>
          <w:color w:val="000000" w:themeColor="text1"/>
        </w:rPr>
        <w:t xml:space="preserve"> scholarship</w:t>
      </w:r>
      <w:r w:rsidRPr="006F6630">
        <w:rPr>
          <w:rFonts w:cs="Times New Roman"/>
          <w:color w:val="000000" w:themeColor="text1"/>
        </w:rPr>
        <w:t xml:space="preserve">, it is necessary to connect the insights I detail above with their </w:t>
      </w:r>
      <w:r>
        <w:rPr>
          <w:rFonts w:cs="Times New Roman"/>
          <w:color w:val="000000" w:themeColor="text1"/>
        </w:rPr>
        <w:t xml:space="preserve">suggested </w:t>
      </w:r>
      <w:r w:rsidRPr="006F6630">
        <w:rPr>
          <w:rFonts w:cs="Times New Roman"/>
          <w:color w:val="000000" w:themeColor="text1"/>
        </w:rPr>
        <w:t>practical applications. For that reason, this chapter (Chapter 9) focuses on demonstrating the practical relevance and (potential) impact of my research by developing p</w:t>
      </w:r>
      <w:r>
        <w:rPr>
          <w:rFonts w:cs="Times New Roman"/>
          <w:color w:val="000000" w:themeColor="text1"/>
        </w:rPr>
        <w:t>rinciples to inform any p</w:t>
      </w:r>
      <w:r w:rsidRPr="006F6630">
        <w:rPr>
          <w:rFonts w:cs="Times New Roman"/>
          <w:color w:val="000000" w:themeColor="text1"/>
        </w:rPr>
        <w:t xml:space="preserve">olicy recommendations </w:t>
      </w:r>
      <w:r>
        <w:rPr>
          <w:rFonts w:cs="Times New Roman"/>
          <w:color w:val="000000" w:themeColor="text1"/>
        </w:rPr>
        <w:t>established with the objective of</w:t>
      </w:r>
      <w:r w:rsidRPr="006F6630">
        <w:rPr>
          <w:rFonts w:cs="Times New Roman"/>
          <w:color w:val="000000" w:themeColor="text1"/>
        </w:rPr>
        <w:t xml:space="preserve"> mitigating the factors that I suggest are responsible for the negative correlation between the media coverage of terrorism and international (state) legitimacy. Accounting for my Chapter 7 contention that significant culpability for media coverage’s disproportionate focus on terrorism can actually be attributed to </w:t>
      </w:r>
      <w:r w:rsidRPr="006F6630">
        <w:rPr>
          <w:rFonts w:cs="Times New Roman"/>
          <w:i/>
          <w:iCs/>
          <w:color w:val="000000" w:themeColor="text1"/>
        </w:rPr>
        <w:t>states</w:t>
      </w:r>
      <w:r w:rsidRPr="006F6630">
        <w:rPr>
          <w:rFonts w:cs="Times New Roman"/>
          <w:color w:val="000000" w:themeColor="text1"/>
        </w:rPr>
        <w:t xml:space="preserve"> because of the actions of public figures, the </w:t>
      </w:r>
      <w:r>
        <w:rPr>
          <w:rFonts w:cs="Times New Roman"/>
          <w:color w:val="000000" w:themeColor="text1"/>
        </w:rPr>
        <w:t>principles</w:t>
      </w:r>
      <w:r w:rsidRPr="006F6630">
        <w:rPr>
          <w:rFonts w:cs="Times New Roman"/>
          <w:color w:val="000000" w:themeColor="text1"/>
        </w:rPr>
        <w:t xml:space="preserve"> I propose in this chapter target the actions (and thus, the resulting output) of two distinct actors: the international news media</w:t>
      </w:r>
      <w:r>
        <w:rPr>
          <w:rFonts w:cs="Times New Roman"/>
          <w:color w:val="000000" w:themeColor="text1"/>
        </w:rPr>
        <w:t>, and states.</w:t>
      </w:r>
    </w:p>
    <w:p w14:paraId="670391C4" w14:textId="77777777" w:rsidR="00B72623" w:rsidRPr="006F6630" w:rsidRDefault="00B72623" w:rsidP="00787123">
      <w:pPr>
        <w:pStyle w:val="DissertationSection1"/>
      </w:pPr>
      <w:bookmarkStart w:id="88" w:name="_Toc175413167"/>
      <w:r>
        <w:t xml:space="preserve">Principles to Inform </w:t>
      </w:r>
      <w:r w:rsidRPr="006F6630">
        <w:t>Media-Centric Policy Recommendations</w:t>
      </w:r>
      <w:bookmarkEnd w:id="88"/>
    </w:p>
    <w:p w14:paraId="2BAD49D6" w14:textId="129FBE34" w:rsidR="005B2AD0" w:rsidRDefault="005B2AD0" w:rsidP="005B2AD0">
      <w:pPr>
        <w:ind w:firstLine="720"/>
        <w:rPr>
          <w:rFonts w:cs="Times New Roman"/>
          <w:color w:val="000000" w:themeColor="text1"/>
        </w:rPr>
      </w:pPr>
      <w:r>
        <w:rPr>
          <w:rFonts w:cs="Times New Roman"/>
          <w:color w:val="000000" w:themeColor="text1"/>
        </w:rPr>
        <w:t xml:space="preserve">There are two different categories of media-centric policy recommendation that flow from the research described in this dissertation. First, journalists need to be properly trained to understand the implications associated with the use and framing of the term terrorism in news coverage. Second, journalists need to face greater accountability and operate with greater transparency in relation to their coverage of (and, in particular, their use of the term) terrorism. </w:t>
      </w:r>
    </w:p>
    <w:p w14:paraId="0EFBFD59" w14:textId="3248BDFC" w:rsidR="00B72623" w:rsidRPr="006F6630" w:rsidRDefault="00B72623" w:rsidP="005B2AD0">
      <w:pPr>
        <w:ind w:firstLine="720"/>
        <w:rPr>
          <w:rFonts w:cs="Times New Roman"/>
          <w:color w:val="000000" w:themeColor="text1"/>
        </w:rPr>
      </w:pPr>
      <w:r w:rsidRPr="006F6630">
        <w:rPr>
          <w:rFonts w:cs="Times New Roman"/>
          <w:color w:val="000000" w:themeColor="text1"/>
        </w:rPr>
        <w:t xml:space="preserve">I agree with Michael </w:t>
      </w:r>
      <w:proofErr w:type="spellStart"/>
      <w:r w:rsidRPr="006F6630">
        <w:rPr>
          <w:rFonts w:cs="Times New Roman"/>
          <w:color w:val="000000" w:themeColor="text1"/>
        </w:rPr>
        <w:t>Munnik</w:t>
      </w:r>
      <w:proofErr w:type="spellEnd"/>
      <w:r w:rsidRPr="006F6630">
        <w:rPr>
          <w:rFonts w:cs="Times New Roman"/>
          <w:color w:val="000000" w:themeColor="text1"/>
        </w:rPr>
        <w:t xml:space="preserve"> that “[m]ore thorough guidance would help improve the quality and accuracy of [journalists’] representations” of terrorism.</w:t>
      </w:r>
      <w:r w:rsidRPr="006F6630">
        <w:rPr>
          <w:rStyle w:val="FootnoteReference"/>
          <w:rFonts w:cs="Times New Roman"/>
          <w:color w:val="000000" w:themeColor="text1"/>
        </w:rPr>
        <w:footnoteReference w:id="552"/>
      </w:r>
      <w:r w:rsidRPr="006F6630">
        <w:rPr>
          <w:rFonts w:cs="Times New Roman"/>
          <w:color w:val="000000" w:themeColor="text1"/>
        </w:rPr>
        <w:t xml:space="preserve"> It is thus essential that the international media work to standardize the way that news agency style guides advise journalists to report on terrorists and terrorism. As I establish in this dissertation, there are significant discrepancies regarding how terrorism is depicted in the </w:t>
      </w:r>
      <w:r w:rsidR="00F74D09">
        <w:rPr>
          <w:rFonts w:cs="Times New Roman"/>
          <w:color w:val="000000" w:themeColor="text1"/>
        </w:rPr>
        <w:t>media</w:t>
      </w:r>
      <w:r w:rsidRPr="006F6630">
        <w:rPr>
          <w:rFonts w:cs="Times New Roman"/>
          <w:color w:val="000000" w:themeColor="text1"/>
        </w:rPr>
        <w:t xml:space="preserve"> bulletins disseminated by major news agencies, and this ultimately has a significant impact on the way international media coverage frames terrorism because “traditional media remain crucial stakeholders [whose]… information and analysis… remains… the foundation for a large portion of public opinion.”</w:t>
      </w:r>
      <w:r w:rsidRPr="006F6630">
        <w:rPr>
          <w:rStyle w:val="FootnoteReference"/>
          <w:rFonts w:cs="Times New Roman"/>
          <w:color w:val="000000" w:themeColor="text1"/>
        </w:rPr>
        <w:footnoteReference w:id="553"/>
      </w:r>
      <w:r w:rsidRPr="006F6630">
        <w:rPr>
          <w:rFonts w:cs="Times New Roman"/>
          <w:color w:val="000000" w:themeColor="text1"/>
        </w:rPr>
        <w:t xml:space="preserve"> For that reason, international news media should work in conjunction with policy-makers and academics where possible to eliminate these discrepancies by creating a primer on media framing specific to terrorism that addresses the differences between terrorism and other types of violence. In particular, it is necessary to establish that as a typology of violent conflict, terrorism necessarily places states in opposition to terrorists. While existing journalistic guidance seemingly acknowledges the necessity of “offer[</w:t>
      </w:r>
      <w:proofErr w:type="spellStart"/>
      <w:r w:rsidRPr="006F6630">
        <w:rPr>
          <w:rFonts w:cs="Times New Roman"/>
          <w:color w:val="000000" w:themeColor="text1"/>
        </w:rPr>
        <w:t>ing</w:t>
      </w:r>
      <w:proofErr w:type="spellEnd"/>
      <w:r w:rsidRPr="006F6630">
        <w:rPr>
          <w:rFonts w:cs="Times New Roman"/>
          <w:color w:val="000000" w:themeColor="text1"/>
        </w:rPr>
        <w:t xml:space="preserve">] conflicting points of view… [to ensure that news does not only represent] one position,” reiterating that the media “dislike the idea of being hand-in-glove with authority” and that journalists should “be careful not to automatically adopt the viewpoint of the authorities,” these sources fail to acknowledge that by only speaking to states, the media </w:t>
      </w:r>
      <w:r w:rsidRPr="006F6630">
        <w:rPr>
          <w:rFonts w:cs="Times New Roman"/>
          <w:i/>
          <w:iCs/>
          <w:color w:val="000000" w:themeColor="text1"/>
        </w:rPr>
        <w:t>does</w:t>
      </w:r>
      <w:r w:rsidRPr="006F6630">
        <w:rPr>
          <w:rFonts w:cs="Times New Roman"/>
          <w:color w:val="000000" w:themeColor="text1"/>
        </w:rPr>
        <w:t>, in fact, choose a side in the conflict.</w:t>
      </w:r>
      <w:r w:rsidRPr="006F6630">
        <w:rPr>
          <w:rStyle w:val="FootnoteReference"/>
          <w:rFonts w:cs="Times New Roman"/>
          <w:color w:val="000000" w:themeColor="text1"/>
        </w:rPr>
        <w:footnoteReference w:id="554"/>
      </w:r>
      <w:r w:rsidRPr="006F6630">
        <w:rPr>
          <w:rFonts w:cs="Times New Roman"/>
          <w:color w:val="000000" w:themeColor="text1"/>
        </w:rPr>
        <w:t xml:space="preserve"> </w:t>
      </w:r>
    </w:p>
    <w:p w14:paraId="7432FD72" w14:textId="115CC9DF" w:rsidR="00B72623" w:rsidRPr="006F6630" w:rsidRDefault="00B72623" w:rsidP="00B72623">
      <w:pPr>
        <w:ind w:firstLine="720"/>
        <w:rPr>
          <w:rFonts w:cs="Times New Roman"/>
        </w:rPr>
      </w:pPr>
      <w:r w:rsidRPr="006F6630">
        <w:rPr>
          <w:rFonts w:cs="Times New Roman"/>
          <w:color w:val="000000" w:themeColor="text1"/>
        </w:rPr>
        <w:t xml:space="preserve">While this type of cooperation between governments and the press may seem exceedingly idealistic, there is regional precedent supporting its potential viability. Namely, the </w:t>
      </w:r>
      <w:proofErr w:type="spellStart"/>
      <w:r w:rsidRPr="006F6630">
        <w:rPr>
          <w:rFonts w:cs="Times New Roman"/>
          <w:color w:val="000000" w:themeColor="text1"/>
        </w:rPr>
        <w:t>Shefayyim</w:t>
      </w:r>
      <w:proofErr w:type="spellEnd"/>
      <w:r w:rsidRPr="006F6630">
        <w:rPr>
          <w:rFonts w:cs="Times New Roman"/>
          <w:color w:val="000000" w:themeColor="text1"/>
        </w:rPr>
        <w:t xml:space="preserve"> Conference held by the International Policy Institute for Counter-Terrorism (ICT) in 1997, which facilitated a discussion between media personnel and (private and public-sector) counterterrorism experts that produced an eleven-principle proposal to “try and find a balance between… [a] journalist’s professional obligation [to guarantee the public’s “right to know”] and </w:t>
      </w:r>
      <w:r w:rsidRPr="006F6630">
        <w:rPr>
          <w:rFonts w:cs="Times New Roman"/>
          <w:color w:val="000000" w:themeColor="text1"/>
        </w:rPr>
        <w:lastRenderedPageBreak/>
        <w:t>his civic duty.”</w:t>
      </w:r>
      <w:r w:rsidRPr="006F6630">
        <w:rPr>
          <w:rStyle w:val="FootnoteReference"/>
          <w:rFonts w:cs="Times New Roman"/>
          <w:color w:val="000000" w:themeColor="text1"/>
        </w:rPr>
        <w:footnoteReference w:id="555"/>
      </w:r>
      <w:r w:rsidRPr="006F6630">
        <w:rPr>
          <w:rFonts w:cs="Times New Roman"/>
          <w:color w:val="000000" w:themeColor="text1"/>
        </w:rPr>
        <w:t xml:space="preserve"> Per Gabriel </w:t>
      </w:r>
      <w:proofErr w:type="spellStart"/>
      <w:r w:rsidRPr="006F6630">
        <w:rPr>
          <w:rFonts w:cs="Times New Roman"/>
          <w:color w:val="000000" w:themeColor="text1"/>
        </w:rPr>
        <w:t>Weimann</w:t>
      </w:r>
      <w:proofErr w:type="spellEnd"/>
      <w:r w:rsidRPr="006F6630">
        <w:rPr>
          <w:rFonts w:cs="Times New Roman"/>
          <w:color w:val="000000" w:themeColor="text1"/>
        </w:rPr>
        <w:t xml:space="preserve"> and Conrad Winn, a journalist’s “civic duty” involves facilitating the public’s “right not to know… the victim’s right to privacy; the right of the public not to be exposed to the personal and intimate details of terror </w:t>
      </w:r>
      <w:r w:rsidRPr="006F6630">
        <w:rPr>
          <w:rFonts w:cs="Times New Roman"/>
        </w:rPr>
        <w:t>victims through media coverage that infringes upon their dignity; [and] the right of the public to uphold the state’s security secrets that preserve their safety.”</w:t>
      </w:r>
      <w:r w:rsidRPr="006F6630">
        <w:rPr>
          <w:rStyle w:val="FootnoteReference"/>
          <w:rFonts w:cs="Times New Roman"/>
        </w:rPr>
        <w:footnoteReference w:id="556"/>
      </w:r>
      <w:r w:rsidRPr="006F6630">
        <w:rPr>
          <w:rFonts w:cs="Times New Roman"/>
        </w:rPr>
        <w:t xml:space="preserve"> Notably, there is still widespread adherence to the recommendations produced at the 1997 </w:t>
      </w:r>
      <w:proofErr w:type="spellStart"/>
      <w:r w:rsidRPr="006F6630">
        <w:rPr>
          <w:rFonts w:cs="Times New Roman"/>
        </w:rPr>
        <w:t>Shefayyim</w:t>
      </w:r>
      <w:proofErr w:type="spellEnd"/>
      <w:r w:rsidRPr="006F6630">
        <w:rPr>
          <w:rFonts w:cs="Times New Roman"/>
        </w:rPr>
        <w:t xml:space="preserve"> Conference among Israeli media outlets. The feasibility of improving journalistic depictions of terrorism based on my abovementioned recommendation is also bolstered by the results of a 2017 study that improved the accuracy of the Australian media’s coverage of Muslims by helping journalists improve their knowledge about core tenets of Islam.</w:t>
      </w:r>
      <w:r w:rsidRPr="006F6630">
        <w:rPr>
          <w:rStyle w:val="FootnoteReference"/>
          <w:rFonts w:cs="Times New Roman"/>
        </w:rPr>
        <w:footnoteReference w:id="557"/>
      </w:r>
      <w:r w:rsidRPr="006F6630">
        <w:rPr>
          <w:rFonts w:cs="Times New Roman"/>
        </w:rPr>
        <w:t xml:space="preserve"> This study’s success in improving journalistic coverage of Muslims further attests to the potential efficacy of the policies that I propose on the basis of the conclusions of my research: that terrorism ‘succeeds’ because media coverage of terrorism erodes international (state) legitimacy through the implicit challenges that its perpetration poses to the primacy of states as actors in international relations. </w:t>
      </w:r>
    </w:p>
    <w:p w14:paraId="0D97C0E1" w14:textId="56C24CD3" w:rsidR="00B72623" w:rsidRPr="00342E63" w:rsidRDefault="00B72623" w:rsidP="00342E63">
      <w:pPr>
        <w:ind w:firstLine="720"/>
        <w:rPr>
          <w:rFonts w:cs="Times New Roman"/>
          <w:color w:val="000000" w:themeColor="text1"/>
        </w:rPr>
      </w:pPr>
      <w:r w:rsidRPr="006F6630">
        <w:rPr>
          <w:rFonts w:cs="Times New Roman"/>
          <w:color w:val="000000" w:themeColor="text1"/>
        </w:rPr>
        <w:t>The impetus for my recommendation that the media collaborate with policy-makers to standardize style-guide instructions notwithstanding, the idea that media are inherently biased towards the ‘state’ side of the conflict between terrorists and states is also apparent in the journalistic tendency to repeatedly cite the same quotations from public figures in coverage of a specific terrorist incident over a short period of time. As Nick Davies asserts, “media… are under… pressure to produce copy at speed.”</w:t>
      </w:r>
      <w:r w:rsidRPr="006F6630">
        <w:rPr>
          <w:rStyle w:val="FootnoteReference"/>
          <w:rFonts w:cs="Times New Roman"/>
          <w:color w:val="000000" w:themeColor="text1"/>
        </w:rPr>
        <w:footnoteReference w:id="558"/>
      </w:r>
      <w:r w:rsidRPr="006F6630">
        <w:rPr>
          <w:rFonts w:cs="Times New Roman"/>
          <w:color w:val="000000" w:themeColor="text1"/>
        </w:rPr>
        <w:t xml:space="preserve"> Notwithstanding, while “‘[</w:t>
      </w:r>
      <w:proofErr w:type="spellStart"/>
      <w:r w:rsidRPr="006F6630">
        <w:rPr>
          <w:rFonts w:cs="Times New Roman"/>
          <w:color w:val="000000" w:themeColor="text1"/>
        </w:rPr>
        <w:t>i</w:t>
      </w:r>
      <w:proofErr w:type="spellEnd"/>
      <w:r w:rsidRPr="006F6630">
        <w:rPr>
          <w:rFonts w:cs="Times New Roman"/>
          <w:color w:val="000000" w:themeColor="text1"/>
        </w:rPr>
        <w:t>]n the fullness of time’ is not a luxury permitted to newsmen,” the international news media need to take a stand on both plagiarism in news coverage and journalistic cannibalism of pre-existing articles in order to ensure that coverage of terrorist incidents is as unbiased as possible.</w:t>
      </w:r>
      <w:r w:rsidRPr="006F6630">
        <w:rPr>
          <w:rStyle w:val="FootnoteReference"/>
          <w:rFonts w:cs="Times New Roman"/>
          <w:color w:val="000000" w:themeColor="text1"/>
        </w:rPr>
        <w:footnoteReference w:id="559"/>
      </w:r>
      <w:r w:rsidRPr="006F6630">
        <w:rPr>
          <w:rFonts w:cs="Times New Roman"/>
          <w:color w:val="000000" w:themeColor="text1"/>
        </w:rPr>
        <w:t xml:space="preserve"> Indeed, isolating my sampling frame for the purposes of this research necessitated eliminating hundreds of articles with a greater than 90% similarity to other articles that met my criteria for inclusion in my sample to prevent duplicative analysis.</w:t>
      </w:r>
      <w:r w:rsidRPr="006F6630">
        <w:rPr>
          <w:rStyle w:val="FootnoteReference"/>
          <w:rFonts w:cs="Times New Roman"/>
          <w:color w:val="000000" w:themeColor="text1"/>
        </w:rPr>
        <w:footnoteReference w:id="560"/>
      </w:r>
      <w:r w:rsidRPr="006F6630">
        <w:rPr>
          <w:rFonts w:cs="Times New Roman"/>
          <w:color w:val="000000" w:themeColor="text1"/>
        </w:rPr>
        <w:t xml:space="preserve"> Supporting the prevalence of this practice, media and communications scholarship repeatedly cites Reuters journalist Edward Behr’s recollection that “… in London </w:t>
      </w:r>
      <w:proofErr w:type="spellStart"/>
      <w:r w:rsidRPr="006F6630">
        <w:rPr>
          <w:rFonts w:cs="Times New Roman"/>
          <w:color w:val="000000" w:themeColor="text1"/>
        </w:rPr>
        <w:t>Agence</w:t>
      </w:r>
      <w:proofErr w:type="spellEnd"/>
      <w:r w:rsidRPr="006F6630">
        <w:rPr>
          <w:rFonts w:cs="Times New Roman"/>
          <w:color w:val="000000" w:themeColor="text1"/>
        </w:rPr>
        <w:t xml:space="preserve"> France-Presse correspondents rewrote Reuters copy as fast as they could, and the finished copy ended up as part of the AFP news-service. In Paris, we shamelessly rewrote </w:t>
      </w:r>
      <w:proofErr w:type="spellStart"/>
      <w:r w:rsidRPr="006F6630">
        <w:rPr>
          <w:rFonts w:cs="Times New Roman"/>
          <w:color w:val="000000" w:themeColor="text1"/>
        </w:rPr>
        <w:t>Agence</w:t>
      </w:r>
      <w:proofErr w:type="spellEnd"/>
      <w:r w:rsidRPr="006F6630">
        <w:rPr>
          <w:rFonts w:cs="Times New Roman"/>
          <w:color w:val="000000" w:themeColor="text1"/>
        </w:rPr>
        <w:t xml:space="preserve"> France-Presse copy serving it up as Reuters fare.”</w:t>
      </w:r>
      <w:r w:rsidRPr="006F6630">
        <w:rPr>
          <w:rStyle w:val="FootnoteReference"/>
          <w:rFonts w:cs="Times New Roman"/>
          <w:color w:val="000000" w:themeColor="text1"/>
        </w:rPr>
        <w:footnoteReference w:id="561"/>
      </w:r>
    </w:p>
    <w:p w14:paraId="11CF2E70" w14:textId="77777777" w:rsidR="00B72623" w:rsidRPr="006F6630" w:rsidRDefault="00B72623" w:rsidP="00787123">
      <w:pPr>
        <w:pStyle w:val="DissertationSection1"/>
      </w:pPr>
      <w:bookmarkStart w:id="89" w:name="_Toc175413168"/>
      <w:r>
        <w:t xml:space="preserve">Principles to Inform </w:t>
      </w:r>
      <w:r w:rsidRPr="006F6630">
        <w:t>State-Based Policy Recommendations</w:t>
      </w:r>
      <w:bookmarkEnd w:id="89"/>
    </w:p>
    <w:p w14:paraId="54354917" w14:textId="1C5CE709" w:rsidR="00B72623" w:rsidRPr="006F6630" w:rsidRDefault="00B72623" w:rsidP="00B72623">
      <w:pPr>
        <w:rPr>
          <w:rFonts w:cs="Times New Roman"/>
          <w:color w:val="000000" w:themeColor="text1"/>
        </w:rPr>
      </w:pPr>
      <w:r w:rsidRPr="006F6630">
        <w:rPr>
          <w:rFonts w:cs="Times New Roman"/>
          <w:color w:val="000000" w:themeColor="text1"/>
        </w:rPr>
        <w:tab/>
        <w:t xml:space="preserve">Similar to how recommendations for the international news media centre on standardizing journalistic practices, state-centric policy recommendations offered here focus on ensuring the consistency of state messaging about terrorism. A significant proportion of the framing of terrorism detrimental to international (state) legitimacy arises from journalists’ </w:t>
      </w:r>
      <w:r w:rsidRPr="006F6630">
        <w:rPr>
          <w:rFonts w:cs="Times New Roman"/>
          <w:color w:val="000000" w:themeColor="text1"/>
        </w:rPr>
        <w:lastRenderedPageBreak/>
        <w:t>citation of direct quotations taken from public figures’ statements about terrorism. The problem associated with these quotations is that they often express a position about terrorism that is at odds with that which is implicitly present in the state’s legislation relating to terrorism.</w:t>
      </w:r>
      <w:r w:rsidR="000F1AFA">
        <w:rPr>
          <w:rFonts w:cs="Times New Roman"/>
          <w:color w:val="000000" w:themeColor="text1"/>
        </w:rPr>
        <w:t xml:space="preserve"> </w:t>
      </w:r>
      <w:r w:rsidRPr="006F6630">
        <w:rPr>
          <w:rFonts w:cs="Times New Roman"/>
          <w:color w:val="000000" w:themeColor="text1"/>
        </w:rPr>
        <w:t xml:space="preserve">Rectifying this problem necessitates standardizing both </w:t>
      </w:r>
      <w:r w:rsidRPr="006F6630">
        <w:rPr>
          <w:rFonts w:cs="Times New Roman"/>
          <w:i/>
          <w:iCs/>
          <w:color w:val="000000" w:themeColor="text1"/>
        </w:rPr>
        <w:t>what is said</w:t>
      </w:r>
      <w:r w:rsidRPr="006F6630">
        <w:rPr>
          <w:rFonts w:cs="Times New Roman"/>
          <w:color w:val="000000" w:themeColor="text1"/>
        </w:rPr>
        <w:t xml:space="preserve"> in statements that are made in the aftermath of terrorist incidents, and </w:t>
      </w:r>
      <w:r w:rsidRPr="006F6630">
        <w:rPr>
          <w:rFonts w:cs="Times New Roman"/>
          <w:i/>
          <w:iCs/>
          <w:color w:val="000000" w:themeColor="text1"/>
        </w:rPr>
        <w:t>who</w:t>
      </w:r>
      <w:r w:rsidRPr="006F6630">
        <w:rPr>
          <w:rFonts w:cs="Times New Roman"/>
          <w:color w:val="000000" w:themeColor="text1"/>
        </w:rPr>
        <w:t xml:space="preserve"> gets to make these statements. It is thus integral that an understanding be established amongst state officials that talking to the media (especially in an official capacity) constitutes making a statement on behalf of the state, even if this is not one’s underlying intention.</w:t>
      </w:r>
    </w:p>
    <w:p w14:paraId="49228465" w14:textId="5E588BCE" w:rsidR="00B72623" w:rsidRPr="00342E63" w:rsidRDefault="00B72623" w:rsidP="00342E63">
      <w:pPr>
        <w:ind w:firstLine="720"/>
        <w:rPr>
          <w:rFonts w:cs="Times New Roman"/>
          <w:color w:val="000000" w:themeColor="text1"/>
        </w:rPr>
      </w:pPr>
      <w:r w:rsidRPr="006F6630">
        <w:rPr>
          <w:rFonts w:cs="Times New Roman"/>
          <w:color w:val="000000" w:themeColor="text1"/>
        </w:rPr>
        <w:t xml:space="preserve">In relation to the </w:t>
      </w:r>
      <w:r w:rsidRPr="006F6630">
        <w:rPr>
          <w:rFonts w:cs="Times New Roman"/>
          <w:i/>
          <w:iCs/>
          <w:color w:val="000000" w:themeColor="text1"/>
        </w:rPr>
        <w:t>content</w:t>
      </w:r>
      <w:r w:rsidRPr="006F6630">
        <w:rPr>
          <w:rFonts w:cs="Times New Roman"/>
          <w:color w:val="000000" w:themeColor="text1"/>
        </w:rPr>
        <w:t xml:space="preserve"> of statements about terrorism, states need to educate public figures on the wider implications of the way that they implicitly frame terrorists and terrorism in seemingly innocuous statements to the press.  In particular, states need to inculcate in public figures an understanding that word choice and sentence construction can serve to confer authority on a specific actor (so, either the state or the terrorists). </w:t>
      </w:r>
      <w:r w:rsidR="000F1AFA">
        <w:rPr>
          <w:rFonts w:cs="Times New Roman"/>
          <w:color w:val="000000" w:themeColor="text1"/>
        </w:rPr>
        <w:t>I</w:t>
      </w:r>
      <w:r w:rsidRPr="006F6630">
        <w:rPr>
          <w:rFonts w:cs="Times New Roman"/>
          <w:color w:val="000000" w:themeColor="text1"/>
        </w:rPr>
        <w:t>n streamlining the way terrorism is framed in statements to the media, individual states must also establish explicit guidelines for such statements that comport with their legislative definitions of terrorism. Official statements on terrorism need to emphasize state action to mitigate terrorism. State-sanctioned communications about terrorism should frame the interaction between states and terrorists in terms of distinct remedy proposals (ideally, ones that the state has already taken steps to implement), rather than moral evaluations.</w:t>
      </w:r>
      <w:r w:rsidRPr="006F6630">
        <w:rPr>
          <w:rStyle w:val="FootnoteReference"/>
          <w:rFonts w:cs="Times New Roman"/>
          <w:color w:val="000000" w:themeColor="text1"/>
        </w:rPr>
        <w:footnoteReference w:id="562"/>
      </w:r>
      <w:r w:rsidRPr="006F6630">
        <w:rPr>
          <w:rFonts w:cs="Times New Roman"/>
          <w:color w:val="000000" w:themeColor="text1"/>
        </w:rPr>
        <w:t xml:space="preserve"> Framing terrorism in terms of its moral evaluation is problematic from a state perspective because focusing on ‘evil’ that has already manifested implies that states (the ‘good-guys’) have already failed to stop the terrorists (the ‘evil-doers’) from ‘winning.’</w:t>
      </w:r>
    </w:p>
    <w:p w14:paraId="4C3DE477" w14:textId="77777777" w:rsidR="00B72623" w:rsidRPr="006F6630" w:rsidRDefault="00B72623" w:rsidP="00787123">
      <w:pPr>
        <w:pStyle w:val="DissertationSection1"/>
      </w:pPr>
      <w:bookmarkStart w:id="90" w:name="_Toc175413169"/>
      <w:r w:rsidRPr="006F6630">
        <w:t>Conclusion</w:t>
      </w:r>
      <w:bookmarkEnd w:id="90"/>
    </w:p>
    <w:p w14:paraId="6EE685CA" w14:textId="5BAA95E7" w:rsidR="00F072B0" w:rsidRDefault="00B72623" w:rsidP="00D03C79">
      <w:pPr>
        <w:ind w:firstLine="720"/>
        <w:rPr>
          <w:rFonts w:cs="Times New Roman"/>
          <w:color w:val="000000" w:themeColor="text1"/>
        </w:rPr>
      </w:pPr>
      <w:r w:rsidRPr="006F6630">
        <w:rPr>
          <w:rFonts w:cs="Times New Roman"/>
          <w:color w:val="000000" w:themeColor="text1"/>
        </w:rPr>
        <w:t xml:space="preserve">The research I describe in this dissertation contributes to terrorism scholarship by fundamentally reimagining the relationship between terrorists and journalists by placing </w:t>
      </w:r>
      <w:r w:rsidRPr="006F6630">
        <w:rPr>
          <w:rFonts w:cs="Times New Roman"/>
          <w:i/>
          <w:iCs/>
          <w:color w:val="000000" w:themeColor="text1"/>
        </w:rPr>
        <w:t>states</w:t>
      </w:r>
      <w:r w:rsidRPr="006F6630">
        <w:rPr>
          <w:rFonts w:cs="Times New Roman"/>
          <w:color w:val="000000" w:themeColor="text1"/>
        </w:rPr>
        <w:t xml:space="preserve"> at the center of the interplay between terrorism and the international news media. Accordingly, I argue that </w:t>
      </w:r>
      <w:r w:rsidRPr="006F6630">
        <w:rPr>
          <w:rFonts w:cs="Times New Roman"/>
          <w:i/>
          <w:iCs/>
          <w:color w:val="000000" w:themeColor="text1"/>
        </w:rPr>
        <w:t>state actors</w:t>
      </w:r>
      <w:r w:rsidRPr="006F6630">
        <w:rPr>
          <w:rFonts w:cs="Times New Roman"/>
          <w:color w:val="000000" w:themeColor="text1"/>
        </w:rPr>
        <w:t xml:space="preserve"> play a critical role in determining the way that terrorism – the use of violence as a communication technique – is depicted in media coverage. Moreover, these same states are at least partially responsible for </w:t>
      </w:r>
      <w:r w:rsidRPr="00E03787">
        <w:rPr>
          <w:rFonts w:cs="Times New Roman"/>
          <w:color w:val="000000" w:themeColor="text1"/>
        </w:rPr>
        <w:t xml:space="preserve">facilitating media coverage of terrorism’s ability to erode international (state) legitimacy. So, in effect, states are ultimately responsible for creating their own legitimacy problem. </w:t>
      </w:r>
      <w:r w:rsidRPr="00E03787">
        <w:rPr>
          <w:rFonts w:eastAsiaTheme="minorEastAsia" w:cs="Times New Roman"/>
          <w:color w:val="000000" w:themeColor="text1"/>
        </w:rPr>
        <w:t>Put another way, it is not terrorist attacks themselves that delegitimize the state as an institution. Nor is it the mere fact of news coverage of those attacks. Rather, it is disorganized and irresponsible comments by state actors, reported on and disseminated by news organizations, that negatively impact international (state) legitimacy. This, above all else, supports my central argument in this dissertation: that</w:t>
      </w:r>
      <w:r w:rsidRPr="00E03787">
        <w:rPr>
          <w:rFonts w:cs="Times New Roman"/>
          <w:color w:val="000000" w:themeColor="text1"/>
        </w:rPr>
        <w:t xml:space="preserve"> media reporting on public figures’ rhetoric about terrorism is the deciding factor that facilitates terrorism’s ability to succeed. This means that states are ultimately the actor </w:t>
      </w:r>
      <w:r w:rsidRPr="005B2AD0">
        <w:rPr>
          <w:rFonts w:cs="Times New Roman"/>
          <w:i/>
          <w:iCs/>
          <w:color w:val="000000" w:themeColor="text1"/>
        </w:rPr>
        <w:t>most responsible</w:t>
      </w:r>
      <w:r w:rsidRPr="00E03787">
        <w:rPr>
          <w:rFonts w:cs="Times New Roman"/>
          <w:color w:val="000000" w:themeColor="text1"/>
        </w:rPr>
        <w:t xml:space="preserve"> for terrorism’s ability to ‘succeed,’ and have thus not only created their own </w:t>
      </w:r>
      <w:r w:rsidR="00223280" w:rsidRPr="00E03787">
        <w:rPr>
          <w:rFonts w:cs="Times New Roman"/>
          <w:color w:val="000000" w:themeColor="text1"/>
        </w:rPr>
        <w:t>adversaries but</w:t>
      </w:r>
      <w:r w:rsidRPr="00E03787">
        <w:rPr>
          <w:rFonts w:cs="Times New Roman"/>
          <w:color w:val="000000" w:themeColor="text1"/>
        </w:rPr>
        <w:t xml:space="preserve"> handed those adversaries the tools necessary to call into question their authority – and therefore their primacy – in the context of the international system. Moreover, my findings make it apparent that to effectively manage the detrimental effects associated with the negative correlation between the media coverage of terrorism and international (state) legitimacy, the state should focus on </w:t>
      </w:r>
      <w:r w:rsidRPr="00E03787">
        <w:rPr>
          <w:rFonts w:cs="Times New Roman"/>
          <w:i/>
          <w:iCs/>
          <w:color w:val="000000" w:themeColor="text1"/>
        </w:rPr>
        <w:t>what it can control</w:t>
      </w:r>
      <w:r w:rsidRPr="00E03787">
        <w:rPr>
          <w:rFonts w:cs="Times New Roman"/>
          <w:color w:val="000000" w:themeColor="text1"/>
        </w:rPr>
        <w:t xml:space="preserve">. States should ensure that they have a clear, usable definition for terrorism. Further, states should take measures to ensure that public figures’ and government officials’ public communication about terrorism remains consistent with the state’s definition of terrorism. This is especially important when public figures and government officials are making public statements in the aftermath of a terrorist incident. To that end, states should make sure that public figures and government </w:t>
      </w:r>
      <w:r w:rsidRPr="00E03787">
        <w:rPr>
          <w:rFonts w:cs="Times New Roman"/>
          <w:color w:val="000000" w:themeColor="text1"/>
        </w:rPr>
        <w:lastRenderedPageBreak/>
        <w:t>officials are well-briefed on getting communications about terrorism right so that what they say publicly remains consistent with and thereby supports the state’s definition of terrorism.</w:t>
      </w:r>
    </w:p>
    <w:p w14:paraId="5C08F9D5" w14:textId="77777777" w:rsidR="00F072B0" w:rsidRDefault="00F072B0">
      <w:pPr>
        <w:rPr>
          <w:rFonts w:cs="Times New Roman"/>
          <w:color w:val="000000" w:themeColor="text1"/>
        </w:rPr>
      </w:pPr>
      <w:r>
        <w:rPr>
          <w:rFonts w:cs="Times New Roman"/>
          <w:color w:val="000000" w:themeColor="text1"/>
        </w:rPr>
        <w:br w:type="page"/>
      </w:r>
    </w:p>
    <w:p w14:paraId="21B8A1F8" w14:textId="77777777" w:rsidR="00F072B0" w:rsidRPr="00A07836" w:rsidRDefault="00F072B0" w:rsidP="00342E63">
      <w:pPr>
        <w:pStyle w:val="DissertationChapterName"/>
      </w:pPr>
      <w:bookmarkStart w:id="91" w:name="_Toc175413170"/>
      <w:r w:rsidRPr="00A07836">
        <w:lastRenderedPageBreak/>
        <w:t>Bibliography</w:t>
      </w:r>
      <w:bookmarkEnd w:id="91"/>
    </w:p>
    <w:p w14:paraId="4E371E4D" w14:textId="5365F128" w:rsidR="00F072B0" w:rsidRPr="00342E63" w:rsidRDefault="00F072B0" w:rsidP="00787123">
      <w:pPr>
        <w:pStyle w:val="DissertationSection1"/>
      </w:pPr>
      <w:bookmarkStart w:id="92" w:name="_Toc175413171"/>
      <w:r w:rsidRPr="00104A66">
        <w:rPr>
          <w:rStyle w:val="PageNumber"/>
        </w:rPr>
        <w:t>Primary Sources</w:t>
      </w:r>
      <w:bookmarkEnd w:id="92"/>
    </w:p>
    <w:p w14:paraId="33924D09" w14:textId="77777777" w:rsidR="00F072B0" w:rsidRDefault="00F072B0" w:rsidP="00F072B0">
      <w:pPr>
        <w:ind w:left="567" w:hanging="567"/>
        <w:rPr>
          <w:rFonts w:cs="Times New Roman"/>
          <w:b/>
          <w:bCs/>
        </w:rPr>
      </w:pPr>
    </w:p>
    <w:p w14:paraId="0EA21CAD"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rPr>
        <w:t>“</w:t>
      </w:r>
      <w:r w:rsidRPr="00747B24">
        <w:rPr>
          <w:rFonts w:eastAsia="Times New Roman" w:cs="Times New Roman"/>
          <w:color w:val="000000"/>
        </w:rPr>
        <w:t xml:space="preserve">Historical Trends: Terrorism.” </w:t>
      </w:r>
      <w:r w:rsidRPr="00747B24">
        <w:rPr>
          <w:rFonts w:eastAsia="Times New Roman" w:cs="Times New Roman"/>
          <w:i/>
          <w:iCs/>
          <w:color w:val="000000"/>
        </w:rPr>
        <w:t>Gallup</w:t>
      </w:r>
      <w:r w:rsidRPr="00747B24">
        <w:rPr>
          <w:rFonts w:eastAsia="Times New Roman" w:cs="Times New Roman"/>
          <w:color w:val="000000"/>
        </w:rPr>
        <w:t xml:space="preserve">, 2022. </w:t>
      </w:r>
      <w:r w:rsidRPr="00747B24">
        <w:rPr>
          <w:rFonts w:eastAsia="Times New Roman" w:cs="Times New Roman"/>
          <w:color w:val="000000"/>
          <w:u w:val="single"/>
        </w:rPr>
        <w:t>https://news.gallup.com/poll/4909/Terrorism-United-States.aspx</w:t>
      </w:r>
      <w:r w:rsidRPr="00747B24">
        <w:rPr>
          <w:rFonts w:eastAsia="Times New Roman" w:cs="Times New Roman"/>
          <w:color w:val="000000"/>
        </w:rPr>
        <w:t>.</w:t>
      </w:r>
    </w:p>
    <w:p w14:paraId="7C32DA7B"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“Message from the Global Terrorism Database Manager.” </w:t>
      </w:r>
      <w:r w:rsidRPr="00747B24">
        <w:rPr>
          <w:rFonts w:eastAsia="Times New Roman" w:cs="Times New Roman"/>
          <w:i/>
          <w:iCs/>
          <w:color w:val="000000"/>
        </w:rPr>
        <w:t>START.UMD.edu.</w:t>
      </w:r>
      <w:r w:rsidRPr="00747B24">
        <w:rPr>
          <w:rFonts w:eastAsia="Times New Roman" w:cs="Times New Roman"/>
          <w:color w:val="000000"/>
        </w:rPr>
        <w:t xml:space="preserve">, August 2018. </w:t>
      </w:r>
      <w:r w:rsidRPr="00747B24">
        <w:rPr>
          <w:rFonts w:eastAsia="Times New Roman" w:cs="Times New Roman"/>
          <w:color w:val="000000"/>
          <w:u w:val="single"/>
        </w:rPr>
        <w:t>https://www.start.umd.edu/news/message-global-terrorism-database-manager</w:t>
      </w:r>
      <w:r w:rsidRPr="00747B24">
        <w:rPr>
          <w:rFonts w:eastAsia="Times New Roman" w:cs="Times New Roman"/>
          <w:color w:val="000000"/>
        </w:rPr>
        <w:t>.</w:t>
      </w:r>
    </w:p>
    <w:p w14:paraId="45F4A562"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“Treaty of Münster.” In </w:t>
      </w:r>
      <w:r w:rsidRPr="00747B24">
        <w:rPr>
          <w:rFonts w:eastAsia="Times New Roman" w:cs="Times New Roman"/>
          <w:i/>
          <w:iCs/>
          <w:color w:val="000000"/>
        </w:rPr>
        <w:t xml:space="preserve">Consolidated Treaty Series, 1648-9, </w:t>
      </w:r>
      <w:r w:rsidRPr="00747B24">
        <w:rPr>
          <w:rFonts w:eastAsia="Times New Roman" w:cs="Times New Roman"/>
          <w:color w:val="000000"/>
        </w:rPr>
        <w:t>edited by Clive Parry, 148-230. Dobbs Ferry: Oceana Publications 1969.</w:t>
      </w:r>
    </w:p>
    <w:p w14:paraId="55796E73" w14:textId="77777777" w:rsidR="00F072B0" w:rsidRPr="006B4725" w:rsidRDefault="00F072B0" w:rsidP="00F072B0">
      <w:pPr>
        <w:spacing w:after="240"/>
        <w:ind w:left="567" w:hanging="567"/>
        <w:rPr>
          <w:rFonts w:eastAsia="Times New Roman" w:cs="Times New Roman"/>
          <w:color w:val="000000"/>
        </w:rPr>
      </w:pPr>
      <w:proofErr w:type="spellStart"/>
      <w:r w:rsidRPr="00747B24">
        <w:rPr>
          <w:rFonts w:eastAsia="Times New Roman" w:cs="Times New Roman"/>
          <w:color w:val="000000"/>
        </w:rPr>
        <w:t>Agence</w:t>
      </w:r>
      <w:proofErr w:type="spellEnd"/>
      <w:r w:rsidRPr="00747B24">
        <w:rPr>
          <w:rFonts w:eastAsia="Times New Roman" w:cs="Times New Roman"/>
          <w:color w:val="000000"/>
        </w:rPr>
        <w:t xml:space="preserve"> France-Presse (AFP). “AFP Editorial Standards and Best Practices.” </w:t>
      </w:r>
      <w:r w:rsidRPr="00747B24">
        <w:rPr>
          <w:rFonts w:eastAsia="Times New Roman" w:cs="Times New Roman"/>
          <w:i/>
          <w:iCs/>
          <w:color w:val="000000"/>
        </w:rPr>
        <w:t>AFP</w:t>
      </w:r>
      <w:r w:rsidRPr="00747B24">
        <w:rPr>
          <w:rFonts w:eastAsia="Times New Roman" w:cs="Times New Roman"/>
          <w:color w:val="000000"/>
        </w:rPr>
        <w:t xml:space="preserve">, June 22, 2016. </w:t>
      </w:r>
      <w:r w:rsidRPr="00747B24">
        <w:rPr>
          <w:rFonts w:eastAsia="Times New Roman" w:cs="Times New Roman"/>
          <w:color w:val="000000"/>
          <w:u w:val="single"/>
        </w:rPr>
        <w:t>https://www.afp.com/sites/default/files/_afp_ethic_mars_2023.pdf.</w:t>
      </w:r>
    </w:p>
    <w:p w14:paraId="2E8F276B" w14:textId="77777777" w:rsidR="00F072B0" w:rsidRPr="006B4725" w:rsidRDefault="00F072B0" w:rsidP="00F072B0">
      <w:pPr>
        <w:spacing w:after="240"/>
        <w:rPr>
          <w:rFonts w:eastAsia="Times New Roman" w:cs="Times New Roman"/>
          <w:color w:val="000000"/>
        </w:rPr>
      </w:pPr>
      <w:r w:rsidRPr="006B4725">
        <w:rPr>
          <w:rFonts w:eastAsia="Times New Roman" w:cs="Times New Roman"/>
          <w:color w:val="000000"/>
        </w:rPr>
        <w:t xml:space="preserve">– – – . </w:t>
      </w:r>
      <w:proofErr w:type="spellStart"/>
      <w:r w:rsidRPr="006B4725">
        <w:rPr>
          <w:rFonts w:eastAsia="Times New Roman" w:cs="Times New Roman"/>
          <w:i/>
          <w:iCs/>
          <w:color w:val="000000"/>
        </w:rPr>
        <w:t>Abécédaire</w:t>
      </w:r>
      <w:proofErr w:type="spellEnd"/>
      <w:r w:rsidRPr="006B4725">
        <w:rPr>
          <w:rFonts w:eastAsia="Times New Roman" w:cs="Times New Roman"/>
          <w:i/>
          <w:iCs/>
          <w:color w:val="000000"/>
        </w:rPr>
        <w:t xml:space="preserve"> de </w:t>
      </w:r>
      <w:proofErr w:type="spellStart"/>
      <w:r w:rsidRPr="006B4725">
        <w:rPr>
          <w:rFonts w:eastAsia="Times New Roman" w:cs="Times New Roman"/>
          <w:i/>
          <w:iCs/>
          <w:color w:val="000000"/>
        </w:rPr>
        <w:t>l'AFP</w:t>
      </w:r>
      <w:proofErr w:type="spellEnd"/>
      <w:r w:rsidRPr="006B4725">
        <w:rPr>
          <w:rFonts w:eastAsia="Times New Roman" w:cs="Times New Roman"/>
          <w:i/>
          <w:iCs/>
          <w:color w:val="000000"/>
        </w:rPr>
        <w:t>.</w:t>
      </w:r>
      <w:r w:rsidRPr="006B4725">
        <w:rPr>
          <w:rFonts w:eastAsia="Times New Roman" w:cs="Times New Roman"/>
          <w:color w:val="000000"/>
        </w:rPr>
        <w:t xml:space="preserve"> Paris: </w:t>
      </w:r>
      <w:proofErr w:type="spellStart"/>
      <w:r w:rsidRPr="006B4725">
        <w:rPr>
          <w:rFonts w:eastAsia="Times New Roman" w:cs="Times New Roman"/>
          <w:color w:val="000000"/>
        </w:rPr>
        <w:t>Victoires</w:t>
      </w:r>
      <w:proofErr w:type="spellEnd"/>
      <w:r w:rsidRPr="006B4725">
        <w:rPr>
          <w:rFonts w:eastAsia="Times New Roman" w:cs="Times New Roman"/>
          <w:color w:val="000000"/>
        </w:rPr>
        <w:t xml:space="preserve"> Editions, 2010.</w:t>
      </w:r>
    </w:p>
    <w:p w14:paraId="44E7EE17"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Associated Press (AP). </w:t>
      </w:r>
      <w:r w:rsidRPr="00747B24">
        <w:rPr>
          <w:rFonts w:eastAsia="Times New Roman" w:cs="Times New Roman"/>
          <w:i/>
          <w:iCs/>
          <w:color w:val="000000"/>
        </w:rPr>
        <w:t>The Associated Press Stylebook. 53</w:t>
      </w:r>
      <w:r w:rsidRPr="00747B24">
        <w:rPr>
          <w:rFonts w:eastAsia="Times New Roman" w:cs="Times New Roman"/>
          <w:i/>
          <w:iCs/>
          <w:color w:val="000000"/>
          <w:vertAlign w:val="superscript"/>
        </w:rPr>
        <w:t>rd</w:t>
      </w:r>
      <w:r w:rsidRPr="00747B24">
        <w:rPr>
          <w:rFonts w:eastAsia="Times New Roman" w:cs="Times New Roman"/>
          <w:i/>
          <w:iCs/>
          <w:color w:val="000000"/>
        </w:rPr>
        <w:t xml:space="preserve"> ed. </w:t>
      </w:r>
      <w:r w:rsidRPr="00747B24">
        <w:rPr>
          <w:rFonts w:eastAsia="Times New Roman" w:cs="Times New Roman"/>
          <w:color w:val="000000"/>
        </w:rPr>
        <w:t>New York City: Basic Books, 2018.</w:t>
      </w:r>
    </w:p>
    <w:p w14:paraId="10A5C75E"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Bailey, Michael A., Anton </w:t>
      </w:r>
      <w:proofErr w:type="spellStart"/>
      <w:r w:rsidRPr="00747B24">
        <w:rPr>
          <w:rFonts w:eastAsia="Times New Roman" w:cs="Times New Roman"/>
          <w:color w:val="000000"/>
        </w:rPr>
        <w:t>Strezhnev</w:t>
      </w:r>
      <w:proofErr w:type="spellEnd"/>
      <w:r w:rsidRPr="00747B24">
        <w:rPr>
          <w:rFonts w:eastAsia="Times New Roman" w:cs="Times New Roman"/>
          <w:color w:val="000000"/>
        </w:rPr>
        <w:t xml:space="preserve">, and Erik </w:t>
      </w:r>
      <w:proofErr w:type="spellStart"/>
      <w:r w:rsidRPr="00747B24">
        <w:rPr>
          <w:rFonts w:eastAsia="Times New Roman" w:cs="Times New Roman"/>
          <w:color w:val="000000"/>
        </w:rPr>
        <w:t>Voeten</w:t>
      </w:r>
      <w:proofErr w:type="spellEnd"/>
      <w:r w:rsidRPr="00747B24">
        <w:rPr>
          <w:rFonts w:eastAsia="Times New Roman" w:cs="Times New Roman"/>
          <w:color w:val="000000"/>
        </w:rPr>
        <w:t>, "Estimating dynamic state preferences from United Nations voting data." </w:t>
      </w:r>
      <w:r w:rsidRPr="00747B24">
        <w:rPr>
          <w:rFonts w:eastAsia="Times New Roman" w:cs="Times New Roman"/>
          <w:i/>
          <w:iCs/>
          <w:color w:val="000000"/>
        </w:rPr>
        <w:t>Journal of Conflict Resolution</w:t>
      </w:r>
      <w:r w:rsidRPr="00747B24">
        <w:rPr>
          <w:rFonts w:eastAsia="Times New Roman" w:cs="Times New Roman"/>
          <w:color w:val="000000"/>
        </w:rPr>
        <w:t> 61, no. 2 (2017): 430-456.</w:t>
      </w:r>
    </w:p>
    <w:p w14:paraId="42DE20EA"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Boykoff, Maxwell T., and J. Timmons Roberts. “Media Coverage of Climate Change: Current Trends, Strengths, Weaknesses.” </w:t>
      </w:r>
      <w:r w:rsidRPr="00747B24">
        <w:rPr>
          <w:rFonts w:eastAsia="Times New Roman" w:cs="Times New Roman"/>
          <w:i/>
          <w:iCs/>
          <w:color w:val="000000"/>
        </w:rPr>
        <w:t xml:space="preserve">Human Development Report. </w:t>
      </w:r>
      <w:r w:rsidRPr="00747B24">
        <w:rPr>
          <w:rFonts w:eastAsia="Times New Roman" w:cs="Times New Roman"/>
          <w:color w:val="000000"/>
        </w:rPr>
        <w:t>New York City: United Nations Development Programme, 2007.</w:t>
      </w:r>
    </w:p>
    <w:p w14:paraId="5EA17A96"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De la </w:t>
      </w:r>
      <w:proofErr w:type="spellStart"/>
      <w:r w:rsidRPr="00747B24">
        <w:rPr>
          <w:rFonts w:eastAsia="Times New Roman" w:cs="Times New Roman"/>
          <w:color w:val="000000"/>
        </w:rPr>
        <w:t>Hamaide</w:t>
      </w:r>
      <w:proofErr w:type="spellEnd"/>
      <w:r w:rsidRPr="00747B24">
        <w:rPr>
          <w:rFonts w:eastAsia="Times New Roman" w:cs="Times New Roman"/>
          <w:color w:val="000000"/>
        </w:rPr>
        <w:t xml:space="preserve">, Sybille, and Mark John, ed. “Timeline of Paris Attacks According to Public Prosecutor.” </w:t>
      </w:r>
      <w:r w:rsidRPr="00747B24">
        <w:rPr>
          <w:rFonts w:eastAsia="Times New Roman" w:cs="Times New Roman"/>
          <w:i/>
          <w:iCs/>
          <w:color w:val="000000"/>
        </w:rPr>
        <w:t>Reuters,</w:t>
      </w:r>
      <w:r w:rsidRPr="00747B24">
        <w:rPr>
          <w:rFonts w:eastAsia="Times New Roman" w:cs="Times New Roman"/>
          <w:color w:val="000000"/>
        </w:rPr>
        <w:t xml:space="preserve"> November 14, 2015. </w:t>
      </w:r>
      <w:r w:rsidRPr="00747B24">
        <w:rPr>
          <w:rFonts w:eastAsia="Times New Roman" w:cs="Times New Roman"/>
          <w:color w:val="000000"/>
          <w:u w:val="single"/>
        </w:rPr>
        <w:t>https://www.reuters.com/article/us-france-shooting-timeline-idUSKCN0T31BS20151114.</w:t>
      </w:r>
    </w:p>
    <w:p w14:paraId="73E8B491"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European Values Study (EVS) / World Values Survey (WVS). </w:t>
      </w:r>
      <w:r w:rsidRPr="00747B24">
        <w:rPr>
          <w:rFonts w:eastAsia="Times New Roman" w:cs="Times New Roman"/>
          <w:i/>
          <w:iCs/>
          <w:color w:val="000000"/>
        </w:rPr>
        <w:t>European Values Study and World Values Survey: Joint EVS/WVS 2017-2021 Dataset (Joint EVS/WVS)</w:t>
      </w:r>
      <w:r w:rsidRPr="00747B24">
        <w:rPr>
          <w:rFonts w:eastAsia="Times New Roman" w:cs="Times New Roman"/>
          <w:color w:val="000000"/>
        </w:rPr>
        <w:t>. JD Systems Institute and WVSA, 2021. Dataset Version 1.1.0, doi:10.14281/18241.11</w:t>
      </w:r>
    </w:p>
    <w:p w14:paraId="416403FB" w14:textId="77777777" w:rsidR="00F072B0" w:rsidRPr="006B4725" w:rsidRDefault="00F072B0" w:rsidP="00F072B0">
      <w:pPr>
        <w:spacing w:after="240"/>
        <w:ind w:left="567" w:hanging="567"/>
        <w:rPr>
          <w:rFonts w:eastAsia="Times New Roman" w:cs="Times New Roman"/>
          <w:i/>
          <w:iCs/>
          <w:color w:val="000000"/>
        </w:rPr>
      </w:pPr>
      <w:r w:rsidRPr="00747B24">
        <w:rPr>
          <w:rFonts w:eastAsia="Times New Roman" w:cs="Times New Roman"/>
          <w:i/>
          <w:iCs/>
          <w:color w:val="000000"/>
        </w:rPr>
        <w:t>Final Act of the United Nations Diplomatic Conference of Plenipotentiaries on the Establishment of an International Criminal Court</w:t>
      </w:r>
      <w:r w:rsidRPr="00747B24">
        <w:rPr>
          <w:rFonts w:eastAsia="Times New Roman" w:cs="Times New Roman"/>
          <w:color w:val="000000"/>
        </w:rPr>
        <w:t xml:space="preserve">, Rome, July 17, 1998, A/CONF.183/10. </w:t>
      </w:r>
      <w:r w:rsidRPr="00747B24">
        <w:rPr>
          <w:rFonts w:eastAsia="Times New Roman" w:cs="Times New Roman"/>
          <w:color w:val="000000"/>
          <w:u w:val="single"/>
        </w:rPr>
        <w:t>http://www.documents-dds-ny.un.org/doc/UNDOC/GEN/N98/241/85/PDF/N9824185.pdf?OpenElement</w:t>
      </w:r>
      <w:r w:rsidRPr="00747B24">
        <w:rPr>
          <w:rFonts w:eastAsia="Times New Roman" w:cs="Times New Roman"/>
          <w:color w:val="000000"/>
        </w:rPr>
        <w:t>.</w:t>
      </w:r>
    </w:p>
    <w:p w14:paraId="34F97DD7" w14:textId="77777777" w:rsidR="00F072B0" w:rsidRPr="006B4725" w:rsidRDefault="00F072B0" w:rsidP="00F072B0">
      <w:pPr>
        <w:spacing w:after="240"/>
        <w:ind w:left="567" w:hanging="567"/>
        <w:rPr>
          <w:rFonts w:eastAsia="Times New Roman" w:cs="Times New Roman"/>
          <w:color w:val="000000"/>
        </w:rPr>
      </w:pPr>
      <w:proofErr w:type="spellStart"/>
      <w:r w:rsidRPr="00747B24">
        <w:rPr>
          <w:rFonts w:eastAsia="Times New Roman" w:cs="Times New Roman"/>
          <w:color w:val="000000"/>
        </w:rPr>
        <w:t>Haerpfer</w:t>
      </w:r>
      <w:proofErr w:type="spellEnd"/>
      <w:r w:rsidRPr="00747B24">
        <w:rPr>
          <w:rFonts w:eastAsia="Times New Roman" w:cs="Times New Roman"/>
          <w:color w:val="000000"/>
        </w:rPr>
        <w:t xml:space="preserve">, C., Inglehart, R., Moreno, A., </w:t>
      </w:r>
      <w:proofErr w:type="spellStart"/>
      <w:r w:rsidRPr="00747B24">
        <w:rPr>
          <w:rFonts w:eastAsia="Times New Roman" w:cs="Times New Roman"/>
          <w:color w:val="000000"/>
        </w:rPr>
        <w:t>Welzel</w:t>
      </w:r>
      <w:proofErr w:type="spellEnd"/>
      <w:r w:rsidRPr="00747B24">
        <w:rPr>
          <w:rFonts w:eastAsia="Times New Roman" w:cs="Times New Roman"/>
          <w:color w:val="000000"/>
        </w:rPr>
        <w:t xml:space="preserve">, C., </w:t>
      </w:r>
      <w:proofErr w:type="spellStart"/>
      <w:r w:rsidRPr="00747B24">
        <w:rPr>
          <w:rFonts w:eastAsia="Times New Roman" w:cs="Times New Roman"/>
          <w:color w:val="000000"/>
        </w:rPr>
        <w:t>Kizilova</w:t>
      </w:r>
      <w:proofErr w:type="spellEnd"/>
      <w:r w:rsidRPr="00747B24">
        <w:rPr>
          <w:rFonts w:eastAsia="Times New Roman" w:cs="Times New Roman"/>
          <w:color w:val="000000"/>
        </w:rPr>
        <w:t xml:space="preserve">, K., Diez-Medrano J., M. Lagos, P. Norris, E. </w:t>
      </w:r>
      <w:proofErr w:type="spellStart"/>
      <w:r w:rsidRPr="00747B24">
        <w:rPr>
          <w:rFonts w:eastAsia="Times New Roman" w:cs="Times New Roman"/>
          <w:color w:val="000000"/>
        </w:rPr>
        <w:t>Ponarin</w:t>
      </w:r>
      <w:proofErr w:type="spellEnd"/>
      <w:r w:rsidRPr="006B4725">
        <w:rPr>
          <w:rFonts w:eastAsia="Times New Roman" w:cs="Times New Roman"/>
          <w:color w:val="000000"/>
        </w:rPr>
        <w:t>, and</w:t>
      </w:r>
      <w:r w:rsidRPr="00747B24">
        <w:rPr>
          <w:rFonts w:eastAsia="Times New Roman" w:cs="Times New Roman"/>
          <w:color w:val="000000"/>
        </w:rPr>
        <w:t xml:space="preserve"> B. </w:t>
      </w:r>
      <w:proofErr w:type="spellStart"/>
      <w:r w:rsidRPr="00747B24">
        <w:rPr>
          <w:rFonts w:eastAsia="Times New Roman" w:cs="Times New Roman"/>
          <w:color w:val="000000"/>
        </w:rPr>
        <w:t>Puranen</w:t>
      </w:r>
      <w:proofErr w:type="spellEnd"/>
      <w:r w:rsidRPr="00747B24">
        <w:rPr>
          <w:rFonts w:eastAsia="Times New Roman" w:cs="Times New Roman"/>
          <w:color w:val="000000"/>
        </w:rPr>
        <w:t xml:space="preserve"> et al., eds. </w:t>
      </w:r>
      <w:r w:rsidRPr="00747B24">
        <w:rPr>
          <w:rFonts w:eastAsia="Times New Roman" w:cs="Times New Roman"/>
          <w:i/>
          <w:iCs/>
          <w:color w:val="000000"/>
        </w:rPr>
        <w:t xml:space="preserve">World Values Survey: Round Seven – Country-Pooled Datafile. </w:t>
      </w:r>
      <w:r w:rsidRPr="00747B24">
        <w:rPr>
          <w:rFonts w:eastAsia="Times New Roman" w:cs="Times New Roman"/>
          <w:color w:val="000000"/>
        </w:rPr>
        <w:t xml:space="preserve">Madrid; Vienna: JD Systems Institute and WVSA Secretariat, 2020. </w:t>
      </w:r>
      <w:r w:rsidRPr="00747B24">
        <w:rPr>
          <w:rFonts w:eastAsia="Times New Roman" w:cs="Times New Roman"/>
          <w:color w:val="000000"/>
          <w:u w:val="single"/>
        </w:rPr>
        <w:t>https://doi.org/10.14281/18241.1</w:t>
      </w:r>
    </w:p>
    <w:p w14:paraId="625D69C9"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Inglehart, R., </w:t>
      </w:r>
      <w:r w:rsidRPr="006B4725">
        <w:rPr>
          <w:rFonts w:eastAsia="Times New Roman" w:cs="Times New Roman"/>
          <w:color w:val="000000"/>
        </w:rPr>
        <w:t xml:space="preserve">C. </w:t>
      </w:r>
      <w:proofErr w:type="spellStart"/>
      <w:r w:rsidRPr="00747B24">
        <w:rPr>
          <w:rFonts w:eastAsia="Times New Roman" w:cs="Times New Roman"/>
          <w:color w:val="000000"/>
        </w:rPr>
        <w:t>Haerpfer</w:t>
      </w:r>
      <w:proofErr w:type="spellEnd"/>
      <w:r w:rsidRPr="00747B24">
        <w:rPr>
          <w:rFonts w:eastAsia="Times New Roman" w:cs="Times New Roman"/>
          <w:color w:val="000000"/>
        </w:rPr>
        <w:t xml:space="preserve">, </w:t>
      </w:r>
      <w:r w:rsidRPr="006B4725">
        <w:rPr>
          <w:rFonts w:eastAsia="Times New Roman" w:cs="Times New Roman"/>
          <w:color w:val="000000"/>
        </w:rPr>
        <w:t xml:space="preserve">A. </w:t>
      </w:r>
      <w:r w:rsidRPr="00747B24">
        <w:rPr>
          <w:rFonts w:eastAsia="Times New Roman" w:cs="Times New Roman"/>
          <w:color w:val="000000"/>
        </w:rPr>
        <w:t>Moreno,</w:t>
      </w:r>
      <w:r w:rsidRPr="006B4725">
        <w:rPr>
          <w:rFonts w:eastAsia="Times New Roman" w:cs="Times New Roman"/>
          <w:color w:val="000000"/>
        </w:rPr>
        <w:t xml:space="preserve"> C.</w:t>
      </w:r>
      <w:r w:rsidRPr="00747B24">
        <w:rPr>
          <w:rFonts w:eastAsia="Times New Roman" w:cs="Times New Roman"/>
          <w:color w:val="000000"/>
        </w:rPr>
        <w:t xml:space="preserve"> </w:t>
      </w:r>
      <w:proofErr w:type="spellStart"/>
      <w:r w:rsidRPr="00747B24">
        <w:rPr>
          <w:rFonts w:eastAsia="Times New Roman" w:cs="Times New Roman"/>
          <w:color w:val="000000"/>
        </w:rPr>
        <w:t>Welzel</w:t>
      </w:r>
      <w:proofErr w:type="spellEnd"/>
      <w:r w:rsidRPr="00747B24">
        <w:rPr>
          <w:rFonts w:eastAsia="Times New Roman" w:cs="Times New Roman"/>
          <w:color w:val="000000"/>
        </w:rPr>
        <w:t xml:space="preserve">, </w:t>
      </w:r>
      <w:r w:rsidRPr="006B4725">
        <w:rPr>
          <w:rFonts w:eastAsia="Times New Roman" w:cs="Times New Roman"/>
          <w:color w:val="000000"/>
        </w:rPr>
        <w:t>K.</w:t>
      </w:r>
      <w:r w:rsidRPr="00747B24">
        <w:rPr>
          <w:rFonts w:eastAsia="Times New Roman" w:cs="Times New Roman"/>
          <w:color w:val="000000"/>
        </w:rPr>
        <w:t xml:space="preserve"> </w:t>
      </w:r>
      <w:proofErr w:type="spellStart"/>
      <w:r w:rsidRPr="00747B24">
        <w:rPr>
          <w:rFonts w:eastAsia="Times New Roman" w:cs="Times New Roman"/>
          <w:color w:val="000000"/>
        </w:rPr>
        <w:t>Kizilova</w:t>
      </w:r>
      <w:proofErr w:type="spellEnd"/>
      <w:r w:rsidRPr="00747B24">
        <w:rPr>
          <w:rFonts w:eastAsia="Times New Roman" w:cs="Times New Roman"/>
          <w:color w:val="000000"/>
        </w:rPr>
        <w:t xml:space="preserve">, </w:t>
      </w:r>
      <w:r w:rsidRPr="006B4725">
        <w:rPr>
          <w:rFonts w:eastAsia="Times New Roman" w:cs="Times New Roman"/>
          <w:color w:val="000000"/>
        </w:rPr>
        <w:t>J.</w:t>
      </w:r>
      <w:r w:rsidRPr="00747B24">
        <w:rPr>
          <w:rFonts w:eastAsia="Times New Roman" w:cs="Times New Roman"/>
          <w:color w:val="000000"/>
        </w:rPr>
        <w:t xml:space="preserve"> Diez-Medrano, M. Lagos, P. Norris, E. </w:t>
      </w:r>
      <w:proofErr w:type="spellStart"/>
      <w:r w:rsidRPr="00747B24">
        <w:rPr>
          <w:rFonts w:eastAsia="Times New Roman" w:cs="Times New Roman"/>
          <w:color w:val="000000"/>
        </w:rPr>
        <w:t>Ponarin</w:t>
      </w:r>
      <w:proofErr w:type="spellEnd"/>
      <w:r w:rsidRPr="006B4725">
        <w:rPr>
          <w:rFonts w:eastAsia="Times New Roman" w:cs="Times New Roman"/>
          <w:color w:val="000000"/>
        </w:rPr>
        <w:t>, and</w:t>
      </w:r>
      <w:r w:rsidRPr="00747B24">
        <w:rPr>
          <w:rFonts w:eastAsia="Times New Roman" w:cs="Times New Roman"/>
          <w:color w:val="000000"/>
        </w:rPr>
        <w:t xml:space="preserve"> B. </w:t>
      </w:r>
      <w:proofErr w:type="spellStart"/>
      <w:r w:rsidRPr="00747B24">
        <w:rPr>
          <w:rFonts w:eastAsia="Times New Roman" w:cs="Times New Roman"/>
          <w:color w:val="000000"/>
        </w:rPr>
        <w:t>Puranen</w:t>
      </w:r>
      <w:proofErr w:type="spellEnd"/>
      <w:r w:rsidRPr="00747B24">
        <w:rPr>
          <w:rFonts w:eastAsia="Times New Roman" w:cs="Times New Roman"/>
          <w:color w:val="000000"/>
        </w:rPr>
        <w:t xml:space="preserve"> et al., eds. </w:t>
      </w:r>
      <w:r w:rsidRPr="00747B24">
        <w:rPr>
          <w:rFonts w:eastAsia="Times New Roman" w:cs="Times New Roman"/>
          <w:i/>
          <w:iCs/>
          <w:color w:val="000000"/>
        </w:rPr>
        <w:t>World Values Survey: All Rounds – Country-</w:t>
      </w:r>
      <w:r w:rsidRPr="00747B24">
        <w:rPr>
          <w:rFonts w:eastAsia="Times New Roman" w:cs="Times New Roman"/>
          <w:i/>
          <w:iCs/>
          <w:color w:val="000000"/>
        </w:rPr>
        <w:lastRenderedPageBreak/>
        <w:t>Pooled Datafile.</w:t>
      </w:r>
      <w:r w:rsidRPr="00747B24">
        <w:rPr>
          <w:rFonts w:eastAsia="Times New Roman" w:cs="Times New Roman"/>
          <w:color w:val="000000"/>
        </w:rPr>
        <w:t xml:space="preserve"> Madrid; Vienna: JD Systems Institute and WVSA Secretariat, 2020. </w:t>
      </w:r>
      <w:r w:rsidRPr="00747B24">
        <w:rPr>
          <w:rFonts w:eastAsia="Times New Roman" w:cs="Times New Roman"/>
          <w:color w:val="000000"/>
          <w:u w:val="single"/>
        </w:rPr>
        <w:t>http://www.worldvaluessurvey.org/WVSDocumentationWVL.jsp</w:t>
      </w:r>
      <w:r w:rsidRPr="00747B24">
        <w:rPr>
          <w:rFonts w:eastAsia="Times New Roman" w:cs="Times New Roman"/>
          <w:color w:val="000000"/>
        </w:rPr>
        <w:t>.</w:t>
      </w:r>
    </w:p>
    <w:p w14:paraId="34B02534"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xml:space="preserve">– – – . </w:t>
      </w:r>
      <w:r w:rsidRPr="00747B24">
        <w:rPr>
          <w:rFonts w:eastAsia="Times New Roman" w:cs="Times New Roman"/>
          <w:i/>
          <w:iCs/>
          <w:color w:val="000000"/>
        </w:rPr>
        <w:t xml:space="preserve">World Values Survey: Round Six - Country-Pooled Datafile. </w:t>
      </w:r>
      <w:r w:rsidRPr="00747B24">
        <w:rPr>
          <w:rFonts w:eastAsia="Times New Roman" w:cs="Times New Roman"/>
          <w:color w:val="000000"/>
        </w:rPr>
        <w:t xml:space="preserve">Madrid; Vienna: JD Systems Institute and WVSA Secretariat, 2018. </w:t>
      </w:r>
      <w:r w:rsidRPr="00747B24">
        <w:rPr>
          <w:rFonts w:eastAsia="Times New Roman" w:cs="Times New Roman"/>
          <w:color w:val="000000"/>
          <w:u w:val="single"/>
        </w:rPr>
        <w:t>https://doi.org/10.14281/18241.8</w:t>
      </w:r>
    </w:p>
    <w:p w14:paraId="649005EB"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International Press Telecommunications Council (IPTC). “</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Scheme (Controlled Vocabulary).” Accessed March 25, 2023. </w:t>
      </w:r>
      <w:r w:rsidRPr="00747B24">
        <w:rPr>
          <w:rFonts w:eastAsia="Times New Roman" w:cs="Times New Roman"/>
          <w:color w:val="000000"/>
          <w:u w:val="single"/>
        </w:rPr>
        <w:t>https://cv.iptc.org/newscodes/mediatopic/</w:t>
      </w:r>
      <w:r w:rsidRPr="00747B24">
        <w:rPr>
          <w:rFonts w:eastAsia="Times New Roman" w:cs="Times New Roman"/>
          <w:color w:val="000000"/>
        </w:rPr>
        <w:t>.</w:t>
      </w:r>
    </w:p>
    <w:p w14:paraId="043FF3E6"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International Press Telecommunications Council (IPTC). “</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Concept: Bioterrorism.” Last modified February 18, 2021. </w:t>
      </w:r>
      <w:r w:rsidRPr="00747B24">
        <w:rPr>
          <w:rFonts w:eastAsia="Times New Roman" w:cs="Times New Roman"/>
          <w:color w:val="000000"/>
          <w:u w:val="single"/>
        </w:rPr>
        <w:t>http://cv.iptc.org/newscodes/mediatopic/16005001.</w:t>
      </w:r>
    </w:p>
    <w:p w14:paraId="247C64C5"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 – .</w:t>
      </w:r>
      <w:r w:rsidRPr="00747B24">
        <w:rPr>
          <w:rFonts w:eastAsia="Times New Roman" w:cs="Times New Roman"/>
          <w:color w:val="000000"/>
        </w:rPr>
        <w:t xml:space="preserve"> “</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Concept: Conflict, War and Peace.” Last modified February 18, 2021. </w:t>
      </w:r>
      <w:r w:rsidRPr="00747B24">
        <w:rPr>
          <w:rFonts w:eastAsia="Times New Roman" w:cs="Times New Roman"/>
          <w:color w:val="000000"/>
          <w:u w:val="single"/>
        </w:rPr>
        <w:t>http://cv.iptc.org/newscodes/mediatopic/16000000.</w:t>
      </w:r>
    </w:p>
    <w:p w14:paraId="5332A578"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xml:space="preserve">– – – . </w:t>
      </w:r>
      <w:r w:rsidRPr="00747B24">
        <w:rPr>
          <w:rFonts w:eastAsia="Times New Roman" w:cs="Times New Roman"/>
          <w:color w:val="000000"/>
        </w:rPr>
        <w:t>“</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Concept: Bioterrorism.” Last modified July 10, 2012. </w:t>
      </w:r>
      <w:r w:rsidRPr="00747B24">
        <w:rPr>
          <w:rFonts w:eastAsia="Times New Roman" w:cs="Times New Roman"/>
          <w:color w:val="000000"/>
          <w:u w:val="single"/>
        </w:rPr>
        <w:t>http://cv.iptc.org/newscodes/subjectcode/16005001</w:t>
      </w:r>
      <w:r w:rsidRPr="00747B24">
        <w:rPr>
          <w:rFonts w:eastAsia="Times New Roman" w:cs="Times New Roman"/>
          <w:color w:val="000000"/>
        </w:rPr>
        <w:t xml:space="preserve">. </w:t>
      </w:r>
    </w:p>
    <w:p w14:paraId="5902C682"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xml:space="preserve">– – – . </w:t>
      </w:r>
      <w:r w:rsidRPr="00747B24">
        <w:rPr>
          <w:rFonts w:eastAsia="Times New Roman" w:cs="Times New Roman"/>
          <w:color w:val="000000"/>
        </w:rPr>
        <w:t>“</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Concept: Guerilla Activity.” Last modified July 10, 2012. </w:t>
      </w:r>
      <w:r w:rsidRPr="00747B24">
        <w:rPr>
          <w:rFonts w:eastAsia="Times New Roman" w:cs="Times New Roman"/>
          <w:color w:val="000000"/>
          <w:u w:val="single"/>
        </w:rPr>
        <w:t>http://cv.iptc.org/newscodes/subjectcode/16005000</w:t>
      </w:r>
      <w:r w:rsidRPr="00747B24">
        <w:rPr>
          <w:rFonts w:eastAsia="Times New Roman" w:cs="Times New Roman"/>
          <w:color w:val="000000"/>
        </w:rPr>
        <w:t>.</w:t>
      </w:r>
    </w:p>
    <w:p w14:paraId="5A8641DE"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xml:space="preserve">– – – . </w:t>
      </w:r>
      <w:r w:rsidRPr="00747B24">
        <w:rPr>
          <w:rFonts w:eastAsia="Times New Roman" w:cs="Times New Roman"/>
          <w:color w:val="000000"/>
        </w:rPr>
        <w:t>“</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Concept: Terrorism.” Last modified July 10, 2012. </w:t>
      </w:r>
      <w:r w:rsidRPr="00747B24">
        <w:rPr>
          <w:rFonts w:eastAsia="Times New Roman" w:cs="Times New Roman"/>
          <w:color w:val="000000"/>
          <w:u w:val="single"/>
        </w:rPr>
        <w:t>http://cv.iptc.org/newscodes/subjectcode/02001010</w:t>
      </w:r>
      <w:r w:rsidRPr="00747B24">
        <w:rPr>
          <w:rFonts w:eastAsia="Times New Roman" w:cs="Times New Roman"/>
          <w:color w:val="000000"/>
        </w:rPr>
        <w:t xml:space="preserve">. </w:t>
      </w:r>
    </w:p>
    <w:p w14:paraId="6B99B6EA"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 – .</w:t>
      </w:r>
      <w:r w:rsidRPr="00747B24">
        <w:rPr>
          <w:rFonts w:eastAsia="Times New Roman" w:cs="Times New Roman"/>
          <w:color w:val="000000"/>
        </w:rPr>
        <w:t xml:space="preserve"> “</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Concept: Act of Terror.” Last modified December 15, 2010. </w:t>
      </w:r>
      <w:r w:rsidRPr="00747B24">
        <w:rPr>
          <w:rFonts w:eastAsia="Times New Roman" w:cs="Times New Roman"/>
          <w:color w:val="000000"/>
          <w:u w:val="single"/>
        </w:rPr>
        <w:t>http://cv.iptc.org/newscodes/subjectcode/160010000</w:t>
      </w:r>
      <w:r w:rsidRPr="00747B24">
        <w:rPr>
          <w:rFonts w:eastAsia="Times New Roman" w:cs="Times New Roman"/>
          <w:color w:val="000000"/>
        </w:rPr>
        <w:t>.</w:t>
      </w:r>
    </w:p>
    <w:p w14:paraId="030B23FA"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xml:space="preserve">– – – . </w:t>
      </w:r>
      <w:r w:rsidRPr="00747B24">
        <w:rPr>
          <w:rFonts w:eastAsia="Times New Roman" w:cs="Times New Roman"/>
          <w:color w:val="000000"/>
        </w:rPr>
        <w:t>“</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Concept: Crime, Law and Justice.” Last modified December 15, 2010. </w:t>
      </w:r>
      <w:r w:rsidRPr="00747B24">
        <w:rPr>
          <w:rFonts w:eastAsia="Times New Roman" w:cs="Times New Roman"/>
          <w:color w:val="000000"/>
          <w:u w:val="single"/>
        </w:rPr>
        <w:t>http://cv.iptc.org/newscodes/subjectcode/02000000</w:t>
      </w:r>
      <w:r w:rsidRPr="00747B24">
        <w:rPr>
          <w:rFonts w:eastAsia="Times New Roman" w:cs="Times New Roman"/>
          <w:color w:val="000000"/>
        </w:rPr>
        <w:t>.</w:t>
      </w:r>
    </w:p>
    <w:p w14:paraId="5D6FCFC3"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xml:space="preserve">– – – . </w:t>
      </w:r>
      <w:r w:rsidRPr="00747B24">
        <w:rPr>
          <w:rFonts w:eastAsia="Times New Roman" w:cs="Times New Roman"/>
          <w:color w:val="000000"/>
        </w:rPr>
        <w:t>“</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Concept: Unrest, Conflicts and War.” Last modified December 15, 2010. </w:t>
      </w:r>
      <w:r w:rsidRPr="00747B24">
        <w:rPr>
          <w:rFonts w:eastAsia="Times New Roman" w:cs="Times New Roman"/>
          <w:color w:val="000000"/>
          <w:u w:val="single"/>
        </w:rPr>
        <w:t>http://cv.iptc.org/newscodes/subjectcode/16000000</w:t>
      </w:r>
      <w:r w:rsidRPr="00747B24">
        <w:rPr>
          <w:rFonts w:eastAsia="Times New Roman" w:cs="Times New Roman"/>
          <w:color w:val="000000"/>
        </w:rPr>
        <w:t xml:space="preserve">. </w:t>
      </w:r>
    </w:p>
    <w:p w14:paraId="2582508C"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 – .</w:t>
      </w:r>
      <w:r w:rsidRPr="00747B24">
        <w:rPr>
          <w:rFonts w:eastAsia="Times New Roman" w:cs="Times New Roman"/>
          <w:color w:val="000000"/>
        </w:rPr>
        <w:t xml:space="preserve"> “</w:t>
      </w:r>
      <w:proofErr w:type="spellStart"/>
      <w:r w:rsidRPr="00747B24">
        <w:rPr>
          <w:rFonts w:eastAsia="Times New Roman" w:cs="Times New Roman"/>
          <w:color w:val="000000"/>
        </w:rPr>
        <w:t>NewsCodes</w:t>
      </w:r>
      <w:proofErr w:type="spellEnd"/>
      <w:r w:rsidRPr="00747B24">
        <w:rPr>
          <w:rFonts w:eastAsia="Times New Roman" w:cs="Times New Roman"/>
          <w:color w:val="000000"/>
        </w:rPr>
        <w:t xml:space="preserve">: Controlled Vocabularies for the Media.” Last modified September 21, 2002. </w:t>
      </w:r>
      <w:r w:rsidRPr="00747B24">
        <w:rPr>
          <w:rFonts w:eastAsia="Times New Roman" w:cs="Times New Roman"/>
          <w:color w:val="000000"/>
          <w:u w:val="single"/>
        </w:rPr>
        <w:t>https://iptc.org/standards/newscodes/</w:t>
      </w:r>
      <w:r w:rsidRPr="00747B24">
        <w:rPr>
          <w:rFonts w:eastAsia="Times New Roman" w:cs="Times New Roman"/>
          <w:color w:val="000000"/>
        </w:rPr>
        <w:t xml:space="preserve">.  </w:t>
      </w:r>
    </w:p>
    <w:p w14:paraId="1358DA23" w14:textId="77777777" w:rsidR="00F072B0" w:rsidRPr="006B4725" w:rsidRDefault="00F072B0" w:rsidP="00F072B0">
      <w:pPr>
        <w:spacing w:after="240"/>
        <w:ind w:left="567" w:hanging="567"/>
        <w:rPr>
          <w:rFonts w:eastAsia="Times New Roman" w:cs="Times New Roman"/>
          <w:color w:val="000000"/>
        </w:rPr>
      </w:pPr>
      <w:proofErr w:type="spellStart"/>
      <w:r w:rsidRPr="00747B24">
        <w:rPr>
          <w:rFonts w:eastAsia="Times New Roman" w:cs="Times New Roman"/>
          <w:color w:val="000000"/>
        </w:rPr>
        <w:t>Jařab</w:t>
      </w:r>
      <w:proofErr w:type="spellEnd"/>
      <w:r w:rsidRPr="00747B24">
        <w:rPr>
          <w:rFonts w:eastAsia="Times New Roman" w:cs="Times New Roman"/>
          <w:color w:val="000000"/>
        </w:rPr>
        <w:t xml:space="preserve">, Josef. “Draft Recommendation: Media and Terrorism.” </w:t>
      </w:r>
      <w:r w:rsidRPr="00747B24">
        <w:rPr>
          <w:rFonts w:eastAsia="Times New Roman" w:cs="Times New Roman"/>
          <w:i/>
          <w:iCs/>
          <w:color w:val="000000"/>
        </w:rPr>
        <w:t>Report to the Committee on Culture, Science and Education</w:t>
      </w:r>
      <w:r w:rsidRPr="00747B24">
        <w:rPr>
          <w:rFonts w:eastAsia="Times New Roman" w:cs="Times New Roman"/>
          <w:color w:val="000000"/>
        </w:rPr>
        <w:t xml:space="preserve">. May 20, 2005. </w:t>
      </w:r>
      <w:r w:rsidRPr="00747B24">
        <w:rPr>
          <w:rFonts w:eastAsia="Times New Roman" w:cs="Times New Roman"/>
          <w:color w:val="000000"/>
          <w:u w:val="single"/>
        </w:rPr>
        <w:t>http://assembly.coe.int/nw/xml/XRef/X2H-Xref-ViewHTML.asp?FileID=10914&amp;lang=EN.</w:t>
      </w:r>
    </w:p>
    <w:p w14:paraId="52B52AEF" w14:textId="77777777" w:rsidR="00F072B0" w:rsidRPr="006B4725" w:rsidRDefault="00F072B0" w:rsidP="00F072B0">
      <w:pPr>
        <w:spacing w:after="240"/>
        <w:ind w:left="567" w:hanging="567"/>
        <w:rPr>
          <w:rFonts w:eastAsia="Times New Roman" w:cs="Times New Roman"/>
          <w:color w:val="000000"/>
        </w:rPr>
      </w:pPr>
      <w:proofErr w:type="spellStart"/>
      <w:r w:rsidRPr="00747B24">
        <w:rPr>
          <w:rFonts w:eastAsia="Times New Roman" w:cs="Times New Roman"/>
          <w:color w:val="000000"/>
        </w:rPr>
        <w:t>LaFree</w:t>
      </w:r>
      <w:proofErr w:type="spellEnd"/>
      <w:r w:rsidRPr="00747B24">
        <w:rPr>
          <w:rFonts w:eastAsia="Times New Roman" w:cs="Times New Roman"/>
          <w:color w:val="000000"/>
        </w:rPr>
        <w:t>, Gary, Laura Dugan, Heather V. Fogg, and Jeffrey Scott. “Building a Global Terrorism Database.” Federally Funded Grant Report Produced at the University of Maryland, 2006.</w:t>
      </w:r>
    </w:p>
    <w:p w14:paraId="0B3CF1D6"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Lin, Carol, and Vince Cellini. “Terrorist Attack on United States.” Anchored broadcast aired September 11, 2001, on CNN.</w:t>
      </w:r>
      <w:r w:rsidRPr="00747B24">
        <w:rPr>
          <w:rFonts w:eastAsia="Times New Roman" w:cs="Times New Roman"/>
          <w:color w:val="000000"/>
          <w:u w:val="single"/>
        </w:rPr>
        <w:t xml:space="preserve"> https://transcripts.cnn.com/show/bn/date/2001-09-11/segment/01.</w:t>
      </w:r>
      <w:r w:rsidRPr="00747B24">
        <w:rPr>
          <w:rFonts w:eastAsia="Times New Roman" w:cs="Times New Roman"/>
          <w:color w:val="000000"/>
        </w:rPr>
        <w:t xml:space="preserve"> </w:t>
      </w:r>
    </w:p>
    <w:p w14:paraId="3C165E82" w14:textId="77777777" w:rsidR="00F072B0" w:rsidRPr="006B4725" w:rsidRDefault="00F072B0" w:rsidP="00F072B0">
      <w:pPr>
        <w:spacing w:after="240"/>
        <w:ind w:left="567" w:hanging="567"/>
        <w:rPr>
          <w:rFonts w:eastAsia="Times New Roman" w:cs="Times New Roman"/>
          <w:i/>
          <w:iCs/>
          <w:color w:val="000000"/>
        </w:rPr>
      </w:pPr>
      <w:r w:rsidRPr="006B4725">
        <w:rPr>
          <w:rFonts w:eastAsia="Times New Roman" w:cs="Times New Roman"/>
          <w:color w:val="000000"/>
        </w:rPr>
        <w:t xml:space="preserve">Seventh International Conference of American States, </w:t>
      </w:r>
      <w:r w:rsidRPr="00747B24">
        <w:rPr>
          <w:rFonts w:eastAsia="Times New Roman" w:cs="Times New Roman"/>
          <w:i/>
          <w:iCs/>
          <w:color w:val="000000"/>
        </w:rPr>
        <w:t>Convention on Rights and Duties of States</w:t>
      </w:r>
      <w:r w:rsidRPr="006B4725">
        <w:rPr>
          <w:rFonts w:eastAsia="Times New Roman" w:cs="Times New Roman"/>
          <w:i/>
          <w:iCs/>
          <w:color w:val="000000"/>
        </w:rPr>
        <w:t>.</w:t>
      </w:r>
      <w:r w:rsidRPr="00747B24">
        <w:rPr>
          <w:rFonts w:eastAsia="Times New Roman" w:cs="Times New Roman"/>
          <w:i/>
          <w:iCs/>
          <w:color w:val="000000"/>
        </w:rPr>
        <w:t xml:space="preserve"> </w:t>
      </w:r>
      <w:r w:rsidRPr="00747B24">
        <w:rPr>
          <w:rFonts w:eastAsia="Times New Roman" w:cs="Times New Roman"/>
          <w:color w:val="000000"/>
        </w:rPr>
        <w:t xml:space="preserve">Montevideo, </w:t>
      </w:r>
      <w:r w:rsidRPr="006B4725">
        <w:rPr>
          <w:rFonts w:eastAsia="Times New Roman" w:cs="Times New Roman"/>
          <w:color w:val="000000"/>
        </w:rPr>
        <w:t xml:space="preserve">December 26, </w:t>
      </w:r>
      <w:r w:rsidRPr="00747B24">
        <w:rPr>
          <w:rFonts w:eastAsia="Times New Roman" w:cs="Times New Roman"/>
          <w:color w:val="000000"/>
        </w:rPr>
        <w:t>1933</w:t>
      </w:r>
      <w:r w:rsidRPr="006B4725">
        <w:rPr>
          <w:rFonts w:eastAsia="Times New Roman" w:cs="Times New Roman"/>
          <w:color w:val="000000"/>
        </w:rPr>
        <w:t>, 165 L.N.T.S 19 (1933)</w:t>
      </w:r>
      <w:r w:rsidRPr="00747B24">
        <w:rPr>
          <w:rFonts w:eastAsia="Times New Roman" w:cs="Times New Roman"/>
          <w:color w:val="000000"/>
        </w:rPr>
        <w:t xml:space="preserve">. </w:t>
      </w:r>
      <w:r w:rsidRPr="00747B24">
        <w:rPr>
          <w:rFonts w:eastAsia="Times New Roman" w:cs="Times New Roman"/>
          <w:color w:val="000000"/>
          <w:u w:val="single"/>
        </w:rPr>
        <w:t>https://www.ilsa.org/jessup/jessup15/Montevideo%20Convention.pdf.</w:t>
      </w:r>
    </w:p>
    <w:p w14:paraId="41346ACE" w14:textId="77777777" w:rsidR="00F072B0" w:rsidRPr="006B4725" w:rsidRDefault="00F072B0" w:rsidP="00F072B0">
      <w:pPr>
        <w:spacing w:after="240"/>
        <w:ind w:left="567" w:hanging="567"/>
        <w:rPr>
          <w:rFonts w:eastAsia="Times New Roman" w:cs="Times New Roman"/>
          <w:color w:val="000000"/>
        </w:rPr>
      </w:pPr>
      <w:proofErr w:type="spellStart"/>
      <w:r w:rsidRPr="00747B24">
        <w:rPr>
          <w:rFonts w:eastAsia="Times New Roman" w:cs="Times New Roman"/>
          <w:color w:val="000000"/>
        </w:rPr>
        <w:lastRenderedPageBreak/>
        <w:t>Mozingo</w:t>
      </w:r>
      <w:proofErr w:type="spellEnd"/>
      <w:r w:rsidRPr="00747B24">
        <w:rPr>
          <w:rFonts w:eastAsia="Times New Roman" w:cs="Times New Roman"/>
          <w:color w:val="000000"/>
        </w:rPr>
        <w:t xml:space="preserve">, Joe, Richard A. Serrano, Henry Chu, and Michael Finnegan. “As Paris reels, investigators piece together the attackers' stories.” </w:t>
      </w:r>
      <w:r w:rsidRPr="00747B24">
        <w:rPr>
          <w:rFonts w:eastAsia="Times New Roman" w:cs="Times New Roman"/>
          <w:i/>
          <w:iCs/>
          <w:color w:val="000000"/>
        </w:rPr>
        <w:t xml:space="preserve">Los Angeles Times, </w:t>
      </w:r>
      <w:r w:rsidRPr="00747B24">
        <w:rPr>
          <w:rFonts w:eastAsia="Times New Roman" w:cs="Times New Roman"/>
          <w:color w:val="000000"/>
        </w:rPr>
        <w:t xml:space="preserve">November 14, 2015. </w:t>
      </w:r>
      <w:r w:rsidRPr="00747B24">
        <w:rPr>
          <w:rFonts w:eastAsia="Times New Roman" w:cs="Times New Roman"/>
          <w:color w:val="000000"/>
          <w:u w:val="single"/>
        </w:rPr>
        <w:t>https://www.latimes.com/world/europe/la-fg-paris-attacks-20151114-story.html</w:t>
      </w:r>
      <w:r w:rsidRPr="00747B24">
        <w:rPr>
          <w:rFonts w:eastAsia="Times New Roman" w:cs="Times New Roman"/>
          <w:color w:val="000000"/>
        </w:rPr>
        <w:t>.</w:t>
      </w:r>
    </w:p>
    <w:p w14:paraId="12F248EA"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National Consortium for the Study of Terrorism and Responses to Terrorism (START). </w:t>
      </w:r>
      <w:r w:rsidRPr="00747B24">
        <w:rPr>
          <w:rFonts w:eastAsia="Times New Roman" w:cs="Times New Roman"/>
          <w:i/>
          <w:iCs/>
          <w:color w:val="000000"/>
        </w:rPr>
        <w:t>Global Terrorism Database Codebook: Inclusion criteria and variables.</w:t>
      </w:r>
      <w:r w:rsidRPr="00747B24">
        <w:rPr>
          <w:rFonts w:eastAsia="Times New Roman" w:cs="Times New Roman"/>
          <w:color w:val="000000"/>
        </w:rPr>
        <w:t xml:space="preserve"> College Park: University of Maryland, 2015. </w:t>
      </w:r>
    </w:p>
    <w:p w14:paraId="73E3F7F2" w14:textId="77777777" w:rsidR="00F072B0" w:rsidRPr="006B4725" w:rsidRDefault="00F072B0" w:rsidP="00F072B0">
      <w:pPr>
        <w:spacing w:after="240"/>
        <w:ind w:left="567" w:hanging="567"/>
        <w:rPr>
          <w:rFonts w:eastAsia="Times New Roman" w:cs="Times New Roman"/>
          <w:color w:val="000000"/>
        </w:rPr>
      </w:pPr>
      <w:proofErr w:type="spellStart"/>
      <w:r w:rsidRPr="00747B24">
        <w:rPr>
          <w:rFonts w:eastAsia="Times New Roman" w:cs="Times New Roman"/>
          <w:color w:val="000000"/>
        </w:rPr>
        <w:t>Provalis</w:t>
      </w:r>
      <w:proofErr w:type="spellEnd"/>
      <w:r w:rsidRPr="00747B24">
        <w:rPr>
          <w:rFonts w:eastAsia="Times New Roman" w:cs="Times New Roman"/>
          <w:color w:val="000000"/>
        </w:rPr>
        <w:t xml:space="preserve"> Research. “QDA Miner 6 User’s Guide.” </w:t>
      </w:r>
      <w:proofErr w:type="spellStart"/>
      <w:r w:rsidRPr="00747B24">
        <w:rPr>
          <w:rFonts w:eastAsia="Times New Roman" w:cs="Times New Roman"/>
          <w:color w:val="000000"/>
        </w:rPr>
        <w:t>Provalis</w:t>
      </w:r>
      <w:proofErr w:type="spellEnd"/>
      <w:r w:rsidRPr="00747B24">
        <w:rPr>
          <w:rFonts w:eastAsia="Times New Roman" w:cs="Times New Roman"/>
          <w:color w:val="000000"/>
        </w:rPr>
        <w:t xml:space="preserve"> Research, 2020. </w:t>
      </w:r>
      <w:r w:rsidRPr="00747B24">
        <w:rPr>
          <w:rFonts w:eastAsia="Times New Roman" w:cs="Times New Roman"/>
          <w:color w:val="000000"/>
          <w:u w:val="single"/>
        </w:rPr>
        <w:t>https://q9j3s8w6.rocketcdn.me/Documents/QDAMiner6.pdf.</w:t>
      </w:r>
    </w:p>
    <w:p w14:paraId="0BABEEEF"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Reuters. “The Reuters Style Guide.” </w:t>
      </w:r>
      <w:r w:rsidRPr="00747B24">
        <w:rPr>
          <w:rFonts w:eastAsia="Times New Roman" w:cs="Times New Roman"/>
          <w:i/>
          <w:iCs/>
          <w:color w:val="000000"/>
        </w:rPr>
        <w:t>Handbook of Journalism.</w:t>
      </w:r>
      <w:r w:rsidRPr="00747B24">
        <w:rPr>
          <w:rFonts w:eastAsia="Times New Roman" w:cs="Times New Roman"/>
          <w:color w:val="000000"/>
        </w:rPr>
        <w:t xml:space="preserve"> Thomson-Reuters Corporation. Canary Wharf: Reuters News Agency, 2008. </w:t>
      </w:r>
      <w:r w:rsidRPr="00747B24">
        <w:rPr>
          <w:rFonts w:eastAsia="Times New Roman" w:cs="Times New Roman"/>
          <w:color w:val="000000"/>
          <w:u w:val="single"/>
        </w:rPr>
        <w:t>http://handbook.reuters.com/index.php</w:t>
      </w:r>
      <w:r w:rsidRPr="00747B24">
        <w:rPr>
          <w:rFonts w:eastAsia="Times New Roman" w:cs="Times New Roman"/>
          <w:color w:val="000000"/>
        </w:rPr>
        <w:t>.</w:t>
      </w:r>
    </w:p>
    <w:p w14:paraId="5DFA0F94"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 xml:space="preserve">Rubin, Alissa J., Kimiko de </w:t>
      </w:r>
      <w:proofErr w:type="spellStart"/>
      <w:r w:rsidRPr="00747B24">
        <w:rPr>
          <w:rFonts w:eastAsia="Times New Roman" w:cs="Times New Roman"/>
          <w:color w:val="000000"/>
        </w:rPr>
        <w:t>Freytas</w:t>
      </w:r>
      <w:proofErr w:type="spellEnd"/>
      <w:r w:rsidRPr="00747B24">
        <w:rPr>
          <w:rFonts w:eastAsia="Times New Roman" w:cs="Times New Roman"/>
          <w:color w:val="000000"/>
        </w:rPr>
        <w:t xml:space="preserve">-Tamura and </w:t>
      </w:r>
      <w:proofErr w:type="spellStart"/>
      <w:r w:rsidRPr="00747B24">
        <w:rPr>
          <w:rFonts w:eastAsia="Times New Roman" w:cs="Times New Roman"/>
          <w:color w:val="000000"/>
        </w:rPr>
        <w:t>Aurelien</w:t>
      </w:r>
      <w:proofErr w:type="spellEnd"/>
      <w:r w:rsidRPr="00747B24">
        <w:rPr>
          <w:rFonts w:eastAsia="Times New Roman" w:cs="Times New Roman"/>
          <w:color w:val="000000"/>
        </w:rPr>
        <w:t xml:space="preserve"> Breeden. “Brothers Among 3 Brussels Suicide Attackers; Another Assailant is Sought.” </w:t>
      </w:r>
      <w:r w:rsidRPr="00747B24">
        <w:rPr>
          <w:rFonts w:eastAsia="Times New Roman" w:cs="Times New Roman"/>
          <w:i/>
          <w:iCs/>
          <w:color w:val="000000"/>
        </w:rPr>
        <w:t>New York Times,</w:t>
      </w:r>
      <w:r w:rsidRPr="00747B24">
        <w:rPr>
          <w:rFonts w:eastAsia="Times New Roman" w:cs="Times New Roman"/>
          <w:color w:val="000000"/>
        </w:rPr>
        <w:t xml:space="preserve"> March 23, 2016. </w:t>
      </w:r>
      <w:r w:rsidRPr="00747B24">
        <w:rPr>
          <w:rFonts w:eastAsia="Times New Roman" w:cs="Times New Roman"/>
          <w:color w:val="000000"/>
          <w:u w:val="single"/>
        </w:rPr>
        <w:t>https://www.nytimes.com/2016/03/24/world/europe/brussels-attack.html</w:t>
      </w:r>
      <w:r w:rsidRPr="00747B24">
        <w:rPr>
          <w:rFonts w:eastAsia="Times New Roman" w:cs="Times New Roman"/>
          <w:color w:val="000000"/>
        </w:rPr>
        <w:t>.</w:t>
      </w:r>
    </w:p>
    <w:p w14:paraId="5D3488EA"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United Nations Department of Economic and Social Affairs (UNDESA) Population Division</w:t>
      </w:r>
      <w:r w:rsidRPr="006B4725">
        <w:rPr>
          <w:rFonts w:eastAsia="Times New Roman" w:cs="Times New Roman"/>
          <w:color w:val="000000"/>
        </w:rPr>
        <w:t>.</w:t>
      </w:r>
      <w:r w:rsidRPr="00747B24">
        <w:rPr>
          <w:rFonts w:eastAsia="Times New Roman" w:cs="Times New Roman"/>
          <w:color w:val="000000"/>
        </w:rPr>
        <w:t xml:space="preserve"> </w:t>
      </w:r>
      <w:r w:rsidRPr="00747B24">
        <w:rPr>
          <w:rFonts w:eastAsia="Times New Roman" w:cs="Times New Roman"/>
          <w:i/>
          <w:iCs/>
          <w:color w:val="000000"/>
        </w:rPr>
        <w:t>World Population Prospects 2022: Data Sources, 2022</w:t>
      </w:r>
      <w:r w:rsidRPr="006B4725">
        <w:rPr>
          <w:rFonts w:eastAsia="Times New Roman" w:cs="Times New Roman"/>
          <w:i/>
          <w:iCs/>
          <w:color w:val="000000"/>
        </w:rPr>
        <w:t>.</w:t>
      </w:r>
      <w:r w:rsidRPr="00747B24">
        <w:rPr>
          <w:rFonts w:eastAsia="Times New Roman" w:cs="Times New Roman"/>
          <w:color w:val="000000"/>
        </w:rPr>
        <w:t xml:space="preserve"> </w:t>
      </w:r>
      <w:r w:rsidRPr="006B4725">
        <w:rPr>
          <w:rFonts w:eastAsia="Times New Roman" w:cs="Times New Roman"/>
          <w:color w:val="000000"/>
        </w:rPr>
        <w:t xml:space="preserve">New York, September 2022, </w:t>
      </w:r>
      <w:r w:rsidRPr="00747B24">
        <w:rPr>
          <w:rFonts w:eastAsia="Times New Roman" w:cs="Times New Roman"/>
          <w:color w:val="000000"/>
        </w:rPr>
        <w:t>UN DESA/POP/2022/DC/NO. 9.</w:t>
      </w:r>
      <w:r w:rsidRPr="006B4725">
        <w:rPr>
          <w:rFonts w:eastAsia="Times New Roman" w:cs="Times New Roman"/>
          <w:color w:val="000000"/>
        </w:rPr>
        <w:t xml:space="preserve"> </w:t>
      </w:r>
      <w:r w:rsidRPr="006B4725">
        <w:rPr>
          <w:rFonts w:eastAsia="Times New Roman" w:cs="Times New Roman"/>
          <w:color w:val="000000"/>
          <w:u w:val="single"/>
        </w:rPr>
        <w:t>https://population.un.org/wpp/Publications/Files/WPP2022_Data_Sources.pdf</w:t>
      </w:r>
      <w:r w:rsidRPr="006B4725">
        <w:rPr>
          <w:rFonts w:eastAsia="Times New Roman" w:cs="Times New Roman"/>
          <w:color w:val="000000"/>
        </w:rPr>
        <w:t xml:space="preserve">. </w:t>
      </w:r>
    </w:p>
    <w:p w14:paraId="43756548"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United Nations Development Programme (UNDP)</w:t>
      </w:r>
      <w:r w:rsidRPr="006B4725">
        <w:rPr>
          <w:rFonts w:eastAsia="Times New Roman" w:cs="Times New Roman"/>
          <w:color w:val="000000"/>
        </w:rPr>
        <w:t>.</w:t>
      </w:r>
      <w:r w:rsidRPr="00747B24">
        <w:rPr>
          <w:rFonts w:eastAsia="Times New Roman" w:cs="Times New Roman"/>
          <w:color w:val="000000"/>
        </w:rPr>
        <w:t xml:space="preserve"> </w:t>
      </w:r>
      <w:r w:rsidRPr="006B4725">
        <w:rPr>
          <w:rFonts w:eastAsia="Times New Roman" w:cs="Times New Roman"/>
          <w:color w:val="000000"/>
        </w:rPr>
        <w:t>“</w:t>
      </w:r>
      <w:r w:rsidRPr="00747B24">
        <w:rPr>
          <w:rFonts w:eastAsia="Times New Roman" w:cs="Times New Roman"/>
          <w:color w:val="000000"/>
        </w:rPr>
        <w:t>Human Development Report 1994 – New Dimensions of Human Security</w:t>
      </w:r>
      <w:r w:rsidRPr="006B4725">
        <w:rPr>
          <w:rFonts w:eastAsia="Times New Roman" w:cs="Times New Roman"/>
          <w:color w:val="000000"/>
        </w:rPr>
        <w:t>.”</w:t>
      </w:r>
      <w:r w:rsidRPr="00747B24">
        <w:rPr>
          <w:rFonts w:eastAsia="Times New Roman" w:cs="Times New Roman"/>
          <w:i/>
          <w:iCs/>
          <w:color w:val="000000"/>
        </w:rPr>
        <w:t xml:space="preserve"> </w:t>
      </w:r>
      <w:r w:rsidRPr="00747B24">
        <w:rPr>
          <w:rFonts w:eastAsia="Times New Roman" w:cs="Times New Roman"/>
          <w:color w:val="000000"/>
        </w:rPr>
        <w:t xml:space="preserve">New York, March 16, 1994. </w:t>
      </w:r>
      <w:r w:rsidRPr="00747B24">
        <w:rPr>
          <w:rFonts w:eastAsia="Times New Roman" w:cs="Times New Roman"/>
          <w:color w:val="000000"/>
          <w:u w:val="single"/>
        </w:rPr>
        <w:t>http://www.hdr.undp.org/sites/default/files/reports/255/hdr_1994_en_complete_nostats.pdf</w:t>
      </w:r>
    </w:p>
    <w:p w14:paraId="09BB40B1"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United Nations General Assembly (UNGA), </w:t>
      </w:r>
      <w:r w:rsidRPr="00747B24">
        <w:rPr>
          <w:rFonts w:eastAsia="Times New Roman" w:cs="Times New Roman"/>
          <w:i/>
          <w:iCs/>
          <w:color w:val="000000"/>
        </w:rPr>
        <w:t>Rome Statute of the International Criminal Court,</w:t>
      </w:r>
      <w:r w:rsidRPr="00747B24">
        <w:rPr>
          <w:rFonts w:eastAsia="Times New Roman" w:cs="Times New Roman"/>
          <w:color w:val="000000"/>
        </w:rPr>
        <w:t xml:space="preserve"> Rome, July 17, 1998</w:t>
      </w:r>
      <w:r w:rsidRPr="006B4725">
        <w:rPr>
          <w:rFonts w:eastAsia="Times New Roman" w:cs="Times New Roman"/>
          <w:color w:val="000000"/>
        </w:rPr>
        <w:t>, 2187 U.N.T.S. 90</w:t>
      </w:r>
      <w:r w:rsidRPr="00747B24">
        <w:rPr>
          <w:rFonts w:eastAsia="Times New Roman" w:cs="Times New Roman"/>
          <w:color w:val="000000"/>
        </w:rPr>
        <w:t xml:space="preserve">. </w:t>
      </w:r>
      <w:r w:rsidRPr="00747B24">
        <w:rPr>
          <w:rFonts w:eastAsia="Times New Roman" w:cs="Times New Roman"/>
          <w:color w:val="000000"/>
          <w:u w:val="single"/>
        </w:rPr>
        <w:t>http://www.refworld.org/docid/3ae6b3a84.html.</w:t>
      </w:r>
    </w:p>
    <w:p w14:paraId="6FAD8F5A" w14:textId="77777777" w:rsidR="00F072B0" w:rsidRPr="006B4725" w:rsidRDefault="00F072B0" w:rsidP="00F072B0">
      <w:pPr>
        <w:spacing w:after="240"/>
        <w:ind w:left="567" w:hanging="567"/>
        <w:rPr>
          <w:rFonts w:eastAsia="Times New Roman" w:cs="Times New Roman"/>
          <w:color w:val="000000"/>
        </w:rPr>
      </w:pPr>
      <w:r w:rsidRPr="006B4725">
        <w:rPr>
          <w:rFonts w:eastAsia="Times New Roman" w:cs="Times New Roman"/>
          <w:color w:val="000000"/>
        </w:rPr>
        <w:t>– – – .</w:t>
      </w:r>
      <w:r w:rsidRPr="00747B24">
        <w:rPr>
          <w:rFonts w:eastAsia="Times New Roman" w:cs="Times New Roman"/>
          <w:color w:val="000000"/>
        </w:rPr>
        <w:t xml:space="preserve"> </w:t>
      </w:r>
      <w:r w:rsidRPr="00747B24">
        <w:rPr>
          <w:rFonts w:eastAsia="Times New Roman" w:cs="Times New Roman"/>
          <w:i/>
          <w:iCs/>
          <w:color w:val="000000"/>
        </w:rPr>
        <w:t>Convention on the Prevention and Punishment of the Crime of Genocide</w:t>
      </w:r>
      <w:r w:rsidRPr="00747B24">
        <w:rPr>
          <w:rFonts w:eastAsia="Times New Roman" w:cs="Times New Roman"/>
          <w:color w:val="000000"/>
        </w:rPr>
        <w:t>, Paris, 9 December 1948</w:t>
      </w:r>
      <w:r w:rsidRPr="006B4725">
        <w:rPr>
          <w:rFonts w:eastAsia="Times New Roman" w:cs="Times New Roman"/>
          <w:color w:val="000000"/>
        </w:rPr>
        <w:t>, 78 U.N.T.S. 277</w:t>
      </w:r>
      <w:r w:rsidRPr="00747B24">
        <w:rPr>
          <w:rFonts w:eastAsia="Times New Roman" w:cs="Times New Roman"/>
          <w:color w:val="000000"/>
        </w:rPr>
        <w:t xml:space="preserve">. </w:t>
      </w:r>
      <w:r w:rsidRPr="00747B24">
        <w:rPr>
          <w:rFonts w:eastAsia="Times New Roman" w:cs="Times New Roman"/>
          <w:color w:val="000000"/>
          <w:u w:val="single"/>
        </w:rPr>
        <w:t>https://www.refworld.org/docid/3ae6b3ac0.html.</w:t>
      </w:r>
    </w:p>
    <w:p w14:paraId="706173B7"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United Nations Office on Drugs and Crime (UNODC)</w:t>
      </w:r>
      <w:r w:rsidRPr="006B4725">
        <w:rPr>
          <w:rFonts w:eastAsia="Times New Roman" w:cs="Times New Roman"/>
          <w:color w:val="000000"/>
        </w:rPr>
        <w:t>.</w:t>
      </w:r>
      <w:r w:rsidRPr="00747B24">
        <w:rPr>
          <w:rFonts w:eastAsia="Times New Roman" w:cs="Times New Roman"/>
          <w:color w:val="000000"/>
        </w:rPr>
        <w:t xml:space="preserve"> </w:t>
      </w:r>
      <w:r w:rsidRPr="006B4725">
        <w:rPr>
          <w:rFonts w:eastAsia="Times New Roman" w:cs="Times New Roman"/>
          <w:color w:val="000000"/>
        </w:rPr>
        <w:t>“</w:t>
      </w:r>
      <w:r w:rsidRPr="00747B24">
        <w:rPr>
          <w:rFonts w:eastAsia="Times New Roman" w:cs="Times New Roman"/>
          <w:color w:val="000000"/>
        </w:rPr>
        <w:t>Frequently Asked Questions on International Law Aspects of Countering Terrorism</w:t>
      </w:r>
      <w:r w:rsidRPr="006B4725">
        <w:rPr>
          <w:rFonts w:eastAsia="Times New Roman" w:cs="Times New Roman"/>
          <w:color w:val="000000"/>
        </w:rPr>
        <w:t>.”</w:t>
      </w:r>
      <w:r w:rsidRPr="00747B24">
        <w:rPr>
          <w:rFonts w:eastAsia="Times New Roman" w:cs="Times New Roman"/>
          <w:color w:val="000000"/>
        </w:rPr>
        <w:t xml:space="preserve"> 2009. </w:t>
      </w:r>
      <w:r w:rsidRPr="00747B24">
        <w:rPr>
          <w:rFonts w:eastAsia="Times New Roman" w:cs="Times New Roman"/>
          <w:color w:val="000000"/>
          <w:u w:val="single"/>
        </w:rPr>
        <w:t>http://www.unodc.org/documents/terrorism/Publications/FAQ/English.pdf.</w:t>
      </w:r>
    </w:p>
    <w:p w14:paraId="65A135C7" w14:textId="77777777" w:rsidR="00F072B0" w:rsidRPr="006B4725" w:rsidRDefault="00F072B0" w:rsidP="00F072B0">
      <w:pPr>
        <w:spacing w:after="240"/>
        <w:ind w:left="567" w:hanging="567"/>
        <w:rPr>
          <w:rFonts w:eastAsia="Times New Roman" w:cs="Times New Roman"/>
          <w:color w:val="000000"/>
        </w:rPr>
      </w:pPr>
      <w:r w:rsidRPr="00747B24">
        <w:rPr>
          <w:rFonts w:eastAsia="Times New Roman" w:cs="Times New Roman"/>
          <w:color w:val="000000"/>
        </w:rPr>
        <w:t>United Nations</w:t>
      </w:r>
      <w:r w:rsidRPr="006B4725">
        <w:rPr>
          <w:rFonts w:eastAsia="Times New Roman" w:cs="Times New Roman"/>
          <w:color w:val="000000"/>
        </w:rPr>
        <w:t xml:space="preserve"> (UN).</w:t>
      </w:r>
      <w:r w:rsidRPr="00747B24">
        <w:rPr>
          <w:rFonts w:eastAsia="Times New Roman" w:cs="Times New Roman"/>
          <w:i/>
          <w:iCs/>
          <w:color w:val="000000"/>
        </w:rPr>
        <w:t xml:space="preserve"> Charter of the United Nations</w:t>
      </w:r>
      <w:r w:rsidRPr="006B4725">
        <w:rPr>
          <w:rFonts w:eastAsia="Times New Roman" w:cs="Times New Roman"/>
          <w:color w:val="000000"/>
        </w:rPr>
        <w:t>.</w:t>
      </w:r>
      <w:r w:rsidRPr="00747B24">
        <w:rPr>
          <w:rFonts w:eastAsia="Times New Roman" w:cs="Times New Roman"/>
          <w:color w:val="000000"/>
        </w:rPr>
        <w:t xml:space="preserve"> New York, October 24, 1945, 1 U</w:t>
      </w:r>
      <w:r w:rsidRPr="006B4725">
        <w:rPr>
          <w:rFonts w:eastAsia="Times New Roman" w:cs="Times New Roman"/>
          <w:color w:val="000000"/>
        </w:rPr>
        <w:t>.</w:t>
      </w:r>
      <w:r w:rsidRPr="00747B24">
        <w:rPr>
          <w:rFonts w:eastAsia="Times New Roman" w:cs="Times New Roman"/>
          <w:color w:val="000000"/>
        </w:rPr>
        <w:t>N</w:t>
      </w:r>
      <w:r w:rsidRPr="006B4725">
        <w:rPr>
          <w:rFonts w:eastAsia="Times New Roman" w:cs="Times New Roman"/>
          <w:color w:val="000000"/>
        </w:rPr>
        <w:t>.</w:t>
      </w:r>
      <w:r w:rsidRPr="00747B24">
        <w:rPr>
          <w:rFonts w:eastAsia="Times New Roman" w:cs="Times New Roman"/>
          <w:color w:val="000000"/>
        </w:rPr>
        <w:t>T</w:t>
      </w:r>
      <w:r w:rsidRPr="006B4725">
        <w:rPr>
          <w:rFonts w:eastAsia="Times New Roman" w:cs="Times New Roman"/>
          <w:color w:val="000000"/>
        </w:rPr>
        <w:t>.</w:t>
      </w:r>
      <w:r w:rsidRPr="00747B24">
        <w:rPr>
          <w:rFonts w:eastAsia="Times New Roman" w:cs="Times New Roman"/>
          <w:color w:val="000000"/>
        </w:rPr>
        <w:t>S</w:t>
      </w:r>
      <w:r w:rsidRPr="006B4725">
        <w:rPr>
          <w:rFonts w:eastAsia="Times New Roman" w:cs="Times New Roman"/>
          <w:color w:val="000000"/>
        </w:rPr>
        <w:t>.</w:t>
      </w:r>
      <w:r w:rsidRPr="00747B24">
        <w:rPr>
          <w:rFonts w:eastAsia="Times New Roman" w:cs="Times New Roman"/>
          <w:color w:val="000000"/>
        </w:rPr>
        <w:t xml:space="preserve"> XVI. </w:t>
      </w:r>
      <w:r w:rsidRPr="00747B24">
        <w:rPr>
          <w:rFonts w:eastAsia="Times New Roman" w:cs="Times New Roman"/>
          <w:color w:val="000000"/>
          <w:u w:val="single"/>
        </w:rPr>
        <w:t>https://www.un.org/en/charter</w:t>
      </w:r>
      <w:r w:rsidRPr="00747B24">
        <w:rPr>
          <w:rFonts w:eastAsia="Times New Roman" w:cs="Times New Roman"/>
          <w:color w:val="000000"/>
          <w:u w:val="single"/>
        </w:rPr>
        <w:softHyphen/>
        <w:t>united</w:t>
      </w:r>
      <w:r w:rsidRPr="00747B24">
        <w:rPr>
          <w:rFonts w:eastAsia="Times New Roman" w:cs="Times New Roman"/>
          <w:color w:val="000000"/>
          <w:u w:val="single"/>
        </w:rPr>
        <w:softHyphen/>
        <w:t>nations/.</w:t>
      </w:r>
    </w:p>
    <w:p w14:paraId="2ED5C916" w14:textId="4EBD43A4" w:rsidR="00F072B0" w:rsidRPr="00342E63" w:rsidRDefault="00F072B0" w:rsidP="00342E63">
      <w:pPr>
        <w:spacing w:after="240"/>
        <w:ind w:left="567" w:hanging="567"/>
        <w:rPr>
          <w:rFonts w:eastAsia="Times New Roman" w:cs="Times New Roman"/>
        </w:rPr>
      </w:pPr>
      <w:r w:rsidRPr="00747B24">
        <w:rPr>
          <w:rFonts w:eastAsia="Times New Roman" w:cs="Times New Roman"/>
        </w:rPr>
        <w:t xml:space="preserve">World Value Survey (WVS). “WVS Database.” </w:t>
      </w:r>
      <w:r w:rsidRPr="00747B24">
        <w:rPr>
          <w:rFonts w:eastAsia="Times New Roman" w:cs="Times New Roman"/>
          <w:i/>
          <w:iCs/>
        </w:rPr>
        <w:t>www.worldvaluessurvey.org</w:t>
      </w:r>
      <w:r w:rsidRPr="00747B24">
        <w:rPr>
          <w:rFonts w:eastAsia="Times New Roman" w:cs="Times New Roman"/>
        </w:rPr>
        <w:t xml:space="preserve">, 2020. Retrieved from </w:t>
      </w:r>
      <w:r w:rsidRPr="00747B24">
        <w:rPr>
          <w:rFonts w:eastAsia="Times New Roman" w:cs="Times New Roman"/>
          <w:u w:val="single"/>
        </w:rPr>
        <w:t>https://www.worldvaluessurvey.org/WVSContents.jsp.</w:t>
      </w:r>
    </w:p>
    <w:p w14:paraId="5A9025BC" w14:textId="77777777" w:rsidR="00F072B0" w:rsidRDefault="00F072B0" w:rsidP="00787123">
      <w:pPr>
        <w:pStyle w:val="DissertationSection1"/>
      </w:pPr>
      <w:bookmarkStart w:id="93" w:name="_Toc175413172"/>
      <w:r w:rsidRPr="00A07836">
        <w:t>Secondary Sources</w:t>
      </w:r>
      <w:bookmarkEnd w:id="93"/>
    </w:p>
    <w:p w14:paraId="33DC4E8C" w14:textId="77777777" w:rsidR="00F072B0" w:rsidRPr="00A07836" w:rsidRDefault="00F072B0" w:rsidP="00342E63">
      <w:pPr>
        <w:rPr>
          <w:rFonts w:cs="Times New Roman"/>
          <w:b/>
          <w:bCs/>
        </w:rPr>
      </w:pPr>
    </w:p>
    <w:p w14:paraId="25BE2BF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“The Propaganda Multiplier: How Global News Agencies and Western Media Report on Geopolitics.” Translated by </w:t>
      </w:r>
      <w:proofErr w:type="spellStart"/>
      <w:r w:rsidRPr="00A07836">
        <w:rPr>
          <w:rFonts w:eastAsia="Times New Roman" w:cs="Times New Roman"/>
          <w:color w:val="000000"/>
        </w:rPr>
        <w:t>Terje</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Maloy</w:t>
      </w:r>
      <w:proofErr w:type="spellEnd"/>
      <w:r w:rsidRPr="00A07836">
        <w:rPr>
          <w:rFonts w:eastAsia="Times New Roman" w:cs="Times New Roman"/>
          <w:color w:val="000000"/>
        </w:rPr>
        <w:t>. Swiss Propaganda Research, 2016.</w:t>
      </w:r>
    </w:p>
    <w:p w14:paraId="0BA9C48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Abramson, Scott. “The Economic Origins of the Territorial State.” </w:t>
      </w:r>
      <w:r w:rsidRPr="00A07836">
        <w:rPr>
          <w:rFonts w:eastAsia="Times New Roman" w:cs="Times New Roman"/>
          <w:i/>
          <w:iCs/>
          <w:color w:val="000000"/>
        </w:rPr>
        <w:t>International Organization</w:t>
      </w:r>
      <w:r w:rsidRPr="00A07836">
        <w:rPr>
          <w:rFonts w:eastAsia="Times New Roman" w:cs="Times New Roman"/>
          <w:color w:val="000000"/>
        </w:rPr>
        <w:t xml:space="preserve"> 71, no. 1 (2017): 97-130.</w:t>
      </w:r>
    </w:p>
    <w:p w14:paraId="0AE44290"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lastRenderedPageBreak/>
        <w:t>Abulof</w:t>
      </w:r>
      <w:proofErr w:type="spellEnd"/>
      <w:r w:rsidRPr="00A07836">
        <w:rPr>
          <w:rFonts w:eastAsia="Times New Roman" w:cs="Times New Roman"/>
          <w:color w:val="000000"/>
        </w:rPr>
        <w:t xml:space="preserve">, Uriel. “‘Can’t Buy Me Legitimacy’: The Elusive Stability of Mideast Rentier Regimes.” </w:t>
      </w:r>
      <w:r w:rsidRPr="00A07836">
        <w:rPr>
          <w:rFonts w:eastAsia="Times New Roman" w:cs="Times New Roman"/>
          <w:i/>
          <w:iCs/>
          <w:color w:val="000000"/>
        </w:rPr>
        <w:t xml:space="preserve">Journal of International Relations and Development </w:t>
      </w:r>
      <w:r w:rsidRPr="00A07836">
        <w:rPr>
          <w:rFonts w:eastAsia="Times New Roman" w:cs="Times New Roman"/>
          <w:color w:val="000000"/>
        </w:rPr>
        <w:t>20 (2017): 55-79.</w:t>
      </w:r>
    </w:p>
    <w:p w14:paraId="71DA3C8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Adams, Nathan P. “Institutional Legitimacy.” </w:t>
      </w:r>
      <w:r w:rsidRPr="00A07836">
        <w:rPr>
          <w:rFonts w:eastAsia="Times New Roman" w:cs="Times New Roman"/>
          <w:i/>
          <w:iCs/>
          <w:color w:val="000000"/>
        </w:rPr>
        <w:t xml:space="preserve">Journal of Political Philosophy </w:t>
      </w:r>
      <w:r w:rsidRPr="00A07836">
        <w:rPr>
          <w:rFonts w:eastAsia="Times New Roman" w:cs="Times New Roman"/>
          <w:color w:val="000000"/>
        </w:rPr>
        <w:t>26, no. 1 (2018): 84-102.</w:t>
      </w:r>
    </w:p>
    <w:p w14:paraId="5C517D1B"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Adegbola</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Oluseyi</w:t>
      </w:r>
      <w:proofErr w:type="spellEnd"/>
      <w:r w:rsidRPr="00A07836">
        <w:rPr>
          <w:rFonts w:eastAsia="Times New Roman" w:cs="Times New Roman"/>
          <w:color w:val="000000"/>
        </w:rPr>
        <w:t xml:space="preserve">, Sherice Gearhart, and Janice Cho. “Reporting Bias in Coverage of Iran Protests by Global News Agencies.” </w:t>
      </w:r>
      <w:r w:rsidRPr="00A07836">
        <w:rPr>
          <w:rFonts w:eastAsia="Times New Roman" w:cs="Times New Roman"/>
          <w:i/>
          <w:iCs/>
          <w:color w:val="000000"/>
        </w:rPr>
        <w:t>The International Journal of Press/Politics</w:t>
      </w:r>
      <w:r w:rsidRPr="00A07836">
        <w:rPr>
          <w:rFonts w:eastAsia="Times New Roman" w:cs="Times New Roman"/>
          <w:color w:val="000000"/>
        </w:rPr>
        <w:t xml:space="preserve"> 27, no. 1 (2020):138-157.</w:t>
      </w:r>
    </w:p>
    <w:p w14:paraId="3D39622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Adler, Emanuel. “Seizing the Middle Ground: Constructivism in World Politics.” </w:t>
      </w:r>
      <w:r w:rsidRPr="00A07836">
        <w:rPr>
          <w:rFonts w:eastAsia="Times New Roman" w:cs="Times New Roman"/>
          <w:i/>
          <w:iCs/>
          <w:color w:val="000000"/>
        </w:rPr>
        <w:t>European Journal of International Relations</w:t>
      </w:r>
      <w:r w:rsidRPr="00A07836">
        <w:rPr>
          <w:rFonts w:eastAsia="Times New Roman" w:cs="Times New Roman"/>
          <w:color w:val="000000"/>
        </w:rPr>
        <w:t xml:space="preserve"> 3, no. 3 (2013): 319-363.</w:t>
      </w:r>
    </w:p>
    <w:p w14:paraId="5D76665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Alexander, Yonah. “Terrorism and the Media: Some Considerations.”</w:t>
      </w:r>
      <w:r w:rsidRPr="00A07836">
        <w:rPr>
          <w:rFonts w:eastAsia="Times New Roman" w:cs="Times New Roman"/>
          <w:i/>
          <w:iCs/>
          <w:color w:val="000000"/>
        </w:rPr>
        <w:t xml:space="preserve"> </w:t>
      </w:r>
      <w:r w:rsidRPr="00A07836">
        <w:rPr>
          <w:rFonts w:eastAsia="Times New Roman" w:cs="Times New Roman"/>
          <w:color w:val="000000"/>
        </w:rPr>
        <w:t xml:space="preserve">In </w:t>
      </w:r>
      <w:r w:rsidRPr="00A07836">
        <w:rPr>
          <w:rFonts w:eastAsia="Times New Roman" w:cs="Times New Roman"/>
          <w:i/>
          <w:iCs/>
          <w:color w:val="000000"/>
        </w:rPr>
        <w:t>Terrorism: Theory and Practice,</w:t>
      </w:r>
      <w:r w:rsidRPr="00A07836">
        <w:rPr>
          <w:rFonts w:eastAsia="Times New Roman" w:cs="Times New Roman"/>
          <w:color w:val="000000"/>
        </w:rPr>
        <w:t xml:space="preserve"> edited by Lewis M. Alexander, 159-174</w:t>
      </w:r>
      <w:r w:rsidRPr="00A07836">
        <w:rPr>
          <w:rFonts w:eastAsia="Times New Roman" w:cs="Times New Roman"/>
          <w:i/>
          <w:iCs/>
          <w:color w:val="000000"/>
        </w:rPr>
        <w:t>.</w:t>
      </w:r>
      <w:r w:rsidRPr="00A07836">
        <w:rPr>
          <w:rFonts w:eastAsia="Times New Roman" w:cs="Times New Roman"/>
          <w:color w:val="000000"/>
        </w:rPr>
        <w:t xml:space="preserve"> London: Routledge, 1979.</w:t>
      </w:r>
    </w:p>
    <w:p w14:paraId="224166C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“Terrorism, the Media and the Police.” </w:t>
      </w:r>
      <w:r w:rsidRPr="00A07836">
        <w:rPr>
          <w:rFonts w:eastAsia="Times New Roman" w:cs="Times New Roman"/>
          <w:i/>
          <w:iCs/>
          <w:color w:val="000000"/>
        </w:rPr>
        <w:t>Journal of International Affairs</w:t>
      </w:r>
      <w:r w:rsidRPr="00A07836">
        <w:rPr>
          <w:rFonts w:eastAsia="Times New Roman" w:cs="Times New Roman"/>
          <w:color w:val="000000"/>
        </w:rPr>
        <w:t xml:space="preserve"> 32, no. 1 (1978): 101-113. </w:t>
      </w:r>
    </w:p>
    <w:p w14:paraId="4210E99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Anderson, James. “The Shifting Stage of Politics: New Medieval and Postmodern Territorialities?” </w:t>
      </w:r>
      <w:r w:rsidRPr="00A07836">
        <w:rPr>
          <w:rFonts w:eastAsia="Times New Roman" w:cs="Times New Roman"/>
          <w:i/>
          <w:iCs/>
          <w:color w:val="000000"/>
        </w:rPr>
        <w:t>Environment and Planning D: Society and Space</w:t>
      </w:r>
      <w:r w:rsidRPr="00A07836">
        <w:rPr>
          <w:rFonts w:eastAsia="Times New Roman" w:cs="Times New Roman"/>
          <w:color w:val="000000"/>
        </w:rPr>
        <w:t>, no. 14 (2) (April 1996): 133-153.</w:t>
      </w:r>
    </w:p>
    <w:p w14:paraId="1DDD0A2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Archetti</w:t>
      </w:r>
      <w:proofErr w:type="spellEnd"/>
      <w:r w:rsidRPr="00A07836">
        <w:rPr>
          <w:rFonts w:eastAsia="Times New Roman" w:cs="Times New Roman"/>
          <w:color w:val="000000"/>
        </w:rPr>
        <w:t xml:space="preserve">, Cristina. “Terrorism, Communication and the Media.” In </w:t>
      </w:r>
      <w:r w:rsidRPr="00A07836">
        <w:rPr>
          <w:rFonts w:eastAsia="Times New Roman" w:cs="Times New Roman"/>
          <w:i/>
          <w:iCs/>
          <w:color w:val="000000"/>
        </w:rPr>
        <w:t xml:space="preserve">Terrorism and Political Violence, </w:t>
      </w:r>
      <w:r w:rsidRPr="00A07836">
        <w:rPr>
          <w:rFonts w:eastAsia="Times New Roman" w:cs="Times New Roman"/>
          <w:color w:val="000000"/>
        </w:rPr>
        <w:t xml:space="preserve">edited by Caroline Kennedy-Pipe, Gordon </w:t>
      </w:r>
      <w:proofErr w:type="spellStart"/>
      <w:r w:rsidRPr="00A07836">
        <w:rPr>
          <w:rFonts w:eastAsia="Times New Roman" w:cs="Times New Roman"/>
          <w:color w:val="000000"/>
        </w:rPr>
        <w:t>Clubb</w:t>
      </w:r>
      <w:proofErr w:type="spellEnd"/>
      <w:r w:rsidRPr="00A07836">
        <w:rPr>
          <w:rFonts w:eastAsia="Times New Roman" w:cs="Times New Roman"/>
          <w:color w:val="000000"/>
        </w:rPr>
        <w:t>, and Simon Mabon, 134-152. London: SAGE Publications Ltd., 2015.</w:t>
      </w:r>
    </w:p>
    <w:p w14:paraId="43DBA05C"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Ardèvol</w:t>
      </w:r>
      <w:proofErr w:type="spellEnd"/>
      <w:r w:rsidRPr="00A07836">
        <w:rPr>
          <w:rFonts w:eastAsia="Times New Roman" w:cs="Times New Roman"/>
          <w:color w:val="000000"/>
        </w:rPr>
        <w:t xml:space="preserve">-Abreu, Alberto, and </w:t>
      </w:r>
      <w:proofErr w:type="spellStart"/>
      <w:r w:rsidRPr="00A07836">
        <w:rPr>
          <w:rFonts w:eastAsia="Times New Roman" w:cs="Times New Roman"/>
          <w:color w:val="000000"/>
        </w:rPr>
        <w:t>Homero</w:t>
      </w:r>
      <w:proofErr w:type="spellEnd"/>
      <w:r w:rsidRPr="00A07836">
        <w:rPr>
          <w:rFonts w:eastAsia="Times New Roman" w:cs="Times New Roman"/>
          <w:color w:val="000000"/>
        </w:rPr>
        <w:t xml:space="preserve"> Gil de </w:t>
      </w:r>
      <w:proofErr w:type="spellStart"/>
      <w:r w:rsidRPr="00A07836">
        <w:rPr>
          <w:rFonts w:eastAsia="Times New Roman" w:cs="Times New Roman"/>
          <w:color w:val="000000"/>
        </w:rPr>
        <w:t>Zúñiga</w:t>
      </w:r>
      <w:proofErr w:type="spellEnd"/>
      <w:r w:rsidRPr="00A07836">
        <w:rPr>
          <w:rFonts w:eastAsia="Times New Roman" w:cs="Times New Roman"/>
          <w:color w:val="000000"/>
        </w:rPr>
        <w:t xml:space="preserve">, “Effects of Editorial Media Bias Perception and Media Trust on the Use of Traditional, Citizen, and Social Media News.” </w:t>
      </w:r>
      <w:r w:rsidRPr="00A07836">
        <w:rPr>
          <w:rFonts w:eastAsia="Times New Roman" w:cs="Times New Roman"/>
          <w:i/>
          <w:iCs/>
          <w:color w:val="000000"/>
        </w:rPr>
        <w:t>Journalism &amp; Mass Communication Quarterly</w:t>
      </w:r>
      <w:r w:rsidRPr="00A07836">
        <w:rPr>
          <w:rFonts w:eastAsia="Times New Roman" w:cs="Times New Roman"/>
          <w:color w:val="000000"/>
        </w:rPr>
        <w:t> 94, no. 3 (2016): 703-724.</w:t>
      </w:r>
    </w:p>
    <w:p w14:paraId="5BA3BE9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Ashley, Richard K. “Imposing International Purpose: Notes on a Problematic of Governance.” In </w:t>
      </w:r>
      <w:r w:rsidRPr="00A07836">
        <w:rPr>
          <w:rFonts w:eastAsia="Times New Roman" w:cs="Times New Roman"/>
          <w:i/>
          <w:iCs/>
          <w:color w:val="000000"/>
        </w:rPr>
        <w:t xml:space="preserve">Global Changes and Theoretical Challenges: Approaches to World Politics for the 1990s, </w:t>
      </w:r>
      <w:r w:rsidRPr="00A07836">
        <w:rPr>
          <w:rFonts w:eastAsia="Times New Roman" w:cs="Times New Roman"/>
          <w:color w:val="000000"/>
        </w:rPr>
        <w:t xml:space="preserve">edited by Ernst Otto </w:t>
      </w:r>
      <w:proofErr w:type="spellStart"/>
      <w:r w:rsidRPr="00A07836">
        <w:rPr>
          <w:rFonts w:eastAsia="Times New Roman" w:cs="Times New Roman"/>
          <w:color w:val="000000"/>
        </w:rPr>
        <w:t>Czempiel</w:t>
      </w:r>
      <w:proofErr w:type="spellEnd"/>
      <w:r w:rsidRPr="00A07836">
        <w:rPr>
          <w:rFonts w:eastAsia="Times New Roman" w:cs="Times New Roman"/>
          <w:color w:val="000000"/>
        </w:rPr>
        <w:t>, and James N. Rosenau, 251-290. Lexington: Lexington Books, 1989.</w:t>
      </w:r>
    </w:p>
    <w:p w14:paraId="33D47B0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“Untying the Sovereign State: A Double Reading of the Anarchy </w:t>
      </w:r>
      <w:proofErr w:type="spellStart"/>
      <w:r w:rsidRPr="00A07836">
        <w:rPr>
          <w:rFonts w:eastAsia="Times New Roman" w:cs="Times New Roman"/>
          <w:color w:val="000000"/>
        </w:rPr>
        <w:t>Problematique</w:t>
      </w:r>
      <w:proofErr w:type="spellEnd"/>
      <w:r w:rsidRPr="00A07836">
        <w:rPr>
          <w:rFonts w:eastAsia="Times New Roman" w:cs="Times New Roman"/>
          <w:color w:val="000000"/>
        </w:rPr>
        <w:t xml:space="preserve">.” </w:t>
      </w:r>
      <w:r w:rsidRPr="00A07836">
        <w:rPr>
          <w:rFonts w:eastAsia="Times New Roman" w:cs="Times New Roman"/>
          <w:i/>
          <w:iCs/>
          <w:color w:val="000000"/>
        </w:rPr>
        <w:t>Millenium</w:t>
      </w:r>
      <w:r w:rsidRPr="00A07836">
        <w:rPr>
          <w:rFonts w:eastAsia="Times New Roman" w:cs="Times New Roman"/>
          <w:color w:val="000000"/>
        </w:rPr>
        <w:t xml:space="preserve"> 17, no. 2 (1988): 227-262.</w:t>
      </w:r>
    </w:p>
    <w:p w14:paraId="7980AE4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“The Geopolitics of Geopolitical Space: Toward a Critical Social Theory of International Politics.” </w:t>
      </w:r>
      <w:r w:rsidRPr="00A07836">
        <w:rPr>
          <w:rFonts w:eastAsia="Times New Roman" w:cs="Times New Roman"/>
          <w:i/>
          <w:iCs/>
          <w:color w:val="000000"/>
        </w:rPr>
        <w:t>Alternatives</w:t>
      </w:r>
      <w:r w:rsidRPr="00A07836">
        <w:rPr>
          <w:rFonts w:eastAsia="Times New Roman" w:cs="Times New Roman"/>
          <w:color w:val="000000"/>
        </w:rPr>
        <w:t xml:space="preserve"> 12, no. 4 (1987): 403-434.</w:t>
      </w:r>
    </w:p>
    <w:p w14:paraId="58A9F75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Austin, J.L. </w:t>
      </w:r>
      <w:r w:rsidRPr="00A07836">
        <w:rPr>
          <w:rFonts w:eastAsia="Times New Roman" w:cs="Times New Roman"/>
          <w:i/>
          <w:iCs/>
          <w:color w:val="000000"/>
        </w:rPr>
        <w:t>How to Do Things with Words</w:t>
      </w:r>
      <w:r w:rsidRPr="00A07836">
        <w:rPr>
          <w:rFonts w:eastAsia="Times New Roman" w:cs="Times New Roman"/>
          <w:color w:val="000000"/>
        </w:rPr>
        <w:t>. Cambridge: Harvard University Press, 1962.</w:t>
      </w:r>
    </w:p>
    <w:p w14:paraId="0B8284AC"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Axtmann</w:t>
      </w:r>
      <w:proofErr w:type="spellEnd"/>
      <w:r w:rsidRPr="00A07836">
        <w:rPr>
          <w:rFonts w:eastAsia="Times New Roman" w:cs="Times New Roman"/>
          <w:color w:val="000000"/>
        </w:rPr>
        <w:t>, Roland. Liberal Democracy into the Twenty First Century: Globalization, Integration and the Nation-State. Manchester: Manchester University Press, 1996.</w:t>
      </w:r>
    </w:p>
    <w:p w14:paraId="2928799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Bachrach, Peter, and Morton S. </w:t>
      </w:r>
      <w:proofErr w:type="spellStart"/>
      <w:r w:rsidRPr="00A07836">
        <w:rPr>
          <w:rFonts w:eastAsia="Times New Roman" w:cs="Times New Roman"/>
          <w:color w:val="000000"/>
        </w:rPr>
        <w:t>Baratz</w:t>
      </w:r>
      <w:proofErr w:type="spellEnd"/>
      <w:r w:rsidRPr="00A07836">
        <w:rPr>
          <w:rFonts w:eastAsia="Times New Roman" w:cs="Times New Roman"/>
          <w:color w:val="000000"/>
        </w:rPr>
        <w:t xml:space="preserve">. “Two Faces of Power.” </w:t>
      </w:r>
      <w:r w:rsidRPr="00A07836">
        <w:rPr>
          <w:rFonts w:eastAsia="Times New Roman" w:cs="Times New Roman"/>
          <w:i/>
          <w:iCs/>
          <w:color w:val="000000"/>
        </w:rPr>
        <w:t>The American Political Science Review</w:t>
      </w:r>
      <w:r w:rsidRPr="00A07836">
        <w:rPr>
          <w:rFonts w:eastAsia="Times New Roman" w:cs="Times New Roman"/>
          <w:color w:val="000000"/>
        </w:rPr>
        <w:t xml:space="preserve"> 56, no. 4 (1962): 947-952.</w:t>
      </w:r>
    </w:p>
    <w:p w14:paraId="10CCD3FF"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Baker, Brent H., Tim Graham, and Steve Kaminsky. </w:t>
      </w:r>
      <w:r w:rsidRPr="00A07836">
        <w:rPr>
          <w:rFonts w:eastAsia="Times New Roman" w:cs="Times New Roman"/>
          <w:i/>
          <w:iCs/>
          <w:color w:val="000000"/>
        </w:rPr>
        <w:t>How to Identify, Expose and Correct Liberal Media Bias.</w:t>
      </w:r>
      <w:r w:rsidRPr="00A07836">
        <w:rPr>
          <w:rFonts w:eastAsia="Times New Roman" w:cs="Times New Roman"/>
          <w:color w:val="000000"/>
        </w:rPr>
        <w:t xml:space="preserve"> Alexandria: Media Research Center, 1994.</w:t>
      </w:r>
    </w:p>
    <w:p w14:paraId="1CED9E1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Bakunin, Mikhail. “Letters to a Frenchman on the Present Crisis”. In </w:t>
      </w:r>
      <w:r w:rsidRPr="00A07836">
        <w:rPr>
          <w:rFonts w:eastAsia="Times New Roman" w:cs="Times New Roman"/>
          <w:i/>
          <w:iCs/>
          <w:color w:val="000000"/>
        </w:rPr>
        <w:t>Bakunin on Anarchy,</w:t>
      </w:r>
      <w:r w:rsidRPr="00A07836">
        <w:rPr>
          <w:rFonts w:eastAsia="Times New Roman" w:cs="Times New Roman"/>
          <w:color w:val="000000"/>
        </w:rPr>
        <w:t xml:space="preserve"> edited and translated by Sam Dolgoff, 183-224. New York City: Vintage Books, 1971.</w:t>
      </w:r>
    </w:p>
    <w:p w14:paraId="62D620D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Baldwin, David A. “The Concept of Security.” </w:t>
      </w:r>
      <w:r w:rsidRPr="00A07836">
        <w:rPr>
          <w:rFonts w:eastAsia="Times New Roman" w:cs="Times New Roman"/>
          <w:i/>
          <w:iCs/>
          <w:color w:val="000000"/>
        </w:rPr>
        <w:t xml:space="preserve">Review of International Studies </w:t>
      </w:r>
      <w:r w:rsidRPr="00A07836">
        <w:rPr>
          <w:rFonts w:eastAsia="Times New Roman" w:cs="Times New Roman"/>
          <w:color w:val="000000"/>
        </w:rPr>
        <w:t>23, no.1 (1997): 5-26.</w:t>
      </w:r>
    </w:p>
    <w:p w14:paraId="4BB674B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Balzacq</w:t>
      </w:r>
      <w:proofErr w:type="spellEnd"/>
      <w:r w:rsidRPr="00A07836">
        <w:rPr>
          <w:rFonts w:eastAsia="Times New Roman" w:cs="Times New Roman"/>
          <w:color w:val="000000"/>
        </w:rPr>
        <w:t xml:space="preserve">, Thierry. </w:t>
      </w:r>
      <w:r w:rsidRPr="00A07836">
        <w:rPr>
          <w:rFonts w:eastAsia="Times New Roman" w:cs="Times New Roman"/>
          <w:i/>
          <w:iCs/>
          <w:color w:val="000000"/>
        </w:rPr>
        <w:t xml:space="preserve">Securitization Theory: How Security Problems Emerge and Dissolve. </w:t>
      </w:r>
      <w:r w:rsidRPr="00A07836">
        <w:rPr>
          <w:rFonts w:eastAsia="Times New Roman" w:cs="Times New Roman"/>
          <w:color w:val="000000"/>
        </w:rPr>
        <w:t>London: Routledge, 2011.</w:t>
      </w:r>
    </w:p>
    <w:p w14:paraId="31A8EC3F"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Bantman</w:t>
      </w:r>
      <w:proofErr w:type="spellEnd"/>
      <w:r w:rsidRPr="00A07836">
        <w:rPr>
          <w:rFonts w:eastAsia="Times New Roman" w:cs="Times New Roman"/>
          <w:color w:val="000000"/>
        </w:rPr>
        <w:t xml:space="preserve">, Constance. “The Era of Propaganda by the Deed.” In </w:t>
      </w:r>
      <w:r w:rsidRPr="00A07836">
        <w:rPr>
          <w:rFonts w:eastAsia="Times New Roman" w:cs="Times New Roman"/>
          <w:i/>
          <w:iCs/>
          <w:color w:val="000000"/>
        </w:rPr>
        <w:t>The Palgrave Handbook of Anarchism,</w:t>
      </w:r>
      <w:r w:rsidRPr="00A07836">
        <w:rPr>
          <w:rFonts w:eastAsia="Times New Roman" w:cs="Times New Roman"/>
          <w:color w:val="000000"/>
        </w:rPr>
        <w:t xml:space="preserve"> edited by Carl Levy, and Matthew S. Adams, 371-387. Cham: Palgrave Macmillan, 2019.</w:t>
      </w:r>
    </w:p>
    <w:p w14:paraId="387BFD3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Barker, Rodney S. </w:t>
      </w:r>
      <w:r w:rsidRPr="00A07836">
        <w:rPr>
          <w:rFonts w:eastAsia="Times New Roman" w:cs="Times New Roman"/>
          <w:i/>
          <w:iCs/>
          <w:color w:val="000000"/>
        </w:rPr>
        <w:t>Legitimating Identities: The Self-Presentation of Rulers and Subjects.</w:t>
      </w:r>
      <w:r w:rsidRPr="00A07836">
        <w:rPr>
          <w:rFonts w:eastAsia="Times New Roman" w:cs="Times New Roman"/>
          <w:color w:val="000000"/>
        </w:rPr>
        <w:t xml:space="preserve"> Cambridge: Cambridge University Press, 2001.</w:t>
      </w:r>
    </w:p>
    <w:p w14:paraId="07ADCFAC"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Barnhurst</w:t>
      </w:r>
      <w:proofErr w:type="spellEnd"/>
      <w:r w:rsidRPr="00A07836">
        <w:rPr>
          <w:rFonts w:eastAsia="Times New Roman" w:cs="Times New Roman"/>
          <w:color w:val="000000"/>
        </w:rPr>
        <w:t xml:space="preserve">, Kevin G. “The Literature of Terrorism.” In </w:t>
      </w:r>
      <w:r w:rsidRPr="00A07836">
        <w:rPr>
          <w:rFonts w:eastAsia="Times New Roman" w:cs="Times New Roman"/>
          <w:i/>
          <w:iCs/>
          <w:color w:val="000000"/>
        </w:rPr>
        <w:t xml:space="preserve">Media Coverage of Terrorism: Methods of Diffusion, </w:t>
      </w:r>
      <w:r w:rsidRPr="00A07836">
        <w:rPr>
          <w:rFonts w:eastAsia="Times New Roman" w:cs="Times New Roman"/>
          <w:color w:val="000000"/>
        </w:rPr>
        <w:t xml:space="preserve">edited by A. </w:t>
      </w:r>
      <w:proofErr w:type="spellStart"/>
      <w:r w:rsidRPr="00A07836">
        <w:rPr>
          <w:rFonts w:eastAsia="Times New Roman" w:cs="Times New Roman"/>
          <w:color w:val="000000"/>
        </w:rPr>
        <w:t>Odasuo</w:t>
      </w:r>
      <w:proofErr w:type="spellEnd"/>
      <w:r w:rsidRPr="00A07836">
        <w:rPr>
          <w:rFonts w:eastAsia="Times New Roman" w:cs="Times New Roman"/>
          <w:color w:val="000000"/>
        </w:rPr>
        <w:t xml:space="preserve"> Alali, and </w:t>
      </w:r>
      <w:proofErr w:type="spellStart"/>
      <w:r w:rsidRPr="00A07836">
        <w:rPr>
          <w:rFonts w:eastAsia="Times New Roman" w:cs="Times New Roman"/>
          <w:color w:val="000000"/>
        </w:rPr>
        <w:t>Kenoye</w:t>
      </w:r>
      <w:proofErr w:type="spellEnd"/>
      <w:r w:rsidRPr="00A07836">
        <w:rPr>
          <w:rFonts w:eastAsia="Times New Roman" w:cs="Times New Roman"/>
          <w:color w:val="000000"/>
        </w:rPr>
        <w:t xml:space="preserve"> Kelvin Eke, 112-137. Newbury Park: Sage Publications Inc., 1991.</w:t>
      </w:r>
    </w:p>
    <w:p w14:paraId="32049EC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Bean, Richard. “War and the Birth of the Nation State.” </w:t>
      </w:r>
      <w:r w:rsidRPr="00A07836">
        <w:rPr>
          <w:rFonts w:eastAsia="Times New Roman" w:cs="Times New Roman"/>
          <w:i/>
          <w:iCs/>
          <w:color w:val="000000"/>
        </w:rPr>
        <w:t xml:space="preserve">The Journal of Economic History </w:t>
      </w:r>
      <w:r w:rsidRPr="00A07836">
        <w:rPr>
          <w:rFonts w:eastAsia="Times New Roman" w:cs="Times New Roman"/>
          <w:color w:val="000000"/>
        </w:rPr>
        <w:t>33, no. 1 (1973): 203-221.</w:t>
      </w:r>
    </w:p>
    <w:p w14:paraId="764CE37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Beetham, David. “Political Legitimacy.” In </w:t>
      </w:r>
      <w:r w:rsidRPr="00A07836">
        <w:rPr>
          <w:rFonts w:eastAsia="Times New Roman" w:cs="Times New Roman"/>
          <w:i/>
          <w:iCs/>
          <w:color w:val="000000"/>
        </w:rPr>
        <w:t xml:space="preserve">The Wiley-Blackwell Companion to Political Sociology, </w:t>
      </w:r>
      <w:r w:rsidRPr="00A07836">
        <w:rPr>
          <w:rFonts w:eastAsia="Times New Roman" w:cs="Times New Roman"/>
          <w:color w:val="000000"/>
        </w:rPr>
        <w:t xml:space="preserve">edited by Edwin </w:t>
      </w:r>
      <w:proofErr w:type="spellStart"/>
      <w:r w:rsidRPr="00A07836">
        <w:rPr>
          <w:rFonts w:eastAsia="Times New Roman" w:cs="Times New Roman"/>
          <w:color w:val="000000"/>
        </w:rPr>
        <w:t>Amenta</w:t>
      </w:r>
      <w:proofErr w:type="spellEnd"/>
      <w:r w:rsidRPr="00A07836">
        <w:rPr>
          <w:rFonts w:eastAsia="Times New Roman" w:cs="Times New Roman"/>
          <w:color w:val="000000"/>
        </w:rPr>
        <w:t>, Kate Nash, and Alan Scott, 120-129. Oxford: Blackwell Publishing Ltd., 2012.</w:t>
      </w:r>
    </w:p>
    <w:p w14:paraId="7EBFCAAF"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“Max Weber and the Legitimacy of the Modern State.” </w:t>
      </w:r>
      <w:r w:rsidRPr="00A07836">
        <w:rPr>
          <w:rFonts w:eastAsia="Times New Roman" w:cs="Times New Roman"/>
          <w:i/>
          <w:iCs/>
          <w:color w:val="000000"/>
        </w:rPr>
        <w:t xml:space="preserve">Analyse and </w:t>
      </w:r>
      <w:proofErr w:type="spellStart"/>
      <w:r w:rsidRPr="00A07836">
        <w:rPr>
          <w:rFonts w:eastAsia="Times New Roman" w:cs="Times New Roman"/>
          <w:i/>
          <w:iCs/>
          <w:color w:val="000000"/>
        </w:rPr>
        <w:t>Kritik</w:t>
      </w:r>
      <w:proofErr w:type="spellEnd"/>
      <w:r w:rsidRPr="00A07836">
        <w:rPr>
          <w:rFonts w:eastAsia="Times New Roman" w:cs="Times New Roman"/>
          <w:color w:val="000000"/>
        </w:rPr>
        <w:t xml:space="preserve"> 13, no .1 (1991): 34-45.</w:t>
      </w:r>
    </w:p>
    <w:p w14:paraId="1ECF961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i/>
          <w:iCs/>
          <w:color w:val="000000"/>
        </w:rPr>
        <w:t>The Legitimation of Power.</w:t>
      </w:r>
      <w:r w:rsidRPr="00A07836">
        <w:rPr>
          <w:rFonts w:eastAsia="Times New Roman" w:cs="Times New Roman"/>
          <w:color w:val="000000"/>
        </w:rPr>
        <w:t xml:space="preserve"> </w:t>
      </w:r>
      <w:proofErr w:type="spellStart"/>
      <w:r w:rsidRPr="00A07836">
        <w:rPr>
          <w:rFonts w:eastAsia="Times New Roman" w:cs="Times New Roman"/>
          <w:color w:val="000000"/>
        </w:rPr>
        <w:t>Houndsmill</w:t>
      </w:r>
      <w:proofErr w:type="spellEnd"/>
      <w:r w:rsidRPr="00A07836">
        <w:rPr>
          <w:rFonts w:eastAsia="Times New Roman" w:cs="Times New Roman"/>
          <w:color w:val="000000"/>
        </w:rPr>
        <w:t>, Basingstoke, Hampshire: Macmillan Education, 1991.</w:t>
      </w:r>
    </w:p>
    <w:p w14:paraId="1CBD7CDF"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Behr, Edward. </w:t>
      </w:r>
      <w:r w:rsidRPr="00A07836">
        <w:rPr>
          <w:rFonts w:eastAsia="Times New Roman" w:cs="Times New Roman"/>
          <w:i/>
          <w:iCs/>
          <w:color w:val="000000"/>
        </w:rPr>
        <w:t>Anyone Here Been Raped and Speaks English?</w:t>
      </w:r>
      <w:r w:rsidRPr="00A07836">
        <w:rPr>
          <w:rFonts w:eastAsia="Times New Roman" w:cs="Times New Roman"/>
          <w:color w:val="000000"/>
        </w:rPr>
        <w:t xml:space="preserve"> London: New English Library Ltd., 1985.</w:t>
      </w:r>
    </w:p>
    <w:p w14:paraId="2C6C374D"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Benford</w:t>
      </w:r>
      <w:proofErr w:type="spellEnd"/>
      <w:r w:rsidRPr="00A07836">
        <w:rPr>
          <w:rFonts w:eastAsia="Times New Roman" w:cs="Times New Roman"/>
          <w:color w:val="000000"/>
        </w:rPr>
        <w:t xml:space="preserve">, Robert D. “Master frame.” In </w:t>
      </w:r>
      <w:r w:rsidRPr="00A07836">
        <w:rPr>
          <w:rFonts w:eastAsia="Times New Roman" w:cs="Times New Roman"/>
          <w:i/>
          <w:iCs/>
          <w:color w:val="000000"/>
        </w:rPr>
        <w:t xml:space="preserve">The Wiley-Blackwell Encyclopedia of Social and Political Movements, </w:t>
      </w:r>
      <w:r w:rsidRPr="00A07836">
        <w:rPr>
          <w:rFonts w:eastAsia="Times New Roman" w:cs="Times New Roman"/>
          <w:color w:val="000000"/>
        </w:rPr>
        <w:t xml:space="preserve">edited by David A. Snow, Donatella </w:t>
      </w:r>
      <w:proofErr w:type="spellStart"/>
      <w:r w:rsidRPr="00A07836">
        <w:rPr>
          <w:rFonts w:eastAsia="Times New Roman" w:cs="Times New Roman"/>
          <w:color w:val="000000"/>
        </w:rPr>
        <w:t>della</w:t>
      </w:r>
      <w:proofErr w:type="spellEnd"/>
      <w:r w:rsidRPr="00A07836">
        <w:rPr>
          <w:rFonts w:eastAsia="Times New Roman" w:cs="Times New Roman"/>
          <w:color w:val="000000"/>
        </w:rPr>
        <w:t xml:space="preserve"> Porta, Bert </w:t>
      </w:r>
      <w:proofErr w:type="spellStart"/>
      <w:r w:rsidRPr="00A07836">
        <w:rPr>
          <w:rFonts w:eastAsia="Times New Roman" w:cs="Times New Roman"/>
          <w:color w:val="000000"/>
        </w:rPr>
        <w:t>Klandermans</w:t>
      </w:r>
      <w:proofErr w:type="spellEnd"/>
      <w:r w:rsidRPr="00A07836">
        <w:rPr>
          <w:rFonts w:eastAsia="Times New Roman" w:cs="Times New Roman"/>
          <w:color w:val="000000"/>
        </w:rPr>
        <w:t>, and Doug McAdam</w:t>
      </w:r>
      <w:r w:rsidRPr="00A07836">
        <w:rPr>
          <w:rFonts w:eastAsia="Times New Roman" w:cs="Times New Roman"/>
          <w:i/>
          <w:iCs/>
          <w:color w:val="000000"/>
        </w:rPr>
        <w:t xml:space="preserve">. </w:t>
      </w:r>
      <w:r w:rsidRPr="00A07836">
        <w:rPr>
          <w:rFonts w:eastAsia="Times New Roman" w:cs="Times New Roman"/>
          <w:color w:val="000000"/>
        </w:rPr>
        <w:t>Hoboken: Blackwell Publishing Ltd., 2013.</w:t>
      </w:r>
    </w:p>
    <w:p w14:paraId="4E9258F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Bennet, W. Lance, and David L. </w:t>
      </w:r>
      <w:proofErr w:type="spellStart"/>
      <w:r w:rsidRPr="00A07836">
        <w:rPr>
          <w:rFonts w:eastAsia="Times New Roman" w:cs="Times New Roman"/>
          <w:color w:val="000000"/>
        </w:rPr>
        <w:t>Paletz</w:t>
      </w:r>
      <w:proofErr w:type="spellEnd"/>
      <w:r w:rsidRPr="00A07836">
        <w:rPr>
          <w:rFonts w:eastAsia="Times New Roman" w:cs="Times New Roman"/>
          <w:color w:val="000000"/>
        </w:rPr>
        <w:t xml:space="preserve">. </w:t>
      </w:r>
      <w:r w:rsidRPr="00A07836">
        <w:rPr>
          <w:rFonts w:eastAsia="Times New Roman" w:cs="Times New Roman"/>
          <w:i/>
          <w:iCs/>
          <w:color w:val="000000"/>
        </w:rPr>
        <w:t>Taken By Storm: The Media, Public Opinion, and US Foreign Policy in the Gulf War.</w:t>
      </w:r>
      <w:r w:rsidRPr="00A07836">
        <w:rPr>
          <w:rFonts w:eastAsia="Times New Roman" w:cs="Times New Roman"/>
          <w:color w:val="000000"/>
        </w:rPr>
        <w:t xml:space="preserve"> Chicago: University of Chicago Press, 1994.</w:t>
      </w:r>
    </w:p>
    <w:p w14:paraId="5F6BED5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Berger, J.M. “The Evolution of Terrorist Propaganda: The Paris Attack and Social Media.” </w:t>
      </w:r>
      <w:r w:rsidRPr="00A07836">
        <w:rPr>
          <w:rFonts w:eastAsia="Times New Roman" w:cs="Times New Roman"/>
          <w:i/>
          <w:iCs/>
          <w:color w:val="000000"/>
        </w:rPr>
        <w:t>Testimony Before the United States House of Representatives Committee on Foreign Affairs.</w:t>
      </w:r>
      <w:r w:rsidRPr="00A07836">
        <w:rPr>
          <w:rFonts w:eastAsia="Times New Roman" w:cs="Times New Roman"/>
          <w:color w:val="000000"/>
        </w:rPr>
        <w:t xml:space="preserve"> January 27, 2015. Retrieved March 22, 2023, from </w:t>
      </w:r>
      <w:r w:rsidRPr="00A07836">
        <w:rPr>
          <w:rFonts w:eastAsia="Times New Roman" w:cs="Times New Roman"/>
          <w:color w:val="000000"/>
          <w:u w:val="single"/>
        </w:rPr>
        <w:t>https://www.brookings.edu/testimonies/the-evolution-of-terrorist-propaganda-the-paris-attack-and-social-media/</w:t>
      </w:r>
      <w:r w:rsidRPr="00A07836">
        <w:rPr>
          <w:rFonts w:eastAsia="Times New Roman" w:cs="Times New Roman"/>
          <w:color w:val="000000"/>
        </w:rPr>
        <w:t>.</w:t>
      </w:r>
    </w:p>
    <w:p w14:paraId="4A7C4AB7"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lastRenderedPageBreak/>
        <w:t>Billington</w:t>
      </w:r>
      <w:proofErr w:type="spellEnd"/>
      <w:r w:rsidRPr="00A07836">
        <w:rPr>
          <w:rFonts w:eastAsia="Times New Roman" w:cs="Times New Roman"/>
          <w:color w:val="000000"/>
        </w:rPr>
        <w:t xml:space="preserve">, James H. </w:t>
      </w:r>
      <w:r w:rsidRPr="00A07836">
        <w:rPr>
          <w:rFonts w:eastAsia="Times New Roman" w:cs="Times New Roman"/>
          <w:i/>
          <w:iCs/>
          <w:color w:val="000000"/>
        </w:rPr>
        <w:t>Fire in the Minds of Men.</w:t>
      </w:r>
      <w:r w:rsidRPr="00A07836">
        <w:rPr>
          <w:rFonts w:eastAsia="Times New Roman" w:cs="Times New Roman"/>
          <w:color w:val="000000"/>
        </w:rPr>
        <w:t xml:space="preserve"> London: Temple Smith, 1980.</w:t>
      </w:r>
    </w:p>
    <w:p w14:paraId="1D4B25D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Blackbourn</w:t>
      </w:r>
      <w:proofErr w:type="spellEnd"/>
      <w:r w:rsidRPr="00A07836">
        <w:rPr>
          <w:rFonts w:eastAsia="Times New Roman" w:cs="Times New Roman"/>
          <w:color w:val="000000"/>
        </w:rPr>
        <w:t xml:space="preserve">, Jessie, Fergal F. Davis, and Natasha C. Taylor. “Academic Consensus and Legislative Definitions of Terrorism: Applying Schmid and Jongman.” </w:t>
      </w:r>
      <w:r w:rsidRPr="00A07836">
        <w:rPr>
          <w:rFonts w:eastAsia="Times New Roman" w:cs="Times New Roman"/>
          <w:i/>
          <w:iCs/>
          <w:color w:val="000000"/>
        </w:rPr>
        <w:t>Statute Law Review</w:t>
      </w:r>
      <w:r w:rsidRPr="00A07836">
        <w:rPr>
          <w:rFonts w:eastAsia="Times New Roman" w:cs="Times New Roman"/>
          <w:color w:val="000000"/>
        </w:rPr>
        <w:t xml:space="preserve"> 34, Issue 3 (October 1, 2013): 239–261.</w:t>
      </w:r>
    </w:p>
    <w:p w14:paraId="66F7C7B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Blondheim</w:t>
      </w:r>
      <w:proofErr w:type="spellEnd"/>
      <w:r w:rsidRPr="00A07836">
        <w:rPr>
          <w:rFonts w:eastAsia="Times New Roman" w:cs="Times New Roman"/>
          <w:color w:val="000000"/>
        </w:rPr>
        <w:t xml:space="preserve">, Menahem. </w:t>
      </w:r>
      <w:r w:rsidRPr="00A07836">
        <w:rPr>
          <w:rFonts w:eastAsia="Times New Roman" w:cs="Times New Roman"/>
          <w:i/>
          <w:iCs/>
          <w:color w:val="000000"/>
        </w:rPr>
        <w:t xml:space="preserve">News Over the Wires: The Telegraph and the Flow of Public Information in America, 1844-1897. </w:t>
      </w:r>
      <w:r w:rsidRPr="00A07836">
        <w:rPr>
          <w:rFonts w:eastAsia="Times New Roman" w:cs="Times New Roman"/>
          <w:color w:val="000000"/>
        </w:rPr>
        <w:t>Cambridge: Harvard University Press, 1994.</w:t>
      </w:r>
    </w:p>
    <w:p w14:paraId="4AB618D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Bolt, Neville. “Propaganda of the Deed and the Irish Republican Brotherhood.” </w:t>
      </w:r>
      <w:r w:rsidRPr="00A07836">
        <w:rPr>
          <w:rFonts w:eastAsia="Times New Roman" w:cs="Times New Roman"/>
          <w:i/>
          <w:iCs/>
          <w:color w:val="000000"/>
        </w:rPr>
        <w:t>The Royal United Services Institute (RUSI) Journal</w:t>
      </w:r>
      <w:r w:rsidRPr="00A07836">
        <w:rPr>
          <w:rFonts w:eastAsia="Times New Roman" w:cs="Times New Roman"/>
          <w:color w:val="000000"/>
        </w:rPr>
        <w:t xml:space="preserve"> 153, no. 1 (2008): 48-54.</w:t>
      </w:r>
    </w:p>
    <w:p w14:paraId="46E4BE83" w14:textId="77777777" w:rsidR="00F072B0" w:rsidRPr="00F71B53" w:rsidRDefault="00F072B0" w:rsidP="00F072B0">
      <w:pPr>
        <w:spacing w:after="240"/>
        <w:ind w:left="567" w:hanging="567"/>
        <w:rPr>
          <w:rFonts w:eastAsia="Times New Roman" w:cs="Times New Roman"/>
          <w:color w:val="000000"/>
          <w:szCs w:val="22"/>
        </w:rPr>
      </w:pPr>
      <w:r w:rsidRPr="00A07836">
        <w:rPr>
          <w:rFonts w:eastAsia="Times New Roman" w:cs="Times New Roman"/>
          <w:color w:val="000000"/>
        </w:rPr>
        <w:t xml:space="preserve">Boulay, Harvey. “Essentially Contested Concepts and the Teaching of Political Science.” </w:t>
      </w:r>
      <w:r w:rsidRPr="00F71B53">
        <w:rPr>
          <w:rFonts w:eastAsia="Times New Roman" w:cs="Times New Roman"/>
          <w:i/>
          <w:iCs/>
          <w:color w:val="000000"/>
          <w:szCs w:val="22"/>
        </w:rPr>
        <w:t>Teaching Political Science</w:t>
      </w:r>
      <w:r w:rsidRPr="00F71B53">
        <w:rPr>
          <w:rFonts w:eastAsia="Times New Roman" w:cs="Times New Roman"/>
          <w:color w:val="000000"/>
          <w:szCs w:val="22"/>
        </w:rPr>
        <w:t xml:space="preserve"> 4, no. 4 (1977): 423-433.</w:t>
      </w:r>
    </w:p>
    <w:p w14:paraId="4B749244" w14:textId="22F47E13" w:rsidR="00F71B53" w:rsidRPr="00F71B53" w:rsidRDefault="00F71B53" w:rsidP="00F072B0">
      <w:pPr>
        <w:spacing w:after="240"/>
        <w:ind w:left="567" w:hanging="567"/>
        <w:rPr>
          <w:rFonts w:eastAsia="Times New Roman" w:cs="Times New Roman"/>
          <w:color w:val="000000"/>
          <w:szCs w:val="22"/>
        </w:rPr>
      </w:pPr>
      <w:r w:rsidRPr="00F71B53">
        <w:rPr>
          <w:rFonts w:cs="Times New Roman"/>
          <w:szCs w:val="22"/>
        </w:rPr>
        <w:t xml:space="preserve">Boulden, Jane, and Thomas G. Weiss, eds. </w:t>
      </w:r>
      <w:r w:rsidRPr="00F71B53">
        <w:rPr>
          <w:rFonts w:cs="Times New Roman"/>
          <w:i/>
          <w:iCs/>
          <w:szCs w:val="22"/>
        </w:rPr>
        <w:t>Terrorism and the UN: Before and After September 11.</w:t>
      </w:r>
      <w:r w:rsidRPr="00F71B53">
        <w:rPr>
          <w:rFonts w:cs="Times New Roman"/>
          <w:szCs w:val="22"/>
        </w:rPr>
        <w:t xml:space="preserve"> (Indianapolis, IN: Indiana University Press, 2004).</w:t>
      </w:r>
    </w:p>
    <w:p w14:paraId="506D7477" w14:textId="51F8A8E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Bourdieu, Pierre, and </w:t>
      </w:r>
      <w:proofErr w:type="spellStart"/>
      <w:r w:rsidRPr="00A07836">
        <w:rPr>
          <w:rFonts w:eastAsia="Times New Roman" w:cs="Times New Roman"/>
          <w:color w:val="000000"/>
        </w:rPr>
        <w:t>Loïc</w:t>
      </w:r>
      <w:proofErr w:type="spellEnd"/>
      <w:r w:rsidRPr="00A07836">
        <w:rPr>
          <w:rFonts w:eastAsia="Times New Roman" w:cs="Times New Roman"/>
          <w:color w:val="000000"/>
        </w:rPr>
        <w:t xml:space="preserve"> Wacquant. “Symbolic Violence.” In </w:t>
      </w:r>
      <w:r w:rsidRPr="00A07836">
        <w:rPr>
          <w:rFonts w:eastAsia="Times New Roman" w:cs="Times New Roman"/>
          <w:i/>
          <w:iCs/>
          <w:color w:val="000000"/>
        </w:rPr>
        <w:t>Violence in War and Peace: An Anthology,</w:t>
      </w:r>
      <w:r w:rsidRPr="00A07836">
        <w:rPr>
          <w:rFonts w:eastAsia="Times New Roman" w:cs="Times New Roman"/>
          <w:color w:val="000000"/>
        </w:rPr>
        <w:t xml:space="preserve"> edited by Nancy Scheper-Hughes, and Philippe </w:t>
      </w:r>
      <w:proofErr w:type="spellStart"/>
      <w:r w:rsidRPr="00A07836">
        <w:rPr>
          <w:rFonts w:eastAsia="Times New Roman" w:cs="Times New Roman"/>
          <w:color w:val="000000"/>
        </w:rPr>
        <w:t>Bourgois</w:t>
      </w:r>
      <w:proofErr w:type="spellEnd"/>
      <w:r w:rsidRPr="00A07836">
        <w:rPr>
          <w:rFonts w:eastAsia="Times New Roman" w:cs="Times New Roman"/>
          <w:color w:val="000000"/>
        </w:rPr>
        <w:t>, 272-274. Oxford: Blackwell, 2004.</w:t>
      </w:r>
    </w:p>
    <w:p w14:paraId="1219E10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Braun, Guido. “Les </w:t>
      </w:r>
      <w:proofErr w:type="spellStart"/>
      <w:r w:rsidRPr="00A07836">
        <w:rPr>
          <w:rFonts w:eastAsia="Times New Roman" w:cs="Times New Roman"/>
          <w:color w:val="000000"/>
        </w:rPr>
        <w:t>traductions</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françaises</w:t>
      </w:r>
      <w:proofErr w:type="spellEnd"/>
      <w:r w:rsidRPr="00A07836">
        <w:rPr>
          <w:rFonts w:eastAsia="Times New Roman" w:cs="Times New Roman"/>
          <w:color w:val="000000"/>
        </w:rPr>
        <w:t xml:space="preserve"> des </w:t>
      </w:r>
      <w:proofErr w:type="spellStart"/>
      <w:r w:rsidRPr="00A07836">
        <w:rPr>
          <w:rFonts w:eastAsia="Times New Roman" w:cs="Times New Roman"/>
          <w:color w:val="000000"/>
        </w:rPr>
        <w:t>traités</w:t>
      </w:r>
      <w:proofErr w:type="spellEnd"/>
      <w:r w:rsidRPr="00A07836">
        <w:rPr>
          <w:rFonts w:eastAsia="Times New Roman" w:cs="Times New Roman"/>
          <w:color w:val="000000"/>
        </w:rPr>
        <w:t xml:space="preserve"> de </w:t>
      </w:r>
      <w:proofErr w:type="spellStart"/>
      <w:r w:rsidRPr="00A07836">
        <w:rPr>
          <w:rFonts w:eastAsia="Times New Roman" w:cs="Times New Roman"/>
          <w:color w:val="000000"/>
        </w:rPr>
        <w:t>Westphalie</w:t>
      </w:r>
      <w:proofErr w:type="spellEnd"/>
      <w:r w:rsidRPr="00A07836">
        <w:rPr>
          <w:rFonts w:eastAsia="Times New Roman" w:cs="Times New Roman"/>
          <w:color w:val="000000"/>
        </w:rPr>
        <w:t xml:space="preserve"> de 1648 à la fin de </w:t>
      </w:r>
      <w:proofErr w:type="spellStart"/>
      <w:r w:rsidRPr="00A07836">
        <w:rPr>
          <w:rFonts w:eastAsia="Times New Roman" w:cs="Times New Roman"/>
          <w:color w:val="000000"/>
        </w:rPr>
        <w:t>l’Ancien</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Régime</w:t>
      </w:r>
      <w:proofErr w:type="spellEnd"/>
      <w:r w:rsidRPr="00A07836">
        <w:rPr>
          <w:rFonts w:eastAsia="Times New Roman" w:cs="Times New Roman"/>
          <w:color w:val="000000"/>
        </w:rPr>
        <w:t xml:space="preserve">.” </w:t>
      </w:r>
      <w:proofErr w:type="spellStart"/>
      <w:r w:rsidRPr="00A07836">
        <w:rPr>
          <w:rFonts w:eastAsia="Times New Roman" w:cs="Times New Roman"/>
          <w:i/>
          <w:iCs/>
          <w:color w:val="000000"/>
        </w:rPr>
        <w:t>XVIIe</w:t>
      </w:r>
      <w:proofErr w:type="spellEnd"/>
      <w:r w:rsidRPr="00A07836">
        <w:rPr>
          <w:rFonts w:eastAsia="Times New Roman" w:cs="Times New Roman"/>
          <w:i/>
          <w:iCs/>
          <w:color w:val="000000"/>
        </w:rPr>
        <w:t xml:space="preserve"> Siècle,</w:t>
      </w:r>
      <w:r w:rsidRPr="00A07836">
        <w:rPr>
          <w:rFonts w:eastAsia="Times New Roman" w:cs="Times New Roman"/>
          <w:color w:val="000000"/>
        </w:rPr>
        <w:t xml:space="preserve"> cxc (1995): 111-113.</w:t>
      </w:r>
    </w:p>
    <w:p w14:paraId="05D9D32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Brown, Chris. </w:t>
      </w:r>
      <w:r w:rsidRPr="00A07836">
        <w:rPr>
          <w:rFonts w:eastAsia="Times New Roman" w:cs="Times New Roman"/>
          <w:i/>
          <w:iCs/>
          <w:color w:val="000000"/>
        </w:rPr>
        <w:t>Understanding International Relations.</w:t>
      </w:r>
      <w:r w:rsidRPr="00A07836">
        <w:rPr>
          <w:rFonts w:eastAsia="Times New Roman" w:cs="Times New Roman"/>
          <w:color w:val="000000"/>
        </w:rPr>
        <w:t xml:space="preserve"> 2nd ed. New York City: Palgrave, 2001.</w:t>
      </w:r>
    </w:p>
    <w:p w14:paraId="10867FA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Bull, Hedley. </w:t>
      </w:r>
      <w:r w:rsidRPr="00A07836">
        <w:rPr>
          <w:rFonts w:eastAsia="Times New Roman" w:cs="Times New Roman"/>
          <w:i/>
          <w:iCs/>
          <w:color w:val="000000"/>
        </w:rPr>
        <w:t>The Anarchical Society</w:t>
      </w:r>
      <w:r w:rsidRPr="00A07836">
        <w:rPr>
          <w:rFonts w:eastAsia="Times New Roman" w:cs="Times New Roman"/>
          <w:color w:val="000000"/>
        </w:rPr>
        <w:t>. New York City: Columbia University Press, 1977.</w:t>
      </w:r>
    </w:p>
    <w:p w14:paraId="12DCB0A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Burchill, Scott, and Andrew Linklater, eds. </w:t>
      </w:r>
      <w:r w:rsidRPr="00A07836">
        <w:rPr>
          <w:rFonts w:eastAsia="Times New Roman" w:cs="Times New Roman"/>
          <w:i/>
          <w:iCs/>
          <w:color w:val="000000"/>
        </w:rPr>
        <w:t xml:space="preserve">Theories of International Relations. </w:t>
      </w:r>
      <w:r w:rsidRPr="00A07836">
        <w:rPr>
          <w:rFonts w:eastAsia="Times New Roman" w:cs="Times New Roman"/>
          <w:color w:val="000000"/>
        </w:rPr>
        <w:t xml:space="preserve">5th ed. </w:t>
      </w:r>
      <w:proofErr w:type="spellStart"/>
      <w:r w:rsidRPr="00A07836">
        <w:rPr>
          <w:rFonts w:eastAsia="Times New Roman" w:cs="Times New Roman"/>
          <w:color w:val="000000"/>
        </w:rPr>
        <w:t>Houndmills</w:t>
      </w:r>
      <w:proofErr w:type="spellEnd"/>
      <w:r w:rsidRPr="00A07836">
        <w:rPr>
          <w:rFonts w:eastAsia="Times New Roman" w:cs="Times New Roman"/>
          <w:color w:val="000000"/>
        </w:rPr>
        <w:t>, Basingstoke, Hampshire: Palgrave Macmillan, 2013.</w:t>
      </w:r>
    </w:p>
    <w:p w14:paraId="3772590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Buzan, Barry, Ole </w:t>
      </w:r>
      <w:proofErr w:type="spellStart"/>
      <w:r w:rsidRPr="00A07836">
        <w:rPr>
          <w:rFonts w:eastAsia="Times New Roman" w:cs="Times New Roman"/>
          <w:color w:val="000000"/>
        </w:rPr>
        <w:t>Waever</w:t>
      </w:r>
      <w:proofErr w:type="spellEnd"/>
      <w:r w:rsidRPr="00A07836">
        <w:rPr>
          <w:rFonts w:eastAsia="Times New Roman" w:cs="Times New Roman"/>
          <w:color w:val="000000"/>
        </w:rPr>
        <w:t xml:space="preserve">, and Jaap de Wilde. </w:t>
      </w:r>
      <w:r w:rsidRPr="00A07836">
        <w:rPr>
          <w:rFonts w:eastAsia="Times New Roman" w:cs="Times New Roman"/>
          <w:i/>
          <w:iCs/>
          <w:color w:val="000000"/>
        </w:rPr>
        <w:t>Security: A New Framework for Analysis.</w:t>
      </w:r>
      <w:r w:rsidRPr="00A07836">
        <w:rPr>
          <w:rFonts w:eastAsia="Times New Roman" w:cs="Times New Roman"/>
          <w:color w:val="000000"/>
        </w:rPr>
        <w:t xml:space="preserve"> Boulder: Lynne </w:t>
      </w:r>
      <w:proofErr w:type="spellStart"/>
      <w:r w:rsidRPr="00A07836">
        <w:rPr>
          <w:rFonts w:eastAsia="Times New Roman" w:cs="Times New Roman"/>
          <w:color w:val="000000"/>
        </w:rPr>
        <w:t>Rienner</w:t>
      </w:r>
      <w:proofErr w:type="spellEnd"/>
      <w:r w:rsidRPr="00A07836">
        <w:rPr>
          <w:rFonts w:eastAsia="Times New Roman" w:cs="Times New Roman"/>
          <w:color w:val="000000"/>
        </w:rPr>
        <w:t xml:space="preserve"> Publishers, 1998.</w:t>
      </w:r>
    </w:p>
    <w:p w14:paraId="38CE314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Buzan, Barry. </w:t>
      </w:r>
      <w:r w:rsidRPr="00A07836">
        <w:rPr>
          <w:rFonts w:eastAsia="Times New Roman" w:cs="Times New Roman"/>
          <w:i/>
          <w:iCs/>
          <w:color w:val="000000"/>
        </w:rPr>
        <w:t>From International Society to World Society? English School Theory and the Social Structure of Globalization.</w:t>
      </w:r>
      <w:r w:rsidRPr="00A07836">
        <w:rPr>
          <w:rFonts w:eastAsia="Times New Roman" w:cs="Times New Roman"/>
          <w:color w:val="000000"/>
        </w:rPr>
        <w:t xml:space="preserve"> Cambridge: Cambridge University Press, 2004.</w:t>
      </w:r>
    </w:p>
    <w:p w14:paraId="5944E1B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i/>
          <w:iCs/>
          <w:color w:val="000000"/>
        </w:rPr>
        <w:t xml:space="preserve">People, States and Fear: An Agenda for International Security Studies in the Post Cold War Era. </w:t>
      </w:r>
      <w:r w:rsidRPr="00A07836">
        <w:rPr>
          <w:rFonts w:eastAsia="Times New Roman" w:cs="Times New Roman"/>
          <w:color w:val="000000"/>
        </w:rPr>
        <w:t>London: Harvester Wheatsheaf, 1991.</w:t>
      </w:r>
    </w:p>
    <w:p w14:paraId="4294AF9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Byman</w:t>
      </w:r>
      <w:proofErr w:type="spellEnd"/>
      <w:r w:rsidRPr="00A07836">
        <w:rPr>
          <w:rFonts w:eastAsia="Times New Roman" w:cs="Times New Roman"/>
          <w:color w:val="000000"/>
        </w:rPr>
        <w:t xml:space="preserve">, Daniel. “Understanding, and Misunderstanding, State Sponsorship of Terrorism.” </w:t>
      </w:r>
      <w:r w:rsidRPr="00A07836">
        <w:rPr>
          <w:rFonts w:eastAsia="Times New Roman" w:cs="Times New Roman"/>
          <w:i/>
          <w:iCs/>
          <w:color w:val="000000"/>
        </w:rPr>
        <w:t>Studies in Conflict and Terrorism</w:t>
      </w:r>
      <w:r w:rsidRPr="00A07836">
        <w:rPr>
          <w:rFonts w:eastAsia="Times New Roman" w:cs="Times New Roman"/>
          <w:color w:val="000000"/>
        </w:rPr>
        <w:t xml:space="preserve"> (2020): 1-19.</w:t>
      </w:r>
    </w:p>
    <w:p w14:paraId="5D20A92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Byrnes, Andrew. “Apocalyptic Visions and the Law: The Legacy of September 11.” Professional Address at the ANU Law School for the Faculty’s ‘Inaugural and Valedictory Lecture Series. (May 30, 2002). </w:t>
      </w:r>
    </w:p>
    <w:p w14:paraId="4905A4E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Cahm</w:t>
      </w:r>
      <w:proofErr w:type="spellEnd"/>
      <w:r w:rsidRPr="00A07836">
        <w:rPr>
          <w:rFonts w:eastAsia="Times New Roman" w:cs="Times New Roman"/>
          <w:color w:val="000000"/>
        </w:rPr>
        <w:t xml:space="preserve">, Caroline. </w:t>
      </w:r>
      <w:r w:rsidRPr="00A07836">
        <w:rPr>
          <w:rFonts w:eastAsia="Times New Roman" w:cs="Times New Roman"/>
          <w:i/>
          <w:iCs/>
          <w:color w:val="000000"/>
        </w:rPr>
        <w:t xml:space="preserve">Kropotkin and the Rise of Revolutionary Socialism, 1872-1886. </w:t>
      </w:r>
      <w:r w:rsidRPr="00A07836">
        <w:rPr>
          <w:rFonts w:eastAsia="Times New Roman" w:cs="Times New Roman"/>
          <w:color w:val="000000"/>
        </w:rPr>
        <w:t>Cambridge: Cambridge University Press, 1989.</w:t>
      </w:r>
    </w:p>
    <w:p w14:paraId="78939E5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Cameron, Deborah. </w:t>
      </w:r>
      <w:r w:rsidRPr="00A07836">
        <w:rPr>
          <w:rFonts w:eastAsia="Times New Roman" w:cs="Times New Roman"/>
          <w:i/>
          <w:iCs/>
          <w:color w:val="000000"/>
        </w:rPr>
        <w:t>Verbal Hygiene</w:t>
      </w:r>
      <w:r w:rsidRPr="00A07836">
        <w:rPr>
          <w:rFonts w:eastAsia="Times New Roman" w:cs="Times New Roman"/>
          <w:color w:val="000000"/>
        </w:rPr>
        <w:t xml:space="preserve">. London: Routledge, 1996. </w:t>
      </w:r>
    </w:p>
    <w:p w14:paraId="522F1FF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Campion, Kristy Kate. “Under the Shadows of Swords: Propaganda of the Deed in the History of Terrorism.” Ph.D. diss., James Cook University, 2015.</w:t>
      </w:r>
    </w:p>
    <w:p w14:paraId="74EA19F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Carlson, Andrew. </w:t>
      </w:r>
      <w:r w:rsidRPr="00A07836">
        <w:rPr>
          <w:rFonts w:eastAsia="Times New Roman" w:cs="Times New Roman"/>
          <w:i/>
          <w:iCs/>
          <w:color w:val="000000"/>
        </w:rPr>
        <w:t xml:space="preserve">Anarchism in Germany, 1: The Early Movement. </w:t>
      </w:r>
      <w:r w:rsidRPr="00A07836">
        <w:rPr>
          <w:rFonts w:eastAsia="Times New Roman" w:cs="Times New Roman"/>
          <w:color w:val="000000"/>
        </w:rPr>
        <w:t>Metuchen: Scarecrow Press, 1972.</w:t>
      </w:r>
    </w:p>
    <w:p w14:paraId="53F35E1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Carr, Matt. “Cloaks, Daggers and Dynamite.” </w:t>
      </w:r>
      <w:r w:rsidRPr="00A07836">
        <w:rPr>
          <w:rFonts w:eastAsia="Times New Roman" w:cs="Times New Roman"/>
          <w:i/>
          <w:iCs/>
          <w:color w:val="000000"/>
        </w:rPr>
        <w:t>History Today</w:t>
      </w:r>
      <w:r w:rsidRPr="00A07836">
        <w:rPr>
          <w:rFonts w:eastAsia="Times New Roman" w:cs="Times New Roman"/>
          <w:color w:val="000000"/>
        </w:rPr>
        <w:t xml:space="preserve"> 57, no. 12 (2007): 29-31. </w:t>
      </w:r>
    </w:p>
    <w:p w14:paraId="3A6D834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Carvalho, </w:t>
      </w:r>
      <w:proofErr w:type="spellStart"/>
      <w:r w:rsidRPr="00A07836">
        <w:rPr>
          <w:rFonts w:eastAsia="Times New Roman" w:cs="Times New Roman"/>
          <w:color w:val="000000"/>
        </w:rPr>
        <w:t>Anabela</w:t>
      </w:r>
      <w:proofErr w:type="spellEnd"/>
      <w:r w:rsidRPr="00A07836">
        <w:rPr>
          <w:rFonts w:eastAsia="Times New Roman" w:cs="Times New Roman"/>
          <w:color w:val="000000"/>
        </w:rPr>
        <w:t xml:space="preserve">, and Jacquelin Burgess. “Cultural Circuits of Climate Change in UK Broadsheet Newspapers, 1985-2003.” </w:t>
      </w:r>
      <w:r w:rsidRPr="00A07836">
        <w:rPr>
          <w:rFonts w:eastAsia="Times New Roman" w:cs="Times New Roman"/>
          <w:i/>
          <w:iCs/>
          <w:color w:val="000000"/>
        </w:rPr>
        <w:t>Risk Analysis</w:t>
      </w:r>
      <w:r w:rsidRPr="00A07836">
        <w:rPr>
          <w:rFonts w:eastAsia="Times New Roman" w:cs="Times New Roman"/>
          <w:color w:val="000000"/>
        </w:rPr>
        <w:t xml:space="preserve"> 25, no. 6 (2005): 1457-1469.</w:t>
      </w:r>
    </w:p>
    <w:p w14:paraId="16521C5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Casebeer</w:t>
      </w:r>
      <w:proofErr w:type="spellEnd"/>
      <w:r w:rsidRPr="00A07836">
        <w:rPr>
          <w:rFonts w:eastAsia="Times New Roman" w:cs="Times New Roman"/>
          <w:color w:val="000000"/>
        </w:rPr>
        <w:t xml:space="preserve">, William, and Maj. Troy Thomas. “Deterring Violent Non-State Actors in the New Millennium.” </w:t>
      </w:r>
      <w:r w:rsidRPr="00A07836">
        <w:rPr>
          <w:rFonts w:eastAsia="Times New Roman" w:cs="Times New Roman"/>
          <w:i/>
          <w:iCs/>
          <w:color w:val="000000"/>
        </w:rPr>
        <w:t>Strategic Insight</w:t>
      </w:r>
      <w:r w:rsidRPr="00A07836">
        <w:rPr>
          <w:rFonts w:eastAsia="Times New Roman" w:cs="Times New Roman"/>
          <w:color w:val="000000"/>
        </w:rPr>
        <w:t xml:space="preserve"> 1, no. 10 (December 2002).</w:t>
      </w:r>
    </w:p>
    <w:p w14:paraId="67166F3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Chaliand, Gerard, and Arnaud Blin, eds. </w:t>
      </w:r>
      <w:r w:rsidRPr="00A07836">
        <w:rPr>
          <w:rFonts w:eastAsia="Times New Roman" w:cs="Times New Roman"/>
          <w:i/>
          <w:iCs/>
          <w:color w:val="000000"/>
        </w:rPr>
        <w:t xml:space="preserve">The History of Terrorism: From Antiquity to Al Qaeda. </w:t>
      </w:r>
      <w:r w:rsidRPr="00A07836">
        <w:rPr>
          <w:rFonts w:eastAsia="Times New Roman" w:cs="Times New Roman"/>
          <w:color w:val="000000"/>
        </w:rPr>
        <w:t>Berkely: University of California Press, 2007.</w:t>
      </w:r>
    </w:p>
    <w:p w14:paraId="62B4F4CE"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Choi, </w:t>
      </w:r>
      <w:proofErr w:type="spellStart"/>
      <w:r w:rsidRPr="00A07836">
        <w:rPr>
          <w:rFonts w:eastAsia="Times New Roman" w:cs="Times New Roman"/>
          <w:color w:val="000000"/>
        </w:rPr>
        <w:t>Eunsol</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Chenhao</w:t>
      </w:r>
      <w:proofErr w:type="spellEnd"/>
      <w:r w:rsidRPr="00A07836">
        <w:rPr>
          <w:rFonts w:eastAsia="Times New Roman" w:cs="Times New Roman"/>
          <w:color w:val="000000"/>
        </w:rPr>
        <w:t xml:space="preserve"> Tan, Lillian Lee, Cristian </w:t>
      </w:r>
      <w:proofErr w:type="spellStart"/>
      <w:r w:rsidRPr="00A07836">
        <w:rPr>
          <w:rFonts w:eastAsia="Times New Roman" w:cs="Times New Roman"/>
          <w:color w:val="000000"/>
        </w:rPr>
        <w:t>Danescu</w:t>
      </w:r>
      <w:proofErr w:type="spellEnd"/>
      <w:r w:rsidRPr="00A07836">
        <w:rPr>
          <w:rFonts w:eastAsia="Times New Roman" w:cs="Times New Roman"/>
          <w:color w:val="000000"/>
        </w:rPr>
        <w:t>-Niculescu-</w:t>
      </w:r>
      <w:proofErr w:type="spellStart"/>
      <w:r w:rsidRPr="00A07836">
        <w:rPr>
          <w:rFonts w:eastAsia="Times New Roman" w:cs="Times New Roman"/>
          <w:color w:val="000000"/>
        </w:rPr>
        <w:t>Mizil</w:t>
      </w:r>
      <w:proofErr w:type="spellEnd"/>
      <w:r w:rsidRPr="00A07836">
        <w:rPr>
          <w:rFonts w:eastAsia="Times New Roman" w:cs="Times New Roman"/>
          <w:color w:val="000000"/>
        </w:rPr>
        <w:t xml:space="preserve">, and Jennifer </w:t>
      </w:r>
      <w:proofErr w:type="spellStart"/>
      <w:r w:rsidRPr="00A07836">
        <w:rPr>
          <w:rFonts w:eastAsia="Times New Roman" w:cs="Times New Roman"/>
          <w:color w:val="000000"/>
        </w:rPr>
        <w:t>Spindel</w:t>
      </w:r>
      <w:proofErr w:type="spellEnd"/>
      <w:r w:rsidRPr="00A07836">
        <w:rPr>
          <w:rFonts w:eastAsia="Times New Roman" w:cs="Times New Roman"/>
          <w:color w:val="000000"/>
        </w:rPr>
        <w:t xml:space="preserve">. “Hedge Detection as a Lens on Framing in the GMO Debates: A Position Paper.” </w:t>
      </w:r>
      <w:r w:rsidRPr="00A07836">
        <w:rPr>
          <w:rFonts w:eastAsia="Times New Roman" w:cs="Times New Roman"/>
          <w:i/>
          <w:iCs/>
          <w:color w:val="000000"/>
        </w:rPr>
        <w:t>Proceedings of the Workshop on Extra-Propositional Aspects of Meaning in Computational Linguistics</w:t>
      </w:r>
      <w:r w:rsidRPr="00A07836">
        <w:rPr>
          <w:rFonts w:eastAsia="Times New Roman" w:cs="Times New Roman"/>
          <w:color w:val="000000"/>
        </w:rPr>
        <w:t xml:space="preserve"> (2012): 70-79.</w:t>
      </w:r>
    </w:p>
    <w:p w14:paraId="532077A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Clark, Ian. </w:t>
      </w:r>
      <w:r w:rsidRPr="00A07836">
        <w:rPr>
          <w:rFonts w:eastAsia="Times New Roman" w:cs="Times New Roman"/>
          <w:i/>
          <w:iCs/>
          <w:color w:val="000000"/>
        </w:rPr>
        <w:t xml:space="preserve">Legitimacy in International Society. </w:t>
      </w:r>
      <w:r w:rsidRPr="00A07836">
        <w:rPr>
          <w:rFonts w:eastAsia="Times New Roman" w:cs="Times New Roman"/>
          <w:color w:val="000000"/>
        </w:rPr>
        <w:t xml:space="preserve">Oxford: Oxford University Press, 2007. </w:t>
      </w:r>
    </w:p>
    <w:p w14:paraId="1F9AFBF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Clutterbuck, Richard. </w:t>
      </w:r>
      <w:r w:rsidRPr="00A07836">
        <w:rPr>
          <w:rFonts w:eastAsia="Times New Roman" w:cs="Times New Roman"/>
          <w:i/>
          <w:iCs/>
          <w:color w:val="000000"/>
        </w:rPr>
        <w:t xml:space="preserve">The Media and Political Violence. </w:t>
      </w:r>
      <w:r w:rsidRPr="00A07836">
        <w:rPr>
          <w:rFonts w:eastAsia="Times New Roman" w:cs="Times New Roman"/>
          <w:color w:val="000000"/>
        </w:rPr>
        <w:t>London: Macmillan, 1981.</w:t>
      </w:r>
    </w:p>
    <w:p w14:paraId="17C0F25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Coady</w:t>
      </w:r>
      <w:proofErr w:type="spellEnd"/>
      <w:r w:rsidRPr="00A07836">
        <w:rPr>
          <w:rFonts w:eastAsia="Times New Roman" w:cs="Times New Roman"/>
          <w:color w:val="000000"/>
        </w:rPr>
        <w:t xml:space="preserve">, C.A.J. “Reid on Testimony.” In </w:t>
      </w:r>
      <w:r w:rsidRPr="00A07836">
        <w:rPr>
          <w:rFonts w:eastAsia="Times New Roman" w:cs="Times New Roman"/>
          <w:i/>
          <w:iCs/>
          <w:color w:val="000000"/>
        </w:rPr>
        <w:t>The Philosophy of Thomas Reid</w:t>
      </w:r>
      <w:r w:rsidRPr="00A07836">
        <w:rPr>
          <w:rFonts w:eastAsia="Times New Roman" w:cs="Times New Roman"/>
          <w:color w:val="000000"/>
        </w:rPr>
        <w:t>, edited by Melvin Dalgarno, and Eric Matthews, 225-246. Dordrecht: Kluwer Academic Publishers, 1989.</w:t>
      </w:r>
    </w:p>
    <w:p w14:paraId="601DFBF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Cohen-</w:t>
      </w:r>
      <w:proofErr w:type="spellStart"/>
      <w:r w:rsidRPr="00A07836">
        <w:rPr>
          <w:rFonts w:eastAsia="Times New Roman" w:cs="Times New Roman"/>
          <w:color w:val="000000"/>
        </w:rPr>
        <w:t>Almagor</w:t>
      </w:r>
      <w:proofErr w:type="spellEnd"/>
      <w:r w:rsidRPr="00A07836">
        <w:rPr>
          <w:rFonts w:eastAsia="Times New Roman" w:cs="Times New Roman"/>
          <w:color w:val="000000"/>
        </w:rPr>
        <w:t xml:space="preserve">, Raphael. “Media Coverage of Terror: Troubling Episodes and Suggested Guidelines.” </w:t>
      </w:r>
      <w:r w:rsidRPr="00A07836">
        <w:rPr>
          <w:rFonts w:eastAsia="Times New Roman" w:cs="Times New Roman"/>
          <w:i/>
          <w:iCs/>
          <w:color w:val="000000"/>
        </w:rPr>
        <w:t>Canadian Journal of Communication</w:t>
      </w:r>
      <w:r w:rsidRPr="00A07836">
        <w:rPr>
          <w:rFonts w:eastAsia="Times New Roman" w:cs="Times New Roman"/>
          <w:color w:val="000000"/>
        </w:rPr>
        <w:t xml:space="preserve"> 30 (2005): 383-409.</w:t>
      </w:r>
    </w:p>
    <w:p w14:paraId="79586FC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Collier, David. “The Comparative Method.” In </w:t>
      </w:r>
      <w:r w:rsidRPr="00A07836">
        <w:rPr>
          <w:rFonts w:eastAsia="Times New Roman" w:cs="Times New Roman"/>
          <w:i/>
          <w:iCs/>
          <w:color w:val="000000"/>
        </w:rPr>
        <w:t xml:space="preserve">Political Science: The State of the Discipline II, </w:t>
      </w:r>
      <w:r w:rsidRPr="00A07836">
        <w:rPr>
          <w:rFonts w:eastAsia="Times New Roman" w:cs="Times New Roman"/>
          <w:color w:val="000000"/>
        </w:rPr>
        <w:t xml:space="preserve">edited by Ada W. </w:t>
      </w:r>
      <w:proofErr w:type="spellStart"/>
      <w:r w:rsidRPr="00A07836">
        <w:rPr>
          <w:rFonts w:eastAsia="Times New Roman" w:cs="Times New Roman"/>
          <w:color w:val="000000"/>
        </w:rPr>
        <w:t>Finifter</w:t>
      </w:r>
      <w:proofErr w:type="spellEnd"/>
      <w:r w:rsidRPr="00A07836">
        <w:rPr>
          <w:rFonts w:eastAsia="Times New Roman" w:cs="Times New Roman"/>
          <w:color w:val="000000"/>
        </w:rPr>
        <w:t>, 105-119. Washington, D.C.: American Political Science Association, 1993.</w:t>
      </w:r>
    </w:p>
    <w:p w14:paraId="50C4E37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Colonna </w:t>
      </w:r>
      <w:proofErr w:type="spellStart"/>
      <w:r w:rsidRPr="00A07836">
        <w:rPr>
          <w:rFonts w:eastAsia="Times New Roman" w:cs="Times New Roman"/>
          <w:color w:val="000000"/>
        </w:rPr>
        <w:t>Dahlman</w:t>
      </w:r>
      <w:proofErr w:type="spellEnd"/>
      <w:r w:rsidRPr="00A07836">
        <w:rPr>
          <w:rFonts w:eastAsia="Times New Roman" w:cs="Times New Roman"/>
          <w:color w:val="000000"/>
        </w:rPr>
        <w:t xml:space="preserve">, Roberta, and Joost van de </w:t>
      </w:r>
      <w:proofErr w:type="spellStart"/>
      <w:r w:rsidRPr="00A07836">
        <w:rPr>
          <w:rFonts w:eastAsia="Times New Roman" w:cs="Times New Roman"/>
          <w:color w:val="000000"/>
        </w:rPr>
        <w:t>Weijer</w:t>
      </w:r>
      <w:proofErr w:type="spellEnd"/>
      <w:r w:rsidRPr="00A07836">
        <w:rPr>
          <w:rFonts w:eastAsia="Times New Roman" w:cs="Times New Roman"/>
          <w:color w:val="000000"/>
        </w:rPr>
        <w:t xml:space="preserve">. “Cognitive Factive Verbs Across Languages.” </w:t>
      </w:r>
      <w:r w:rsidRPr="00A07836">
        <w:rPr>
          <w:rFonts w:eastAsia="Times New Roman" w:cs="Times New Roman"/>
          <w:i/>
          <w:iCs/>
          <w:color w:val="000000"/>
        </w:rPr>
        <w:t xml:space="preserve">Language Sciences </w:t>
      </w:r>
      <w:r w:rsidRPr="00A07836">
        <w:rPr>
          <w:rFonts w:eastAsia="Times New Roman" w:cs="Times New Roman"/>
          <w:color w:val="000000"/>
        </w:rPr>
        <w:t>90, no. 4 (2022): 101458.</w:t>
      </w:r>
    </w:p>
    <w:p w14:paraId="2C57DCE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Colson, Dan. “Propaganda and the Deed: Anarchism, Violence, and the Representational Impulse.” </w:t>
      </w:r>
      <w:r w:rsidRPr="00A07836">
        <w:rPr>
          <w:rFonts w:eastAsia="Times New Roman" w:cs="Times New Roman"/>
          <w:i/>
          <w:iCs/>
          <w:color w:val="000000"/>
        </w:rPr>
        <w:t xml:space="preserve">American </w:t>
      </w:r>
      <w:r w:rsidRPr="00A07836">
        <w:rPr>
          <w:rFonts w:eastAsia="Times New Roman" w:cs="Times New Roman"/>
          <w:color w:val="000000"/>
        </w:rPr>
        <w:t>Studies 55, no. 4 (2017): 163-186.</w:t>
      </w:r>
    </w:p>
    <w:p w14:paraId="41C216A8" w14:textId="77777777" w:rsidR="00F072B0" w:rsidRPr="00A07836" w:rsidRDefault="00F072B0" w:rsidP="00F072B0">
      <w:pPr>
        <w:spacing w:after="240"/>
        <w:ind w:left="567" w:hanging="567"/>
        <w:rPr>
          <w:rFonts w:eastAsia="Times New Roman" w:cs="Times New Roman"/>
          <w:color w:val="000000"/>
          <w:u w:val="single"/>
        </w:rPr>
      </w:pPr>
      <w:r w:rsidRPr="00A07836">
        <w:rPr>
          <w:rFonts w:eastAsia="Times New Roman" w:cs="Times New Roman"/>
          <w:color w:val="000000"/>
        </w:rPr>
        <w:t>Crenshaw, Martha. “The American Debate over ‘New’ vs. ‘Old’ Terrorism.” Presentation at the Annual Meeting of the American Political Science Association (APSA), Chicago, Illinois (2007): 1-34.</w:t>
      </w:r>
    </w:p>
    <w:p w14:paraId="4DEC003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Croxton</w:t>
      </w:r>
      <w:proofErr w:type="spellEnd"/>
      <w:r w:rsidRPr="00A07836">
        <w:rPr>
          <w:rFonts w:eastAsia="Times New Roman" w:cs="Times New Roman"/>
          <w:color w:val="000000"/>
        </w:rPr>
        <w:t xml:space="preserve">, Derek. “The Peace of Westphalia of 1648 and the Origins of Sovereignty.” </w:t>
      </w:r>
      <w:r w:rsidRPr="00A07836">
        <w:rPr>
          <w:rFonts w:eastAsia="Times New Roman" w:cs="Times New Roman"/>
          <w:i/>
          <w:iCs/>
          <w:color w:val="000000"/>
        </w:rPr>
        <w:t xml:space="preserve">The International History Review </w:t>
      </w:r>
      <w:r w:rsidRPr="00A07836">
        <w:rPr>
          <w:rFonts w:eastAsia="Times New Roman" w:cs="Times New Roman"/>
          <w:color w:val="000000"/>
        </w:rPr>
        <w:t xml:space="preserve">21, no. 3 (1999): 569-592. </w:t>
      </w:r>
    </w:p>
    <w:p w14:paraId="71D178B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Cruise O’Brien, Conor. </w:t>
      </w:r>
      <w:r w:rsidRPr="00A07836">
        <w:rPr>
          <w:rFonts w:eastAsia="Times New Roman" w:cs="Times New Roman"/>
          <w:i/>
          <w:iCs/>
          <w:color w:val="000000"/>
        </w:rPr>
        <w:t xml:space="preserve">Herod: Reflections on Political Violence. </w:t>
      </w:r>
      <w:r w:rsidRPr="00A07836">
        <w:rPr>
          <w:rFonts w:eastAsia="Times New Roman" w:cs="Times New Roman"/>
          <w:color w:val="000000"/>
        </w:rPr>
        <w:t>London: Hutchison, 1978.</w:t>
      </w:r>
    </w:p>
    <w:p w14:paraId="0C105DBF"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Crystal, David. </w:t>
      </w:r>
      <w:r w:rsidRPr="00A07836">
        <w:rPr>
          <w:rFonts w:eastAsia="Times New Roman" w:cs="Times New Roman"/>
          <w:i/>
          <w:iCs/>
          <w:color w:val="000000"/>
        </w:rPr>
        <w:t>A Dictionary of Language and Linguistics</w:t>
      </w:r>
      <w:r w:rsidRPr="00A07836">
        <w:rPr>
          <w:rFonts w:eastAsia="Times New Roman" w:cs="Times New Roman"/>
          <w:color w:val="000000"/>
        </w:rPr>
        <w:t>. New York City: Basil Blackwell Ltd., 1985.</w:t>
      </w:r>
    </w:p>
    <w:p w14:paraId="6AE91F75"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D’Alessio</w:t>
      </w:r>
      <w:proofErr w:type="spellEnd"/>
      <w:r w:rsidRPr="00A07836">
        <w:rPr>
          <w:rFonts w:eastAsia="Times New Roman" w:cs="Times New Roman"/>
          <w:color w:val="000000"/>
        </w:rPr>
        <w:t xml:space="preserve">, Dave, and Mike Allen. “Media Bias in Presidential Elections: A Meta-Analysis.” </w:t>
      </w:r>
      <w:r w:rsidRPr="00A07836">
        <w:rPr>
          <w:rFonts w:eastAsia="Times New Roman" w:cs="Times New Roman"/>
          <w:i/>
          <w:iCs/>
          <w:color w:val="000000"/>
        </w:rPr>
        <w:t>Journal of Communication</w:t>
      </w:r>
      <w:r w:rsidRPr="00A07836">
        <w:rPr>
          <w:rFonts w:eastAsia="Times New Roman" w:cs="Times New Roman"/>
          <w:color w:val="000000"/>
        </w:rPr>
        <w:t xml:space="preserve"> 50, vol. 4 (2000): 133-156.</w:t>
      </w:r>
    </w:p>
    <w:p w14:paraId="0C68B8C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Davies, Nick. </w:t>
      </w:r>
      <w:r w:rsidRPr="00A07836">
        <w:rPr>
          <w:rFonts w:eastAsia="Times New Roman" w:cs="Times New Roman"/>
          <w:i/>
          <w:iCs/>
          <w:color w:val="000000"/>
        </w:rPr>
        <w:t>Flat Earth News.</w:t>
      </w:r>
      <w:r w:rsidRPr="00A07836">
        <w:rPr>
          <w:rFonts w:eastAsia="Times New Roman" w:cs="Times New Roman"/>
          <w:color w:val="000000"/>
        </w:rPr>
        <w:t xml:space="preserve"> London: Chatto and </w:t>
      </w:r>
      <w:proofErr w:type="spellStart"/>
      <w:r w:rsidRPr="00A07836">
        <w:rPr>
          <w:rFonts w:eastAsia="Times New Roman" w:cs="Times New Roman"/>
          <w:color w:val="000000"/>
        </w:rPr>
        <w:t>Windus</w:t>
      </w:r>
      <w:proofErr w:type="spellEnd"/>
      <w:r w:rsidRPr="00A07836">
        <w:rPr>
          <w:rFonts w:eastAsia="Times New Roman" w:cs="Times New Roman"/>
          <w:color w:val="000000"/>
        </w:rPr>
        <w:t>, 2008.</w:t>
      </w:r>
    </w:p>
    <w:p w14:paraId="2884714C"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Dehbashi</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Fahimeh</w:t>
      </w:r>
      <w:proofErr w:type="spellEnd"/>
      <w:r w:rsidRPr="00A07836">
        <w:rPr>
          <w:rFonts w:eastAsia="Times New Roman" w:cs="Times New Roman"/>
          <w:color w:val="000000"/>
        </w:rPr>
        <w:t>. “The Phenomenology of Terrorism: The Conditional Counterviolence as a Relational Phenomenon.” Advance. Preprint.</w:t>
      </w:r>
    </w:p>
    <w:p w14:paraId="7BFB386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Derrida, Jacques. </w:t>
      </w:r>
      <w:r w:rsidRPr="00A07836">
        <w:rPr>
          <w:rFonts w:eastAsia="Times New Roman" w:cs="Times New Roman"/>
          <w:i/>
          <w:iCs/>
          <w:color w:val="000000"/>
        </w:rPr>
        <w:t>Of Grammatology</w:t>
      </w:r>
      <w:r w:rsidRPr="00A07836">
        <w:rPr>
          <w:rFonts w:eastAsia="Times New Roman" w:cs="Times New Roman"/>
          <w:color w:val="000000"/>
        </w:rPr>
        <w:t>. Paris: Les Éditions de Minuit, 1976.</w:t>
      </w:r>
    </w:p>
    <w:p w14:paraId="6FAF2E9D"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Devetak</w:t>
      </w:r>
      <w:proofErr w:type="spellEnd"/>
      <w:r w:rsidRPr="00A07836">
        <w:rPr>
          <w:rFonts w:eastAsia="Times New Roman" w:cs="Times New Roman"/>
          <w:color w:val="000000"/>
        </w:rPr>
        <w:t xml:space="preserve">, Richard. “Postmodernism.” In </w:t>
      </w:r>
      <w:r w:rsidRPr="00A07836">
        <w:rPr>
          <w:rFonts w:eastAsia="Times New Roman" w:cs="Times New Roman"/>
          <w:i/>
          <w:iCs/>
          <w:color w:val="000000"/>
        </w:rPr>
        <w:t xml:space="preserve">Theories of International Relations. </w:t>
      </w:r>
      <w:r w:rsidRPr="00A07836">
        <w:rPr>
          <w:rFonts w:eastAsia="Times New Roman" w:cs="Times New Roman"/>
          <w:color w:val="000000"/>
        </w:rPr>
        <w:t xml:space="preserve">3rd ed., edited by Scott Burchill, Andrew Linklater, Richard </w:t>
      </w:r>
      <w:proofErr w:type="spellStart"/>
      <w:r w:rsidRPr="00A07836">
        <w:rPr>
          <w:rFonts w:eastAsia="Times New Roman" w:cs="Times New Roman"/>
          <w:color w:val="000000"/>
        </w:rPr>
        <w:t>Devetak</w:t>
      </w:r>
      <w:proofErr w:type="spellEnd"/>
      <w:r w:rsidRPr="00A07836">
        <w:rPr>
          <w:rFonts w:eastAsia="Times New Roman" w:cs="Times New Roman"/>
          <w:color w:val="000000"/>
        </w:rPr>
        <w:t>, Jack Donnelly, Matthew Paterson, Christian Reus-Smit, and Jacqui True, 164-187. New York City: Palgrave Macmillan, 2005.</w:t>
      </w:r>
    </w:p>
    <w:p w14:paraId="2E9C3898" w14:textId="77777777" w:rsidR="00F072B0" w:rsidRPr="00B31568" w:rsidRDefault="00F072B0" w:rsidP="00F072B0">
      <w:pPr>
        <w:spacing w:after="240"/>
        <w:ind w:left="567" w:hanging="567"/>
        <w:rPr>
          <w:rFonts w:eastAsia="Times New Roman" w:cs="Times New Roman"/>
          <w:color w:val="000000"/>
          <w:szCs w:val="22"/>
        </w:rPr>
      </w:pPr>
      <w:r w:rsidRPr="00B31568">
        <w:rPr>
          <w:rFonts w:eastAsia="Times New Roman" w:cs="Times New Roman"/>
          <w:color w:val="000000"/>
          <w:szCs w:val="22"/>
        </w:rPr>
        <w:t xml:space="preserve">Dickman, Fritz. </w:t>
      </w:r>
      <w:r w:rsidRPr="00B31568">
        <w:rPr>
          <w:rFonts w:eastAsia="Times New Roman" w:cs="Times New Roman"/>
          <w:i/>
          <w:iCs/>
          <w:color w:val="000000"/>
          <w:szCs w:val="22"/>
        </w:rPr>
        <w:t xml:space="preserve">Der </w:t>
      </w:r>
      <w:proofErr w:type="spellStart"/>
      <w:r w:rsidRPr="00B31568">
        <w:rPr>
          <w:rFonts w:eastAsia="Times New Roman" w:cs="Times New Roman"/>
          <w:i/>
          <w:iCs/>
          <w:color w:val="000000"/>
          <w:szCs w:val="22"/>
        </w:rPr>
        <w:t>Westfälische</w:t>
      </w:r>
      <w:proofErr w:type="spellEnd"/>
      <w:r w:rsidRPr="00B31568">
        <w:rPr>
          <w:rFonts w:eastAsia="Times New Roman" w:cs="Times New Roman"/>
          <w:i/>
          <w:iCs/>
          <w:color w:val="000000"/>
          <w:szCs w:val="22"/>
        </w:rPr>
        <w:t xml:space="preserve"> Frieden. </w:t>
      </w:r>
      <w:r w:rsidRPr="00B31568">
        <w:rPr>
          <w:rFonts w:eastAsia="Times New Roman" w:cs="Times New Roman"/>
          <w:color w:val="000000"/>
          <w:szCs w:val="22"/>
        </w:rPr>
        <w:t>Münster: </w:t>
      </w:r>
      <w:proofErr w:type="spellStart"/>
      <w:r w:rsidRPr="00B31568">
        <w:rPr>
          <w:rFonts w:eastAsia="Times New Roman" w:cs="Times New Roman"/>
          <w:color w:val="000000"/>
          <w:szCs w:val="22"/>
        </w:rPr>
        <w:t>Aschendorff</w:t>
      </w:r>
      <w:proofErr w:type="spellEnd"/>
      <w:r w:rsidRPr="00B31568">
        <w:rPr>
          <w:rFonts w:eastAsia="Times New Roman" w:cs="Times New Roman"/>
          <w:color w:val="000000"/>
          <w:szCs w:val="22"/>
          <w:u w:val="single"/>
        </w:rPr>
        <w:t>,</w:t>
      </w:r>
      <w:r w:rsidRPr="00B31568">
        <w:rPr>
          <w:rFonts w:eastAsia="Times New Roman" w:cs="Times New Roman"/>
          <w:color w:val="000000"/>
          <w:szCs w:val="22"/>
        </w:rPr>
        <w:t xml:space="preserve"> 1959.</w:t>
      </w:r>
    </w:p>
    <w:p w14:paraId="212D70E0" w14:textId="05EC56F3" w:rsidR="00B31568" w:rsidRPr="00B31568" w:rsidRDefault="00B31568" w:rsidP="00F072B0">
      <w:pPr>
        <w:spacing w:after="240"/>
        <w:ind w:left="567" w:hanging="567"/>
        <w:rPr>
          <w:rFonts w:eastAsia="Times New Roman" w:cs="Times New Roman"/>
          <w:color w:val="000000"/>
          <w:szCs w:val="22"/>
        </w:rPr>
      </w:pPr>
      <w:r w:rsidRPr="00B31568">
        <w:rPr>
          <w:rFonts w:cs="Times New Roman"/>
          <w:szCs w:val="22"/>
        </w:rPr>
        <w:t>Di Filippo, Marcello. “The definition(s) of terrorism in international law.” In Ben Saul</w:t>
      </w:r>
      <w:r w:rsidR="00F71B53">
        <w:rPr>
          <w:rFonts w:cs="Times New Roman"/>
          <w:szCs w:val="22"/>
        </w:rPr>
        <w:t xml:space="preserve">, </w:t>
      </w:r>
      <w:r w:rsidRPr="00B31568">
        <w:rPr>
          <w:rFonts w:cs="Times New Roman"/>
          <w:szCs w:val="22"/>
        </w:rPr>
        <w:t xml:space="preserve">ed. </w:t>
      </w:r>
      <w:r w:rsidRPr="00B31568">
        <w:rPr>
          <w:rFonts w:cs="Times New Roman"/>
          <w:i/>
          <w:iCs/>
          <w:szCs w:val="22"/>
        </w:rPr>
        <w:t xml:space="preserve">Research Handbook on International Law and Terrorism. </w:t>
      </w:r>
      <w:r w:rsidRPr="00B31568">
        <w:rPr>
          <w:rFonts w:cs="Times New Roman"/>
          <w:szCs w:val="22"/>
        </w:rPr>
        <w:t>(Northampton, MA: Edward Elgar Publishing, 2020)</w:t>
      </w:r>
      <w:r>
        <w:rPr>
          <w:rFonts w:cs="Times New Roman"/>
          <w:szCs w:val="22"/>
        </w:rPr>
        <w:t>.</w:t>
      </w:r>
    </w:p>
    <w:p w14:paraId="3A33E6ED" w14:textId="1CD48CE2"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Downing, Brian. </w:t>
      </w:r>
      <w:r w:rsidRPr="00A07836">
        <w:rPr>
          <w:rFonts w:eastAsia="Times New Roman" w:cs="Times New Roman"/>
          <w:i/>
          <w:iCs/>
          <w:color w:val="000000"/>
        </w:rPr>
        <w:t>The Military Revolution and Political Change: Origins of Democracy and Autocracy in Early Modern Europe</w:t>
      </w:r>
      <w:r w:rsidRPr="00A07836">
        <w:rPr>
          <w:rFonts w:eastAsia="Times New Roman" w:cs="Times New Roman"/>
          <w:color w:val="000000"/>
        </w:rPr>
        <w:t>. Princeton: Princeton University Press, 1992.</w:t>
      </w:r>
    </w:p>
    <w:p w14:paraId="742EE56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Ebbinghaus, Bernhard. “When Less is More: Selection Problems in Large-N and Small-N Cross-National Comparisons.” In </w:t>
      </w:r>
      <w:proofErr w:type="spellStart"/>
      <w:r w:rsidRPr="00A07836">
        <w:rPr>
          <w:rFonts w:eastAsia="Times New Roman" w:cs="Times New Roman"/>
          <w:i/>
          <w:iCs/>
          <w:color w:val="000000"/>
        </w:rPr>
        <w:t>Soziale</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Ungleichheit</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kulturelle</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Unterschiede</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Verhandlungen</w:t>
      </w:r>
      <w:proofErr w:type="spellEnd"/>
      <w:r w:rsidRPr="00A07836">
        <w:rPr>
          <w:rFonts w:eastAsia="Times New Roman" w:cs="Times New Roman"/>
          <w:i/>
          <w:iCs/>
          <w:color w:val="000000"/>
        </w:rPr>
        <w:t xml:space="preserve"> des 32. </w:t>
      </w:r>
      <w:proofErr w:type="spellStart"/>
      <w:r w:rsidRPr="00A07836">
        <w:rPr>
          <w:rFonts w:eastAsia="Times New Roman" w:cs="Times New Roman"/>
          <w:i/>
          <w:iCs/>
          <w:color w:val="000000"/>
        </w:rPr>
        <w:t>Kongresses</w:t>
      </w:r>
      <w:proofErr w:type="spellEnd"/>
      <w:r w:rsidRPr="00A07836">
        <w:rPr>
          <w:rFonts w:eastAsia="Times New Roman" w:cs="Times New Roman"/>
          <w:i/>
          <w:iCs/>
          <w:color w:val="000000"/>
        </w:rPr>
        <w:t xml:space="preserve"> der </w:t>
      </w:r>
      <w:proofErr w:type="spellStart"/>
      <w:r w:rsidRPr="00A07836">
        <w:rPr>
          <w:rFonts w:eastAsia="Times New Roman" w:cs="Times New Roman"/>
          <w:i/>
          <w:iCs/>
          <w:color w:val="000000"/>
        </w:rPr>
        <w:t>Deutschen</w:t>
      </w:r>
      <w:proofErr w:type="spellEnd"/>
      <w:r w:rsidRPr="00A07836">
        <w:rPr>
          <w:rFonts w:eastAsia="Times New Roman" w:cs="Times New Roman"/>
          <w:i/>
          <w:iCs/>
          <w:color w:val="000000"/>
        </w:rPr>
        <w:t xml:space="preserve"> Gesellschaft </w:t>
      </w:r>
      <w:proofErr w:type="spellStart"/>
      <w:r w:rsidRPr="00A07836">
        <w:rPr>
          <w:rFonts w:eastAsia="Times New Roman" w:cs="Times New Roman"/>
          <w:i/>
          <w:iCs/>
          <w:color w:val="000000"/>
        </w:rPr>
        <w:t>für</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Soziologie</w:t>
      </w:r>
      <w:proofErr w:type="spellEnd"/>
      <w:r w:rsidRPr="00A07836">
        <w:rPr>
          <w:rFonts w:eastAsia="Times New Roman" w:cs="Times New Roman"/>
          <w:i/>
          <w:iCs/>
          <w:color w:val="000000"/>
        </w:rPr>
        <w:t xml:space="preserve"> in </w:t>
      </w:r>
      <w:proofErr w:type="spellStart"/>
      <w:r w:rsidRPr="00A07836">
        <w:rPr>
          <w:rFonts w:eastAsia="Times New Roman" w:cs="Times New Roman"/>
          <w:i/>
          <w:iCs/>
          <w:color w:val="000000"/>
        </w:rPr>
        <w:t>München</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Teilbd</w:t>
      </w:r>
      <w:proofErr w:type="spellEnd"/>
      <w:r w:rsidRPr="00A07836">
        <w:rPr>
          <w:rFonts w:eastAsia="Times New Roman" w:cs="Times New Roman"/>
          <w:i/>
          <w:iCs/>
          <w:color w:val="000000"/>
        </w:rPr>
        <w:t>. 1 und 2</w:t>
      </w:r>
      <w:r w:rsidRPr="00A07836">
        <w:rPr>
          <w:rFonts w:eastAsia="Times New Roman" w:cs="Times New Roman"/>
          <w:color w:val="000000"/>
        </w:rPr>
        <w:t>, edited by Karl-</w:t>
      </w:r>
      <w:proofErr w:type="spellStart"/>
      <w:r w:rsidRPr="00A07836">
        <w:rPr>
          <w:rFonts w:eastAsia="Times New Roman" w:cs="Times New Roman"/>
          <w:color w:val="000000"/>
        </w:rPr>
        <w:t>Siegbert</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Rehberg</w:t>
      </w:r>
      <w:proofErr w:type="spellEnd"/>
      <w:r w:rsidRPr="00A07836">
        <w:rPr>
          <w:rFonts w:eastAsia="Times New Roman" w:cs="Times New Roman"/>
          <w:color w:val="000000"/>
        </w:rPr>
        <w:t xml:space="preserve">, and </w:t>
      </w:r>
      <w:proofErr w:type="spellStart"/>
      <w:r w:rsidRPr="00A07836">
        <w:rPr>
          <w:rFonts w:eastAsia="Times New Roman" w:cs="Times New Roman"/>
          <w:color w:val="000000"/>
        </w:rPr>
        <w:t>Deutshce</w:t>
      </w:r>
      <w:proofErr w:type="spellEnd"/>
      <w:r w:rsidRPr="00A07836">
        <w:rPr>
          <w:rFonts w:eastAsia="Times New Roman" w:cs="Times New Roman"/>
          <w:color w:val="000000"/>
        </w:rPr>
        <w:t xml:space="preserve"> Gesellschaft für </w:t>
      </w:r>
      <w:proofErr w:type="spellStart"/>
      <w:r w:rsidRPr="00A07836">
        <w:rPr>
          <w:rFonts w:eastAsia="Times New Roman" w:cs="Times New Roman"/>
          <w:color w:val="000000"/>
        </w:rPr>
        <w:t>Soziologie</w:t>
      </w:r>
      <w:proofErr w:type="spellEnd"/>
      <w:r w:rsidRPr="00A07836">
        <w:rPr>
          <w:rFonts w:eastAsia="Times New Roman" w:cs="Times New Roman"/>
          <w:color w:val="000000"/>
        </w:rPr>
        <w:t xml:space="preserve"> (DGS), 133-152. Frankfurt, Campus </w:t>
      </w:r>
      <w:proofErr w:type="spellStart"/>
      <w:r w:rsidRPr="00A07836">
        <w:rPr>
          <w:rFonts w:eastAsia="Times New Roman" w:cs="Times New Roman"/>
          <w:color w:val="000000"/>
        </w:rPr>
        <w:t>Verl</w:t>
      </w:r>
      <w:proofErr w:type="spellEnd"/>
      <w:r w:rsidRPr="00A07836">
        <w:rPr>
          <w:rFonts w:eastAsia="Times New Roman" w:cs="Times New Roman"/>
          <w:color w:val="000000"/>
        </w:rPr>
        <w:t xml:space="preserve">., 2006. </w:t>
      </w:r>
    </w:p>
    <w:p w14:paraId="4624131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Eid, Mahmoud. </w:t>
      </w:r>
      <w:r w:rsidRPr="00A07836">
        <w:rPr>
          <w:rFonts w:eastAsia="Times New Roman" w:cs="Times New Roman"/>
          <w:i/>
          <w:iCs/>
          <w:color w:val="000000"/>
        </w:rPr>
        <w:t xml:space="preserve">Exchanging Terrorism Oxygen for Media Airwaves: The Age of </w:t>
      </w:r>
      <w:proofErr w:type="spellStart"/>
      <w:r w:rsidRPr="00A07836">
        <w:rPr>
          <w:rFonts w:eastAsia="Times New Roman" w:cs="Times New Roman"/>
          <w:i/>
          <w:iCs/>
          <w:color w:val="000000"/>
        </w:rPr>
        <w:t>Terroredia</w:t>
      </w:r>
      <w:proofErr w:type="spellEnd"/>
      <w:r w:rsidRPr="00A07836">
        <w:rPr>
          <w:rFonts w:eastAsia="Times New Roman" w:cs="Times New Roman"/>
          <w:i/>
          <w:iCs/>
          <w:color w:val="000000"/>
        </w:rPr>
        <w:t xml:space="preserve">. </w:t>
      </w:r>
      <w:r w:rsidRPr="00A07836">
        <w:rPr>
          <w:rFonts w:eastAsia="Times New Roman" w:cs="Times New Roman"/>
          <w:color w:val="000000"/>
        </w:rPr>
        <w:t>Hershey: Information Science Reference, 2014.</w:t>
      </w:r>
    </w:p>
    <w:p w14:paraId="70FDFFE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Emery, Edwin. </w:t>
      </w:r>
      <w:r w:rsidRPr="00A07836">
        <w:rPr>
          <w:rFonts w:eastAsia="Times New Roman" w:cs="Times New Roman"/>
          <w:i/>
          <w:iCs/>
          <w:color w:val="000000"/>
        </w:rPr>
        <w:t xml:space="preserve">The Press and America: An Interpretative History of the Mass Media. </w:t>
      </w:r>
      <w:r w:rsidRPr="00A07836">
        <w:rPr>
          <w:rFonts w:eastAsia="Times New Roman" w:cs="Times New Roman"/>
          <w:color w:val="000000"/>
        </w:rPr>
        <w:t>Englewood Cliffs: Prentice-Hall, 1972.</w:t>
      </w:r>
    </w:p>
    <w:p w14:paraId="5B4EF58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Entman</w:t>
      </w:r>
      <w:proofErr w:type="spellEnd"/>
      <w:r w:rsidRPr="00A07836">
        <w:rPr>
          <w:rFonts w:eastAsia="Times New Roman" w:cs="Times New Roman"/>
          <w:color w:val="000000"/>
        </w:rPr>
        <w:t xml:space="preserve">, Robert M. </w:t>
      </w:r>
      <w:r w:rsidRPr="00A07836">
        <w:rPr>
          <w:rFonts w:eastAsia="Times New Roman" w:cs="Times New Roman"/>
          <w:i/>
          <w:iCs/>
          <w:color w:val="000000"/>
        </w:rPr>
        <w:t xml:space="preserve">Projections of Power: Framing News, Public Opinion, and U.S. Foreign Policy. </w:t>
      </w:r>
      <w:r w:rsidRPr="00A07836">
        <w:rPr>
          <w:rFonts w:eastAsia="Times New Roman" w:cs="Times New Roman"/>
          <w:color w:val="000000"/>
        </w:rPr>
        <w:t xml:space="preserve">Chicago: University of Chicago Press, 2004. </w:t>
      </w:r>
    </w:p>
    <w:p w14:paraId="7F2DB69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“Framing: Toward Classification of a Fractured Paradigm.” </w:t>
      </w:r>
      <w:r w:rsidRPr="00A07836">
        <w:rPr>
          <w:rFonts w:eastAsia="Times New Roman" w:cs="Times New Roman"/>
          <w:i/>
          <w:iCs/>
          <w:color w:val="000000"/>
        </w:rPr>
        <w:t xml:space="preserve">Journal of Communication </w:t>
      </w:r>
      <w:r w:rsidRPr="00A07836">
        <w:rPr>
          <w:rFonts w:eastAsia="Times New Roman" w:cs="Times New Roman"/>
          <w:color w:val="000000"/>
        </w:rPr>
        <w:t xml:space="preserve">43, no. 2 (1993): 51-58. </w:t>
      </w:r>
    </w:p>
    <w:p w14:paraId="17C1F54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Erickson, Edward J. “Punishing the Mad Bomber: Questions of Moral Responsibility in the Trials of French Anarchist Terrorists, 1886–1897.” </w:t>
      </w:r>
      <w:r w:rsidRPr="00A07836">
        <w:rPr>
          <w:rFonts w:eastAsia="Times New Roman" w:cs="Times New Roman"/>
          <w:i/>
          <w:iCs/>
          <w:color w:val="000000"/>
        </w:rPr>
        <w:t xml:space="preserve">French History </w:t>
      </w:r>
      <w:r w:rsidRPr="00A07836">
        <w:rPr>
          <w:rFonts w:eastAsia="Times New Roman" w:cs="Times New Roman"/>
          <w:color w:val="000000"/>
        </w:rPr>
        <w:t>22, no. 1 (2008): 51-73.</w:t>
      </w:r>
    </w:p>
    <w:p w14:paraId="06EB708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Ertman, Thomas. </w:t>
      </w:r>
      <w:r w:rsidRPr="00A07836">
        <w:rPr>
          <w:rFonts w:eastAsia="Times New Roman" w:cs="Times New Roman"/>
          <w:i/>
          <w:iCs/>
          <w:color w:val="000000"/>
        </w:rPr>
        <w:t>Birth of the Leviathan: Building States and Regimes in Medieval and Early Modern Europe.</w:t>
      </w:r>
      <w:r w:rsidRPr="00A07836">
        <w:rPr>
          <w:rFonts w:eastAsia="Times New Roman" w:cs="Times New Roman"/>
          <w:color w:val="000000"/>
        </w:rPr>
        <w:t xml:space="preserve"> Cambridge: Cambridge University Press, 1997.</w:t>
      </w:r>
    </w:p>
    <w:p w14:paraId="114976D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Ewart, Jacqui, Kate O’Donnell, and April </w:t>
      </w:r>
      <w:proofErr w:type="spellStart"/>
      <w:r w:rsidRPr="00A07836">
        <w:rPr>
          <w:rFonts w:eastAsia="Times New Roman" w:cs="Times New Roman"/>
          <w:color w:val="000000"/>
        </w:rPr>
        <w:t>Chrzanowski</w:t>
      </w:r>
      <w:proofErr w:type="spellEnd"/>
      <w:r w:rsidRPr="00A07836">
        <w:rPr>
          <w:rFonts w:eastAsia="Times New Roman" w:cs="Times New Roman"/>
          <w:color w:val="000000"/>
        </w:rPr>
        <w:t xml:space="preserve">, “What a Difference Training Can Make: Impacts of Targeted Training on Journalists, Journalism Educators and Journalism Students’ Knowledge of Islam and Muslims.” </w:t>
      </w:r>
      <w:r w:rsidRPr="00A07836">
        <w:rPr>
          <w:rFonts w:eastAsia="Times New Roman" w:cs="Times New Roman"/>
          <w:i/>
          <w:iCs/>
          <w:color w:val="000000"/>
        </w:rPr>
        <w:t xml:space="preserve">Journalism </w:t>
      </w:r>
      <w:r w:rsidRPr="00A07836">
        <w:rPr>
          <w:rFonts w:eastAsia="Times New Roman" w:cs="Times New Roman"/>
          <w:color w:val="000000"/>
        </w:rPr>
        <w:t>19, no. 6 (2017): 762-781.</w:t>
      </w:r>
    </w:p>
    <w:p w14:paraId="4A60D0A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Fairclough, Norman. “Discourse and Text: Linguistic and Intertextual Analysis within Discourse Analysis.”</w:t>
      </w:r>
      <w:r w:rsidRPr="00A07836">
        <w:rPr>
          <w:rFonts w:eastAsia="Times New Roman" w:cs="Times New Roman"/>
          <w:i/>
          <w:iCs/>
          <w:color w:val="000000"/>
        </w:rPr>
        <w:t xml:space="preserve"> Discourse and Society</w:t>
      </w:r>
      <w:r w:rsidRPr="00A07836">
        <w:rPr>
          <w:rFonts w:eastAsia="Times New Roman" w:cs="Times New Roman"/>
          <w:color w:val="000000"/>
        </w:rPr>
        <w:t> 3, no. 2 (1992): 193-217.</w:t>
      </w:r>
    </w:p>
    <w:p w14:paraId="7F305EA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Fairhurst, Gail T., and Robert A. Star. </w:t>
      </w:r>
      <w:r w:rsidRPr="00A07836">
        <w:rPr>
          <w:rFonts w:eastAsia="Times New Roman" w:cs="Times New Roman"/>
          <w:i/>
          <w:iCs/>
          <w:color w:val="000000"/>
        </w:rPr>
        <w:t xml:space="preserve">The Art of Framing. </w:t>
      </w:r>
      <w:r w:rsidRPr="00A07836">
        <w:rPr>
          <w:rFonts w:eastAsia="Times New Roman" w:cs="Times New Roman"/>
          <w:color w:val="000000"/>
        </w:rPr>
        <w:t xml:space="preserve">San Francisco: Jossey-Bass, 1996. </w:t>
      </w:r>
    </w:p>
    <w:p w14:paraId="7DABB59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Fanon, Frantz. </w:t>
      </w:r>
      <w:r w:rsidRPr="00A07836">
        <w:rPr>
          <w:rFonts w:eastAsia="Times New Roman" w:cs="Times New Roman"/>
          <w:i/>
          <w:iCs/>
          <w:color w:val="000000"/>
        </w:rPr>
        <w:t xml:space="preserve">Black Skin, White Masks. </w:t>
      </w:r>
      <w:r w:rsidRPr="00A07836">
        <w:rPr>
          <w:rFonts w:eastAsia="Times New Roman" w:cs="Times New Roman"/>
          <w:color w:val="000000"/>
        </w:rPr>
        <w:t xml:space="preserve">Translated by Charles Lam </w:t>
      </w:r>
      <w:proofErr w:type="spellStart"/>
      <w:r w:rsidRPr="00A07836">
        <w:rPr>
          <w:rFonts w:eastAsia="Times New Roman" w:cs="Times New Roman"/>
          <w:color w:val="000000"/>
        </w:rPr>
        <w:t>Markmann</w:t>
      </w:r>
      <w:proofErr w:type="spellEnd"/>
      <w:r w:rsidRPr="00A07836">
        <w:rPr>
          <w:rFonts w:eastAsia="Times New Roman" w:cs="Times New Roman"/>
          <w:color w:val="000000"/>
        </w:rPr>
        <w:t>. London: Pluto Press, 1986.</w:t>
      </w:r>
    </w:p>
    <w:p w14:paraId="3F6206A5"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Fasulo</w:t>
      </w:r>
      <w:proofErr w:type="spellEnd"/>
      <w:r w:rsidRPr="00A07836">
        <w:rPr>
          <w:rFonts w:eastAsia="Times New Roman" w:cs="Times New Roman"/>
          <w:color w:val="000000"/>
        </w:rPr>
        <w:t xml:space="preserve">, Linda M. </w:t>
      </w:r>
      <w:r w:rsidRPr="00A07836">
        <w:rPr>
          <w:rFonts w:eastAsia="Times New Roman" w:cs="Times New Roman"/>
          <w:i/>
          <w:iCs/>
          <w:color w:val="000000"/>
        </w:rPr>
        <w:t xml:space="preserve">An Insider’s Guide to the United Nations. </w:t>
      </w:r>
      <w:r w:rsidRPr="00A07836">
        <w:rPr>
          <w:rFonts w:eastAsia="Times New Roman" w:cs="Times New Roman"/>
          <w:color w:val="000000"/>
        </w:rPr>
        <w:t>New Haven: Yale University Press, 2003.</w:t>
      </w:r>
    </w:p>
    <w:p w14:paraId="2EA5C8F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Fellenor</w:t>
      </w:r>
      <w:proofErr w:type="spellEnd"/>
      <w:r w:rsidRPr="00A07836">
        <w:rPr>
          <w:rFonts w:eastAsia="Times New Roman" w:cs="Times New Roman"/>
          <w:color w:val="000000"/>
        </w:rPr>
        <w:t xml:space="preserve">, John, Julie Barnett, Clive Potter, Julie Urquhart, J.D. Mumford, and C.P. Quine, “’Real Without Being Concrete: The Ontology of Public Concern and Its Significance for the Social Amplification of Risk Framework (SARF).’” </w:t>
      </w:r>
      <w:r w:rsidRPr="00A07836">
        <w:rPr>
          <w:rFonts w:eastAsia="Times New Roman" w:cs="Times New Roman"/>
          <w:i/>
          <w:iCs/>
          <w:color w:val="000000"/>
        </w:rPr>
        <w:t>Journal of Risk Research</w:t>
      </w:r>
      <w:r w:rsidRPr="00A07836">
        <w:rPr>
          <w:rFonts w:eastAsia="Times New Roman" w:cs="Times New Roman"/>
          <w:color w:val="000000"/>
        </w:rPr>
        <w:t xml:space="preserve"> 23, no. 1: 20-34.</w:t>
      </w:r>
    </w:p>
    <w:p w14:paraId="291BDAE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Finlay, Christopher J. “How to Do Things with the Word ‘Terrorist.’” </w:t>
      </w:r>
      <w:r w:rsidRPr="00A07836">
        <w:rPr>
          <w:rFonts w:eastAsia="Times New Roman" w:cs="Times New Roman"/>
          <w:i/>
          <w:iCs/>
          <w:color w:val="000000"/>
        </w:rPr>
        <w:t>Review of International Studies</w:t>
      </w:r>
      <w:r w:rsidRPr="00A07836">
        <w:rPr>
          <w:rFonts w:eastAsia="Times New Roman" w:cs="Times New Roman"/>
          <w:color w:val="000000"/>
        </w:rPr>
        <w:t xml:space="preserve"> 35, no. 4 (October 2009): 751-774.</w:t>
      </w:r>
    </w:p>
    <w:p w14:paraId="2CAA106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Finnemore</w:t>
      </w:r>
      <w:proofErr w:type="spellEnd"/>
      <w:r w:rsidRPr="00A07836">
        <w:rPr>
          <w:rFonts w:eastAsia="Times New Roman" w:cs="Times New Roman"/>
          <w:color w:val="000000"/>
        </w:rPr>
        <w:t xml:space="preserve">, Martha, and Kathryn </w:t>
      </w:r>
      <w:proofErr w:type="spellStart"/>
      <w:r w:rsidRPr="00A07836">
        <w:rPr>
          <w:rFonts w:eastAsia="Times New Roman" w:cs="Times New Roman"/>
          <w:color w:val="000000"/>
        </w:rPr>
        <w:t>Sikkink</w:t>
      </w:r>
      <w:proofErr w:type="spellEnd"/>
      <w:r w:rsidRPr="00A07836">
        <w:rPr>
          <w:rFonts w:eastAsia="Times New Roman" w:cs="Times New Roman"/>
          <w:color w:val="000000"/>
        </w:rPr>
        <w:t xml:space="preserve">. “Taking Stock: The Constructivist Research Program in International Relations and Comparative Politics.” </w:t>
      </w:r>
      <w:r w:rsidRPr="00A07836">
        <w:rPr>
          <w:rFonts w:eastAsia="Times New Roman" w:cs="Times New Roman"/>
          <w:i/>
          <w:iCs/>
          <w:color w:val="000000"/>
        </w:rPr>
        <w:t>Annual Review of Political Science</w:t>
      </w:r>
      <w:r w:rsidRPr="00A07836">
        <w:rPr>
          <w:rFonts w:eastAsia="Times New Roman" w:cs="Times New Roman"/>
          <w:color w:val="000000"/>
        </w:rPr>
        <w:t xml:space="preserve"> 4 (2001): 391-416.</w:t>
      </w:r>
    </w:p>
    <w:p w14:paraId="134457F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Fleming, Marie. “Propaganda by the Deed.” In </w:t>
      </w:r>
      <w:r w:rsidRPr="00A07836">
        <w:rPr>
          <w:rFonts w:eastAsia="Times New Roman" w:cs="Times New Roman"/>
          <w:i/>
          <w:iCs/>
          <w:color w:val="000000"/>
        </w:rPr>
        <w:t xml:space="preserve">Terrorism in Europe, </w:t>
      </w:r>
      <w:r w:rsidRPr="00A07836">
        <w:rPr>
          <w:rFonts w:eastAsia="Times New Roman" w:cs="Times New Roman"/>
          <w:color w:val="000000"/>
        </w:rPr>
        <w:t>edited by Yonah Alexander, and Kenneth Myers, 8-28. Abingdon: Routledge, 2015.</w:t>
      </w:r>
    </w:p>
    <w:p w14:paraId="3FEFBE6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Foucault, Michel, and Colin Gordon, ed. </w:t>
      </w:r>
      <w:r w:rsidRPr="00A07836">
        <w:rPr>
          <w:rFonts w:eastAsia="Times New Roman" w:cs="Times New Roman"/>
          <w:i/>
          <w:iCs/>
          <w:color w:val="000000"/>
        </w:rPr>
        <w:t>Power/Knowledge: Selected Interviews and Other Writings, 1972-1977.</w:t>
      </w:r>
      <w:r w:rsidRPr="00A07836">
        <w:rPr>
          <w:rFonts w:eastAsia="Times New Roman" w:cs="Times New Roman"/>
          <w:color w:val="000000"/>
        </w:rPr>
        <w:t xml:space="preserve"> New York City: Pantheon, 1980.</w:t>
      </w:r>
    </w:p>
    <w:p w14:paraId="6B68522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Foucault, Michel. </w:t>
      </w:r>
      <w:r w:rsidRPr="00A07836">
        <w:rPr>
          <w:rFonts w:eastAsia="Times New Roman" w:cs="Times New Roman"/>
          <w:i/>
          <w:iCs/>
          <w:color w:val="000000"/>
        </w:rPr>
        <w:t>Security, Territory, Population: Lectures at the College De France, 1977-78.</w:t>
      </w:r>
      <w:r w:rsidRPr="00A07836">
        <w:rPr>
          <w:rFonts w:eastAsia="Times New Roman" w:cs="Times New Roman"/>
          <w:color w:val="000000"/>
        </w:rPr>
        <w:t xml:space="preserve"> London: Palgrave Macmillan, 2009.</w:t>
      </w:r>
    </w:p>
    <w:p w14:paraId="1C25839B"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Frijters</w:t>
      </w:r>
      <w:proofErr w:type="spellEnd"/>
      <w:r w:rsidRPr="00A07836">
        <w:rPr>
          <w:rFonts w:eastAsia="Times New Roman" w:cs="Times New Roman"/>
          <w:color w:val="000000"/>
        </w:rPr>
        <w:t xml:space="preserve">, Paul, and </w:t>
      </w:r>
      <w:proofErr w:type="spellStart"/>
      <w:r w:rsidRPr="00A07836">
        <w:rPr>
          <w:rFonts w:eastAsia="Times New Roman" w:cs="Times New Roman"/>
          <w:color w:val="000000"/>
        </w:rPr>
        <w:t>Malathi</w:t>
      </w:r>
      <w:proofErr w:type="spellEnd"/>
      <w:r w:rsidRPr="00A07836">
        <w:rPr>
          <w:rFonts w:eastAsia="Times New Roman" w:cs="Times New Roman"/>
          <w:color w:val="000000"/>
        </w:rPr>
        <w:t xml:space="preserve"> R. </w:t>
      </w:r>
      <w:proofErr w:type="spellStart"/>
      <w:r w:rsidRPr="00A07836">
        <w:rPr>
          <w:rFonts w:eastAsia="Times New Roman" w:cs="Times New Roman"/>
          <w:color w:val="000000"/>
        </w:rPr>
        <w:t>Velamuri</w:t>
      </w:r>
      <w:proofErr w:type="spellEnd"/>
      <w:r w:rsidRPr="00A07836">
        <w:rPr>
          <w:rFonts w:eastAsia="Times New Roman" w:cs="Times New Roman"/>
          <w:color w:val="000000"/>
        </w:rPr>
        <w:t xml:space="preserve">. “Is the Internet Bad News? The Online News Era and the Market for High Quality News.” </w:t>
      </w:r>
      <w:r w:rsidRPr="00A07836">
        <w:rPr>
          <w:rFonts w:eastAsia="Times New Roman" w:cs="Times New Roman"/>
          <w:i/>
          <w:iCs/>
          <w:color w:val="000000"/>
        </w:rPr>
        <w:t>Review of Network Economics</w:t>
      </w:r>
      <w:r w:rsidRPr="00A07836">
        <w:rPr>
          <w:rFonts w:eastAsia="Times New Roman" w:cs="Times New Roman"/>
          <w:color w:val="000000"/>
        </w:rPr>
        <w:t xml:space="preserve"> 9, no. 2 (2009): 1-31. </w:t>
      </w:r>
    </w:p>
    <w:p w14:paraId="6636A38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Galician, Mary-Lou, and Norris D. </w:t>
      </w:r>
      <w:proofErr w:type="spellStart"/>
      <w:r w:rsidRPr="00A07836">
        <w:rPr>
          <w:rFonts w:eastAsia="Times New Roman" w:cs="Times New Roman"/>
          <w:color w:val="000000"/>
        </w:rPr>
        <w:t>Vestre</w:t>
      </w:r>
      <w:proofErr w:type="spellEnd"/>
      <w:r w:rsidRPr="00A07836">
        <w:rPr>
          <w:rFonts w:eastAsia="Times New Roman" w:cs="Times New Roman"/>
          <w:color w:val="000000"/>
        </w:rPr>
        <w:t xml:space="preserve">, “Effects of ‘Good News’ and ‘Bad News’ on Newscast Image and Community Image.” </w:t>
      </w:r>
      <w:r w:rsidRPr="00A07836">
        <w:rPr>
          <w:rFonts w:eastAsia="Times New Roman" w:cs="Times New Roman"/>
          <w:i/>
          <w:iCs/>
          <w:color w:val="000000"/>
        </w:rPr>
        <w:t xml:space="preserve">Journalism Quarterly </w:t>
      </w:r>
      <w:r w:rsidRPr="00A07836">
        <w:rPr>
          <w:rFonts w:eastAsia="Times New Roman" w:cs="Times New Roman"/>
          <w:color w:val="000000"/>
        </w:rPr>
        <w:t>64 (1987): 399-525.</w:t>
      </w:r>
    </w:p>
    <w:p w14:paraId="592B6FA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Gallie, W.B. “Essentially Contested Concepts.” </w:t>
      </w:r>
      <w:r w:rsidRPr="00A07836">
        <w:rPr>
          <w:rFonts w:eastAsia="Times New Roman" w:cs="Times New Roman"/>
          <w:i/>
          <w:iCs/>
          <w:color w:val="000000"/>
        </w:rPr>
        <w:t>Proceedings of the Aristotelian Society</w:t>
      </w:r>
      <w:r w:rsidRPr="00A07836">
        <w:rPr>
          <w:rFonts w:eastAsia="Times New Roman" w:cs="Times New Roman"/>
          <w:color w:val="000000"/>
        </w:rPr>
        <w:t xml:space="preserve"> 56 (1956): 167-198.</w:t>
      </w:r>
    </w:p>
    <w:p w14:paraId="7267CADC"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Ganor</w:t>
      </w:r>
      <w:proofErr w:type="spellEnd"/>
      <w:r w:rsidRPr="00A07836">
        <w:rPr>
          <w:rFonts w:eastAsia="Times New Roman" w:cs="Times New Roman"/>
          <w:color w:val="000000"/>
        </w:rPr>
        <w:t xml:space="preserve">, Boaz. </w:t>
      </w:r>
      <w:r w:rsidRPr="00A07836">
        <w:rPr>
          <w:rFonts w:eastAsia="Times New Roman" w:cs="Times New Roman"/>
          <w:i/>
          <w:iCs/>
          <w:color w:val="000000"/>
        </w:rPr>
        <w:t xml:space="preserve">The Counter- Terrorism Puzzle. </w:t>
      </w:r>
      <w:r w:rsidRPr="00A07836">
        <w:rPr>
          <w:rFonts w:eastAsia="Times New Roman" w:cs="Times New Roman"/>
          <w:color w:val="000000"/>
        </w:rPr>
        <w:t>Herzliya: Transaction Publishers, 2005.</w:t>
      </w:r>
    </w:p>
    <w:p w14:paraId="12DE4EA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Gao, </w:t>
      </w:r>
      <w:proofErr w:type="spellStart"/>
      <w:r w:rsidRPr="00A07836">
        <w:rPr>
          <w:rFonts w:eastAsia="Times New Roman" w:cs="Times New Roman"/>
          <w:color w:val="000000"/>
        </w:rPr>
        <w:t>Jianbo</w:t>
      </w:r>
      <w:proofErr w:type="spellEnd"/>
      <w:r w:rsidRPr="00A07836">
        <w:rPr>
          <w:rFonts w:eastAsia="Times New Roman" w:cs="Times New Roman"/>
          <w:color w:val="000000"/>
        </w:rPr>
        <w:t xml:space="preserve">, Peng Fang and </w:t>
      </w:r>
      <w:proofErr w:type="spellStart"/>
      <w:r w:rsidRPr="00A07836">
        <w:rPr>
          <w:rFonts w:eastAsia="Times New Roman" w:cs="Times New Roman"/>
          <w:color w:val="000000"/>
        </w:rPr>
        <w:t>Feiyan</w:t>
      </w:r>
      <w:proofErr w:type="spellEnd"/>
      <w:r w:rsidRPr="00A07836">
        <w:rPr>
          <w:rFonts w:eastAsia="Times New Roman" w:cs="Times New Roman"/>
          <w:color w:val="000000"/>
        </w:rPr>
        <w:t xml:space="preserve"> Liu. “Empirical Scaling Law Connecting Persistence and Severity of Global Terrorism.” </w:t>
      </w:r>
      <w:proofErr w:type="spellStart"/>
      <w:r w:rsidRPr="00A07836">
        <w:rPr>
          <w:rFonts w:eastAsia="Times New Roman" w:cs="Times New Roman"/>
          <w:i/>
          <w:iCs/>
          <w:color w:val="000000"/>
        </w:rPr>
        <w:t>Physica</w:t>
      </w:r>
      <w:proofErr w:type="spellEnd"/>
      <w:r w:rsidRPr="00A07836">
        <w:rPr>
          <w:rFonts w:eastAsia="Times New Roman" w:cs="Times New Roman"/>
          <w:i/>
          <w:iCs/>
          <w:color w:val="000000"/>
        </w:rPr>
        <w:t xml:space="preserve"> A: Statistical Mechanics and its Applications</w:t>
      </w:r>
      <w:r w:rsidRPr="00A07836">
        <w:rPr>
          <w:rFonts w:eastAsia="Times New Roman" w:cs="Times New Roman"/>
          <w:color w:val="000000"/>
        </w:rPr>
        <w:t xml:space="preserve"> 482: 74–86.</w:t>
      </w:r>
    </w:p>
    <w:p w14:paraId="757C833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Garrison, Arthur H. “Defining Terrorism: Philosophy of the Bomb, Propaganda by Deed and Change Through Fear and Violence.” </w:t>
      </w:r>
      <w:r w:rsidRPr="00A07836">
        <w:rPr>
          <w:rFonts w:eastAsia="Times New Roman" w:cs="Times New Roman"/>
          <w:i/>
          <w:iCs/>
          <w:color w:val="000000"/>
        </w:rPr>
        <w:t>Criminal Justice Studies: A Critical Journal of Crime, Law and Society</w:t>
      </w:r>
      <w:r w:rsidRPr="00A07836">
        <w:rPr>
          <w:rFonts w:eastAsia="Times New Roman" w:cs="Times New Roman"/>
          <w:color w:val="000000"/>
        </w:rPr>
        <w:t xml:space="preserve"> 17, no. 3 (2004): 259-279.</w:t>
      </w:r>
    </w:p>
    <w:p w14:paraId="44C3667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George, Alexander L., and Andrew Bennett. </w:t>
      </w:r>
      <w:r w:rsidRPr="00A07836">
        <w:rPr>
          <w:rFonts w:eastAsia="Times New Roman" w:cs="Times New Roman"/>
          <w:i/>
          <w:iCs/>
          <w:color w:val="000000"/>
        </w:rPr>
        <w:t>Case Studies and Theory Development in the Social Sciences.</w:t>
      </w:r>
      <w:r w:rsidRPr="00A07836">
        <w:rPr>
          <w:rFonts w:eastAsia="Times New Roman" w:cs="Times New Roman"/>
          <w:color w:val="000000"/>
        </w:rPr>
        <w:t xml:space="preserve"> Cambridge: MIT Press, 2005.</w:t>
      </w:r>
    </w:p>
    <w:p w14:paraId="173EE323"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Giancristofaro</w:t>
      </w:r>
      <w:proofErr w:type="spellEnd"/>
      <w:r w:rsidRPr="00A07836">
        <w:rPr>
          <w:rFonts w:eastAsia="Times New Roman" w:cs="Times New Roman"/>
          <w:color w:val="000000"/>
        </w:rPr>
        <w:t xml:space="preserve">, R. </w:t>
      </w:r>
      <w:proofErr w:type="spellStart"/>
      <w:r w:rsidRPr="00A07836">
        <w:rPr>
          <w:rFonts w:eastAsia="Times New Roman" w:cs="Times New Roman"/>
          <w:color w:val="000000"/>
        </w:rPr>
        <w:t>Arboretti</w:t>
      </w:r>
      <w:proofErr w:type="spellEnd"/>
      <w:r w:rsidRPr="00A07836">
        <w:rPr>
          <w:rFonts w:eastAsia="Times New Roman" w:cs="Times New Roman"/>
          <w:color w:val="000000"/>
        </w:rPr>
        <w:t xml:space="preserve">, and L. Salmaso. “Model Performance Analysis and Model Validation in Logistic Regression.” </w:t>
      </w:r>
      <w:proofErr w:type="spellStart"/>
      <w:r w:rsidRPr="00A07836">
        <w:rPr>
          <w:rFonts w:eastAsia="Times New Roman" w:cs="Times New Roman"/>
          <w:i/>
          <w:iCs/>
          <w:color w:val="000000"/>
        </w:rPr>
        <w:t>Statistica</w:t>
      </w:r>
      <w:proofErr w:type="spellEnd"/>
      <w:r w:rsidRPr="00A07836">
        <w:rPr>
          <w:rFonts w:eastAsia="Times New Roman" w:cs="Times New Roman"/>
          <w:color w:val="000000"/>
        </w:rPr>
        <w:t xml:space="preserve"> 63 (2003): 375-396.</w:t>
      </w:r>
    </w:p>
    <w:p w14:paraId="629C6B8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Gibbs, Jack P. “Conceptualization of Terrorism.” </w:t>
      </w:r>
      <w:r w:rsidRPr="00A07836">
        <w:rPr>
          <w:rFonts w:eastAsia="Times New Roman" w:cs="Times New Roman"/>
          <w:i/>
          <w:iCs/>
          <w:color w:val="000000"/>
        </w:rPr>
        <w:t xml:space="preserve">American Sociological Review </w:t>
      </w:r>
      <w:r w:rsidRPr="00A07836">
        <w:rPr>
          <w:rFonts w:eastAsia="Times New Roman" w:cs="Times New Roman"/>
          <w:color w:val="000000"/>
        </w:rPr>
        <w:t>54, no. 3 (1989): 329-340.</w:t>
      </w:r>
    </w:p>
    <w:p w14:paraId="25D56A7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Giddens, Anthony. “The Future of World Society: The New Terrorism.” Lecture. </w:t>
      </w:r>
      <w:r w:rsidRPr="00A07836">
        <w:rPr>
          <w:rFonts w:eastAsia="Times New Roman" w:cs="Times New Roman"/>
          <w:i/>
          <w:iCs/>
          <w:color w:val="000000"/>
        </w:rPr>
        <w:t>London School of Economics</w:t>
      </w:r>
      <w:r w:rsidRPr="00A07836">
        <w:rPr>
          <w:rFonts w:eastAsia="Times New Roman" w:cs="Times New Roman"/>
          <w:color w:val="000000"/>
        </w:rPr>
        <w:t>. (November 10, 2004). Text available at Columbia International Affairs Online (CIAO).</w:t>
      </w:r>
    </w:p>
    <w:p w14:paraId="076223F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Girard, Michel, Wolf-Dieter </w:t>
      </w:r>
      <w:proofErr w:type="spellStart"/>
      <w:r w:rsidRPr="00A07836">
        <w:rPr>
          <w:rFonts w:eastAsia="Times New Roman" w:cs="Times New Roman"/>
          <w:color w:val="000000"/>
        </w:rPr>
        <w:t>Eberwein</w:t>
      </w:r>
      <w:proofErr w:type="spellEnd"/>
      <w:r w:rsidRPr="00A07836">
        <w:rPr>
          <w:rFonts w:eastAsia="Times New Roman" w:cs="Times New Roman"/>
          <w:color w:val="000000"/>
        </w:rPr>
        <w:t xml:space="preserve">, and Keith Webb. </w:t>
      </w:r>
      <w:r w:rsidRPr="00A07836">
        <w:rPr>
          <w:rFonts w:eastAsia="Times New Roman" w:cs="Times New Roman"/>
          <w:i/>
          <w:iCs/>
          <w:color w:val="000000"/>
        </w:rPr>
        <w:t>Theory and Practice in Foreign Policy Making: National Perspectives on Academics and Professionals in International Relations.</w:t>
      </w:r>
      <w:r w:rsidRPr="00A07836">
        <w:rPr>
          <w:rFonts w:eastAsia="Times New Roman" w:cs="Times New Roman"/>
          <w:color w:val="000000"/>
        </w:rPr>
        <w:t xml:space="preserve"> London: Pinter, 1994. </w:t>
      </w:r>
    </w:p>
    <w:p w14:paraId="5B0A47D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Goddard, Stacie E. and Ronald R. Krebs. “Constructivism and the Logic of Legitimation.” In </w:t>
      </w:r>
      <w:r w:rsidRPr="00A07836">
        <w:rPr>
          <w:rFonts w:eastAsia="Times New Roman" w:cs="Times New Roman"/>
          <w:i/>
          <w:iCs/>
          <w:color w:val="000000"/>
        </w:rPr>
        <w:t xml:space="preserve">Constructivism Reconsidered: Past, Present, and Future, </w:t>
      </w:r>
      <w:r w:rsidRPr="00A07836">
        <w:rPr>
          <w:rFonts w:eastAsia="Times New Roman" w:cs="Times New Roman"/>
          <w:color w:val="000000"/>
        </w:rPr>
        <w:t xml:space="preserve">edited by Patrick James, Mariano E </w:t>
      </w:r>
      <w:proofErr w:type="spellStart"/>
      <w:r w:rsidRPr="00A07836">
        <w:rPr>
          <w:rFonts w:eastAsia="Times New Roman" w:cs="Times New Roman"/>
          <w:color w:val="000000"/>
        </w:rPr>
        <w:t>Bertucci</w:t>
      </w:r>
      <w:proofErr w:type="spellEnd"/>
      <w:r w:rsidRPr="00A07836">
        <w:rPr>
          <w:rFonts w:eastAsia="Times New Roman" w:cs="Times New Roman"/>
          <w:color w:val="000000"/>
        </w:rPr>
        <w:t>, and Jarrod Hayes, 67-86</w:t>
      </w:r>
      <w:r w:rsidRPr="00A07836">
        <w:rPr>
          <w:rFonts w:eastAsia="Times New Roman" w:cs="Times New Roman"/>
          <w:i/>
          <w:iCs/>
          <w:color w:val="000000"/>
        </w:rPr>
        <w:t>.</w:t>
      </w:r>
      <w:r w:rsidRPr="00A07836">
        <w:rPr>
          <w:rFonts w:eastAsia="Times New Roman" w:cs="Times New Roman"/>
          <w:color w:val="000000"/>
        </w:rPr>
        <w:t xml:space="preserve"> Ann Arbor: University of Michigan Press, 2018.</w:t>
      </w:r>
    </w:p>
    <w:p w14:paraId="3472FB2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Godefroidt</w:t>
      </w:r>
      <w:proofErr w:type="spellEnd"/>
      <w:r w:rsidRPr="00A07836">
        <w:rPr>
          <w:rFonts w:eastAsia="Times New Roman" w:cs="Times New Roman"/>
          <w:color w:val="000000"/>
        </w:rPr>
        <w:t xml:space="preserve">, Amélie, and Arnim Langer. “How Fear Drives Us Apart: Explaining the Relationship between Fear and Social Trust.” </w:t>
      </w:r>
      <w:r w:rsidRPr="00A07836">
        <w:rPr>
          <w:rFonts w:eastAsia="Times New Roman" w:cs="Times New Roman"/>
          <w:i/>
          <w:iCs/>
          <w:color w:val="000000"/>
        </w:rPr>
        <w:t>Terrorism and Political Violence</w:t>
      </w:r>
      <w:r w:rsidRPr="00A07836">
        <w:rPr>
          <w:rFonts w:eastAsia="Times New Roman" w:cs="Times New Roman"/>
          <w:color w:val="000000"/>
        </w:rPr>
        <w:t xml:space="preserve"> 32, no. 7 (2020): 1482-1505.</w:t>
      </w:r>
    </w:p>
    <w:p w14:paraId="3A196D7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Goffman, Erving. </w:t>
      </w:r>
      <w:r w:rsidRPr="00A07836">
        <w:rPr>
          <w:rFonts w:eastAsia="Times New Roman" w:cs="Times New Roman"/>
          <w:i/>
          <w:iCs/>
          <w:color w:val="000000"/>
        </w:rPr>
        <w:t>Frame Analysis.</w:t>
      </w:r>
      <w:r w:rsidRPr="00A07836">
        <w:rPr>
          <w:rFonts w:eastAsia="Times New Roman" w:cs="Times New Roman"/>
          <w:color w:val="000000"/>
        </w:rPr>
        <w:t xml:space="preserve"> New York City: Harper and Row, 1974.</w:t>
      </w:r>
    </w:p>
    <w:p w14:paraId="7C8962D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Gold-</w:t>
      </w:r>
      <w:proofErr w:type="spellStart"/>
      <w:r w:rsidRPr="00A07836">
        <w:rPr>
          <w:rFonts w:eastAsia="Times New Roman" w:cs="Times New Roman"/>
          <w:color w:val="000000"/>
        </w:rPr>
        <w:t>Biss</w:t>
      </w:r>
      <w:proofErr w:type="spellEnd"/>
      <w:r w:rsidRPr="00A07836">
        <w:rPr>
          <w:rFonts w:eastAsia="Times New Roman" w:cs="Times New Roman"/>
          <w:color w:val="000000"/>
        </w:rPr>
        <w:t>, Michael. “The Discourse on Terrorism: Political Violence and the Subcommittee on Security and Terrorism.” Ph.D. diss., The American University</w:t>
      </w:r>
      <w:r w:rsidRPr="00A07836">
        <w:rPr>
          <w:rFonts w:eastAsia="Times New Roman" w:cs="Times New Roman"/>
          <w:i/>
          <w:iCs/>
          <w:color w:val="000000"/>
        </w:rPr>
        <w:t xml:space="preserve">, </w:t>
      </w:r>
      <w:r w:rsidRPr="00A07836">
        <w:rPr>
          <w:rFonts w:eastAsia="Times New Roman" w:cs="Times New Roman"/>
          <w:color w:val="000000"/>
        </w:rPr>
        <w:t>1992.</w:t>
      </w:r>
    </w:p>
    <w:p w14:paraId="3DA0DE0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Gray, John N. “On the Contestability of Social and Political Concepts.” </w:t>
      </w:r>
      <w:r w:rsidRPr="00A07836">
        <w:rPr>
          <w:rFonts w:eastAsia="Times New Roman" w:cs="Times New Roman"/>
          <w:i/>
          <w:iCs/>
          <w:color w:val="000000"/>
        </w:rPr>
        <w:t>Political Theory</w:t>
      </w:r>
      <w:r w:rsidRPr="00A07836">
        <w:rPr>
          <w:rFonts w:eastAsia="Times New Roman" w:cs="Times New Roman"/>
          <w:color w:val="000000"/>
        </w:rPr>
        <w:t xml:space="preserve"> 5 (1977): 331-348.</w:t>
      </w:r>
    </w:p>
    <w:p w14:paraId="5F73180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Greene, Amanda R. “Legitimacy and Democracy: A Platonic Defense of Voluntary Rule.” Ph.D. diss., Stanford University, 2014. </w:t>
      </w:r>
    </w:p>
    <w:p w14:paraId="5D6E6C3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Habermas, Jürgen. </w:t>
      </w:r>
      <w:r w:rsidRPr="00A07836">
        <w:rPr>
          <w:rFonts w:eastAsia="Times New Roman" w:cs="Times New Roman"/>
          <w:i/>
          <w:iCs/>
          <w:color w:val="000000"/>
        </w:rPr>
        <w:t xml:space="preserve">Communication and the Evolution of Society. </w:t>
      </w:r>
      <w:r w:rsidRPr="00A07836">
        <w:rPr>
          <w:rFonts w:eastAsia="Times New Roman" w:cs="Times New Roman"/>
          <w:color w:val="000000"/>
        </w:rPr>
        <w:t>Translated by Thomas McCarthy. Cambridge: Polity Press, 1979.</w:t>
      </w:r>
    </w:p>
    <w:p w14:paraId="703A240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Hadi Khalil, Huda. “Entailment in Meaning.” </w:t>
      </w:r>
      <w:r w:rsidRPr="00A07836">
        <w:rPr>
          <w:rFonts w:eastAsia="Times New Roman" w:cs="Times New Roman"/>
          <w:i/>
          <w:iCs/>
          <w:color w:val="000000"/>
        </w:rPr>
        <w:t xml:space="preserve">Al </w:t>
      </w:r>
      <w:proofErr w:type="spellStart"/>
      <w:r w:rsidRPr="00A07836">
        <w:rPr>
          <w:rFonts w:eastAsia="Times New Roman" w:cs="Times New Roman"/>
          <w:i/>
          <w:iCs/>
          <w:color w:val="000000"/>
        </w:rPr>
        <w:t>Turath</w:t>
      </w:r>
      <w:proofErr w:type="spellEnd"/>
      <w:r w:rsidRPr="00A07836">
        <w:rPr>
          <w:rFonts w:eastAsia="Times New Roman" w:cs="Times New Roman"/>
          <w:i/>
          <w:iCs/>
          <w:color w:val="000000"/>
        </w:rPr>
        <w:t xml:space="preserve"> University College Journal</w:t>
      </w:r>
      <w:r w:rsidRPr="00A07836">
        <w:rPr>
          <w:rFonts w:eastAsia="Times New Roman" w:cs="Times New Roman"/>
          <w:color w:val="000000"/>
        </w:rPr>
        <w:t xml:space="preserve"> (2002): 1-10.</w:t>
      </w:r>
    </w:p>
    <w:p w14:paraId="0184837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Halliday, Fred. “’Islamophobia’ Reconsidered.” </w:t>
      </w:r>
      <w:r w:rsidRPr="00A07836">
        <w:rPr>
          <w:rFonts w:eastAsia="Times New Roman" w:cs="Times New Roman"/>
          <w:i/>
          <w:iCs/>
          <w:color w:val="000000"/>
        </w:rPr>
        <w:t xml:space="preserve">Ethnic and Racial Studies </w:t>
      </w:r>
      <w:r w:rsidRPr="00A07836">
        <w:rPr>
          <w:rFonts w:eastAsia="Times New Roman" w:cs="Times New Roman"/>
          <w:color w:val="000000"/>
        </w:rPr>
        <w:t>22, no. 5 (1999): 892-902.</w:t>
      </w:r>
    </w:p>
    <w:p w14:paraId="53B48083"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Hamborg</w:t>
      </w:r>
      <w:proofErr w:type="spellEnd"/>
      <w:r w:rsidRPr="00A07836">
        <w:rPr>
          <w:rFonts w:eastAsia="Times New Roman" w:cs="Times New Roman"/>
          <w:color w:val="000000"/>
        </w:rPr>
        <w:t xml:space="preserve">, Felix, </w:t>
      </w:r>
      <w:proofErr w:type="spellStart"/>
      <w:r w:rsidRPr="00A07836">
        <w:rPr>
          <w:rFonts w:eastAsia="Times New Roman" w:cs="Times New Roman"/>
          <w:color w:val="000000"/>
        </w:rPr>
        <w:t>Karsten</w:t>
      </w:r>
      <w:proofErr w:type="spellEnd"/>
      <w:r w:rsidRPr="00A07836">
        <w:rPr>
          <w:rFonts w:eastAsia="Times New Roman" w:cs="Times New Roman"/>
          <w:color w:val="000000"/>
        </w:rPr>
        <w:t xml:space="preserve"> Donnay, and Bela </w:t>
      </w:r>
      <w:proofErr w:type="spellStart"/>
      <w:r w:rsidRPr="00A07836">
        <w:rPr>
          <w:rFonts w:eastAsia="Times New Roman" w:cs="Times New Roman"/>
          <w:color w:val="000000"/>
        </w:rPr>
        <w:t>Gipp</w:t>
      </w:r>
      <w:proofErr w:type="spellEnd"/>
      <w:r w:rsidRPr="00A07836">
        <w:rPr>
          <w:rFonts w:eastAsia="Times New Roman" w:cs="Times New Roman"/>
          <w:color w:val="000000"/>
        </w:rPr>
        <w:t xml:space="preserve">. “Automated Identification of Media Bias in News Articles: An Interdisciplinary Literature Review.” </w:t>
      </w:r>
      <w:r w:rsidRPr="00A07836">
        <w:rPr>
          <w:rFonts w:eastAsia="Times New Roman" w:cs="Times New Roman"/>
          <w:i/>
          <w:iCs/>
          <w:color w:val="000000"/>
        </w:rPr>
        <w:t>International Journal on Digital Libraries</w:t>
      </w:r>
      <w:r w:rsidRPr="00A07836">
        <w:rPr>
          <w:rFonts w:eastAsia="Times New Roman" w:cs="Times New Roman"/>
          <w:color w:val="000000"/>
        </w:rPr>
        <w:t xml:space="preserve"> 20 (November 2018): 391-415.</w:t>
      </w:r>
    </w:p>
    <w:p w14:paraId="4EB30D5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Hassan, </w:t>
      </w:r>
      <w:proofErr w:type="spellStart"/>
      <w:r w:rsidRPr="00A07836">
        <w:rPr>
          <w:rFonts w:eastAsia="Times New Roman" w:cs="Times New Roman"/>
          <w:color w:val="000000"/>
        </w:rPr>
        <w:t>Nasima</w:t>
      </w:r>
      <w:proofErr w:type="spellEnd"/>
      <w:r w:rsidRPr="00A07836">
        <w:rPr>
          <w:rFonts w:eastAsia="Times New Roman" w:cs="Times New Roman"/>
          <w:color w:val="000000"/>
        </w:rPr>
        <w:t xml:space="preserve">. “Book Reviews: Arun </w:t>
      </w:r>
      <w:proofErr w:type="spellStart"/>
      <w:r w:rsidRPr="00A07836">
        <w:rPr>
          <w:rFonts w:eastAsia="Times New Roman" w:cs="Times New Roman"/>
          <w:color w:val="000000"/>
        </w:rPr>
        <w:t>Kundnani</w:t>
      </w:r>
      <w:proofErr w:type="spellEnd"/>
      <w:r w:rsidRPr="00A07836">
        <w:rPr>
          <w:rFonts w:eastAsia="Times New Roman" w:cs="Times New Roman"/>
          <w:color w:val="000000"/>
        </w:rPr>
        <w:t xml:space="preserve">, “The Muslims are Coming!”: Islamophobia, Extremism and the Domestic War on Terror.” </w:t>
      </w:r>
      <w:r w:rsidRPr="00A07836">
        <w:rPr>
          <w:rFonts w:eastAsia="Times New Roman" w:cs="Times New Roman"/>
          <w:i/>
          <w:iCs/>
          <w:color w:val="000000"/>
        </w:rPr>
        <w:t>Research in Teacher Education</w:t>
      </w:r>
      <w:r w:rsidRPr="00A07836">
        <w:rPr>
          <w:rFonts w:eastAsia="Times New Roman" w:cs="Times New Roman"/>
          <w:color w:val="000000"/>
        </w:rPr>
        <w:t xml:space="preserve"> 4, no. 2 (2014): 45-46. </w:t>
      </w:r>
    </w:p>
    <w:p w14:paraId="4613893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Heidegger, Martin. </w:t>
      </w:r>
      <w:r w:rsidRPr="00A07836">
        <w:rPr>
          <w:rFonts w:eastAsia="Times New Roman" w:cs="Times New Roman"/>
          <w:i/>
          <w:iCs/>
          <w:color w:val="000000"/>
        </w:rPr>
        <w:t xml:space="preserve">Basic Writings: From Being and Time (1927) to The Task of Thinking (1964). </w:t>
      </w:r>
      <w:r w:rsidRPr="00A07836">
        <w:rPr>
          <w:rFonts w:eastAsia="Times New Roman" w:cs="Times New Roman"/>
          <w:color w:val="000000"/>
        </w:rPr>
        <w:t>Translated by David Farrell Krell. London: Routledge Classics, 2011.</w:t>
      </w:r>
    </w:p>
    <w:p w14:paraId="7682D45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Held, David, and Anthony McGrew. “The Great Globalization Debate: An Introduction.” In </w:t>
      </w:r>
      <w:r w:rsidRPr="00A07836">
        <w:rPr>
          <w:rFonts w:eastAsia="Times New Roman" w:cs="Times New Roman"/>
          <w:i/>
          <w:iCs/>
          <w:color w:val="000000"/>
        </w:rPr>
        <w:t>The Global Transformations Reader</w:t>
      </w:r>
      <w:r w:rsidRPr="00A07836">
        <w:rPr>
          <w:rFonts w:eastAsia="Times New Roman" w:cs="Times New Roman"/>
          <w:color w:val="000000"/>
        </w:rPr>
        <w:t>, 2</w:t>
      </w:r>
      <w:r w:rsidRPr="00A07836">
        <w:rPr>
          <w:rFonts w:eastAsia="Times New Roman" w:cs="Times New Roman"/>
          <w:color w:val="000000"/>
          <w:vertAlign w:val="superscript"/>
        </w:rPr>
        <w:t>nd</w:t>
      </w:r>
      <w:r w:rsidRPr="00A07836">
        <w:rPr>
          <w:rFonts w:eastAsia="Times New Roman" w:cs="Times New Roman"/>
          <w:color w:val="000000"/>
        </w:rPr>
        <w:t xml:space="preserve"> ed., edited by David Held, and Anthony McGrew, 1-45. London: Polity Press, 2003.</w:t>
      </w:r>
    </w:p>
    <w:p w14:paraId="14183E7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Hermann, Donald H. “Max Weber and the Concept of Legitimacy in Contemporary Jurisprudence.” </w:t>
      </w:r>
      <w:r w:rsidRPr="00A07836">
        <w:rPr>
          <w:rFonts w:eastAsia="Times New Roman" w:cs="Times New Roman"/>
          <w:i/>
          <w:iCs/>
          <w:color w:val="000000"/>
        </w:rPr>
        <w:t xml:space="preserve">DePaul Law </w:t>
      </w:r>
      <w:r w:rsidRPr="00A07836">
        <w:rPr>
          <w:rFonts w:eastAsia="Times New Roman" w:cs="Times New Roman"/>
          <w:color w:val="000000"/>
        </w:rPr>
        <w:t>Review 33, no. 1 (1983): 1-29.</w:t>
      </w:r>
    </w:p>
    <w:p w14:paraId="0121D5B8"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Heymann</w:t>
      </w:r>
      <w:proofErr w:type="spellEnd"/>
      <w:r w:rsidRPr="00A07836">
        <w:rPr>
          <w:rFonts w:eastAsia="Times New Roman" w:cs="Times New Roman"/>
          <w:color w:val="000000"/>
        </w:rPr>
        <w:t xml:space="preserve">, Philip B. “The Problem of Coordination: Bargaining and Rules.” </w:t>
      </w:r>
      <w:r w:rsidRPr="00A07836">
        <w:rPr>
          <w:rFonts w:eastAsia="Times New Roman" w:cs="Times New Roman"/>
          <w:i/>
          <w:iCs/>
          <w:color w:val="000000"/>
        </w:rPr>
        <w:t>Harvard Law Review</w:t>
      </w:r>
      <w:r w:rsidRPr="00A07836">
        <w:rPr>
          <w:rFonts w:eastAsia="Times New Roman" w:cs="Times New Roman"/>
          <w:color w:val="000000"/>
        </w:rPr>
        <w:t xml:space="preserve"> 86, no. 797 (1973): 797-877.</w:t>
      </w:r>
    </w:p>
    <w:p w14:paraId="0A10AFF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Hoare, Quintin, and Geoffrey Nowell Smith, eds. </w:t>
      </w:r>
      <w:r w:rsidRPr="00A07836">
        <w:rPr>
          <w:rFonts w:eastAsia="Times New Roman" w:cs="Times New Roman"/>
          <w:i/>
          <w:iCs/>
          <w:color w:val="000000"/>
        </w:rPr>
        <w:t>Selections from the Prison Notebooks of Antonio Gramsci.</w:t>
      </w:r>
      <w:r w:rsidRPr="00A07836">
        <w:rPr>
          <w:rFonts w:eastAsia="Times New Roman" w:cs="Times New Roman"/>
          <w:color w:val="000000"/>
        </w:rPr>
        <w:t xml:space="preserve"> New York City: International Publishers, 1975. </w:t>
      </w:r>
    </w:p>
    <w:p w14:paraId="3D3A579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Hoffman, Bruce. </w:t>
      </w:r>
      <w:r w:rsidRPr="00A07836">
        <w:rPr>
          <w:rFonts w:eastAsia="Times New Roman" w:cs="Times New Roman"/>
          <w:i/>
          <w:iCs/>
          <w:color w:val="000000"/>
        </w:rPr>
        <w:t>Inside Terrorism.</w:t>
      </w:r>
      <w:r w:rsidRPr="00A07836">
        <w:rPr>
          <w:rFonts w:eastAsia="Times New Roman" w:cs="Times New Roman"/>
          <w:color w:val="000000"/>
        </w:rPr>
        <w:t xml:space="preserve"> New York City: Columbia University Press, 2006.</w:t>
      </w:r>
    </w:p>
    <w:p w14:paraId="023F133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“Terrorism Trends and Prospects.” In </w:t>
      </w:r>
      <w:r w:rsidRPr="00A07836">
        <w:rPr>
          <w:rFonts w:eastAsia="Times New Roman" w:cs="Times New Roman"/>
          <w:i/>
          <w:iCs/>
          <w:color w:val="000000"/>
        </w:rPr>
        <w:t xml:space="preserve">Countering the New Terrorism, </w:t>
      </w:r>
      <w:r w:rsidRPr="00A07836">
        <w:rPr>
          <w:rFonts w:eastAsia="Times New Roman" w:cs="Times New Roman"/>
          <w:color w:val="000000"/>
        </w:rPr>
        <w:t>by</w:t>
      </w:r>
      <w:r w:rsidRPr="00A07836">
        <w:rPr>
          <w:rFonts w:eastAsia="Times New Roman" w:cs="Times New Roman"/>
          <w:i/>
          <w:iCs/>
          <w:color w:val="000000"/>
        </w:rPr>
        <w:t xml:space="preserve"> </w:t>
      </w:r>
      <w:r w:rsidRPr="00A07836">
        <w:rPr>
          <w:rFonts w:eastAsia="Times New Roman" w:cs="Times New Roman"/>
          <w:color w:val="000000"/>
        </w:rPr>
        <w:t xml:space="preserve">Ian O. Lesser, Bruce Hoffman, John </w:t>
      </w:r>
      <w:proofErr w:type="spellStart"/>
      <w:r w:rsidRPr="00A07836">
        <w:rPr>
          <w:rFonts w:eastAsia="Times New Roman" w:cs="Times New Roman"/>
          <w:color w:val="000000"/>
        </w:rPr>
        <w:t>Arquilla</w:t>
      </w:r>
      <w:proofErr w:type="spellEnd"/>
      <w:r w:rsidRPr="00A07836">
        <w:rPr>
          <w:rFonts w:eastAsia="Times New Roman" w:cs="Times New Roman"/>
          <w:color w:val="000000"/>
        </w:rPr>
        <w:t xml:space="preserve">, David </w:t>
      </w:r>
      <w:proofErr w:type="spellStart"/>
      <w:r w:rsidRPr="00A07836">
        <w:rPr>
          <w:rFonts w:eastAsia="Times New Roman" w:cs="Times New Roman"/>
          <w:color w:val="000000"/>
        </w:rPr>
        <w:t>Ronfeldt</w:t>
      </w:r>
      <w:proofErr w:type="spellEnd"/>
      <w:r w:rsidRPr="00A07836">
        <w:rPr>
          <w:rFonts w:eastAsia="Times New Roman" w:cs="Times New Roman"/>
          <w:color w:val="000000"/>
        </w:rPr>
        <w:t xml:space="preserve">, Michele </w:t>
      </w:r>
      <w:proofErr w:type="spellStart"/>
      <w:r w:rsidRPr="00A07836">
        <w:rPr>
          <w:rFonts w:eastAsia="Times New Roman" w:cs="Times New Roman"/>
          <w:color w:val="000000"/>
        </w:rPr>
        <w:t>Zanini</w:t>
      </w:r>
      <w:proofErr w:type="spellEnd"/>
      <w:r w:rsidRPr="00A07836">
        <w:rPr>
          <w:rFonts w:eastAsia="Times New Roman" w:cs="Times New Roman"/>
          <w:color w:val="000000"/>
        </w:rPr>
        <w:t xml:space="preserve">, and Brian Michael Jenkins, 7-38. Santa Monica: RAND Corporation, 1999. </w:t>
      </w:r>
    </w:p>
    <w:p w14:paraId="48CFD3A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Hoffman, Frank. </w:t>
      </w:r>
      <w:r w:rsidRPr="00A07836">
        <w:rPr>
          <w:rFonts w:eastAsia="Times New Roman" w:cs="Times New Roman"/>
          <w:i/>
          <w:iCs/>
          <w:color w:val="000000"/>
        </w:rPr>
        <w:t>Conflict in the 21</w:t>
      </w:r>
      <w:r w:rsidRPr="00A07836">
        <w:rPr>
          <w:rFonts w:eastAsia="Times New Roman" w:cs="Times New Roman"/>
          <w:i/>
          <w:iCs/>
          <w:color w:val="000000"/>
          <w:vertAlign w:val="superscript"/>
        </w:rPr>
        <w:t>st</w:t>
      </w:r>
      <w:r w:rsidRPr="00A07836">
        <w:rPr>
          <w:rFonts w:eastAsia="Times New Roman" w:cs="Times New Roman"/>
          <w:i/>
          <w:iCs/>
          <w:color w:val="000000"/>
        </w:rPr>
        <w:t xml:space="preserve"> Century: The Rise of Hybrid Wars. </w:t>
      </w:r>
      <w:r w:rsidRPr="00A07836">
        <w:rPr>
          <w:rFonts w:eastAsia="Times New Roman" w:cs="Times New Roman"/>
          <w:color w:val="000000"/>
        </w:rPr>
        <w:t>Arlington: Potomac Institute for Policy Studies, 2007.</w:t>
      </w:r>
    </w:p>
    <w:p w14:paraId="67F6B45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Hoskins, Andrew, and Ben O’Loughlin. </w:t>
      </w:r>
      <w:r w:rsidRPr="00A07836">
        <w:rPr>
          <w:rFonts w:eastAsia="Times New Roman" w:cs="Times New Roman"/>
          <w:i/>
          <w:iCs/>
          <w:color w:val="000000"/>
        </w:rPr>
        <w:t xml:space="preserve">War and Media. </w:t>
      </w:r>
      <w:r w:rsidRPr="00A07836">
        <w:rPr>
          <w:rFonts w:eastAsia="Times New Roman" w:cs="Times New Roman"/>
          <w:color w:val="000000"/>
        </w:rPr>
        <w:t>Cambridge: Polity Press, 2010.</w:t>
      </w:r>
    </w:p>
    <w:p w14:paraId="7E721B5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Hurd, Ian. “Constructivism.” In </w:t>
      </w:r>
      <w:r w:rsidRPr="00A07836">
        <w:rPr>
          <w:rFonts w:eastAsia="Times New Roman" w:cs="Times New Roman"/>
          <w:i/>
          <w:iCs/>
          <w:color w:val="000000"/>
        </w:rPr>
        <w:t xml:space="preserve">The Oxford Handbook of International Relations, </w:t>
      </w:r>
      <w:r w:rsidRPr="00A07836">
        <w:rPr>
          <w:rFonts w:eastAsia="Times New Roman" w:cs="Times New Roman"/>
          <w:color w:val="000000"/>
        </w:rPr>
        <w:t>edited by Christian Reus-Smit, and Duncan Snidal, 298-316. New York: Oxford University Press, 2008.</w:t>
      </w:r>
    </w:p>
    <w:p w14:paraId="7A8FC45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i/>
          <w:iCs/>
          <w:color w:val="000000"/>
        </w:rPr>
        <w:t>After Anarchy: Legitimacy and Power in the United Nations Security Council.</w:t>
      </w:r>
      <w:r w:rsidRPr="00A07836">
        <w:rPr>
          <w:rFonts w:eastAsia="Times New Roman" w:cs="Times New Roman"/>
          <w:color w:val="000000"/>
        </w:rPr>
        <w:t xml:space="preserve"> Princeton: Princeton University Press, 2007. </w:t>
      </w:r>
    </w:p>
    <w:p w14:paraId="786C9253"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Husselbee</w:t>
      </w:r>
      <w:proofErr w:type="spellEnd"/>
      <w:r w:rsidRPr="00A07836">
        <w:rPr>
          <w:rFonts w:eastAsia="Times New Roman" w:cs="Times New Roman"/>
          <w:color w:val="000000"/>
        </w:rPr>
        <w:t xml:space="preserve">, L. Paul, and Larry Elliot. “Looking Beyond Hate: How National and Regional Newspapers Framed Hate Crimes in Jasper, Texas, and Laramie, Wyoming.” </w:t>
      </w:r>
      <w:r w:rsidRPr="00A07836">
        <w:rPr>
          <w:rFonts w:eastAsia="Times New Roman" w:cs="Times New Roman"/>
          <w:i/>
          <w:iCs/>
          <w:color w:val="000000"/>
        </w:rPr>
        <w:t>Journalism and Mass Communication Quarterly</w:t>
      </w:r>
      <w:r w:rsidRPr="00A07836">
        <w:rPr>
          <w:rFonts w:eastAsia="Times New Roman" w:cs="Times New Roman"/>
          <w:color w:val="000000"/>
        </w:rPr>
        <w:t xml:space="preserve"> 79, no. 4 (2002): 833-852.</w:t>
      </w:r>
    </w:p>
    <w:p w14:paraId="78366E10"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Husymans</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Jef</w:t>
      </w:r>
      <w:proofErr w:type="spellEnd"/>
      <w:r w:rsidRPr="00A07836">
        <w:rPr>
          <w:rFonts w:eastAsia="Times New Roman" w:cs="Times New Roman"/>
          <w:color w:val="000000"/>
        </w:rPr>
        <w:t xml:space="preserve">. “Security! What Do You Mean? From Concept to Thick Signifier.” </w:t>
      </w:r>
      <w:r w:rsidRPr="00A07836">
        <w:rPr>
          <w:rFonts w:eastAsia="Times New Roman" w:cs="Times New Roman"/>
          <w:i/>
          <w:iCs/>
          <w:color w:val="000000"/>
        </w:rPr>
        <w:t>European Journal of International Relations</w:t>
      </w:r>
      <w:r w:rsidRPr="00A07836">
        <w:rPr>
          <w:rFonts w:eastAsia="Times New Roman" w:cs="Times New Roman"/>
          <w:color w:val="000000"/>
        </w:rPr>
        <w:t xml:space="preserve"> 4, no. 2 (1998): 226-255.</w:t>
      </w:r>
    </w:p>
    <w:p w14:paraId="5B295C0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Hyland, Ken. </w:t>
      </w:r>
      <w:r w:rsidRPr="00A07836">
        <w:rPr>
          <w:rFonts w:eastAsia="Times New Roman" w:cs="Times New Roman"/>
          <w:i/>
          <w:iCs/>
          <w:color w:val="000000"/>
        </w:rPr>
        <w:t xml:space="preserve">Hedging in Scientific Research Articles. </w:t>
      </w:r>
      <w:r w:rsidRPr="00A07836">
        <w:rPr>
          <w:rFonts w:eastAsia="Times New Roman" w:cs="Times New Roman"/>
          <w:color w:val="000000"/>
        </w:rPr>
        <w:t xml:space="preserve">Amsterdam: John </w:t>
      </w:r>
      <w:proofErr w:type="spellStart"/>
      <w:r w:rsidRPr="00A07836">
        <w:rPr>
          <w:rFonts w:eastAsia="Times New Roman" w:cs="Times New Roman"/>
          <w:color w:val="000000"/>
        </w:rPr>
        <w:t>Benjamins</w:t>
      </w:r>
      <w:proofErr w:type="spellEnd"/>
      <w:r w:rsidRPr="00A07836">
        <w:rPr>
          <w:rFonts w:eastAsia="Times New Roman" w:cs="Times New Roman"/>
          <w:color w:val="000000"/>
        </w:rPr>
        <w:t xml:space="preserve"> Pub. Co., 1998.</w:t>
      </w:r>
    </w:p>
    <w:p w14:paraId="5CBBD733"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Ikenberry</w:t>
      </w:r>
      <w:proofErr w:type="spellEnd"/>
      <w:r w:rsidRPr="00A07836">
        <w:rPr>
          <w:rFonts w:eastAsia="Times New Roman" w:cs="Times New Roman"/>
          <w:color w:val="000000"/>
        </w:rPr>
        <w:t xml:space="preserve">, G. John. “The Future of the Liberal World Order.” </w:t>
      </w:r>
      <w:r w:rsidRPr="00A07836">
        <w:rPr>
          <w:rFonts w:eastAsia="Times New Roman" w:cs="Times New Roman"/>
          <w:i/>
          <w:iCs/>
          <w:color w:val="000000"/>
        </w:rPr>
        <w:t>Foreign Affairs</w:t>
      </w:r>
      <w:r w:rsidRPr="00A07836">
        <w:rPr>
          <w:rFonts w:eastAsia="Times New Roman" w:cs="Times New Roman"/>
          <w:color w:val="000000"/>
        </w:rPr>
        <w:t xml:space="preserve"> (May/June 2011): 56-68.</w:t>
      </w:r>
    </w:p>
    <w:p w14:paraId="2D3B9FE3"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lastRenderedPageBreak/>
        <w:t>Iviansky</w:t>
      </w:r>
      <w:proofErr w:type="spellEnd"/>
      <w:r w:rsidRPr="00A07836">
        <w:rPr>
          <w:rFonts w:eastAsia="Times New Roman" w:cs="Times New Roman"/>
          <w:color w:val="000000"/>
        </w:rPr>
        <w:t>, Ze'ev. “Source of Inspiration for Revolutionary Terrorism – The Bakunin-</w:t>
      </w:r>
      <w:proofErr w:type="spellStart"/>
      <w:r w:rsidRPr="00A07836">
        <w:rPr>
          <w:rFonts w:eastAsia="Times New Roman" w:cs="Times New Roman"/>
          <w:color w:val="000000"/>
        </w:rPr>
        <w:t>Nechayev</w:t>
      </w:r>
      <w:proofErr w:type="spellEnd"/>
      <w:r w:rsidRPr="00A07836">
        <w:rPr>
          <w:rFonts w:eastAsia="Times New Roman" w:cs="Times New Roman"/>
          <w:color w:val="000000"/>
        </w:rPr>
        <w:t xml:space="preserve"> Alliance.” </w:t>
      </w:r>
      <w:r w:rsidRPr="00A07836">
        <w:rPr>
          <w:rFonts w:eastAsia="Times New Roman" w:cs="Times New Roman"/>
          <w:i/>
          <w:iCs/>
          <w:color w:val="000000"/>
        </w:rPr>
        <w:t>Conflict Quarterly</w:t>
      </w:r>
      <w:r w:rsidRPr="00A07836">
        <w:rPr>
          <w:rFonts w:eastAsia="Times New Roman" w:cs="Times New Roman"/>
          <w:color w:val="000000"/>
        </w:rPr>
        <w:t xml:space="preserve"> 8 (1988): 49-68. </w:t>
      </w:r>
    </w:p>
    <w:p w14:paraId="6371919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“Individual Terror: Concept and Typology.” </w:t>
      </w:r>
      <w:r w:rsidRPr="00A07836">
        <w:rPr>
          <w:rFonts w:eastAsia="Times New Roman" w:cs="Times New Roman"/>
          <w:i/>
          <w:iCs/>
          <w:color w:val="000000"/>
        </w:rPr>
        <w:t>Journal of Contemporary History</w:t>
      </w:r>
      <w:r w:rsidRPr="00A07836">
        <w:rPr>
          <w:rFonts w:eastAsia="Times New Roman" w:cs="Times New Roman"/>
          <w:color w:val="000000"/>
        </w:rPr>
        <w:t xml:space="preserve"> 12, no. 1 (1977): 43-63. </w:t>
      </w:r>
    </w:p>
    <w:p w14:paraId="16EA5A2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Iyengar, </w:t>
      </w:r>
      <w:proofErr w:type="spellStart"/>
      <w:r w:rsidRPr="00A07836">
        <w:rPr>
          <w:rFonts w:eastAsia="Times New Roman" w:cs="Times New Roman"/>
          <w:color w:val="000000"/>
        </w:rPr>
        <w:t>Shanto</w:t>
      </w:r>
      <w:proofErr w:type="spellEnd"/>
      <w:r w:rsidRPr="00A07836">
        <w:rPr>
          <w:rFonts w:eastAsia="Times New Roman" w:cs="Times New Roman"/>
          <w:color w:val="000000"/>
        </w:rPr>
        <w:t xml:space="preserve">. </w:t>
      </w:r>
      <w:r w:rsidRPr="00A07836">
        <w:rPr>
          <w:rFonts w:eastAsia="Times New Roman" w:cs="Times New Roman"/>
          <w:i/>
          <w:iCs/>
          <w:color w:val="000000"/>
        </w:rPr>
        <w:t xml:space="preserve">Is Anyone </w:t>
      </w:r>
      <w:proofErr w:type="gramStart"/>
      <w:r w:rsidRPr="00A07836">
        <w:rPr>
          <w:rFonts w:eastAsia="Times New Roman" w:cs="Times New Roman"/>
          <w:i/>
          <w:iCs/>
          <w:color w:val="000000"/>
        </w:rPr>
        <w:t>Responsible?:</w:t>
      </w:r>
      <w:proofErr w:type="gramEnd"/>
      <w:r w:rsidRPr="00A07836">
        <w:rPr>
          <w:rFonts w:eastAsia="Times New Roman" w:cs="Times New Roman"/>
          <w:i/>
          <w:iCs/>
          <w:color w:val="000000"/>
        </w:rPr>
        <w:t xml:space="preserve"> How Television Frames Political Issues</w:t>
      </w:r>
      <w:r w:rsidRPr="00A07836">
        <w:rPr>
          <w:rFonts w:eastAsia="Times New Roman" w:cs="Times New Roman"/>
          <w:color w:val="000000"/>
        </w:rPr>
        <w:t>. Chicago: University of Chicago Press, 1991.</w:t>
      </w:r>
    </w:p>
    <w:p w14:paraId="3791EC1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Jackson, Richard. “Core Commitments of Critical Terrorism Studies.” </w:t>
      </w:r>
      <w:r w:rsidRPr="00A07836">
        <w:rPr>
          <w:rFonts w:eastAsia="Times New Roman" w:cs="Times New Roman"/>
          <w:i/>
          <w:iCs/>
          <w:color w:val="000000"/>
        </w:rPr>
        <w:t>European Political Science</w:t>
      </w:r>
      <w:r w:rsidRPr="00A07836">
        <w:rPr>
          <w:rFonts w:eastAsia="Times New Roman" w:cs="Times New Roman"/>
          <w:color w:val="000000"/>
        </w:rPr>
        <w:t xml:space="preserve"> 6, no. 3 (2007): 244-251.</w:t>
      </w:r>
    </w:p>
    <w:p w14:paraId="741A878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Jackson, Sam. “Non-normative Political Extremism: Reclaiming a Concept’s Analytical Utility.” </w:t>
      </w:r>
      <w:r w:rsidRPr="00A07836">
        <w:rPr>
          <w:rFonts w:eastAsia="Times New Roman" w:cs="Times New Roman"/>
          <w:i/>
          <w:iCs/>
          <w:color w:val="000000"/>
        </w:rPr>
        <w:t xml:space="preserve">Terrorism and Political Violence </w:t>
      </w:r>
      <w:r w:rsidRPr="00A07836">
        <w:rPr>
          <w:rFonts w:eastAsia="Times New Roman" w:cs="Times New Roman"/>
          <w:color w:val="000000"/>
        </w:rPr>
        <w:t>(2016): 1-16.</w:t>
      </w:r>
    </w:p>
    <w:p w14:paraId="38CEB5E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Jeffery, Renée. “Evil and the Problem of Responsibility.” </w:t>
      </w:r>
      <w:r w:rsidRPr="00A07836">
        <w:rPr>
          <w:rFonts w:eastAsia="Times New Roman" w:cs="Times New Roman"/>
          <w:i/>
          <w:iCs/>
          <w:color w:val="000000"/>
        </w:rPr>
        <w:t>Confronting Evil in International Relations: Ethical Reponses to Problems of Moral Agency</w:t>
      </w:r>
      <w:r w:rsidRPr="00A07836">
        <w:rPr>
          <w:rFonts w:eastAsia="Times New Roman" w:cs="Times New Roman"/>
          <w:color w:val="000000"/>
        </w:rPr>
        <w:t xml:space="preserve"> (2008): 11-33.</w:t>
      </w:r>
    </w:p>
    <w:p w14:paraId="6D24AFEF"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Jeffrey, Alex, Fiona McConnell, and Alice Wilson. “Understanding Legitimacy: Perspectives from Anomalous Geopolitical Spaces.” </w:t>
      </w:r>
      <w:proofErr w:type="spellStart"/>
      <w:r w:rsidRPr="00A07836">
        <w:rPr>
          <w:rFonts w:eastAsia="Times New Roman" w:cs="Times New Roman"/>
          <w:i/>
          <w:iCs/>
          <w:color w:val="000000"/>
        </w:rPr>
        <w:t>Geoforum</w:t>
      </w:r>
      <w:proofErr w:type="spellEnd"/>
      <w:r w:rsidRPr="00A07836">
        <w:rPr>
          <w:rFonts w:eastAsia="Times New Roman" w:cs="Times New Roman"/>
          <w:i/>
          <w:iCs/>
          <w:color w:val="000000"/>
        </w:rPr>
        <w:t xml:space="preserve"> </w:t>
      </w:r>
      <w:r w:rsidRPr="00A07836">
        <w:rPr>
          <w:rFonts w:eastAsia="Times New Roman" w:cs="Times New Roman"/>
          <w:color w:val="000000"/>
        </w:rPr>
        <w:t>66 (2015): 177-183.</w:t>
      </w:r>
    </w:p>
    <w:p w14:paraId="337E684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Jenkins, Brian Michael. “</w:t>
      </w:r>
      <w:proofErr w:type="spellStart"/>
      <w:r w:rsidRPr="00A07836">
        <w:rPr>
          <w:rFonts w:eastAsia="Times New Roman" w:cs="Times New Roman"/>
          <w:color w:val="000000"/>
        </w:rPr>
        <w:t>Foreward</w:t>
      </w:r>
      <w:proofErr w:type="spellEnd"/>
      <w:r w:rsidRPr="00A07836">
        <w:rPr>
          <w:rFonts w:eastAsia="Times New Roman" w:cs="Times New Roman"/>
          <w:color w:val="000000"/>
        </w:rPr>
        <w:t xml:space="preserve">.” In </w:t>
      </w:r>
      <w:r w:rsidRPr="00A07836">
        <w:rPr>
          <w:rFonts w:eastAsia="Times New Roman" w:cs="Times New Roman"/>
          <w:i/>
          <w:iCs/>
          <w:color w:val="000000"/>
        </w:rPr>
        <w:t xml:space="preserve">Countering the New Terrorism, </w:t>
      </w:r>
      <w:r w:rsidRPr="00A07836">
        <w:rPr>
          <w:rFonts w:eastAsia="Times New Roman" w:cs="Times New Roman"/>
          <w:color w:val="000000"/>
        </w:rPr>
        <w:t>by</w:t>
      </w:r>
      <w:r w:rsidRPr="00A07836">
        <w:rPr>
          <w:rFonts w:eastAsia="Times New Roman" w:cs="Times New Roman"/>
          <w:i/>
          <w:iCs/>
          <w:color w:val="000000"/>
        </w:rPr>
        <w:t xml:space="preserve"> </w:t>
      </w:r>
      <w:r w:rsidRPr="00A07836">
        <w:rPr>
          <w:rFonts w:eastAsia="Times New Roman" w:cs="Times New Roman"/>
          <w:color w:val="000000"/>
        </w:rPr>
        <w:t xml:space="preserve">Ian O. Lesser, Bruce Hoffman, John </w:t>
      </w:r>
      <w:proofErr w:type="spellStart"/>
      <w:r w:rsidRPr="00A07836">
        <w:rPr>
          <w:rFonts w:eastAsia="Times New Roman" w:cs="Times New Roman"/>
          <w:color w:val="000000"/>
        </w:rPr>
        <w:t>Arquilla</w:t>
      </w:r>
      <w:proofErr w:type="spellEnd"/>
      <w:r w:rsidRPr="00A07836">
        <w:rPr>
          <w:rFonts w:eastAsia="Times New Roman" w:cs="Times New Roman"/>
          <w:color w:val="000000"/>
        </w:rPr>
        <w:t xml:space="preserve">, David </w:t>
      </w:r>
      <w:proofErr w:type="spellStart"/>
      <w:r w:rsidRPr="00A07836">
        <w:rPr>
          <w:rFonts w:eastAsia="Times New Roman" w:cs="Times New Roman"/>
          <w:color w:val="000000"/>
        </w:rPr>
        <w:t>Ronfeldt</w:t>
      </w:r>
      <w:proofErr w:type="spellEnd"/>
      <w:r w:rsidRPr="00A07836">
        <w:rPr>
          <w:rFonts w:eastAsia="Times New Roman" w:cs="Times New Roman"/>
          <w:color w:val="000000"/>
        </w:rPr>
        <w:t xml:space="preserve">, Michele </w:t>
      </w:r>
      <w:proofErr w:type="spellStart"/>
      <w:r w:rsidRPr="00A07836">
        <w:rPr>
          <w:rFonts w:eastAsia="Times New Roman" w:cs="Times New Roman"/>
          <w:color w:val="000000"/>
        </w:rPr>
        <w:t>Zanini</w:t>
      </w:r>
      <w:proofErr w:type="spellEnd"/>
      <w:r w:rsidRPr="00A07836">
        <w:rPr>
          <w:rFonts w:eastAsia="Times New Roman" w:cs="Times New Roman"/>
          <w:color w:val="000000"/>
        </w:rPr>
        <w:t>, and Brian Michael Jenkins, iii-xiv. Santa Monica: RAND Corporation, 1999.</w:t>
      </w:r>
    </w:p>
    <w:p w14:paraId="13740AD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“The Psychological Implications of Media-Covered Terrorism.” </w:t>
      </w:r>
      <w:r w:rsidRPr="00A07836">
        <w:rPr>
          <w:rFonts w:eastAsia="Times New Roman" w:cs="Times New Roman"/>
          <w:i/>
          <w:iCs/>
          <w:color w:val="000000"/>
        </w:rPr>
        <w:t>RAND Corporation</w:t>
      </w:r>
      <w:r w:rsidRPr="00A07836">
        <w:rPr>
          <w:rFonts w:eastAsia="Times New Roman" w:cs="Times New Roman"/>
          <w:color w:val="000000"/>
        </w:rPr>
        <w:t xml:space="preserve"> (1981): 1-9.</w:t>
      </w:r>
    </w:p>
    <w:p w14:paraId="65D0D52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Jenkins, Bruce. “The Study of Terrorism: Definitional Problems.” Presented at the 1978 meeting of The Institute of Management Sciences and Operations Research Society of America in New York, NY on May 3, 1978.</w:t>
      </w:r>
    </w:p>
    <w:p w14:paraId="178D834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Jenkins, Henry. “The Cultural Logic of Media Convergence.” </w:t>
      </w:r>
      <w:r w:rsidRPr="00A07836">
        <w:rPr>
          <w:rFonts w:eastAsia="Times New Roman" w:cs="Times New Roman"/>
          <w:i/>
          <w:iCs/>
          <w:color w:val="000000"/>
        </w:rPr>
        <w:t>International Journal of Cultural Studies</w:t>
      </w:r>
      <w:r w:rsidRPr="00A07836">
        <w:rPr>
          <w:rFonts w:eastAsia="Times New Roman" w:cs="Times New Roman"/>
          <w:color w:val="000000"/>
        </w:rPr>
        <w:t xml:space="preserve"> 7, no. 1 (2004): 33-43. </w:t>
      </w:r>
    </w:p>
    <w:p w14:paraId="2AF2BD7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Jensen, Richard Bach. </w:t>
      </w:r>
      <w:r w:rsidRPr="00A07836">
        <w:rPr>
          <w:rFonts w:eastAsia="Times New Roman" w:cs="Times New Roman"/>
          <w:i/>
          <w:iCs/>
          <w:color w:val="000000"/>
        </w:rPr>
        <w:t xml:space="preserve">The Battle Against Anarchist Terrorism: An International History 1878-1934. </w:t>
      </w:r>
      <w:r w:rsidRPr="00A07836">
        <w:rPr>
          <w:rFonts w:eastAsia="Times New Roman" w:cs="Times New Roman"/>
          <w:color w:val="000000"/>
        </w:rPr>
        <w:t>Cambridge: Cambridge University Press, 2014.</w:t>
      </w:r>
    </w:p>
    <w:p w14:paraId="3D5A992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“Daggers, Rifles and Dynamite: Anarchist Terrorism in Nineteenth Century Europe.” </w:t>
      </w:r>
      <w:r w:rsidRPr="00A07836">
        <w:rPr>
          <w:rFonts w:eastAsia="Times New Roman" w:cs="Times New Roman"/>
          <w:i/>
          <w:iCs/>
          <w:color w:val="000000"/>
        </w:rPr>
        <w:t xml:space="preserve">Terrorism and Political Violence </w:t>
      </w:r>
      <w:r w:rsidRPr="00A07836">
        <w:rPr>
          <w:rFonts w:eastAsia="Times New Roman" w:cs="Times New Roman"/>
          <w:color w:val="000000"/>
        </w:rPr>
        <w:t>16, no. 1 (2004): 116-153.</w:t>
      </w:r>
    </w:p>
    <w:p w14:paraId="57B245B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Johnston, Jane, and Susan Forde. “‘Not Wrong for Long’: The Role and Penetration of News Wire Agencies in the 24/7 Landscape.” </w:t>
      </w:r>
      <w:r w:rsidRPr="00A07836">
        <w:rPr>
          <w:rFonts w:eastAsia="Times New Roman" w:cs="Times New Roman"/>
          <w:i/>
          <w:iCs/>
          <w:color w:val="000000"/>
        </w:rPr>
        <w:t>Global Media Journal-Australian Edition</w:t>
      </w:r>
      <w:r w:rsidRPr="00A07836">
        <w:rPr>
          <w:rFonts w:eastAsia="Times New Roman" w:cs="Times New Roman"/>
          <w:color w:val="000000"/>
        </w:rPr>
        <w:t xml:space="preserve"> 3, no. 2 (2009): 1-16. </w:t>
      </w:r>
    </w:p>
    <w:p w14:paraId="6D2A0B9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Kaldor, Mary. </w:t>
      </w:r>
      <w:r w:rsidRPr="00A07836">
        <w:rPr>
          <w:rFonts w:eastAsia="Times New Roman" w:cs="Times New Roman"/>
          <w:i/>
          <w:iCs/>
          <w:color w:val="000000"/>
        </w:rPr>
        <w:t>New and Old Wars.</w:t>
      </w:r>
      <w:r w:rsidRPr="00A07836">
        <w:rPr>
          <w:rFonts w:eastAsia="Times New Roman" w:cs="Times New Roman"/>
          <w:color w:val="000000"/>
        </w:rPr>
        <w:t xml:space="preserve"> Arlington, VA: Potomac Institute for Policy Studies, 1999.</w:t>
      </w:r>
    </w:p>
    <w:p w14:paraId="010BBF4F"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Katzenstein, Peter. </w:t>
      </w:r>
      <w:r w:rsidRPr="00A07836">
        <w:rPr>
          <w:rFonts w:eastAsia="Times New Roman" w:cs="Times New Roman"/>
          <w:i/>
          <w:iCs/>
          <w:color w:val="000000"/>
        </w:rPr>
        <w:t>The Culture of National Security: Norms and Identity in World Politics</w:t>
      </w:r>
      <w:r w:rsidRPr="00A07836">
        <w:rPr>
          <w:rFonts w:eastAsia="Times New Roman" w:cs="Times New Roman"/>
          <w:color w:val="000000"/>
        </w:rPr>
        <w:t xml:space="preserve">. New York City: Columbia University Press, 1996. </w:t>
      </w:r>
    </w:p>
    <w:p w14:paraId="3AB6DB31" w14:textId="77777777" w:rsidR="00F072B0"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Keohane, Robert O. “International relations and international law: two optics.”  In </w:t>
      </w:r>
      <w:r w:rsidRPr="00A07836">
        <w:rPr>
          <w:rFonts w:eastAsia="Times New Roman" w:cs="Times New Roman"/>
          <w:i/>
          <w:iCs/>
          <w:color w:val="000000"/>
        </w:rPr>
        <w:t>Power and Governance in a Partially Globalized World,</w:t>
      </w:r>
      <w:r w:rsidRPr="00A07836">
        <w:rPr>
          <w:rFonts w:eastAsia="Times New Roman" w:cs="Times New Roman"/>
          <w:color w:val="000000"/>
        </w:rPr>
        <w:t xml:space="preserve"> edited by Robert O. Keohane, 117-131. London: Routledge, 2002.</w:t>
      </w:r>
    </w:p>
    <w:p w14:paraId="7F2089E0" w14:textId="7EF7963E" w:rsidR="00F73A6C" w:rsidRPr="00F73A6C" w:rsidRDefault="00F73A6C" w:rsidP="00F072B0">
      <w:pPr>
        <w:spacing w:after="240"/>
        <w:ind w:left="567" w:hanging="567"/>
        <w:rPr>
          <w:rFonts w:eastAsia="Times New Roman" w:cs="Times New Roman"/>
          <w:color w:val="000000"/>
          <w:szCs w:val="22"/>
        </w:rPr>
      </w:pPr>
      <w:r w:rsidRPr="00F73A6C">
        <w:rPr>
          <w:szCs w:val="22"/>
        </w:rPr>
        <w:t>Keohane, Robert O., and Joseph S. Nye Jr.,</w:t>
      </w:r>
      <w:r w:rsidRPr="00F73A6C">
        <w:rPr>
          <w:i/>
          <w:iCs/>
          <w:szCs w:val="22"/>
        </w:rPr>
        <w:t xml:space="preserve"> Power and Interdependence</w:t>
      </w:r>
      <w:r w:rsidRPr="00F73A6C">
        <w:rPr>
          <w:szCs w:val="22"/>
        </w:rPr>
        <w:t xml:space="preserve"> (4</w:t>
      </w:r>
      <w:r w:rsidRPr="00F73A6C">
        <w:rPr>
          <w:szCs w:val="22"/>
          <w:vertAlign w:val="superscript"/>
        </w:rPr>
        <w:t>th</w:t>
      </w:r>
      <w:r w:rsidRPr="00F73A6C">
        <w:rPr>
          <w:szCs w:val="22"/>
        </w:rPr>
        <w:t xml:space="preserve"> ed.)</w:t>
      </w:r>
      <w:r>
        <w:rPr>
          <w:szCs w:val="22"/>
        </w:rPr>
        <w:t xml:space="preserve"> </w:t>
      </w:r>
      <w:r w:rsidRPr="00F73A6C">
        <w:rPr>
          <w:szCs w:val="22"/>
        </w:rPr>
        <w:t>(Boston, MA: Longman, 2012).</w:t>
      </w:r>
    </w:p>
    <w:p w14:paraId="1403C810"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Kinna</w:t>
      </w:r>
      <w:proofErr w:type="spellEnd"/>
      <w:r w:rsidRPr="00A07836">
        <w:rPr>
          <w:rFonts w:eastAsia="Times New Roman" w:cs="Times New Roman"/>
          <w:color w:val="000000"/>
        </w:rPr>
        <w:t xml:space="preserve">, Ruth. </w:t>
      </w:r>
      <w:r w:rsidRPr="00A07836">
        <w:rPr>
          <w:rFonts w:eastAsia="Times New Roman" w:cs="Times New Roman"/>
          <w:i/>
          <w:iCs/>
          <w:color w:val="000000"/>
        </w:rPr>
        <w:t>Early Writings on Terrorism, Vol. 4.</w:t>
      </w:r>
      <w:r w:rsidRPr="00A07836">
        <w:rPr>
          <w:rFonts w:eastAsia="Times New Roman" w:cs="Times New Roman"/>
          <w:color w:val="000000"/>
        </w:rPr>
        <w:t xml:space="preserve"> London: Routledge, 2006. </w:t>
      </w:r>
    </w:p>
    <w:p w14:paraId="701EC3E8"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Kiousis</w:t>
      </w:r>
      <w:proofErr w:type="spellEnd"/>
      <w:r w:rsidRPr="00A07836">
        <w:rPr>
          <w:rFonts w:eastAsia="Times New Roman" w:cs="Times New Roman"/>
          <w:color w:val="000000"/>
        </w:rPr>
        <w:t xml:space="preserve">, Spiro. “Public Trust or Mistrust? Perceptions of Media Credibility in the Information Age.” </w:t>
      </w:r>
      <w:r w:rsidRPr="00A07836">
        <w:rPr>
          <w:rFonts w:eastAsia="Times New Roman" w:cs="Times New Roman"/>
          <w:i/>
          <w:iCs/>
          <w:color w:val="000000"/>
        </w:rPr>
        <w:t>Mass Communication and Society</w:t>
      </w:r>
      <w:r w:rsidRPr="00A07836">
        <w:rPr>
          <w:rFonts w:eastAsia="Times New Roman" w:cs="Times New Roman"/>
          <w:color w:val="000000"/>
        </w:rPr>
        <w:t xml:space="preserve"> 4, no. 4 (2001): 381-403.</w:t>
      </w:r>
    </w:p>
    <w:p w14:paraId="674EA107"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Kis-Katos</w:t>
      </w:r>
      <w:proofErr w:type="spellEnd"/>
      <w:r w:rsidRPr="00A07836">
        <w:rPr>
          <w:rFonts w:eastAsia="Times New Roman" w:cs="Times New Roman"/>
          <w:color w:val="000000"/>
        </w:rPr>
        <w:t xml:space="preserve">, Krisztina, Helge Liebert, and Günther G. Schultz. “On the Origin of Domestic and International Terrorism.” </w:t>
      </w:r>
      <w:r w:rsidRPr="00A07836">
        <w:rPr>
          <w:rFonts w:eastAsia="Times New Roman" w:cs="Times New Roman"/>
          <w:i/>
          <w:iCs/>
          <w:color w:val="000000"/>
        </w:rPr>
        <w:t>European Journal of Political Economy</w:t>
      </w:r>
      <w:r w:rsidRPr="00A07836">
        <w:rPr>
          <w:rFonts w:eastAsia="Times New Roman" w:cs="Times New Roman"/>
          <w:color w:val="000000"/>
        </w:rPr>
        <w:t xml:space="preserve"> 27 (2011): 517-536.</w:t>
      </w:r>
    </w:p>
    <w:p w14:paraId="4E846C3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Knapp, Jeffrey A. “Nexis Uni.” </w:t>
      </w:r>
      <w:r w:rsidRPr="00A07836">
        <w:rPr>
          <w:rFonts w:eastAsia="Times New Roman" w:cs="Times New Roman"/>
          <w:i/>
          <w:iCs/>
          <w:color w:val="000000"/>
        </w:rPr>
        <w:t>The Charleston Advisor</w:t>
      </w:r>
      <w:r w:rsidRPr="00A07836">
        <w:rPr>
          <w:rFonts w:eastAsia="Times New Roman" w:cs="Times New Roman"/>
          <w:color w:val="000000"/>
        </w:rPr>
        <w:t xml:space="preserve"> 19, no. 3 (2018): 31-34. </w:t>
      </w:r>
    </w:p>
    <w:p w14:paraId="4938A90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Kotler, Philip, and Gerald </w:t>
      </w:r>
      <w:proofErr w:type="spellStart"/>
      <w:r w:rsidRPr="00A07836">
        <w:rPr>
          <w:rFonts w:eastAsia="Times New Roman" w:cs="Times New Roman"/>
          <w:color w:val="000000"/>
        </w:rPr>
        <w:t>Zaltman</w:t>
      </w:r>
      <w:proofErr w:type="spellEnd"/>
      <w:r w:rsidRPr="00A07836">
        <w:rPr>
          <w:rFonts w:eastAsia="Times New Roman" w:cs="Times New Roman"/>
          <w:color w:val="000000"/>
        </w:rPr>
        <w:t xml:space="preserve">. “Social Marketing: An Approach to Planned Social Change.” </w:t>
      </w:r>
      <w:r w:rsidRPr="00A07836">
        <w:rPr>
          <w:rFonts w:eastAsia="Times New Roman" w:cs="Times New Roman"/>
          <w:i/>
          <w:iCs/>
          <w:color w:val="000000"/>
        </w:rPr>
        <w:t>Journal of Marketing</w:t>
      </w:r>
      <w:r w:rsidRPr="00A07836">
        <w:rPr>
          <w:rFonts w:eastAsia="Times New Roman" w:cs="Times New Roman"/>
          <w:color w:val="000000"/>
        </w:rPr>
        <w:t xml:space="preserve"> 35, no. 3 (1971): 3-12.</w:t>
      </w:r>
    </w:p>
    <w:p w14:paraId="1DB8BDE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Kovach, Bill, and Tim Rosenstiel. </w:t>
      </w:r>
      <w:r w:rsidRPr="00A07836">
        <w:rPr>
          <w:rFonts w:eastAsia="Times New Roman" w:cs="Times New Roman"/>
          <w:i/>
          <w:iCs/>
          <w:color w:val="000000"/>
        </w:rPr>
        <w:t>Warp Speed: America in the Age of Mixed Media.</w:t>
      </w:r>
      <w:r w:rsidRPr="00A07836">
        <w:rPr>
          <w:rFonts w:eastAsia="Times New Roman" w:cs="Times New Roman"/>
          <w:color w:val="000000"/>
        </w:rPr>
        <w:t xml:space="preserve"> New York City: Century Foundation Press, 1999.</w:t>
      </w:r>
    </w:p>
    <w:p w14:paraId="535AB47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Krasner, Stephen D., and Janice E. Thomson. “Global Transactions and Consolidation of Sovereignty.” In </w:t>
      </w:r>
      <w:r w:rsidRPr="00A07836">
        <w:rPr>
          <w:rFonts w:eastAsia="Times New Roman" w:cs="Times New Roman"/>
          <w:i/>
          <w:iCs/>
          <w:color w:val="000000"/>
        </w:rPr>
        <w:t xml:space="preserve">Global Changes and Theoretical Challenges, </w:t>
      </w:r>
      <w:r w:rsidRPr="00A07836">
        <w:rPr>
          <w:rFonts w:eastAsia="Times New Roman" w:cs="Times New Roman"/>
          <w:color w:val="000000"/>
        </w:rPr>
        <w:t xml:space="preserve">edited by Ernst-Otto </w:t>
      </w:r>
      <w:proofErr w:type="spellStart"/>
      <w:r w:rsidRPr="00A07836">
        <w:rPr>
          <w:rFonts w:eastAsia="Times New Roman" w:cs="Times New Roman"/>
          <w:color w:val="000000"/>
        </w:rPr>
        <w:t>Czempiel</w:t>
      </w:r>
      <w:proofErr w:type="spellEnd"/>
      <w:r w:rsidRPr="00A07836">
        <w:rPr>
          <w:rFonts w:eastAsia="Times New Roman" w:cs="Times New Roman"/>
          <w:color w:val="000000"/>
        </w:rPr>
        <w:t xml:space="preserve">, and James N. Rosenau, 195-219. Lexington: Lexington Books, 1989. </w:t>
      </w:r>
    </w:p>
    <w:p w14:paraId="59C9253F"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Kratochwil</w:t>
      </w:r>
      <w:proofErr w:type="spellEnd"/>
      <w:r w:rsidRPr="00A07836">
        <w:rPr>
          <w:rFonts w:eastAsia="Times New Roman" w:cs="Times New Roman"/>
          <w:color w:val="000000"/>
        </w:rPr>
        <w:t xml:space="preserve">, Friedrich, and John G. </w:t>
      </w:r>
      <w:proofErr w:type="spellStart"/>
      <w:r w:rsidRPr="00A07836">
        <w:rPr>
          <w:rFonts w:eastAsia="Times New Roman" w:cs="Times New Roman"/>
          <w:color w:val="000000"/>
        </w:rPr>
        <w:t>Ruggie</w:t>
      </w:r>
      <w:proofErr w:type="spellEnd"/>
      <w:r w:rsidRPr="00A07836">
        <w:rPr>
          <w:rFonts w:eastAsia="Times New Roman" w:cs="Times New Roman"/>
          <w:color w:val="000000"/>
        </w:rPr>
        <w:t xml:space="preserve">. “The State of the Art, or the Art of the State.” </w:t>
      </w:r>
      <w:r w:rsidRPr="00A07836">
        <w:rPr>
          <w:rFonts w:eastAsia="Times New Roman" w:cs="Times New Roman"/>
          <w:i/>
          <w:iCs/>
          <w:color w:val="000000"/>
        </w:rPr>
        <w:t xml:space="preserve">International Organization </w:t>
      </w:r>
      <w:r w:rsidRPr="00A07836">
        <w:rPr>
          <w:rFonts w:eastAsia="Times New Roman" w:cs="Times New Roman"/>
          <w:color w:val="000000"/>
        </w:rPr>
        <w:t>40 (1986): 753-776.</w:t>
      </w:r>
    </w:p>
    <w:p w14:paraId="14A6C5B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Krause, Keith, and Michael C. Williams. </w:t>
      </w:r>
      <w:r w:rsidRPr="00A07836">
        <w:rPr>
          <w:rFonts w:eastAsia="Times New Roman" w:cs="Times New Roman"/>
          <w:i/>
          <w:iCs/>
          <w:color w:val="000000"/>
        </w:rPr>
        <w:t xml:space="preserve">Critical Security Studies: Concepts and Cases. </w:t>
      </w:r>
      <w:r w:rsidRPr="00A07836">
        <w:rPr>
          <w:rFonts w:eastAsia="Times New Roman" w:cs="Times New Roman"/>
          <w:color w:val="000000"/>
        </w:rPr>
        <w:t xml:space="preserve">Minneapolis: University of Minnesota Press, 1997. </w:t>
      </w:r>
    </w:p>
    <w:p w14:paraId="5CFAEF0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Laqueur, Walter. </w:t>
      </w:r>
      <w:r w:rsidRPr="00A07836">
        <w:rPr>
          <w:rFonts w:eastAsia="Times New Roman" w:cs="Times New Roman"/>
          <w:i/>
          <w:iCs/>
          <w:color w:val="000000"/>
        </w:rPr>
        <w:t>No End to War: Terrorism in the Twenty-First Century</w:t>
      </w:r>
      <w:r w:rsidRPr="00A07836">
        <w:rPr>
          <w:rFonts w:eastAsia="Times New Roman" w:cs="Times New Roman"/>
          <w:color w:val="000000"/>
        </w:rPr>
        <w:t>. New York City: Continuum, 2003.</w:t>
      </w:r>
    </w:p>
    <w:p w14:paraId="21B1476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“Left, Right, and Beyond: The Changing Face of Terror.” In </w:t>
      </w:r>
      <w:r w:rsidRPr="00A07836">
        <w:rPr>
          <w:rFonts w:eastAsia="Times New Roman" w:cs="Times New Roman"/>
          <w:i/>
          <w:iCs/>
          <w:color w:val="000000"/>
        </w:rPr>
        <w:t>How Did This Happen? Terrorism and the New War</w:t>
      </w:r>
      <w:r w:rsidRPr="00A07836">
        <w:rPr>
          <w:rFonts w:eastAsia="Times New Roman" w:cs="Times New Roman"/>
          <w:color w:val="000000"/>
        </w:rPr>
        <w:t>, by James F. Hoge, Jr., and Gideon Rose, 71-82. New York City: Public Affairs Press, 2001.</w:t>
      </w:r>
    </w:p>
    <w:p w14:paraId="290BE13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i/>
          <w:iCs/>
          <w:color w:val="000000"/>
        </w:rPr>
        <w:t xml:space="preserve">A History of Terrorism. </w:t>
      </w:r>
      <w:r w:rsidRPr="00A07836">
        <w:rPr>
          <w:rFonts w:eastAsia="Times New Roman" w:cs="Times New Roman"/>
          <w:color w:val="000000"/>
        </w:rPr>
        <w:t>New Brunswick: Transaction, 2001.</w:t>
      </w:r>
    </w:p>
    <w:p w14:paraId="47CB4BA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i/>
          <w:iCs/>
          <w:color w:val="000000"/>
        </w:rPr>
        <w:t>The Age of Terrorism</w:t>
      </w:r>
      <w:r w:rsidRPr="00A07836">
        <w:rPr>
          <w:rFonts w:eastAsia="Times New Roman" w:cs="Times New Roman"/>
          <w:color w:val="000000"/>
        </w:rPr>
        <w:t xml:space="preserve">. Boston: Little Brown and Co., 1987. </w:t>
      </w:r>
    </w:p>
    <w:p w14:paraId="5D211AC1"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Lasswell</w:t>
      </w:r>
      <w:proofErr w:type="spellEnd"/>
      <w:r w:rsidRPr="00A07836">
        <w:rPr>
          <w:rFonts w:eastAsia="Times New Roman" w:cs="Times New Roman"/>
          <w:color w:val="000000"/>
        </w:rPr>
        <w:t xml:space="preserve">, Harold Dwight. “The Structure and Function of Communication in Society.” In </w:t>
      </w:r>
      <w:r w:rsidRPr="00A07836">
        <w:rPr>
          <w:rFonts w:eastAsia="Times New Roman" w:cs="Times New Roman"/>
          <w:i/>
          <w:iCs/>
          <w:color w:val="000000"/>
        </w:rPr>
        <w:t>Mass Communications,</w:t>
      </w:r>
      <w:r w:rsidRPr="00A07836">
        <w:rPr>
          <w:rFonts w:eastAsia="Times New Roman" w:cs="Times New Roman"/>
          <w:color w:val="000000"/>
        </w:rPr>
        <w:t xml:space="preserve"> edited by Wilbur Schramm, 102-115. Urbana: University of Illinois Press, 1949.</w:t>
      </w:r>
    </w:p>
    <w:p w14:paraId="5A0C51F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i/>
          <w:iCs/>
          <w:color w:val="000000"/>
        </w:rPr>
        <w:t xml:space="preserve">Propaganda Technique in the World War. </w:t>
      </w:r>
      <w:r w:rsidRPr="00A07836">
        <w:rPr>
          <w:rFonts w:eastAsia="Times New Roman" w:cs="Times New Roman"/>
          <w:color w:val="000000"/>
        </w:rPr>
        <w:t xml:space="preserve">London: K. Paul, 1927. </w:t>
      </w:r>
    </w:p>
    <w:p w14:paraId="25B0D07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Law, Randall. </w:t>
      </w:r>
      <w:r w:rsidRPr="00A07836">
        <w:rPr>
          <w:rFonts w:eastAsia="Times New Roman" w:cs="Times New Roman"/>
          <w:i/>
          <w:iCs/>
          <w:color w:val="000000"/>
        </w:rPr>
        <w:t xml:space="preserve">Terrorism: A History. </w:t>
      </w:r>
      <w:r w:rsidRPr="00A07836">
        <w:rPr>
          <w:rFonts w:eastAsia="Times New Roman" w:cs="Times New Roman"/>
          <w:color w:val="000000"/>
        </w:rPr>
        <w:t>Cambridge: Polity Press, 2009.</w:t>
      </w:r>
    </w:p>
    <w:p w14:paraId="0B39278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lastRenderedPageBreak/>
        <w:t>Lazarsfeld</w:t>
      </w:r>
      <w:proofErr w:type="spellEnd"/>
      <w:r w:rsidRPr="00A07836">
        <w:rPr>
          <w:rFonts w:eastAsia="Times New Roman" w:cs="Times New Roman"/>
          <w:color w:val="000000"/>
        </w:rPr>
        <w:t xml:space="preserve">, Paul, and Robert K. Merton, “Mass Communication, Popular Taste and Organized Social Action.” In </w:t>
      </w:r>
      <w:r w:rsidRPr="00A07836">
        <w:rPr>
          <w:rFonts w:eastAsia="Times New Roman" w:cs="Times New Roman"/>
          <w:i/>
          <w:iCs/>
          <w:color w:val="000000"/>
        </w:rPr>
        <w:t xml:space="preserve">The Processes and Effects of Mass Communication, </w:t>
      </w:r>
      <w:r w:rsidRPr="00A07836">
        <w:rPr>
          <w:rFonts w:eastAsia="Times New Roman" w:cs="Times New Roman"/>
          <w:color w:val="000000"/>
        </w:rPr>
        <w:t>edited by Wilbur Schramm, and Donald F. Roberts, 554-578.</w:t>
      </w:r>
      <w:r w:rsidRPr="00A07836">
        <w:rPr>
          <w:rFonts w:eastAsia="Times New Roman" w:cs="Times New Roman"/>
          <w:i/>
          <w:iCs/>
          <w:color w:val="000000"/>
        </w:rPr>
        <w:t xml:space="preserve"> </w:t>
      </w:r>
      <w:r w:rsidRPr="00A07836">
        <w:rPr>
          <w:rFonts w:eastAsia="Times New Roman" w:cs="Times New Roman"/>
          <w:color w:val="000000"/>
        </w:rPr>
        <w:t>Urbana: University of Illinois Press, 1971.</w:t>
      </w:r>
    </w:p>
    <w:p w14:paraId="2AADA9B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Lepgold</w:t>
      </w:r>
      <w:proofErr w:type="spellEnd"/>
      <w:r w:rsidRPr="00A07836">
        <w:rPr>
          <w:rFonts w:eastAsia="Times New Roman" w:cs="Times New Roman"/>
          <w:color w:val="000000"/>
        </w:rPr>
        <w:t xml:space="preserve">, Joseph, and Miroslav </w:t>
      </w:r>
      <w:proofErr w:type="spellStart"/>
      <w:r w:rsidRPr="00A07836">
        <w:rPr>
          <w:rFonts w:eastAsia="Times New Roman" w:cs="Times New Roman"/>
          <w:color w:val="000000"/>
        </w:rPr>
        <w:t>Nincic</w:t>
      </w:r>
      <w:proofErr w:type="spellEnd"/>
      <w:r w:rsidRPr="00A07836">
        <w:rPr>
          <w:rFonts w:eastAsia="Times New Roman" w:cs="Times New Roman"/>
          <w:color w:val="000000"/>
        </w:rPr>
        <w:t xml:space="preserve">. </w:t>
      </w:r>
      <w:r w:rsidRPr="00A07836">
        <w:rPr>
          <w:rFonts w:eastAsia="Times New Roman" w:cs="Times New Roman"/>
          <w:i/>
          <w:iCs/>
          <w:color w:val="000000"/>
        </w:rPr>
        <w:t>Beyond the Ivory Tower: International Relations Theory and the Issue of Policy Relevance.</w:t>
      </w:r>
      <w:r w:rsidRPr="00A07836">
        <w:rPr>
          <w:rFonts w:eastAsia="Times New Roman" w:cs="Times New Roman"/>
          <w:color w:val="000000"/>
        </w:rPr>
        <w:t xml:space="preserve"> New York City: Columbia University Press, 2001.</w:t>
      </w:r>
    </w:p>
    <w:p w14:paraId="635515F1"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Lerchenmueller</w:t>
      </w:r>
      <w:proofErr w:type="spellEnd"/>
      <w:r w:rsidRPr="00A07836">
        <w:rPr>
          <w:rFonts w:eastAsia="Times New Roman" w:cs="Times New Roman"/>
          <w:color w:val="000000"/>
        </w:rPr>
        <w:t xml:space="preserve">, Marc J., Olav Sorenson and Anupam B. Jena, “Research: How Women Undersell Their Work.” </w:t>
      </w:r>
      <w:r w:rsidRPr="00A07836">
        <w:rPr>
          <w:rFonts w:eastAsia="Times New Roman" w:cs="Times New Roman"/>
          <w:i/>
          <w:iCs/>
          <w:color w:val="000000"/>
        </w:rPr>
        <w:t xml:space="preserve">Harvard Business Review </w:t>
      </w:r>
      <w:r w:rsidRPr="00A07836">
        <w:rPr>
          <w:rFonts w:eastAsia="Times New Roman" w:cs="Times New Roman"/>
          <w:color w:val="000000"/>
        </w:rPr>
        <w:t>(December 2019). Retrieved from https://hbr.org/2019/12/ research-how-women-undersell-their-work.</w:t>
      </w:r>
    </w:p>
    <w:p w14:paraId="5237A26E"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Lijphart</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Arend</w:t>
      </w:r>
      <w:proofErr w:type="spellEnd"/>
      <w:r w:rsidRPr="00A07836">
        <w:rPr>
          <w:rFonts w:eastAsia="Times New Roman" w:cs="Times New Roman"/>
          <w:color w:val="000000"/>
        </w:rPr>
        <w:t xml:space="preserve">. “The Political Consequences of Electoral Laws, 1945-1985.” </w:t>
      </w:r>
      <w:r w:rsidRPr="00A07836">
        <w:rPr>
          <w:rFonts w:eastAsia="Times New Roman" w:cs="Times New Roman"/>
          <w:i/>
          <w:iCs/>
          <w:color w:val="000000"/>
        </w:rPr>
        <w:t>American Political Science Review</w:t>
      </w:r>
      <w:r w:rsidRPr="00A07836">
        <w:rPr>
          <w:rFonts w:eastAsia="Times New Roman" w:cs="Times New Roman"/>
          <w:color w:val="000000"/>
        </w:rPr>
        <w:t xml:space="preserve"> 84, no. 1 (1990): 481-496.</w:t>
      </w:r>
    </w:p>
    <w:p w14:paraId="3B5F34A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Little, Richard. “Ideology and Change.” In </w:t>
      </w:r>
      <w:r w:rsidRPr="00A07836">
        <w:rPr>
          <w:rFonts w:eastAsia="Times New Roman" w:cs="Times New Roman"/>
          <w:i/>
          <w:iCs/>
          <w:color w:val="000000"/>
        </w:rPr>
        <w:t xml:space="preserve">Change and the Study of International Relations, </w:t>
      </w:r>
      <w:r w:rsidRPr="00A07836">
        <w:rPr>
          <w:rFonts w:eastAsia="Times New Roman" w:cs="Times New Roman"/>
          <w:color w:val="000000"/>
        </w:rPr>
        <w:t>edited by Barry Buzan, and R.J. Jones, 30-39. London: Pinter,</w:t>
      </w:r>
      <w:r w:rsidRPr="00A07836">
        <w:rPr>
          <w:rFonts w:eastAsia="Times New Roman" w:cs="Times New Roman"/>
          <w:i/>
          <w:iCs/>
          <w:color w:val="000000"/>
        </w:rPr>
        <w:t xml:space="preserve"> </w:t>
      </w:r>
      <w:r w:rsidRPr="00A07836">
        <w:rPr>
          <w:rFonts w:eastAsia="Times New Roman" w:cs="Times New Roman"/>
          <w:color w:val="000000"/>
        </w:rPr>
        <w:t xml:space="preserve">1981. </w:t>
      </w:r>
    </w:p>
    <w:p w14:paraId="4E7474B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Littlejohn, Stephen W., and Karen A. Foss. </w:t>
      </w:r>
      <w:r w:rsidRPr="00A07836">
        <w:rPr>
          <w:rFonts w:eastAsia="Times New Roman" w:cs="Times New Roman"/>
          <w:i/>
          <w:iCs/>
          <w:color w:val="000000"/>
        </w:rPr>
        <w:t>Theories of Human Communication.</w:t>
      </w:r>
      <w:r w:rsidRPr="00A07836">
        <w:rPr>
          <w:rFonts w:eastAsia="Times New Roman" w:cs="Times New Roman"/>
          <w:color w:val="000000"/>
        </w:rPr>
        <w:t xml:space="preserve"> 10</w:t>
      </w:r>
      <w:r w:rsidRPr="00A07836">
        <w:rPr>
          <w:rFonts w:eastAsia="Times New Roman" w:cs="Times New Roman"/>
          <w:color w:val="000000"/>
          <w:vertAlign w:val="superscript"/>
        </w:rPr>
        <w:t>th</w:t>
      </w:r>
      <w:r w:rsidRPr="00A07836">
        <w:rPr>
          <w:rFonts w:eastAsia="Times New Roman" w:cs="Times New Roman"/>
          <w:color w:val="000000"/>
        </w:rPr>
        <w:t xml:space="preserve"> ed. Salem: Waveland Press, 2010.</w:t>
      </w:r>
    </w:p>
    <w:p w14:paraId="64AF50B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Löwenheim</w:t>
      </w:r>
      <w:proofErr w:type="spellEnd"/>
      <w:r w:rsidRPr="00A07836">
        <w:rPr>
          <w:rFonts w:eastAsia="Times New Roman" w:cs="Times New Roman"/>
          <w:color w:val="000000"/>
        </w:rPr>
        <w:t xml:space="preserve">, Oded, and Brent J. Steele. “Institutions of Violence, Great Power Authority, and the War on Terror.” </w:t>
      </w:r>
      <w:r w:rsidRPr="00A07836">
        <w:rPr>
          <w:rFonts w:eastAsia="Times New Roman" w:cs="Times New Roman"/>
          <w:i/>
          <w:iCs/>
          <w:color w:val="000000"/>
        </w:rPr>
        <w:t>International Political Science Review</w:t>
      </w:r>
      <w:r w:rsidRPr="00A07836">
        <w:rPr>
          <w:rFonts w:eastAsia="Times New Roman" w:cs="Times New Roman"/>
          <w:color w:val="000000"/>
        </w:rPr>
        <w:t xml:space="preserve"> 31, no. 1 (January 2010): 23-39.</w:t>
      </w:r>
    </w:p>
    <w:p w14:paraId="34B8AFC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Lucas, W. Scott. “Beyond Diplomacy: Propaganda and the History of the Cold War.” In </w:t>
      </w:r>
      <w:r w:rsidRPr="00A07836">
        <w:rPr>
          <w:rFonts w:eastAsia="Times New Roman" w:cs="Times New Roman"/>
          <w:i/>
          <w:iCs/>
          <w:color w:val="000000"/>
        </w:rPr>
        <w:t xml:space="preserve">Cold-War Propaganda in the 1950s, </w:t>
      </w:r>
      <w:r w:rsidRPr="00A07836">
        <w:rPr>
          <w:rFonts w:eastAsia="Times New Roman" w:cs="Times New Roman"/>
          <w:color w:val="000000"/>
        </w:rPr>
        <w:t xml:space="preserve">edited by Gary D. Rawnsley, 11-30. London: Palgrave Macmillan, 1999. </w:t>
      </w:r>
    </w:p>
    <w:p w14:paraId="2C3C7F0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Lukes, Steven. </w:t>
      </w:r>
      <w:r w:rsidRPr="00A07836">
        <w:rPr>
          <w:rFonts w:eastAsia="Times New Roman" w:cs="Times New Roman"/>
          <w:i/>
          <w:iCs/>
          <w:color w:val="000000"/>
        </w:rPr>
        <w:t>Power: A Radical View.</w:t>
      </w:r>
      <w:r w:rsidRPr="00A07836">
        <w:rPr>
          <w:rFonts w:eastAsia="Times New Roman" w:cs="Times New Roman"/>
          <w:color w:val="000000"/>
        </w:rPr>
        <w:t xml:space="preserve"> 2</w:t>
      </w:r>
      <w:r w:rsidRPr="00A07836">
        <w:rPr>
          <w:rFonts w:eastAsia="Times New Roman" w:cs="Times New Roman"/>
          <w:color w:val="000000"/>
          <w:vertAlign w:val="superscript"/>
        </w:rPr>
        <w:t>nd</w:t>
      </w:r>
      <w:r w:rsidRPr="00A07836">
        <w:rPr>
          <w:rFonts w:eastAsia="Times New Roman" w:cs="Times New Roman"/>
          <w:color w:val="000000"/>
        </w:rPr>
        <w:t xml:space="preserve"> ed. London: Palgrave Macmillan, 2005.</w:t>
      </w:r>
    </w:p>
    <w:p w14:paraId="27E2BEB6"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Lumbaca</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Sonise</w:t>
      </w:r>
      <w:proofErr w:type="spellEnd"/>
      <w:r w:rsidRPr="00A07836">
        <w:rPr>
          <w:rFonts w:eastAsia="Times New Roman" w:cs="Times New Roman"/>
          <w:color w:val="000000"/>
        </w:rPr>
        <w:t xml:space="preserve">, and David H. Gray. “The Media as an Enabler for Acts of Terrorism.” </w:t>
      </w:r>
      <w:r w:rsidRPr="00A07836">
        <w:rPr>
          <w:rFonts w:eastAsia="Times New Roman" w:cs="Times New Roman"/>
          <w:i/>
          <w:iCs/>
          <w:color w:val="000000"/>
        </w:rPr>
        <w:t xml:space="preserve">Global Security </w:t>
      </w:r>
      <w:r w:rsidRPr="00A07836">
        <w:rPr>
          <w:rFonts w:eastAsia="Times New Roman" w:cs="Times New Roman"/>
          <w:color w:val="000000"/>
        </w:rPr>
        <w:t>Studies 2, no. 1 (2011): 45-54.</w:t>
      </w:r>
    </w:p>
    <w:p w14:paraId="40BB0D4E"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Luo, </w:t>
      </w:r>
      <w:proofErr w:type="spellStart"/>
      <w:r w:rsidRPr="00A07836">
        <w:rPr>
          <w:rFonts w:eastAsia="Times New Roman" w:cs="Times New Roman"/>
          <w:color w:val="000000"/>
        </w:rPr>
        <w:t>Yiwei</w:t>
      </w:r>
      <w:proofErr w:type="spellEnd"/>
      <w:r w:rsidRPr="00A07836">
        <w:rPr>
          <w:rFonts w:eastAsia="Times New Roman" w:cs="Times New Roman"/>
          <w:color w:val="000000"/>
        </w:rPr>
        <w:t xml:space="preserve">, Dallas Card, and Dan </w:t>
      </w:r>
      <w:proofErr w:type="spellStart"/>
      <w:r w:rsidRPr="00A07836">
        <w:rPr>
          <w:rFonts w:eastAsia="Times New Roman" w:cs="Times New Roman"/>
          <w:color w:val="000000"/>
        </w:rPr>
        <w:t>Jurafsky</w:t>
      </w:r>
      <w:proofErr w:type="spellEnd"/>
      <w:r w:rsidRPr="00A07836">
        <w:rPr>
          <w:rFonts w:eastAsia="Times New Roman" w:cs="Times New Roman"/>
          <w:color w:val="000000"/>
        </w:rPr>
        <w:t xml:space="preserve">. “Detecting Stance in Media on Global Warming.” </w:t>
      </w:r>
      <w:r w:rsidRPr="00A07836">
        <w:rPr>
          <w:rFonts w:eastAsia="Times New Roman" w:cs="Times New Roman"/>
          <w:i/>
          <w:iCs/>
          <w:color w:val="000000"/>
        </w:rPr>
        <w:t>Findings of the Association for Computational Linguistics: EMNLP 2020</w:t>
      </w:r>
      <w:r w:rsidRPr="00A07836">
        <w:rPr>
          <w:rFonts w:eastAsia="Times New Roman" w:cs="Times New Roman"/>
          <w:color w:val="000000"/>
        </w:rPr>
        <w:t xml:space="preserve">: 3296-3315. </w:t>
      </w:r>
    </w:p>
    <w:p w14:paraId="62FA443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Lyons, David K. </w:t>
      </w:r>
      <w:r w:rsidRPr="00A07836">
        <w:rPr>
          <w:rFonts w:eastAsia="Times New Roman" w:cs="Times New Roman"/>
          <w:i/>
          <w:iCs/>
          <w:color w:val="000000"/>
        </w:rPr>
        <w:t xml:space="preserve">Analyzing the Effectives of Al Qaeda’s Online Influence Operations by Means of Propaganda Theory. </w:t>
      </w:r>
      <w:r w:rsidRPr="00A07836">
        <w:rPr>
          <w:rFonts w:eastAsia="Times New Roman" w:cs="Times New Roman"/>
          <w:color w:val="000000"/>
        </w:rPr>
        <w:t>El Paso: Texas Western Press of the University of Texas at El Paso, 2013.</w:t>
      </w:r>
    </w:p>
    <w:p w14:paraId="3618253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MacGregor, Phil. “International News Agencies: Global Eyes that Never Blink.” In </w:t>
      </w:r>
      <w:r w:rsidRPr="00A07836">
        <w:rPr>
          <w:rFonts w:eastAsia="Times New Roman" w:cs="Times New Roman"/>
          <w:i/>
          <w:iCs/>
          <w:color w:val="000000"/>
        </w:rPr>
        <w:t>Journalism: New Challenges,</w:t>
      </w:r>
      <w:r w:rsidRPr="00A07836">
        <w:rPr>
          <w:rFonts w:eastAsia="Times New Roman" w:cs="Times New Roman"/>
          <w:color w:val="000000"/>
        </w:rPr>
        <w:t xml:space="preserve"> by Karen Fowler-Watt, and Stuart Allen, 35-62. Bournemouth: Centre for Journalism and Communication Research, 2013.</w:t>
      </w:r>
    </w:p>
    <w:p w14:paraId="57584EA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Mackey, Thomas P. </w:t>
      </w:r>
      <w:proofErr w:type="spellStart"/>
      <w:r w:rsidRPr="00A07836">
        <w:rPr>
          <w:rFonts w:eastAsia="Times New Roman" w:cs="Times New Roman"/>
          <w:i/>
          <w:iCs/>
          <w:color w:val="000000"/>
        </w:rPr>
        <w:t>Metaliterate</w:t>
      </w:r>
      <w:proofErr w:type="spellEnd"/>
      <w:r w:rsidRPr="00A07836">
        <w:rPr>
          <w:rFonts w:eastAsia="Times New Roman" w:cs="Times New Roman"/>
          <w:i/>
          <w:iCs/>
          <w:color w:val="000000"/>
        </w:rPr>
        <w:t xml:space="preserve"> Learning for the Post-Truth World</w:t>
      </w:r>
      <w:r w:rsidRPr="00A07836">
        <w:rPr>
          <w:rFonts w:eastAsia="Times New Roman" w:cs="Times New Roman"/>
          <w:color w:val="000000"/>
        </w:rPr>
        <w:t xml:space="preserve">. Chicago: Neal-Schuman Publishers, 2019. </w:t>
      </w:r>
    </w:p>
    <w:p w14:paraId="71CF1651"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Maitron</w:t>
      </w:r>
      <w:proofErr w:type="spellEnd"/>
      <w:r w:rsidRPr="00A07836">
        <w:rPr>
          <w:rFonts w:eastAsia="Times New Roman" w:cs="Times New Roman"/>
          <w:color w:val="000000"/>
        </w:rPr>
        <w:t xml:space="preserve">, Jean. </w:t>
      </w:r>
      <w:proofErr w:type="spellStart"/>
      <w:r w:rsidRPr="00A07836">
        <w:rPr>
          <w:rFonts w:eastAsia="Times New Roman" w:cs="Times New Roman"/>
          <w:i/>
          <w:iCs/>
          <w:color w:val="000000"/>
        </w:rPr>
        <w:t>Ravachol</w:t>
      </w:r>
      <w:proofErr w:type="spellEnd"/>
      <w:r w:rsidRPr="00A07836">
        <w:rPr>
          <w:rFonts w:eastAsia="Times New Roman" w:cs="Times New Roman"/>
          <w:i/>
          <w:iCs/>
          <w:color w:val="000000"/>
        </w:rPr>
        <w:t xml:space="preserve"> et les </w:t>
      </w:r>
      <w:proofErr w:type="spellStart"/>
      <w:r w:rsidRPr="00A07836">
        <w:rPr>
          <w:rFonts w:eastAsia="Times New Roman" w:cs="Times New Roman"/>
          <w:i/>
          <w:iCs/>
          <w:color w:val="000000"/>
        </w:rPr>
        <w:t>anarchistes</w:t>
      </w:r>
      <w:proofErr w:type="spellEnd"/>
      <w:r w:rsidRPr="00A07836">
        <w:rPr>
          <w:rFonts w:eastAsia="Times New Roman" w:cs="Times New Roman"/>
          <w:i/>
          <w:iCs/>
          <w:color w:val="000000"/>
        </w:rPr>
        <w:t xml:space="preserve">. </w:t>
      </w:r>
      <w:r w:rsidRPr="00A07836">
        <w:rPr>
          <w:rFonts w:eastAsia="Times New Roman" w:cs="Times New Roman"/>
          <w:color w:val="000000"/>
        </w:rPr>
        <w:t>Paris: Gallimard, 1992.</w:t>
      </w:r>
    </w:p>
    <w:p w14:paraId="3098089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proofErr w:type="spellStart"/>
      <w:r w:rsidRPr="00A07836">
        <w:rPr>
          <w:rFonts w:eastAsia="Times New Roman" w:cs="Times New Roman"/>
          <w:i/>
          <w:iCs/>
          <w:color w:val="000000"/>
        </w:rPr>
        <w:t>Histoire</w:t>
      </w:r>
      <w:proofErr w:type="spellEnd"/>
      <w:r w:rsidRPr="00A07836">
        <w:rPr>
          <w:rFonts w:eastAsia="Times New Roman" w:cs="Times New Roman"/>
          <w:i/>
          <w:iCs/>
          <w:color w:val="000000"/>
        </w:rPr>
        <w:t xml:space="preserve"> du </w:t>
      </w:r>
      <w:proofErr w:type="spellStart"/>
      <w:r w:rsidRPr="00A07836">
        <w:rPr>
          <w:rFonts w:eastAsia="Times New Roman" w:cs="Times New Roman"/>
          <w:i/>
          <w:iCs/>
          <w:color w:val="000000"/>
        </w:rPr>
        <w:t>mouvement</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anarchiste</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en</w:t>
      </w:r>
      <w:proofErr w:type="spellEnd"/>
      <w:r w:rsidRPr="00A07836">
        <w:rPr>
          <w:rFonts w:eastAsia="Times New Roman" w:cs="Times New Roman"/>
          <w:i/>
          <w:iCs/>
          <w:color w:val="000000"/>
        </w:rPr>
        <w:t xml:space="preserve"> France: 1880-1914. </w:t>
      </w:r>
      <w:r w:rsidRPr="00A07836">
        <w:rPr>
          <w:rFonts w:eastAsia="Times New Roman" w:cs="Times New Roman"/>
          <w:color w:val="000000"/>
        </w:rPr>
        <w:t xml:space="preserve">Paris: </w:t>
      </w:r>
      <w:proofErr w:type="spellStart"/>
      <w:r w:rsidRPr="00A07836">
        <w:rPr>
          <w:rFonts w:eastAsia="Times New Roman" w:cs="Times New Roman"/>
          <w:color w:val="000000"/>
        </w:rPr>
        <w:t>Sociéte</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Universitaire</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d’Edition</w:t>
      </w:r>
      <w:proofErr w:type="spellEnd"/>
      <w:r w:rsidRPr="00A07836">
        <w:rPr>
          <w:rFonts w:eastAsia="Times New Roman" w:cs="Times New Roman"/>
          <w:color w:val="000000"/>
        </w:rPr>
        <w:t xml:space="preserve"> et de </w:t>
      </w:r>
      <w:proofErr w:type="spellStart"/>
      <w:r w:rsidRPr="00A07836">
        <w:rPr>
          <w:rFonts w:eastAsia="Times New Roman" w:cs="Times New Roman"/>
          <w:color w:val="000000"/>
        </w:rPr>
        <w:t>Librarie</w:t>
      </w:r>
      <w:proofErr w:type="spellEnd"/>
      <w:r w:rsidRPr="00A07836">
        <w:rPr>
          <w:rFonts w:eastAsia="Times New Roman" w:cs="Times New Roman"/>
          <w:color w:val="000000"/>
        </w:rPr>
        <w:t>, 1951.</w:t>
      </w:r>
    </w:p>
    <w:p w14:paraId="538EDA6E"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lastRenderedPageBreak/>
        <w:t>Mansbridge</w:t>
      </w:r>
      <w:proofErr w:type="spellEnd"/>
      <w:r w:rsidRPr="00A07836">
        <w:rPr>
          <w:rFonts w:eastAsia="Times New Roman" w:cs="Times New Roman"/>
          <w:color w:val="000000"/>
        </w:rPr>
        <w:t xml:space="preserve">, Jane, James </w:t>
      </w:r>
      <w:proofErr w:type="spellStart"/>
      <w:r w:rsidRPr="00A07836">
        <w:rPr>
          <w:rFonts w:eastAsia="Times New Roman" w:cs="Times New Roman"/>
          <w:color w:val="000000"/>
        </w:rPr>
        <w:t>Bohman</w:t>
      </w:r>
      <w:proofErr w:type="spellEnd"/>
      <w:r w:rsidRPr="00A07836">
        <w:rPr>
          <w:rFonts w:eastAsia="Times New Roman" w:cs="Times New Roman"/>
          <w:color w:val="000000"/>
        </w:rPr>
        <w:t xml:space="preserve">, Simone Chambers, David </w:t>
      </w:r>
      <w:proofErr w:type="spellStart"/>
      <w:r w:rsidRPr="00A07836">
        <w:rPr>
          <w:rFonts w:eastAsia="Times New Roman" w:cs="Times New Roman"/>
          <w:color w:val="000000"/>
        </w:rPr>
        <w:t>Estlund</w:t>
      </w:r>
      <w:proofErr w:type="spellEnd"/>
      <w:r w:rsidRPr="00A07836">
        <w:rPr>
          <w:rFonts w:eastAsia="Times New Roman" w:cs="Times New Roman"/>
          <w:color w:val="000000"/>
        </w:rPr>
        <w:t xml:space="preserve">, Andreas </w:t>
      </w:r>
      <w:proofErr w:type="spellStart"/>
      <w:r w:rsidRPr="00A07836">
        <w:rPr>
          <w:rFonts w:eastAsia="Times New Roman" w:cs="Times New Roman"/>
          <w:color w:val="000000"/>
        </w:rPr>
        <w:t>Føllesdal</w:t>
      </w:r>
      <w:proofErr w:type="spellEnd"/>
      <w:r w:rsidRPr="00A07836">
        <w:rPr>
          <w:rFonts w:eastAsia="Times New Roman" w:cs="Times New Roman"/>
          <w:color w:val="000000"/>
        </w:rPr>
        <w:t xml:space="preserve">, Archon Fung, Cristina </w:t>
      </w:r>
      <w:proofErr w:type="spellStart"/>
      <w:r w:rsidRPr="00A07836">
        <w:rPr>
          <w:rFonts w:eastAsia="Times New Roman" w:cs="Times New Roman"/>
          <w:color w:val="000000"/>
        </w:rPr>
        <w:t>Lafont</w:t>
      </w:r>
      <w:proofErr w:type="spellEnd"/>
      <w:r w:rsidRPr="00A07836">
        <w:rPr>
          <w:rFonts w:eastAsia="Times New Roman" w:cs="Times New Roman"/>
          <w:color w:val="000000"/>
        </w:rPr>
        <w:t xml:space="preserve">, Bernard </w:t>
      </w:r>
      <w:proofErr w:type="spellStart"/>
      <w:r w:rsidRPr="00A07836">
        <w:rPr>
          <w:rFonts w:eastAsia="Times New Roman" w:cs="Times New Roman"/>
          <w:color w:val="000000"/>
        </w:rPr>
        <w:t>Manin</w:t>
      </w:r>
      <w:proofErr w:type="spellEnd"/>
      <w:r w:rsidRPr="00A07836">
        <w:rPr>
          <w:rFonts w:eastAsia="Times New Roman" w:cs="Times New Roman"/>
          <w:color w:val="000000"/>
        </w:rPr>
        <w:t xml:space="preserve">, and José </w:t>
      </w:r>
      <w:proofErr w:type="spellStart"/>
      <w:r w:rsidRPr="00A07836">
        <w:rPr>
          <w:rFonts w:eastAsia="Times New Roman" w:cs="Times New Roman"/>
          <w:color w:val="000000"/>
        </w:rPr>
        <w:t>Luismarti</w:t>
      </w:r>
      <w:proofErr w:type="spellEnd"/>
      <w:r w:rsidRPr="00A07836">
        <w:rPr>
          <w:rFonts w:eastAsia="Times New Roman" w:cs="Times New Roman"/>
          <w:color w:val="000000"/>
        </w:rPr>
        <w:t>, "The Place of Self-Interest and the Role of Power in Deliberative Democracy." </w:t>
      </w:r>
      <w:r w:rsidRPr="00A07836">
        <w:rPr>
          <w:rFonts w:eastAsia="Times New Roman" w:cs="Times New Roman"/>
          <w:i/>
          <w:iCs/>
          <w:color w:val="000000"/>
        </w:rPr>
        <w:t>Raisons politiques</w:t>
      </w:r>
      <w:r w:rsidRPr="00A07836">
        <w:rPr>
          <w:rFonts w:eastAsia="Times New Roman" w:cs="Times New Roman"/>
          <w:color w:val="000000"/>
        </w:rPr>
        <w:t xml:space="preserve"> 2 (2011): 47-82. </w:t>
      </w:r>
    </w:p>
    <w:p w14:paraId="2A5E89AD"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Manza</w:t>
      </w:r>
      <w:proofErr w:type="spellEnd"/>
      <w:r w:rsidRPr="00A07836">
        <w:rPr>
          <w:rFonts w:eastAsia="Times New Roman" w:cs="Times New Roman"/>
          <w:color w:val="000000"/>
        </w:rPr>
        <w:t xml:space="preserve">, Jeff, Fay Lomax Cook, and Benjamin I. Page, eds. </w:t>
      </w:r>
      <w:r w:rsidRPr="00A07836">
        <w:rPr>
          <w:rFonts w:eastAsia="Times New Roman" w:cs="Times New Roman"/>
          <w:i/>
          <w:iCs/>
          <w:color w:val="000000"/>
        </w:rPr>
        <w:t xml:space="preserve">Navigating Public Opinion: Polls, Policy, and the Future of American Democracy. </w:t>
      </w:r>
      <w:r w:rsidRPr="00A07836">
        <w:rPr>
          <w:rFonts w:eastAsia="Times New Roman" w:cs="Times New Roman"/>
          <w:color w:val="000000"/>
        </w:rPr>
        <w:t>Oxford: Oxford University Press, 2002.</w:t>
      </w:r>
    </w:p>
    <w:p w14:paraId="07D471E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March, James, and Johan P. Olsen. </w:t>
      </w:r>
      <w:r w:rsidRPr="00A07836">
        <w:rPr>
          <w:rFonts w:eastAsia="Times New Roman" w:cs="Times New Roman"/>
          <w:i/>
          <w:iCs/>
          <w:color w:val="000000"/>
        </w:rPr>
        <w:t>Rediscovering Institutions: The Organizational Basis of Politics.</w:t>
      </w:r>
      <w:r w:rsidRPr="00A07836">
        <w:rPr>
          <w:rFonts w:eastAsia="Times New Roman" w:cs="Times New Roman"/>
          <w:color w:val="000000"/>
        </w:rPr>
        <w:t xml:space="preserve"> New York City: The Free Press, 1989.</w:t>
      </w:r>
    </w:p>
    <w:p w14:paraId="7C22DD18"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Marthoz</w:t>
      </w:r>
      <w:proofErr w:type="spellEnd"/>
      <w:r w:rsidRPr="00A07836">
        <w:rPr>
          <w:rFonts w:eastAsia="Times New Roman" w:cs="Times New Roman"/>
          <w:color w:val="000000"/>
        </w:rPr>
        <w:t xml:space="preserve">, Jean-Paul, and Mirta Lourenço, ed. </w:t>
      </w:r>
      <w:r w:rsidRPr="00A07836">
        <w:rPr>
          <w:rFonts w:eastAsia="Times New Roman" w:cs="Times New Roman"/>
          <w:i/>
          <w:iCs/>
          <w:color w:val="000000"/>
        </w:rPr>
        <w:t xml:space="preserve">Terrorism and the Media: A Handbook for Journalists. </w:t>
      </w:r>
      <w:r w:rsidRPr="00A07836">
        <w:rPr>
          <w:rFonts w:eastAsia="Times New Roman" w:cs="Times New Roman"/>
          <w:color w:val="000000"/>
        </w:rPr>
        <w:t>Paris: United Nations Educational, Scientific and Cultural Organization (UNESCO), 2017.</w:t>
      </w:r>
    </w:p>
    <w:p w14:paraId="6088DFA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Martin, L. John. “The Media’s Role in International Terrorism.” </w:t>
      </w:r>
      <w:r w:rsidRPr="00A07836">
        <w:rPr>
          <w:rFonts w:eastAsia="Times New Roman" w:cs="Times New Roman"/>
          <w:i/>
          <w:iCs/>
          <w:color w:val="000000"/>
        </w:rPr>
        <w:t xml:space="preserve">Terrorism </w:t>
      </w:r>
      <w:r w:rsidRPr="00A07836">
        <w:rPr>
          <w:rFonts w:eastAsia="Times New Roman" w:cs="Times New Roman"/>
          <w:color w:val="000000"/>
        </w:rPr>
        <w:t>8, no. 2 (1985): 127-146.</w:t>
      </w:r>
    </w:p>
    <w:p w14:paraId="7DF9B05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Masters, Daniel, and Patricia </w:t>
      </w:r>
      <w:proofErr w:type="spellStart"/>
      <w:r w:rsidRPr="00A07836">
        <w:rPr>
          <w:rFonts w:eastAsia="Times New Roman" w:cs="Times New Roman"/>
          <w:color w:val="000000"/>
        </w:rPr>
        <w:t>Hoen</w:t>
      </w:r>
      <w:proofErr w:type="spellEnd"/>
      <w:r w:rsidRPr="00A07836">
        <w:rPr>
          <w:rFonts w:eastAsia="Times New Roman" w:cs="Times New Roman"/>
          <w:color w:val="000000"/>
        </w:rPr>
        <w:t xml:space="preserve">. “State Legitimacy and Terrorism.” </w:t>
      </w:r>
      <w:r w:rsidRPr="00A07836">
        <w:rPr>
          <w:rFonts w:eastAsia="Times New Roman" w:cs="Times New Roman"/>
          <w:i/>
          <w:iCs/>
          <w:color w:val="000000"/>
        </w:rPr>
        <w:t>Democracy and Security</w:t>
      </w:r>
      <w:r w:rsidRPr="00A07836">
        <w:rPr>
          <w:rFonts w:eastAsia="Times New Roman" w:cs="Times New Roman"/>
          <w:color w:val="000000"/>
        </w:rPr>
        <w:t xml:space="preserve"> 8, no. 4 (2012): 337-357.</w:t>
      </w:r>
    </w:p>
    <w:p w14:paraId="6EEFA25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Matheson, Craig. “Weber and the Classification of Forms of Legitimacy.” </w:t>
      </w:r>
      <w:r w:rsidRPr="00A07836">
        <w:rPr>
          <w:rFonts w:eastAsia="Times New Roman" w:cs="Times New Roman"/>
          <w:i/>
          <w:iCs/>
          <w:color w:val="000000"/>
        </w:rPr>
        <w:t>The British Journal of Sociology</w:t>
      </w:r>
      <w:r w:rsidRPr="00A07836">
        <w:rPr>
          <w:rFonts w:eastAsia="Times New Roman" w:cs="Times New Roman"/>
          <w:color w:val="000000"/>
        </w:rPr>
        <w:t xml:space="preserve"> 38, no. 2 (1987): 199-215. </w:t>
      </w:r>
    </w:p>
    <w:p w14:paraId="7A33090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Matthes</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Jörg</w:t>
      </w:r>
      <w:proofErr w:type="spellEnd"/>
      <w:r w:rsidRPr="00A07836">
        <w:rPr>
          <w:rFonts w:eastAsia="Times New Roman" w:cs="Times New Roman"/>
          <w:color w:val="000000"/>
        </w:rPr>
        <w:t xml:space="preserve">. “What’s in a Frame? Content Analysis of Media Framing Studies in the World’s Leading Communication Journals, 1990-2005.” </w:t>
      </w:r>
      <w:r w:rsidRPr="00A07836">
        <w:rPr>
          <w:rFonts w:eastAsia="Times New Roman" w:cs="Times New Roman"/>
          <w:i/>
          <w:iCs/>
          <w:color w:val="000000"/>
        </w:rPr>
        <w:t>Journalism and Mass Communication Quarterly</w:t>
      </w:r>
      <w:r w:rsidRPr="00A07836">
        <w:rPr>
          <w:rFonts w:eastAsia="Times New Roman" w:cs="Times New Roman"/>
          <w:color w:val="000000"/>
        </w:rPr>
        <w:t xml:space="preserve"> 86, no. 2 (2009): 349-367.</w:t>
      </w:r>
    </w:p>
    <w:p w14:paraId="12EDC79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McCarthy, Killian J., and Wilfred </w:t>
      </w:r>
      <w:proofErr w:type="spellStart"/>
      <w:r w:rsidRPr="00A07836">
        <w:rPr>
          <w:rFonts w:eastAsia="Times New Roman" w:cs="Times New Roman"/>
          <w:color w:val="000000"/>
        </w:rPr>
        <w:t>Dolfsma</w:t>
      </w:r>
      <w:proofErr w:type="spellEnd"/>
      <w:r w:rsidRPr="00A07836">
        <w:rPr>
          <w:rFonts w:eastAsia="Times New Roman" w:cs="Times New Roman"/>
          <w:color w:val="000000"/>
        </w:rPr>
        <w:t xml:space="preserve">. “Neutral Media? Evidence of Media Bias and Its Economic Impact.” </w:t>
      </w:r>
      <w:r w:rsidRPr="00A07836">
        <w:rPr>
          <w:rFonts w:eastAsia="Times New Roman" w:cs="Times New Roman"/>
          <w:i/>
          <w:iCs/>
          <w:color w:val="000000"/>
        </w:rPr>
        <w:t>Review of Social Economy</w:t>
      </w:r>
      <w:r w:rsidRPr="00A07836">
        <w:rPr>
          <w:rFonts w:eastAsia="Times New Roman" w:cs="Times New Roman"/>
          <w:color w:val="000000"/>
        </w:rPr>
        <w:t xml:space="preserve"> 72, no. 1 (2014): 42-54.</w:t>
      </w:r>
    </w:p>
    <w:p w14:paraId="470E4C9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McCombs, Maxwell E., and Donald L. Shaw, “The Agenda Setting Function of the Press.” In </w:t>
      </w:r>
      <w:r w:rsidRPr="00A07836">
        <w:rPr>
          <w:rFonts w:eastAsia="Times New Roman" w:cs="Times New Roman"/>
          <w:i/>
          <w:iCs/>
          <w:color w:val="000000"/>
        </w:rPr>
        <w:t xml:space="preserve">Media Power in Politics, </w:t>
      </w:r>
      <w:r w:rsidRPr="00A07836">
        <w:rPr>
          <w:rFonts w:eastAsia="Times New Roman" w:cs="Times New Roman"/>
          <w:color w:val="000000"/>
        </w:rPr>
        <w:t xml:space="preserve">edited by Doris A. Graber, 1-18. Washington, D.C.: Congressional Quarterly, 1984. </w:t>
      </w:r>
    </w:p>
    <w:p w14:paraId="0A9DE05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“The </w:t>
      </w:r>
      <w:proofErr w:type="gramStart"/>
      <w:r w:rsidRPr="00A07836">
        <w:rPr>
          <w:rFonts w:eastAsia="Times New Roman" w:cs="Times New Roman"/>
          <w:color w:val="000000"/>
        </w:rPr>
        <w:t>Agenda</w:t>
      </w:r>
      <w:proofErr w:type="gramEnd"/>
      <w:r w:rsidRPr="00A07836">
        <w:rPr>
          <w:rFonts w:eastAsia="Times New Roman" w:cs="Times New Roman"/>
          <w:color w:val="000000"/>
        </w:rPr>
        <w:t xml:space="preserve">-Setting Function of Mass Media.” </w:t>
      </w:r>
      <w:r w:rsidRPr="00A07836">
        <w:rPr>
          <w:rFonts w:eastAsia="Times New Roman" w:cs="Times New Roman"/>
          <w:i/>
          <w:iCs/>
          <w:color w:val="000000"/>
        </w:rPr>
        <w:t>Public Opinion Quarterly</w:t>
      </w:r>
      <w:r w:rsidRPr="00A07836">
        <w:rPr>
          <w:rFonts w:eastAsia="Times New Roman" w:cs="Times New Roman"/>
          <w:color w:val="000000"/>
        </w:rPr>
        <w:t xml:space="preserve"> 36, no. 2 (1972): 176-187. </w:t>
      </w:r>
    </w:p>
    <w:p w14:paraId="65B3C05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McIndoe, Sean. “Down Goes Brown: The 2019 playoffs are total chaos. Is that good? It depends on your door.” </w:t>
      </w:r>
      <w:r w:rsidRPr="00A07836">
        <w:rPr>
          <w:rFonts w:eastAsia="Times New Roman" w:cs="Times New Roman"/>
          <w:i/>
          <w:iCs/>
          <w:color w:val="000000"/>
        </w:rPr>
        <w:t>The Athletic</w:t>
      </w:r>
      <w:r w:rsidRPr="00A07836">
        <w:rPr>
          <w:rFonts w:eastAsia="Times New Roman" w:cs="Times New Roman"/>
          <w:color w:val="000000"/>
        </w:rPr>
        <w:t xml:space="preserve"> (April 22, 2019).</w:t>
      </w:r>
    </w:p>
    <w:p w14:paraId="3BE5E06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McLuhan, Marshall. </w:t>
      </w:r>
      <w:r w:rsidRPr="00A07836">
        <w:rPr>
          <w:rFonts w:eastAsia="Times New Roman" w:cs="Times New Roman"/>
          <w:i/>
          <w:iCs/>
          <w:color w:val="000000"/>
        </w:rPr>
        <w:t xml:space="preserve">Understanding Media: The Extensions of Man. </w:t>
      </w:r>
      <w:r w:rsidRPr="00A07836">
        <w:rPr>
          <w:rFonts w:eastAsia="Times New Roman" w:cs="Times New Roman"/>
          <w:color w:val="000000"/>
        </w:rPr>
        <w:t>New York City: McGraw-Hill, 1964.</w:t>
      </w:r>
    </w:p>
    <w:p w14:paraId="7CDECEB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McNair, Brian. </w:t>
      </w:r>
      <w:r w:rsidRPr="00A07836">
        <w:rPr>
          <w:rFonts w:eastAsia="Times New Roman" w:cs="Times New Roman"/>
          <w:i/>
          <w:iCs/>
          <w:color w:val="000000"/>
        </w:rPr>
        <w:t>Cultural Chaos: Journalism and Power in a Globalised World.</w:t>
      </w:r>
      <w:r w:rsidRPr="00A07836">
        <w:rPr>
          <w:rFonts w:eastAsia="Times New Roman" w:cs="Times New Roman"/>
          <w:color w:val="000000"/>
        </w:rPr>
        <w:t xml:space="preserve"> London: Routledge, 2006. </w:t>
      </w:r>
    </w:p>
    <w:p w14:paraId="0AAD59F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Merari, Ariel. “Terrorism as a Strategy of Insurgency.” </w:t>
      </w:r>
      <w:r w:rsidRPr="00A07836">
        <w:rPr>
          <w:rFonts w:eastAsia="Times New Roman" w:cs="Times New Roman"/>
          <w:i/>
          <w:iCs/>
          <w:color w:val="000000"/>
        </w:rPr>
        <w:t>Terrorism and Political Violence</w:t>
      </w:r>
      <w:r w:rsidRPr="00A07836">
        <w:rPr>
          <w:rFonts w:eastAsia="Times New Roman" w:cs="Times New Roman"/>
          <w:color w:val="000000"/>
        </w:rPr>
        <w:t xml:space="preserve"> 5, no. 4 (1993): 213-251.</w:t>
      </w:r>
    </w:p>
    <w:p w14:paraId="3761FD2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Merriman, John M. </w:t>
      </w:r>
      <w:r w:rsidRPr="00A07836">
        <w:rPr>
          <w:rFonts w:eastAsia="Times New Roman" w:cs="Times New Roman"/>
          <w:i/>
          <w:iCs/>
          <w:color w:val="000000"/>
        </w:rPr>
        <w:t xml:space="preserve">The Dynamite Club: How a Bombing in Fin-de-Siècle Paris Ignited the Age of Modern Terror. </w:t>
      </w:r>
      <w:r w:rsidRPr="00A07836">
        <w:rPr>
          <w:rFonts w:eastAsia="Times New Roman" w:cs="Times New Roman"/>
          <w:color w:val="000000"/>
        </w:rPr>
        <w:t>New Haven: Yale University Press, 2016.</w:t>
      </w:r>
    </w:p>
    <w:p w14:paraId="453A7F0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Metzger, Miriam J., Andrew J. </w:t>
      </w:r>
      <w:proofErr w:type="spellStart"/>
      <w:r w:rsidRPr="00A07836">
        <w:rPr>
          <w:rFonts w:eastAsia="Times New Roman" w:cs="Times New Roman"/>
          <w:color w:val="000000"/>
        </w:rPr>
        <w:t>Flanagin</w:t>
      </w:r>
      <w:proofErr w:type="spellEnd"/>
      <w:r w:rsidRPr="00A07836">
        <w:rPr>
          <w:rFonts w:eastAsia="Times New Roman" w:cs="Times New Roman"/>
          <w:color w:val="000000"/>
        </w:rPr>
        <w:t xml:space="preserve">, Keren </w:t>
      </w:r>
      <w:proofErr w:type="spellStart"/>
      <w:r w:rsidRPr="00A07836">
        <w:rPr>
          <w:rFonts w:eastAsia="Times New Roman" w:cs="Times New Roman"/>
          <w:color w:val="000000"/>
        </w:rPr>
        <w:t>Eyal</w:t>
      </w:r>
      <w:proofErr w:type="spellEnd"/>
      <w:r w:rsidRPr="00A07836">
        <w:rPr>
          <w:rFonts w:eastAsia="Times New Roman" w:cs="Times New Roman"/>
          <w:color w:val="000000"/>
        </w:rPr>
        <w:t xml:space="preserve">, Daisy R. Lemus, and Robert M. </w:t>
      </w:r>
      <w:proofErr w:type="spellStart"/>
      <w:r w:rsidRPr="00A07836">
        <w:rPr>
          <w:rFonts w:eastAsia="Times New Roman" w:cs="Times New Roman"/>
          <w:color w:val="000000"/>
        </w:rPr>
        <w:t>Mccann</w:t>
      </w:r>
      <w:proofErr w:type="spellEnd"/>
      <w:r w:rsidRPr="00A07836">
        <w:rPr>
          <w:rFonts w:eastAsia="Times New Roman" w:cs="Times New Roman"/>
          <w:color w:val="000000"/>
        </w:rPr>
        <w:t>. “Credibility for the 21</w:t>
      </w:r>
      <w:r w:rsidRPr="00A07836">
        <w:rPr>
          <w:rFonts w:eastAsia="Times New Roman" w:cs="Times New Roman"/>
          <w:color w:val="000000"/>
          <w:vertAlign w:val="superscript"/>
        </w:rPr>
        <w:t>st</w:t>
      </w:r>
      <w:r w:rsidRPr="00A07836">
        <w:rPr>
          <w:rFonts w:eastAsia="Times New Roman" w:cs="Times New Roman"/>
          <w:color w:val="000000"/>
        </w:rPr>
        <w:t xml:space="preserve"> Century: Integrating Perspectives on Source, Message, and Media Credibility in the Contemporary Media Environment.” </w:t>
      </w:r>
      <w:r w:rsidRPr="00A07836">
        <w:rPr>
          <w:rFonts w:eastAsia="Times New Roman" w:cs="Times New Roman"/>
          <w:i/>
          <w:iCs/>
          <w:color w:val="000000"/>
        </w:rPr>
        <w:t>Annals of the International Communication Association</w:t>
      </w:r>
      <w:r w:rsidRPr="00A07836">
        <w:rPr>
          <w:rFonts w:eastAsia="Times New Roman" w:cs="Times New Roman"/>
          <w:color w:val="000000"/>
        </w:rPr>
        <w:t xml:space="preserve"> 27, no. 1 (2003): 293335. </w:t>
      </w:r>
    </w:p>
    <w:p w14:paraId="702783DB"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Meyrowitz</w:t>
      </w:r>
      <w:proofErr w:type="spellEnd"/>
      <w:r w:rsidRPr="00A07836">
        <w:rPr>
          <w:rFonts w:eastAsia="Times New Roman" w:cs="Times New Roman"/>
          <w:color w:val="000000"/>
        </w:rPr>
        <w:t>, Joshua. “Television and Interpersonal Behavior: Codes of Perception and Response.” In</w:t>
      </w:r>
      <w:r w:rsidRPr="00A07836">
        <w:rPr>
          <w:rFonts w:eastAsia="Times New Roman" w:cs="Times New Roman"/>
          <w:i/>
          <w:iCs/>
          <w:color w:val="000000"/>
        </w:rPr>
        <w:t xml:space="preserve"> Inter/Media: Interpersonal Communication in a Media World, </w:t>
      </w:r>
      <w:r w:rsidRPr="00A07836">
        <w:rPr>
          <w:rFonts w:eastAsia="Times New Roman" w:cs="Times New Roman"/>
          <w:color w:val="000000"/>
        </w:rPr>
        <w:t>2</w:t>
      </w:r>
      <w:r w:rsidRPr="00A07836">
        <w:rPr>
          <w:rFonts w:eastAsia="Times New Roman" w:cs="Times New Roman"/>
          <w:color w:val="000000"/>
          <w:vertAlign w:val="superscript"/>
        </w:rPr>
        <w:t>nd</w:t>
      </w:r>
      <w:r w:rsidRPr="00A07836">
        <w:rPr>
          <w:rFonts w:eastAsia="Times New Roman" w:cs="Times New Roman"/>
          <w:color w:val="000000"/>
        </w:rPr>
        <w:t xml:space="preserve"> ed., edited by Gary </w:t>
      </w:r>
      <w:proofErr w:type="spellStart"/>
      <w:r w:rsidRPr="00A07836">
        <w:rPr>
          <w:rFonts w:eastAsia="Times New Roman" w:cs="Times New Roman"/>
          <w:color w:val="000000"/>
        </w:rPr>
        <w:t>Gumpert</w:t>
      </w:r>
      <w:proofErr w:type="spellEnd"/>
      <w:r w:rsidRPr="00A07836">
        <w:rPr>
          <w:rFonts w:eastAsia="Times New Roman" w:cs="Times New Roman"/>
          <w:color w:val="000000"/>
        </w:rPr>
        <w:t>, and Robert S. Cathcart, 221-241. New York: Oxford University Press, 1986.</w:t>
      </w:r>
    </w:p>
    <w:p w14:paraId="36FA6CB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Miller, Abraham, ed. </w:t>
      </w:r>
      <w:r w:rsidRPr="00A07836">
        <w:rPr>
          <w:rFonts w:eastAsia="Times New Roman" w:cs="Times New Roman"/>
          <w:i/>
          <w:iCs/>
          <w:color w:val="000000"/>
        </w:rPr>
        <w:t>Terror, the Media and the Law.</w:t>
      </w:r>
      <w:r w:rsidRPr="00A07836">
        <w:rPr>
          <w:rFonts w:eastAsia="Times New Roman" w:cs="Times New Roman"/>
          <w:color w:val="000000"/>
        </w:rPr>
        <w:t xml:space="preserve"> Dobbs Ferry: Transaction, 1982.</w:t>
      </w:r>
    </w:p>
    <w:p w14:paraId="402A2BA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Milliken, Jennifer. “The Study of Discourse in International Relations: A Critique of Research and Methods.” </w:t>
      </w:r>
      <w:r w:rsidRPr="00A07836">
        <w:rPr>
          <w:rFonts w:eastAsia="Times New Roman" w:cs="Times New Roman"/>
          <w:i/>
          <w:iCs/>
          <w:color w:val="000000"/>
        </w:rPr>
        <w:t>European Journal of International Relations</w:t>
      </w:r>
      <w:r w:rsidRPr="00A07836">
        <w:rPr>
          <w:rFonts w:eastAsia="Times New Roman" w:cs="Times New Roman"/>
          <w:color w:val="000000"/>
        </w:rPr>
        <w:t xml:space="preserve"> 5, no. 2 (1999): 225-254. </w:t>
      </w:r>
    </w:p>
    <w:p w14:paraId="2CD9B13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Minsky, Marvin. “A Framework for Representing Knowledge.” In </w:t>
      </w:r>
      <w:r w:rsidRPr="00A07836">
        <w:rPr>
          <w:rFonts w:eastAsia="Times New Roman" w:cs="Times New Roman"/>
          <w:i/>
          <w:iCs/>
          <w:color w:val="000000"/>
        </w:rPr>
        <w:t xml:space="preserve">The Psychology of Computer Vision, </w:t>
      </w:r>
      <w:r w:rsidRPr="00A07836">
        <w:rPr>
          <w:rFonts w:eastAsia="Times New Roman" w:cs="Times New Roman"/>
          <w:color w:val="000000"/>
        </w:rPr>
        <w:t>edited by P.H. Winston, 211-277. New York City: McGraw Hill, 1975.</w:t>
      </w:r>
    </w:p>
    <w:p w14:paraId="366F3A28"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Moravcsik</w:t>
      </w:r>
      <w:proofErr w:type="spellEnd"/>
      <w:r w:rsidRPr="00A07836">
        <w:rPr>
          <w:rFonts w:eastAsia="Times New Roman" w:cs="Times New Roman"/>
          <w:color w:val="000000"/>
        </w:rPr>
        <w:t xml:space="preserve">, Andrew. “Liberal International Relations Theory: A Social Scientific Assessment.” Published by the </w:t>
      </w:r>
      <w:proofErr w:type="spellStart"/>
      <w:r w:rsidRPr="00A07836">
        <w:rPr>
          <w:rFonts w:eastAsia="Times New Roman" w:cs="Times New Roman"/>
          <w:color w:val="000000"/>
        </w:rPr>
        <w:t>Weatherhead</w:t>
      </w:r>
      <w:proofErr w:type="spellEnd"/>
      <w:r w:rsidRPr="00A07836">
        <w:rPr>
          <w:rFonts w:eastAsia="Times New Roman" w:cs="Times New Roman"/>
          <w:color w:val="000000"/>
        </w:rPr>
        <w:t xml:space="preserve"> Center for International Affairs, Harvard University (2001). </w:t>
      </w:r>
    </w:p>
    <w:p w14:paraId="6416E17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“Taking Preferences Seriously: A Liberal Theory of International Politics.” </w:t>
      </w:r>
      <w:r w:rsidRPr="00A07836">
        <w:rPr>
          <w:rFonts w:eastAsia="Times New Roman" w:cs="Times New Roman"/>
          <w:i/>
          <w:iCs/>
          <w:color w:val="000000"/>
        </w:rPr>
        <w:t>International Organization</w:t>
      </w:r>
      <w:r w:rsidRPr="00A07836">
        <w:rPr>
          <w:rFonts w:eastAsia="Times New Roman" w:cs="Times New Roman"/>
          <w:color w:val="000000"/>
        </w:rPr>
        <w:t xml:space="preserve"> 51, no. 4 (Autumn 1997): 513-553. </w:t>
      </w:r>
    </w:p>
    <w:p w14:paraId="5CD3FF9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Morgan, Matthew J. </w:t>
      </w:r>
      <w:r w:rsidRPr="00A07836">
        <w:rPr>
          <w:rFonts w:eastAsia="Times New Roman" w:cs="Times New Roman"/>
          <w:i/>
          <w:iCs/>
          <w:color w:val="000000"/>
        </w:rPr>
        <w:t>The Impact of 9/11 on Politics and War: The Day that Changed Everything?</w:t>
      </w:r>
      <w:r w:rsidRPr="00A07836">
        <w:rPr>
          <w:rFonts w:eastAsia="Times New Roman" w:cs="Times New Roman"/>
          <w:color w:val="000000"/>
        </w:rPr>
        <w:t xml:space="preserve"> London: Palgrave Macmillan, 2009.</w:t>
      </w:r>
    </w:p>
    <w:p w14:paraId="4C007B7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Morgenthau, Hans J. </w:t>
      </w:r>
      <w:r w:rsidRPr="00A07836">
        <w:rPr>
          <w:rFonts w:eastAsia="Times New Roman" w:cs="Times New Roman"/>
          <w:i/>
          <w:iCs/>
          <w:color w:val="000000"/>
        </w:rPr>
        <w:t>Politics Among Nations: The Struggle for Power and Peace.</w:t>
      </w:r>
      <w:r w:rsidRPr="00A07836">
        <w:rPr>
          <w:rFonts w:eastAsia="Times New Roman" w:cs="Times New Roman"/>
          <w:color w:val="000000"/>
        </w:rPr>
        <w:t xml:space="preserve"> New York City: Free Press, 1967.</w:t>
      </w:r>
    </w:p>
    <w:p w14:paraId="498DBF5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Mullainathan, </w:t>
      </w:r>
      <w:proofErr w:type="spellStart"/>
      <w:r w:rsidRPr="00A07836">
        <w:rPr>
          <w:rFonts w:eastAsia="Times New Roman" w:cs="Times New Roman"/>
          <w:color w:val="000000"/>
        </w:rPr>
        <w:t>Sendhil</w:t>
      </w:r>
      <w:proofErr w:type="spellEnd"/>
      <w:r w:rsidRPr="00A07836">
        <w:rPr>
          <w:rFonts w:eastAsia="Times New Roman" w:cs="Times New Roman"/>
          <w:color w:val="000000"/>
        </w:rPr>
        <w:t xml:space="preserve">, and Andrei </w:t>
      </w:r>
      <w:proofErr w:type="spellStart"/>
      <w:r w:rsidRPr="00A07836">
        <w:rPr>
          <w:rFonts w:eastAsia="Times New Roman" w:cs="Times New Roman"/>
          <w:color w:val="000000"/>
        </w:rPr>
        <w:t>Shliefer</w:t>
      </w:r>
      <w:proofErr w:type="spellEnd"/>
      <w:r w:rsidRPr="00A07836">
        <w:rPr>
          <w:rFonts w:eastAsia="Times New Roman" w:cs="Times New Roman"/>
          <w:color w:val="000000"/>
        </w:rPr>
        <w:t xml:space="preserve">. “Working Paper No. 9295: Media Bias.” </w:t>
      </w:r>
      <w:r w:rsidRPr="00A07836">
        <w:rPr>
          <w:rFonts w:eastAsia="Times New Roman" w:cs="Times New Roman"/>
          <w:i/>
          <w:iCs/>
          <w:color w:val="000000"/>
        </w:rPr>
        <w:t xml:space="preserve">National Bureau of Economic Research </w:t>
      </w:r>
      <w:r w:rsidRPr="00A07836">
        <w:rPr>
          <w:rFonts w:eastAsia="Times New Roman" w:cs="Times New Roman"/>
          <w:color w:val="000000"/>
        </w:rPr>
        <w:t xml:space="preserve">(2002): 1-18. </w:t>
      </w:r>
    </w:p>
    <w:p w14:paraId="5DF1C25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Mulligan, Shane P. “The Uses of Legitimacy in International Relations.” </w:t>
      </w:r>
      <w:r w:rsidRPr="00A07836">
        <w:rPr>
          <w:rFonts w:eastAsia="Times New Roman" w:cs="Times New Roman"/>
          <w:i/>
          <w:iCs/>
          <w:color w:val="000000"/>
        </w:rPr>
        <w:t xml:space="preserve">Millennium: Journal of International Studies </w:t>
      </w:r>
      <w:r w:rsidRPr="00A07836">
        <w:rPr>
          <w:rFonts w:eastAsia="Times New Roman" w:cs="Times New Roman"/>
          <w:color w:val="000000"/>
        </w:rPr>
        <w:t>34, no. 2 (2006): 349-375.</w:t>
      </w:r>
    </w:p>
    <w:p w14:paraId="1EB9991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Mumford, Andrew. “Proxy Warfare and the Future of Conflict.” </w:t>
      </w:r>
      <w:r w:rsidRPr="00A07836">
        <w:rPr>
          <w:rFonts w:eastAsia="Times New Roman" w:cs="Times New Roman"/>
          <w:i/>
          <w:iCs/>
          <w:color w:val="000000"/>
        </w:rPr>
        <w:t>The RUSI Journal</w:t>
      </w:r>
      <w:r w:rsidRPr="00A07836">
        <w:rPr>
          <w:rFonts w:eastAsia="Times New Roman" w:cs="Times New Roman"/>
          <w:color w:val="000000"/>
        </w:rPr>
        <w:t xml:space="preserve"> 158, no. 2 (2013): 40-46.</w:t>
      </w:r>
    </w:p>
    <w:p w14:paraId="5132C92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Munnik</w:t>
      </w:r>
      <w:proofErr w:type="spellEnd"/>
      <w:r w:rsidRPr="00A07836">
        <w:rPr>
          <w:rFonts w:eastAsia="Times New Roman" w:cs="Times New Roman"/>
          <w:color w:val="000000"/>
        </w:rPr>
        <w:t xml:space="preserve">, Michael B. “What Style Guides Tell Secular Journalists about Muslims and Islam.” </w:t>
      </w:r>
      <w:r w:rsidRPr="00A07836">
        <w:rPr>
          <w:rFonts w:eastAsia="Times New Roman" w:cs="Times New Roman"/>
          <w:i/>
          <w:iCs/>
          <w:color w:val="000000"/>
        </w:rPr>
        <w:t>Journal of Religion, Media and Digital Culture</w:t>
      </w:r>
      <w:r w:rsidRPr="00A07836">
        <w:rPr>
          <w:rFonts w:eastAsia="Times New Roman" w:cs="Times New Roman"/>
          <w:color w:val="000000"/>
        </w:rPr>
        <w:t xml:space="preserve"> (2023): 1-29. Retrieved from </w:t>
      </w:r>
      <w:r w:rsidRPr="00A07836">
        <w:rPr>
          <w:rFonts w:eastAsia="Times New Roman" w:cs="Times New Roman"/>
          <w:color w:val="000000"/>
          <w:u w:val="single"/>
        </w:rPr>
        <w:t>https://orca.cardiff.ac.uk/id/eprint/155823/1/Munnik%20JRMDC%20post-print.pdf</w:t>
      </w:r>
      <w:r w:rsidRPr="00A07836">
        <w:rPr>
          <w:rFonts w:eastAsia="Times New Roman" w:cs="Times New Roman"/>
          <w:color w:val="000000"/>
        </w:rPr>
        <w:t>.</w:t>
      </w:r>
    </w:p>
    <w:p w14:paraId="245B565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Nacos</w:t>
      </w:r>
      <w:proofErr w:type="spellEnd"/>
      <w:r w:rsidRPr="00A07836">
        <w:rPr>
          <w:rFonts w:eastAsia="Times New Roman" w:cs="Times New Roman"/>
          <w:color w:val="000000"/>
        </w:rPr>
        <w:t xml:space="preserve">, Brigitte L. </w:t>
      </w:r>
      <w:r w:rsidRPr="00A07836">
        <w:rPr>
          <w:rFonts w:eastAsia="Times New Roman" w:cs="Times New Roman"/>
          <w:i/>
          <w:iCs/>
          <w:color w:val="000000"/>
        </w:rPr>
        <w:t xml:space="preserve">Mass-Mediated Terrorism: Mainstream and Digital Media in Terrorism and Counterterrorism. </w:t>
      </w:r>
      <w:r w:rsidRPr="00A07836">
        <w:rPr>
          <w:rFonts w:eastAsia="Times New Roman" w:cs="Times New Roman"/>
          <w:color w:val="000000"/>
        </w:rPr>
        <w:t xml:space="preserve">3rd ed. Lanham: Rowman and Littlefield Publishers Inc., 2016. </w:t>
      </w:r>
    </w:p>
    <w:p w14:paraId="5F0C803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i/>
          <w:iCs/>
          <w:color w:val="000000"/>
        </w:rPr>
        <w:t>Terrorism and the Media: From the Iran Hostage Crisis to the World Trade Center Bombing.</w:t>
      </w:r>
      <w:r w:rsidRPr="00A07836">
        <w:rPr>
          <w:rFonts w:eastAsia="Times New Roman" w:cs="Times New Roman"/>
          <w:color w:val="000000"/>
        </w:rPr>
        <w:t xml:space="preserve"> New York City: Columbia University Press, 1994. </w:t>
      </w:r>
    </w:p>
    <w:p w14:paraId="7DA0207C"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Nacos</w:t>
      </w:r>
      <w:proofErr w:type="spellEnd"/>
      <w:r w:rsidRPr="00A07836">
        <w:rPr>
          <w:rFonts w:eastAsia="Times New Roman" w:cs="Times New Roman"/>
          <w:color w:val="000000"/>
        </w:rPr>
        <w:t xml:space="preserve">, Brigitte L., </w:t>
      </w:r>
      <w:proofErr w:type="spellStart"/>
      <w:r w:rsidRPr="00A07836">
        <w:rPr>
          <w:rFonts w:eastAsia="Times New Roman" w:cs="Times New Roman"/>
          <w:color w:val="000000"/>
        </w:rPr>
        <w:t>Yaeli</w:t>
      </w:r>
      <w:proofErr w:type="spellEnd"/>
      <w:r w:rsidRPr="00A07836">
        <w:rPr>
          <w:rFonts w:eastAsia="Times New Roman" w:cs="Times New Roman"/>
          <w:color w:val="000000"/>
        </w:rPr>
        <w:t xml:space="preserve"> Bloch-</w:t>
      </w:r>
      <w:proofErr w:type="spellStart"/>
      <w:r w:rsidRPr="00A07836">
        <w:rPr>
          <w:rFonts w:eastAsia="Times New Roman" w:cs="Times New Roman"/>
          <w:color w:val="000000"/>
        </w:rPr>
        <w:t>Elkon</w:t>
      </w:r>
      <w:proofErr w:type="spellEnd"/>
      <w:r w:rsidRPr="00A07836">
        <w:rPr>
          <w:rFonts w:eastAsia="Times New Roman" w:cs="Times New Roman"/>
          <w:color w:val="000000"/>
        </w:rPr>
        <w:t xml:space="preserve">, and Robert Y. Shapiro. </w:t>
      </w:r>
      <w:r w:rsidRPr="00A07836">
        <w:rPr>
          <w:rFonts w:eastAsia="Times New Roman" w:cs="Times New Roman"/>
          <w:i/>
          <w:iCs/>
          <w:color w:val="000000"/>
        </w:rPr>
        <w:t>Selling Fear: Counterterrorism, the Media, and Public Opinion.</w:t>
      </w:r>
      <w:r w:rsidRPr="00A07836">
        <w:rPr>
          <w:rFonts w:eastAsia="Times New Roman" w:cs="Times New Roman"/>
          <w:color w:val="000000"/>
        </w:rPr>
        <w:t xml:space="preserve"> Chicago: University of Chicago Press, 2011.</w:t>
      </w:r>
    </w:p>
    <w:p w14:paraId="030B391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Nelson, Michael. </w:t>
      </w:r>
      <w:r w:rsidRPr="00A07836">
        <w:rPr>
          <w:rFonts w:eastAsia="Times New Roman" w:cs="Times New Roman"/>
          <w:i/>
          <w:iCs/>
          <w:color w:val="000000"/>
        </w:rPr>
        <w:t>War of the Black Heavens: The Battles of Western Broadcasting in the Cold War.</w:t>
      </w:r>
      <w:r w:rsidRPr="00A07836">
        <w:rPr>
          <w:rFonts w:eastAsia="Times New Roman" w:cs="Times New Roman"/>
          <w:color w:val="000000"/>
        </w:rPr>
        <w:t xml:space="preserve"> Syracuse: Syracuse University Press, 1997.</w:t>
      </w:r>
    </w:p>
    <w:p w14:paraId="6099437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Nettlau</w:t>
      </w:r>
      <w:proofErr w:type="spellEnd"/>
      <w:r w:rsidRPr="00A07836">
        <w:rPr>
          <w:rFonts w:eastAsia="Times New Roman" w:cs="Times New Roman"/>
          <w:color w:val="000000"/>
        </w:rPr>
        <w:t xml:space="preserve">, Max. “Attentats.” In </w:t>
      </w:r>
      <w:proofErr w:type="spellStart"/>
      <w:r w:rsidRPr="00A07836">
        <w:rPr>
          <w:rFonts w:eastAsia="Times New Roman" w:cs="Times New Roman"/>
          <w:color w:val="000000"/>
        </w:rPr>
        <w:t>L’</w:t>
      </w:r>
      <w:r w:rsidRPr="00A07836">
        <w:rPr>
          <w:rFonts w:eastAsia="Times New Roman" w:cs="Times New Roman"/>
          <w:i/>
          <w:iCs/>
          <w:color w:val="000000"/>
        </w:rPr>
        <w:t>Encyclopédia</w:t>
      </w:r>
      <w:proofErr w:type="spellEnd"/>
      <w:r w:rsidRPr="00A07836">
        <w:rPr>
          <w:rFonts w:eastAsia="Times New Roman" w:cs="Times New Roman"/>
          <w:i/>
          <w:iCs/>
          <w:color w:val="000000"/>
        </w:rPr>
        <w:t xml:space="preserve"> </w:t>
      </w:r>
      <w:proofErr w:type="spellStart"/>
      <w:r w:rsidRPr="00A07836">
        <w:rPr>
          <w:rFonts w:eastAsia="Times New Roman" w:cs="Times New Roman"/>
          <w:i/>
          <w:iCs/>
          <w:color w:val="000000"/>
        </w:rPr>
        <w:t>anarchiste</w:t>
      </w:r>
      <w:proofErr w:type="spellEnd"/>
      <w:r w:rsidRPr="00A07836">
        <w:rPr>
          <w:rFonts w:eastAsia="Times New Roman" w:cs="Times New Roman"/>
          <w:color w:val="000000"/>
        </w:rPr>
        <w:t xml:space="preserve">, by </w:t>
      </w:r>
      <w:proofErr w:type="spellStart"/>
      <w:r w:rsidRPr="00A07836">
        <w:rPr>
          <w:rFonts w:eastAsia="Times New Roman" w:cs="Times New Roman"/>
          <w:color w:val="000000"/>
        </w:rPr>
        <w:t>Sébastian</w:t>
      </w:r>
      <w:proofErr w:type="spellEnd"/>
      <w:r w:rsidRPr="00A07836">
        <w:rPr>
          <w:rFonts w:eastAsia="Times New Roman" w:cs="Times New Roman"/>
          <w:color w:val="000000"/>
        </w:rPr>
        <w:t xml:space="preserve"> Faure. Paris: Editions de la </w:t>
      </w:r>
      <w:proofErr w:type="spellStart"/>
      <w:r w:rsidRPr="00A07836">
        <w:rPr>
          <w:rFonts w:eastAsia="Times New Roman" w:cs="Times New Roman"/>
          <w:color w:val="000000"/>
        </w:rPr>
        <w:t>Librairie</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Internationale</w:t>
      </w:r>
      <w:proofErr w:type="spellEnd"/>
      <w:r w:rsidRPr="00A07836">
        <w:rPr>
          <w:rFonts w:eastAsia="Times New Roman" w:cs="Times New Roman"/>
          <w:color w:val="000000"/>
        </w:rPr>
        <w:t>, 1934.</w:t>
      </w:r>
    </w:p>
    <w:p w14:paraId="72BE744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Neuendorf</w:t>
      </w:r>
      <w:proofErr w:type="spellEnd"/>
      <w:r w:rsidRPr="00A07836">
        <w:rPr>
          <w:rFonts w:eastAsia="Times New Roman" w:cs="Times New Roman"/>
          <w:color w:val="000000"/>
        </w:rPr>
        <w:t xml:space="preserve">, Kimberly A. “Content Analysis: A Contrast and Complement to Discourse Analysis.” </w:t>
      </w:r>
      <w:r w:rsidRPr="00A07836">
        <w:rPr>
          <w:rFonts w:eastAsia="Times New Roman" w:cs="Times New Roman"/>
          <w:i/>
          <w:iCs/>
          <w:color w:val="000000"/>
        </w:rPr>
        <w:t>Qualitative Methods</w:t>
      </w:r>
      <w:r w:rsidRPr="00A07836">
        <w:rPr>
          <w:rFonts w:eastAsia="Times New Roman" w:cs="Times New Roman"/>
          <w:color w:val="000000"/>
        </w:rPr>
        <w:t xml:space="preserve"> 2, no. 1 (2004): 33-36. </w:t>
      </w:r>
    </w:p>
    <w:p w14:paraId="0F802AFB"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Niwattanakul</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Suphakit</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Jatsada</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Singthongchai</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Ekkachai</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Naenudorn</w:t>
      </w:r>
      <w:proofErr w:type="spellEnd"/>
      <w:r w:rsidRPr="00A07836">
        <w:rPr>
          <w:rFonts w:eastAsia="Times New Roman" w:cs="Times New Roman"/>
          <w:color w:val="000000"/>
        </w:rPr>
        <w:t xml:space="preserve">, and </w:t>
      </w:r>
      <w:proofErr w:type="spellStart"/>
      <w:r w:rsidRPr="00A07836">
        <w:rPr>
          <w:rFonts w:eastAsia="Times New Roman" w:cs="Times New Roman"/>
          <w:color w:val="000000"/>
        </w:rPr>
        <w:t>Supachanun</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Wanapu</w:t>
      </w:r>
      <w:proofErr w:type="spellEnd"/>
      <w:r w:rsidRPr="00A07836">
        <w:rPr>
          <w:rFonts w:eastAsia="Times New Roman" w:cs="Times New Roman"/>
          <w:color w:val="000000"/>
        </w:rPr>
        <w:t xml:space="preserve">. "Using of Jaccard Coefficient for Keywords Similarity." </w:t>
      </w:r>
      <w:r w:rsidRPr="00A07836">
        <w:rPr>
          <w:rFonts w:eastAsia="Times New Roman" w:cs="Times New Roman"/>
          <w:i/>
          <w:iCs/>
          <w:color w:val="000000"/>
        </w:rPr>
        <w:t>Proceedings of the International Multiconference of Engineers and Computer Scientists</w:t>
      </w:r>
      <w:r w:rsidRPr="00A07836">
        <w:rPr>
          <w:rFonts w:eastAsia="Times New Roman" w:cs="Times New Roman"/>
          <w:color w:val="000000"/>
        </w:rPr>
        <w:t xml:space="preserve"> 1, no. 6 (2013): 380-384. </w:t>
      </w:r>
    </w:p>
    <w:p w14:paraId="42FD887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Noelle-Neumann, Elisabeth. “The Spiral of Silence: A Theory of Public Opinion.” </w:t>
      </w:r>
      <w:r w:rsidRPr="00A07836">
        <w:rPr>
          <w:rFonts w:eastAsia="Times New Roman" w:cs="Times New Roman"/>
          <w:i/>
          <w:iCs/>
          <w:color w:val="000000"/>
        </w:rPr>
        <w:t>Journal of Communication</w:t>
      </w:r>
      <w:r w:rsidRPr="00A07836">
        <w:rPr>
          <w:rFonts w:eastAsia="Times New Roman" w:cs="Times New Roman"/>
          <w:color w:val="000000"/>
        </w:rPr>
        <w:t xml:space="preserve"> 24, no. 1 (1974): 43-51. </w:t>
      </w:r>
    </w:p>
    <w:p w14:paraId="136940A8"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O’Shaunessy</w:t>
      </w:r>
      <w:proofErr w:type="spellEnd"/>
      <w:r w:rsidRPr="00A07836">
        <w:rPr>
          <w:rFonts w:eastAsia="Times New Roman" w:cs="Times New Roman"/>
          <w:color w:val="000000"/>
        </w:rPr>
        <w:t xml:space="preserve">, Nicholas J., and Paul R. </w:t>
      </w:r>
      <w:proofErr w:type="spellStart"/>
      <w:r w:rsidRPr="00A07836">
        <w:rPr>
          <w:rFonts w:eastAsia="Times New Roman" w:cs="Times New Roman"/>
          <w:color w:val="000000"/>
        </w:rPr>
        <w:t>Blaines</w:t>
      </w:r>
      <w:proofErr w:type="spellEnd"/>
      <w:r w:rsidRPr="00A07836">
        <w:rPr>
          <w:rFonts w:eastAsia="Times New Roman" w:cs="Times New Roman"/>
          <w:color w:val="000000"/>
        </w:rPr>
        <w:t xml:space="preserve">. “Selling Terror: The Symbolization and Positioning of Jihad.” </w:t>
      </w:r>
      <w:r w:rsidRPr="00A07836">
        <w:rPr>
          <w:rFonts w:eastAsia="Times New Roman" w:cs="Times New Roman"/>
          <w:i/>
          <w:iCs/>
          <w:color w:val="000000"/>
        </w:rPr>
        <w:t>Marketing Theory</w:t>
      </w:r>
      <w:r w:rsidRPr="00A07836">
        <w:rPr>
          <w:rFonts w:eastAsia="Times New Roman" w:cs="Times New Roman"/>
          <w:color w:val="000000"/>
        </w:rPr>
        <w:t xml:space="preserve"> 9, no. 2 (2009): 227-241.</w:t>
      </w:r>
    </w:p>
    <w:p w14:paraId="47E2376F"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Onuf</w:t>
      </w:r>
      <w:proofErr w:type="spellEnd"/>
      <w:r w:rsidRPr="00A07836">
        <w:rPr>
          <w:rFonts w:eastAsia="Times New Roman" w:cs="Times New Roman"/>
          <w:color w:val="000000"/>
        </w:rPr>
        <w:t xml:space="preserve">, Nicholas. “Sovereignty: Outline of a Conceptual History.” </w:t>
      </w:r>
      <w:r w:rsidRPr="00A07836">
        <w:rPr>
          <w:rFonts w:eastAsia="Times New Roman" w:cs="Times New Roman"/>
          <w:i/>
          <w:iCs/>
          <w:color w:val="000000"/>
        </w:rPr>
        <w:t>Alternatives</w:t>
      </w:r>
      <w:r w:rsidRPr="00A07836">
        <w:rPr>
          <w:rFonts w:eastAsia="Times New Roman" w:cs="Times New Roman"/>
          <w:color w:val="000000"/>
        </w:rPr>
        <w:t xml:space="preserve"> xvi (1991): 425-446.</w:t>
      </w:r>
    </w:p>
    <w:p w14:paraId="0E615EAB" w14:textId="77777777" w:rsidR="00B31568" w:rsidRDefault="00B31568" w:rsidP="00B31568">
      <w:pPr>
        <w:pStyle w:val="FootnoteText"/>
        <w:spacing w:after="0"/>
        <w:rPr>
          <w:rFonts w:cs="Times New Roman"/>
          <w:sz w:val="22"/>
          <w:szCs w:val="22"/>
        </w:rPr>
      </w:pPr>
      <w:r w:rsidRPr="00B31568">
        <w:rPr>
          <w:rFonts w:cs="Times New Roman"/>
          <w:sz w:val="22"/>
          <w:szCs w:val="22"/>
        </w:rPr>
        <w:t xml:space="preserve">Orlova, Alexandra V., and James W. Moore, </w:t>
      </w:r>
      <w:proofErr w:type="gramStart"/>
      <w:r w:rsidRPr="00B31568">
        <w:rPr>
          <w:rFonts w:cs="Times New Roman"/>
          <w:sz w:val="22"/>
          <w:szCs w:val="22"/>
        </w:rPr>
        <w:t>“”Umbrellas</w:t>
      </w:r>
      <w:proofErr w:type="gramEnd"/>
      <w:r w:rsidRPr="00B31568">
        <w:rPr>
          <w:rFonts w:cs="Times New Roman"/>
          <w:sz w:val="22"/>
          <w:szCs w:val="22"/>
        </w:rPr>
        <w:t xml:space="preserve">” or “Building Blocks”?: Defining </w:t>
      </w:r>
    </w:p>
    <w:p w14:paraId="61A9EFDF" w14:textId="5567E8F8" w:rsidR="00B31568" w:rsidRPr="00B31568" w:rsidRDefault="00B31568" w:rsidP="00B31568">
      <w:pPr>
        <w:pStyle w:val="FootnoteText"/>
        <w:spacing w:before="0" w:after="0"/>
        <w:ind w:left="567"/>
        <w:rPr>
          <w:rFonts w:cs="Times New Roman"/>
          <w:sz w:val="22"/>
          <w:szCs w:val="22"/>
        </w:rPr>
      </w:pPr>
      <w:r w:rsidRPr="00B31568">
        <w:rPr>
          <w:rFonts w:cs="Times New Roman"/>
          <w:sz w:val="22"/>
          <w:szCs w:val="22"/>
        </w:rPr>
        <w:t>International Terrorism and Transnational Organized Crime in International Law.”</w:t>
      </w:r>
      <w:r w:rsidRPr="00B31568">
        <w:rPr>
          <w:rFonts w:cs="Times New Roman"/>
          <w:i/>
          <w:iCs/>
          <w:sz w:val="22"/>
          <w:szCs w:val="22"/>
        </w:rPr>
        <w:t xml:space="preserve"> Houston Journal of International Law</w:t>
      </w:r>
      <w:r w:rsidRPr="00B31568">
        <w:rPr>
          <w:rFonts w:cs="Times New Roman"/>
          <w:sz w:val="22"/>
          <w:szCs w:val="22"/>
        </w:rPr>
        <w:t>, 27, No. 2 (2005).</w:t>
      </w:r>
    </w:p>
    <w:p w14:paraId="4C758553" w14:textId="182F179F"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Osinder</w:t>
      </w:r>
      <w:proofErr w:type="spellEnd"/>
      <w:r w:rsidRPr="00A07836">
        <w:rPr>
          <w:rFonts w:eastAsia="Times New Roman" w:cs="Times New Roman"/>
          <w:color w:val="000000"/>
        </w:rPr>
        <w:t xml:space="preserve">, Andreas. “Sovereignty, International Relations, and the Westphalian Myth.” </w:t>
      </w:r>
      <w:r w:rsidRPr="00A07836">
        <w:rPr>
          <w:rFonts w:eastAsia="Times New Roman" w:cs="Times New Roman"/>
          <w:i/>
          <w:iCs/>
          <w:color w:val="000000"/>
        </w:rPr>
        <w:t>International Organization</w:t>
      </w:r>
      <w:r w:rsidRPr="00A07836">
        <w:rPr>
          <w:rFonts w:eastAsia="Times New Roman" w:cs="Times New Roman"/>
          <w:color w:val="000000"/>
        </w:rPr>
        <w:t xml:space="preserve"> 55, no. 2 (2001): 251-287. </w:t>
      </w:r>
    </w:p>
    <w:p w14:paraId="53889F7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Pages, George. </w:t>
      </w:r>
      <w:r w:rsidRPr="00A07836">
        <w:rPr>
          <w:rFonts w:eastAsia="Times New Roman" w:cs="Times New Roman"/>
          <w:i/>
          <w:iCs/>
          <w:color w:val="000000"/>
        </w:rPr>
        <w:t xml:space="preserve">The Thirty Years’ War. </w:t>
      </w:r>
      <w:r w:rsidRPr="00A07836">
        <w:rPr>
          <w:rFonts w:eastAsia="Times New Roman" w:cs="Times New Roman"/>
          <w:color w:val="000000"/>
        </w:rPr>
        <w:t xml:space="preserve">Translated by David </w:t>
      </w:r>
      <w:proofErr w:type="spellStart"/>
      <w:r w:rsidRPr="00A07836">
        <w:rPr>
          <w:rFonts w:eastAsia="Times New Roman" w:cs="Times New Roman"/>
          <w:color w:val="000000"/>
        </w:rPr>
        <w:t>Maland</w:t>
      </w:r>
      <w:proofErr w:type="spellEnd"/>
      <w:r w:rsidRPr="00A07836">
        <w:rPr>
          <w:rFonts w:eastAsia="Times New Roman" w:cs="Times New Roman"/>
          <w:color w:val="000000"/>
        </w:rPr>
        <w:t>, and John Hooper. New York City: Harper and Row, 1970.</w:t>
      </w:r>
    </w:p>
    <w:p w14:paraId="3B5B4C30"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Paletz</w:t>
      </w:r>
      <w:proofErr w:type="spellEnd"/>
      <w:r w:rsidRPr="00A07836">
        <w:rPr>
          <w:rFonts w:eastAsia="Times New Roman" w:cs="Times New Roman"/>
          <w:color w:val="000000"/>
        </w:rPr>
        <w:t xml:space="preserve">, David L., and John </w:t>
      </w:r>
      <w:proofErr w:type="spellStart"/>
      <w:r w:rsidRPr="00A07836">
        <w:rPr>
          <w:rFonts w:eastAsia="Times New Roman" w:cs="Times New Roman"/>
          <w:color w:val="000000"/>
        </w:rPr>
        <w:t>Boiney</w:t>
      </w:r>
      <w:proofErr w:type="spellEnd"/>
      <w:r w:rsidRPr="00A07836">
        <w:rPr>
          <w:rFonts w:eastAsia="Times New Roman" w:cs="Times New Roman"/>
          <w:color w:val="000000"/>
        </w:rPr>
        <w:t xml:space="preserve">, “Researchers’ Perspectives.” In </w:t>
      </w:r>
      <w:r w:rsidRPr="00A07836">
        <w:rPr>
          <w:rFonts w:eastAsia="Times New Roman" w:cs="Times New Roman"/>
          <w:i/>
          <w:iCs/>
          <w:color w:val="000000"/>
        </w:rPr>
        <w:t xml:space="preserve">Terrorism and the Media, </w:t>
      </w:r>
      <w:r w:rsidRPr="00A07836">
        <w:rPr>
          <w:rFonts w:eastAsia="Times New Roman" w:cs="Times New Roman"/>
          <w:color w:val="000000"/>
        </w:rPr>
        <w:t xml:space="preserve">edited by David L. </w:t>
      </w:r>
      <w:proofErr w:type="spellStart"/>
      <w:r w:rsidRPr="00A07836">
        <w:rPr>
          <w:rFonts w:eastAsia="Times New Roman" w:cs="Times New Roman"/>
          <w:color w:val="000000"/>
        </w:rPr>
        <w:t>Paletz</w:t>
      </w:r>
      <w:proofErr w:type="spellEnd"/>
      <w:r w:rsidRPr="00A07836">
        <w:rPr>
          <w:rFonts w:eastAsia="Times New Roman" w:cs="Times New Roman"/>
          <w:color w:val="000000"/>
        </w:rPr>
        <w:t>, and Alex P. Schmid, 6-28. Newbury Park: Sage Publications Inc., 1992.</w:t>
      </w:r>
    </w:p>
    <w:p w14:paraId="388695BE"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Palmer, Michael B. “News Technology: All </w:t>
      </w:r>
      <w:proofErr w:type="gramStart"/>
      <w:r w:rsidRPr="00A07836">
        <w:rPr>
          <w:rFonts w:eastAsia="Times New Roman" w:cs="Times New Roman"/>
          <w:color w:val="000000"/>
        </w:rPr>
        <w:t>Together?;</w:t>
      </w:r>
      <w:proofErr w:type="gramEnd"/>
      <w:r w:rsidRPr="00A07836">
        <w:rPr>
          <w:rFonts w:eastAsia="Times New Roman" w:cs="Times New Roman"/>
          <w:color w:val="000000"/>
        </w:rPr>
        <w:t xml:space="preserve"> On the News Front – “Yes” and “No”.” In </w:t>
      </w:r>
      <w:r w:rsidRPr="00A07836">
        <w:rPr>
          <w:rFonts w:eastAsia="Times New Roman" w:cs="Times New Roman"/>
          <w:i/>
          <w:iCs/>
          <w:color w:val="000000"/>
        </w:rPr>
        <w:t>International News Agencies: A History</w:t>
      </w:r>
      <w:r w:rsidRPr="00A07836">
        <w:rPr>
          <w:rFonts w:eastAsia="Times New Roman" w:cs="Times New Roman"/>
          <w:color w:val="000000"/>
        </w:rPr>
        <w:t>, by Michael B. Palmer, 231-240</w:t>
      </w:r>
      <w:r w:rsidRPr="00A07836">
        <w:rPr>
          <w:rFonts w:eastAsia="Times New Roman" w:cs="Times New Roman"/>
          <w:i/>
          <w:iCs/>
          <w:color w:val="000000"/>
        </w:rPr>
        <w:t>.</w:t>
      </w:r>
      <w:r w:rsidRPr="00A07836">
        <w:rPr>
          <w:rFonts w:eastAsia="Times New Roman" w:cs="Times New Roman"/>
          <w:color w:val="000000"/>
        </w:rPr>
        <w:t xml:space="preserve"> Cham: Palgrave Macmillan, 2019. </w:t>
      </w:r>
    </w:p>
    <w:p w14:paraId="1E2B7EB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“‘PRESS on the appropriate button in the reader’s mind’: News Agencies Cover ‘Terrorism.’” </w:t>
      </w:r>
      <w:r w:rsidRPr="00A07836">
        <w:rPr>
          <w:rFonts w:eastAsia="Times New Roman" w:cs="Times New Roman"/>
          <w:i/>
          <w:iCs/>
          <w:color w:val="000000"/>
        </w:rPr>
        <w:t xml:space="preserve">Global Media and Communication </w:t>
      </w:r>
      <w:r w:rsidRPr="00A07836">
        <w:rPr>
          <w:rFonts w:eastAsia="Times New Roman" w:cs="Times New Roman"/>
          <w:color w:val="000000"/>
        </w:rPr>
        <w:t xml:space="preserve">7, no. 3 (2011): 257-261. </w:t>
      </w:r>
    </w:p>
    <w:p w14:paraId="05A9843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Palmer, Michael, and </w:t>
      </w:r>
      <w:proofErr w:type="spellStart"/>
      <w:r w:rsidRPr="00A07836">
        <w:rPr>
          <w:rFonts w:eastAsia="Times New Roman" w:cs="Times New Roman"/>
          <w:color w:val="000000"/>
        </w:rPr>
        <w:t>Jérémie</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Nicey</w:t>
      </w:r>
      <w:proofErr w:type="spellEnd"/>
      <w:r w:rsidRPr="00A07836">
        <w:rPr>
          <w:rFonts w:eastAsia="Times New Roman" w:cs="Times New Roman"/>
          <w:color w:val="000000"/>
        </w:rPr>
        <w:t xml:space="preserve">. “Social Media and the Freedom of the Press: A Long-term Perspective from within International News Agencies (AFP, Reuters).” </w:t>
      </w:r>
      <w:r w:rsidRPr="00A07836">
        <w:rPr>
          <w:rFonts w:eastAsia="Times New Roman" w:cs="Times New Roman"/>
          <w:i/>
          <w:iCs/>
          <w:color w:val="000000"/>
        </w:rPr>
        <w:t>Journal for Communication Studies</w:t>
      </w:r>
      <w:r w:rsidRPr="00A07836">
        <w:rPr>
          <w:rFonts w:eastAsia="Times New Roman" w:cs="Times New Roman"/>
          <w:color w:val="000000"/>
        </w:rPr>
        <w:t xml:space="preserve"> 5, no. 1 (2012): 107-123.</w:t>
      </w:r>
    </w:p>
    <w:p w14:paraId="5341A88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Park, </w:t>
      </w:r>
      <w:proofErr w:type="spellStart"/>
      <w:r w:rsidRPr="00A07836">
        <w:rPr>
          <w:rFonts w:eastAsia="Times New Roman" w:cs="Times New Roman"/>
          <w:color w:val="000000"/>
        </w:rPr>
        <w:t>Souneil</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Seungwoo</w:t>
      </w:r>
      <w:proofErr w:type="spellEnd"/>
      <w:r w:rsidRPr="00A07836">
        <w:rPr>
          <w:rFonts w:eastAsia="Times New Roman" w:cs="Times New Roman"/>
          <w:color w:val="000000"/>
        </w:rPr>
        <w:t xml:space="preserve"> Kang, </w:t>
      </w:r>
      <w:proofErr w:type="spellStart"/>
      <w:r w:rsidRPr="00A07836">
        <w:rPr>
          <w:rFonts w:eastAsia="Times New Roman" w:cs="Times New Roman"/>
          <w:color w:val="000000"/>
        </w:rPr>
        <w:t>Sangyou</w:t>
      </w:r>
      <w:proofErr w:type="spellEnd"/>
      <w:r w:rsidRPr="00A07836">
        <w:rPr>
          <w:rFonts w:eastAsia="Times New Roman" w:cs="Times New Roman"/>
          <w:color w:val="000000"/>
        </w:rPr>
        <w:t xml:space="preserve"> Chung, and </w:t>
      </w:r>
      <w:proofErr w:type="spellStart"/>
      <w:r w:rsidRPr="00A07836">
        <w:rPr>
          <w:rFonts w:eastAsia="Times New Roman" w:cs="Times New Roman"/>
          <w:color w:val="000000"/>
        </w:rPr>
        <w:t>Junehwa</w:t>
      </w:r>
      <w:proofErr w:type="spellEnd"/>
      <w:r w:rsidRPr="00A07836">
        <w:rPr>
          <w:rFonts w:eastAsia="Times New Roman" w:cs="Times New Roman"/>
          <w:color w:val="000000"/>
        </w:rPr>
        <w:t xml:space="preserve"> Song. “</w:t>
      </w:r>
      <w:proofErr w:type="spellStart"/>
      <w:r w:rsidRPr="00A07836">
        <w:rPr>
          <w:rFonts w:eastAsia="Times New Roman" w:cs="Times New Roman"/>
          <w:color w:val="000000"/>
        </w:rPr>
        <w:t>NewsCube</w:t>
      </w:r>
      <w:proofErr w:type="spellEnd"/>
      <w:r w:rsidRPr="00A07836">
        <w:rPr>
          <w:rFonts w:eastAsia="Times New Roman" w:cs="Times New Roman"/>
          <w:color w:val="000000"/>
        </w:rPr>
        <w:t xml:space="preserve">: Delivering Multiple Aspects of News to Mitigate Media Bias.” In </w:t>
      </w:r>
      <w:r w:rsidRPr="00A07836">
        <w:rPr>
          <w:rFonts w:eastAsia="Times New Roman" w:cs="Times New Roman"/>
          <w:i/>
          <w:iCs/>
          <w:color w:val="000000"/>
        </w:rPr>
        <w:t xml:space="preserve">Proceedings of CHI’09, SIGCHI </w:t>
      </w:r>
      <w:proofErr w:type="spellStart"/>
      <w:r w:rsidRPr="00A07836">
        <w:rPr>
          <w:rFonts w:eastAsia="Times New Roman" w:cs="Times New Roman"/>
          <w:i/>
          <w:iCs/>
          <w:color w:val="000000"/>
        </w:rPr>
        <w:t>Congerence</w:t>
      </w:r>
      <w:proofErr w:type="spellEnd"/>
      <w:r w:rsidRPr="00A07836">
        <w:rPr>
          <w:rFonts w:eastAsia="Times New Roman" w:cs="Times New Roman"/>
          <w:i/>
          <w:iCs/>
          <w:color w:val="000000"/>
        </w:rPr>
        <w:t xml:space="preserve"> on Human Factors Computer System</w:t>
      </w:r>
      <w:r w:rsidRPr="00A07836">
        <w:rPr>
          <w:rFonts w:eastAsia="Times New Roman" w:cs="Times New Roman"/>
          <w:color w:val="000000"/>
        </w:rPr>
        <w:t xml:space="preserve"> (2009): 443-453.</w:t>
      </w:r>
    </w:p>
    <w:p w14:paraId="18EB945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Paterson, Chris. </w:t>
      </w:r>
      <w:r w:rsidRPr="00A07836">
        <w:rPr>
          <w:rFonts w:eastAsia="Times New Roman" w:cs="Times New Roman"/>
          <w:i/>
          <w:iCs/>
          <w:color w:val="000000"/>
        </w:rPr>
        <w:t>The International Television News Agencies: The World from London</w:t>
      </w:r>
      <w:r w:rsidRPr="00A07836">
        <w:rPr>
          <w:rFonts w:eastAsia="Times New Roman" w:cs="Times New Roman"/>
          <w:color w:val="000000"/>
        </w:rPr>
        <w:t xml:space="preserve">. New York City: Peter Lang, 2011. </w:t>
      </w:r>
    </w:p>
    <w:p w14:paraId="20A5CDA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“News Agency Dominance in International News on the Internet.” </w:t>
      </w:r>
      <w:r w:rsidRPr="00A07836">
        <w:rPr>
          <w:rFonts w:eastAsia="Times New Roman" w:cs="Times New Roman"/>
          <w:i/>
          <w:iCs/>
          <w:color w:val="000000"/>
        </w:rPr>
        <w:t>Papers in International and Global Communication</w:t>
      </w:r>
      <w:r w:rsidRPr="00A07836">
        <w:rPr>
          <w:rFonts w:eastAsia="Times New Roman" w:cs="Times New Roman"/>
          <w:color w:val="000000"/>
        </w:rPr>
        <w:t xml:space="preserve"> (Centre for International Communications Research, No 01/06) (2006). Retrieved from </w:t>
      </w:r>
      <w:r w:rsidRPr="00A07836">
        <w:rPr>
          <w:rFonts w:eastAsia="Times New Roman" w:cs="Times New Roman"/>
          <w:color w:val="000000"/>
          <w:u w:val="single"/>
        </w:rPr>
        <w:t>http://ics.leeds.ac.uk/papers/cicr/exhibits/42/cicrpaterson.pdf.</w:t>
      </w:r>
    </w:p>
    <w:p w14:paraId="13CE6A0A" w14:textId="77777777" w:rsidR="00F072B0" w:rsidRPr="00F71B53" w:rsidRDefault="00F072B0" w:rsidP="00F072B0">
      <w:pPr>
        <w:spacing w:after="240"/>
        <w:ind w:left="567" w:hanging="567"/>
        <w:rPr>
          <w:rFonts w:eastAsia="Times New Roman" w:cs="Times New Roman"/>
          <w:color w:val="000000"/>
          <w:szCs w:val="22"/>
        </w:rPr>
      </w:pPr>
      <w:r w:rsidRPr="00A07836">
        <w:rPr>
          <w:rFonts w:eastAsia="Times New Roman" w:cs="Times New Roman"/>
          <w:color w:val="000000"/>
        </w:rPr>
        <w:t xml:space="preserve">Perry, Nicholas J. “The Numerous Federal Legal Definitions of Terrorism: The Problem of too </w:t>
      </w:r>
      <w:r w:rsidRPr="00F71B53">
        <w:rPr>
          <w:rFonts w:eastAsia="Times New Roman" w:cs="Times New Roman"/>
          <w:color w:val="000000"/>
          <w:szCs w:val="22"/>
        </w:rPr>
        <w:t xml:space="preserve">Many Grails.” </w:t>
      </w:r>
      <w:r w:rsidRPr="00F71B53">
        <w:rPr>
          <w:rFonts w:eastAsia="Times New Roman" w:cs="Times New Roman"/>
          <w:i/>
          <w:iCs/>
          <w:color w:val="000000"/>
          <w:szCs w:val="22"/>
        </w:rPr>
        <w:t xml:space="preserve">Journal of Legislation </w:t>
      </w:r>
      <w:r w:rsidRPr="00F71B53">
        <w:rPr>
          <w:rFonts w:eastAsia="Times New Roman" w:cs="Times New Roman"/>
          <w:color w:val="000000"/>
          <w:szCs w:val="22"/>
        </w:rPr>
        <w:t>30, no. 2 (May 1, 2004): 249-274.</w:t>
      </w:r>
    </w:p>
    <w:p w14:paraId="4947AB83" w14:textId="542CAE00" w:rsidR="00F71B53" w:rsidRPr="00F71B53" w:rsidRDefault="00F71B53" w:rsidP="00F072B0">
      <w:pPr>
        <w:spacing w:after="240"/>
        <w:ind w:left="567" w:hanging="567"/>
        <w:rPr>
          <w:rFonts w:eastAsia="Times New Roman" w:cs="Times New Roman"/>
          <w:color w:val="000000"/>
          <w:szCs w:val="22"/>
        </w:rPr>
      </w:pPr>
      <w:r w:rsidRPr="00F71B53">
        <w:rPr>
          <w:rFonts w:cs="Times New Roman"/>
          <w:szCs w:val="22"/>
        </w:rPr>
        <w:t xml:space="preserve">Peterson, M.J. “Using the General Assembly.” In Jane Boulden and Thomas G. Weiss, eds. </w:t>
      </w:r>
      <w:r w:rsidRPr="00F71B53">
        <w:rPr>
          <w:rFonts w:cs="Times New Roman"/>
          <w:i/>
          <w:iCs/>
          <w:szCs w:val="22"/>
        </w:rPr>
        <w:t>Terrorism and the UN: Before and After September 11.</w:t>
      </w:r>
      <w:r w:rsidRPr="00F71B53">
        <w:rPr>
          <w:rFonts w:cs="Times New Roman"/>
          <w:szCs w:val="22"/>
        </w:rPr>
        <w:t xml:space="preserve"> (Indianapolis, IN: Indiana University Press, 2004).</w:t>
      </w:r>
    </w:p>
    <w:p w14:paraId="70C6BF39" w14:textId="7D949C93"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Peterson, Theodore. </w:t>
      </w:r>
      <w:r w:rsidRPr="00A07836">
        <w:rPr>
          <w:rFonts w:eastAsia="Times New Roman" w:cs="Times New Roman"/>
          <w:i/>
          <w:iCs/>
          <w:color w:val="000000"/>
        </w:rPr>
        <w:t xml:space="preserve">Magazines in the Twentieth Century. </w:t>
      </w:r>
      <w:r w:rsidRPr="00A07836">
        <w:rPr>
          <w:rFonts w:eastAsia="Times New Roman" w:cs="Times New Roman"/>
          <w:color w:val="000000"/>
        </w:rPr>
        <w:t>Urbana: University of Illinois Press, 1964.</w:t>
      </w:r>
    </w:p>
    <w:p w14:paraId="13A2D36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Phelps, Martha Lizabeth. “Doppelgangers of the State: Private Security and Transferable Legitimacy.” </w:t>
      </w:r>
      <w:r w:rsidRPr="00A07836">
        <w:rPr>
          <w:rFonts w:eastAsia="Times New Roman" w:cs="Times New Roman"/>
          <w:i/>
          <w:iCs/>
          <w:color w:val="000000"/>
        </w:rPr>
        <w:t>Politics and Policy</w:t>
      </w:r>
      <w:r w:rsidRPr="00A07836">
        <w:rPr>
          <w:rFonts w:eastAsia="Times New Roman" w:cs="Times New Roman"/>
          <w:color w:val="000000"/>
        </w:rPr>
        <w:t xml:space="preserve"> 42, no. 6 (2014): 824-849. </w:t>
      </w:r>
    </w:p>
    <w:p w14:paraId="6894432C"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Pottruff</w:t>
      </w:r>
      <w:proofErr w:type="spellEnd"/>
      <w:r w:rsidRPr="00A07836">
        <w:rPr>
          <w:rFonts w:eastAsia="Times New Roman" w:cs="Times New Roman"/>
          <w:color w:val="000000"/>
        </w:rPr>
        <w:t>, Benjamin Wray. “The Anarchist Peril: Industrial Violence and the Propaganda of Fear in Turn of the Century America, 1886-1908.” Ph.D. diss., University of Toronto, 2015.</w:t>
      </w:r>
    </w:p>
    <w:p w14:paraId="1AE1D06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Prion, Susan, and Katie Anne </w:t>
      </w:r>
      <w:proofErr w:type="spellStart"/>
      <w:r w:rsidRPr="00A07836">
        <w:rPr>
          <w:rFonts w:eastAsia="Times New Roman" w:cs="Times New Roman"/>
          <w:color w:val="000000"/>
        </w:rPr>
        <w:t>Haerling</w:t>
      </w:r>
      <w:proofErr w:type="spellEnd"/>
      <w:r w:rsidRPr="00A07836">
        <w:rPr>
          <w:rFonts w:eastAsia="Times New Roman" w:cs="Times New Roman"/>
          <w:color w:val="000000"/>
        </w:rPr>
        <w:t xml:space="preserve">. “Making Sense of Methods and Measurement: Spearman-Rho Ranked-Ordered Coefficient.” </w:t>
      </w:r>
      <w:r w:rsidRPr="00A07836">
        <w:rPr>
          <w:rFonts w:eastAsia="Times New Roman" w:cs="Times New Roman"/>
          <w:i/>
          <w:iCs/>
          <w:color w:val="000000"/>
        </w:rPr>
        <w:t>Clinical Simulation in Nursing</w:t>
      </w:r>
      <w:r w:rsidRPr="00A07836">
        <w:rPr>
          <w:rFonts w:eastAsia="Times New Roman" w:cs="Times New Roman"/>
          <w:color w:val="000000"/>
        </w:rPr>
        <w:t xml:space="preserve"> 10, no. 10 (2014): 535-536.</w:t>
      </w:r>
    </w:p>
    <w:p w14:paraId="64046B43"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Przeworski</w:t>
      </w:r>
      <w:proofErr w:type="spellEnd"/>
      <w:r w:rsidRPr="00A07836">
        <w:rPr>
          <w:rFonts w:eastAsia="Times New Roman" w:cs="Times New Roman"/>
          <w:color w:val="000000"/>
        </w:rPr>
        <w:t xml:space="preserve">, Adam, and Henry </w:t>
      </w:r>
      <w:proofErr w:type="spellStart"/>
      <w:r w:rsidRPr="00A07836">
        <w:rPr>
          <w:rFonts w:eastAsia="Times New Roman" w:cs="Times New Roman"/>
          <w:color w:val="000000"/>
        </w:rPr>
        <w:t>Teune</w:t>
      </w:r>
      <w:proofErr w:type="spellEnd"/>
      <w:r w:rsidRPr="00A07836">
        <w:rPr>
          <w:rFonts w:eastAsia="Times New Roman" w:cs="Times New Roman"/>
          <w:color w:val="000000"/>
        </w:rPr>
        <w:t xml:space="preserve">. </w:t>
      </w:r>
      <w:r w:rsidRPr="00A07836">
        <w:rPr>
          <w:rFonts w:eastAsia="Times New Roman" w:cs="Times New Roman"/>
          <w:i/>
          <w:iCs/>
          <w:color w:val="000000"/>
        </w:rPr>
        <w:t xml:space="preserve">The Logic of Comparative Social Inquiry. </w:t>
      </w:r>
      <w:r w:rsidRPr="00A07836">
        <w:rPr>
          <w:rFonts w:eastAsia="Times New Roman" w:cs="Times New Roman"/>
          <w:color w:val="000000"/>
        </w:rPr>
        <w:t xml:space="preserve">New York City: John Wiley, 1970. </w:t>
      </w:r>
    </w:p>
    <w:p w14:paraId="1893C88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Qadri, Syed Nasser. “Framing Terrorism and Migration in the USA: The Role of the Media in Securitization Processes.” Ph.D. diss., University of Glasgow, 2019.</w:t>
      </w:r>
    </w:p>
    <w:p w14:paraId="787FA43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Rapoport, David. </w:t>
      </w:r>
      <w:r w:rsidRPr="00A07836">
        <w:rPr>
          <w:rFonts w:eastAsia="Times New Roman" w:cs="Times New Roman"/>
          <w:i/>
          <w:iCs/>
          <w:color w:val="000000"/>
        </w:rPr>
        <w:t>Waves of Global Terrorism From 1879 to Present.</w:t>
      </w:r>
      <w:r w:rsidRPr="00A07836">
        <w:rPr>
          <w:rFonts w:eastAsia="Times New Roman" w:cs="Times New Roman"/>
          <w:color w:val="000000"/>
        </w:rPr>
        <w:t xml:space="preserve"> New York City: Columbia University Press, 2022.</w:t>
      </w:r>
    </w:p>
    <w:p w14:paraId="53CB203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Recasens</w:t>
      </w:r>
      <w:proofErr w:type="spellEnd"/>
      <w:r w:rsidRPr="00A07836">
        <w:rPr>
          <w:rFonts w:eastAsia="Times New Roman" w:cs="Times New Roman"/>
          <w:color w:val="000000"/>
        </w:rPr>
        <w:t xml:space="preserve">, Marta, Cristian </w:t>
      </w:r>
      <w:proofErr w:type="spellStart"/>
      <w:r w:rsidRPr="00A07836">
        <w:rPr>
          <w:rFonts w:eastAsia="Times New Roman" w:cs="Times New Roman"/>
          <w:color w:val="000000"/>
        </w:rPr>
        <w:t>Danescu</w:t>
      </w:r>
      <w:proofErr w:type="spellEnd"/>
      <w:r w:rsidRPr="00A07836">
        <w:rPr>
          <w:rFonts w:eastAsia="Times New Roman" w:cs="Times New Roman"/>
          <w:color w:val="000000"/>
        </w:rPr>
        <w:t>-Niculescu-</w:t>
      </w:r>
      <w:proofErr w:type="spellStart"/>
      <w:r w:rsidRPr="00A07836">
        <w:rPr>
          <w:rFonts w:eastAsia="Times New Roman" w:cs="Times New Roman"/>
          <w:color w:val="000000"/>
        </w:rPr>
        <w:t>Mizil</w:t>
      </w:r>
      <w:proofErr w:type="spellEnd"/>
      <w:r w:rsidRPr="00A07836">
        <w:rPr>
          <w:rFonts w:eastAsia="Times New Roman" w:cs="Times New Roman"/>
          <w:color w:val="000000"/>
        </w:rPr>
        <w:t xml:space="preserve">, and Dan </w:t>
      </w:r>
      <w:proofErr w:type="spellStart"/>
      <w:r w:rsidRPr="00A07836">
        <w:rPr>
          <w:rFonts w:eastAsia="Times New Roman" w:cs="Times New Roman"/>
          <w:color w:val="000000"/>
        </w:rPr>
        <w:t>Jurafsky</w:t>
      </w:r>
      <w:proofErr w:type="spellEnd"/>
      <w:r w:rsidRPr="00A07836">
        <w:rPr>
          <w:rFonts w:eastAsia="Times New Roman" w:cs="Times New Roman"/>
          <w:color w:val="000000"/>
        </w:rPr>
        <w:t xml:space="preserve">, “Linguistic Models for Analyzing and Detecting Biased Language.” </w:t>
      </w:r>
      <w:r w:rsidRPr="00A07836">
        <w:rPr>
          <w:rFonts w:eastAsia="Times New Roman" w:cs="Times New Roman"/>
          <w:i/>
          <w:iCs/>
          <w:color w:val="000000"/>
        </w:rPr>
        <w:t>Proceedings of the 51</w:t>
      </w:r>
      <w:r w:rsidRPr="00A07836">
        <w:rPr>
          <w:rFonts w:eastAsia="Times New Roman" w:cs="Times New Roman"/>
          <w:i/>
          <w:iCs/>
          <w:color w:val="000000"/>
          <w:vertAlign w:val="superscript"/>
        </w:rPr>
        <w:t>st</w:t>
      </w:r>
      <w:r w:rsidRPr="00A07836">
        <w:rPr>
          <w:rFonts w:eastAsia="Times New Roman" w:cs="Times New Roman"/>
          <w:i/>
          <w:iCs/>
          <w:color w:val="000000"/>
        </w:rPr>
        <w:t xml:space="preserve"> Annual Meeting of the Association for Computational Linguistics</w:t>
      </w:r>
      <w:r w:rsidRPr="00A07836">
        <w:rPr>
          <w:rFonts w:eastAsia="Times New Roman" w:cs="Times New Roman"/>
          <w:color w:val="000000"/>
        </w:rPr>
        <w:t xml:space="preserve">. (2013): 1650-1659. </w:t>
      </w:r>
    </w:p>
    <w:p w14:paraId="32A039E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Redden, Joanna, and Tamara </w:t>
      </w:r>
      <w:proofErr w:type="spellStart"/>
      <w:r w:rsidRPr="00A07836">
        <w:rPr>
          <w:rFonts w:eastAsia="Times New Roman" w:cs="Times New Roman"/>
          <w:color w:val="000000"/>
        </w:rPr>
        <w:t>Witschge</w:t>
      </w:r>
      <w:proofErr w:type="spellEnd"/>
      <w:r w:rsidRPr="00A07836">
        <w:rPr>
          <w:rFonts w:eastAsia="Times New Roman" w:cs="Times New Roman"/>
          <w:color w:val="000000"/>
        </w:rPr>
        <w:t xml:space="preserve">. “A New News Order? Online News Content Examined. In </w:t>
      </w:r>
      <w:r w:rsidRPr="00A07836">
        <w:rPr>
          <w:rFonts w:eastAsia="Times New Roman" w:cs="Times New Roman"/>
          <w:i/>
          <w:iCs/>
          <w:color w:val="000000"/>
        </w:rPr>
        <w:t>New Media, Old News: Journalism and Democracy in the Digital Age</w:t>
      </w:r>
      <w:r w:rsidRPr="00A07836">
        <w:rPr>
          <w:rFonts w:eastAsia="Times New Roman" w:cs="Times New Roman"/>
          <w:color w:val="000000"/>
        </w:rPr>
        <w:t>, edited by Natalie Fenton, 171-186. Newbury Park: Sage Publications, 2010.</w:t>
      </w:r>
    </w:p>
    <w:p w14:paraId="47D9E47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Reid, Thomas. </w:t>
      </w:r>
      <w:r w:rsidRPr="00A07836">
        <w:rPr>
          <w:rFonts w:eastAsia="Times New Roman" w:cs="Times New Roman"/>
          <w:i/>
          <w:iCs/>
          <w:color w:val="000000"/>
        </w:rPr>
        <w:t>Essays on the Active Powers of the Human Mind [Essays on the Active Powers of Man (1788)].</w:t>
      </w:r>
      <w:r w:rsidRPr="00A07836">
        <w:rPr>
          <w:rFonts w:eastAsia="Times New Roman" w:cs="Times New Roman"/>
          <w:color w:val="000000"/>
        </w:rPr>
        <w:t xml:space="preserve"> Cambridge: M.I.T. Press, 1969.</w:t>
      </w:r>
    </w:p>
    <w:p w14:paraId="0D1DFCF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Reus-Smit, Christian. “International Crises of Legitimacy.” </w:t>
      </w:r>
      <w:r w:rsidRPr="00A07836">
        <w:rPr>
          <w:rFonts w:eastAsia="Times New Roman" w:cs="Times New Roman"/>
          <w:i/>
          <w:iCs/>
          <w:color w:val="000000"/>
        </w:rPr>
        <w:t xml:space="preserve">International Politics </w:t>
      </w:r>
      <w:r w:rsidRPr="00A07836">
        <w:rPr>
          <w:rFonts w:eastAsia="Times New Roman" w:cs="Times New Roman"/>
          <w:color w:val="000000"/>
        </w:rPr>
        <w:t xml:space="preserve">44, no. 2 (2007): 157-174. </w:t>
      </w:r>
    </w:p>
    <w:p w14:paraId="527DC2B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 – – . </w:t>
      </w:r>
      <w:r w:rsidRPr="00A07836">
        <w:rPr>
          <w:rFonts w:eastAsia="Times New Roman" w:cs="Times New Roman"/>
          <w:i/>
          <w:iCs/>
          <w:color w:val="000000"/>
        </w:rPr>
        <w:t>The Moral Purpose of the State.</w:t>
      </w:r>
      <w:r w:rsidRPr="00A07836">
        <w:rPr>
          <w:rFonts w:eastAsia="Times New Roman" w:cs="Times New Roman"/>
          <w:color w:val="000000"/>
        </w:rPr>
        <w:t xml:space="preserve"> Princeton: Princeton University Press, 1996. </w:t>
      </w:r>
    </w:p>
    <w:p w14:paraId="3DA357B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Richards, Anthony. </w:t>
      </w:r>
      <w:r w:rsidRPr="00A07836">
        <w:rPr>
          <w:rFonts w:eastAsia="Times New Roman" w:cs="Times New Roman"/>
          <w:i/>
          <w:iCs/>
          <w:color w:val="000000"/>
        </w:rPr>
        <w:t xml:space="preserve">Conceptualizing Terrorism. </w:t>
      </w:r>
      <w:r w:rsidRPr="00A07836">
        <w:rPr>
          <w:rFonts w:eastAsia="Times New Roman" w:cs="Times New Roman"/>
          <w:color w:val="000000"/>
        </w:rPr>
        <w:t>Oxford: Oxford University Press, 2014.</w:t>
      </w:r>
    </w:p>
    <w:p w14:paraId="3E69100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Richardson, Louise. “Terrorists as Transnational Actors.” </w:t>
      </w:r>
      <w:r w:rsidRPr="00A07836">
        <w:rPr>
          <w:rFonts w:eastAsia="Times New Roman" w:cs="Times New Roman"/>
          <w:i/>
          <w:iCs/>
          <w:color w:val="000000"/>
        </w:rPr>
        <w:t xml:space="preserve">Terrorism and Political Violence </w:t>
      </w:r>
      <w:r w:rsidRPr="00A07836">
        <w:rPr>
          <w:rFonts w:eastAsia="Times New Roman" w:cs="Times New Roman"/>
          <w:color w:val="000000"/>
        </w:rPr>
        <w:t>11, no. 4 (1999): 209-219.</w:t>
      </w:r>
    </w:p>
    <w:p w14:paraId="5F97A7E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Robertson, Roland. “After Nostalgia? Wilful Nostalgia and the Phases of Globalization.” In </w:t>
      </w:r>
      <w:r w:rsidRPr="00A07836">
        <w:rPr>
          <w:rFonts w:eastAsia="Times New Roman" w:cs="Times New Roman"/>
          <w:i/>
          <w:iCs/>
          <w:color w:val="000000"/>
        </w:rPr>
        <w:t xml:space="preserve">Theories of Modernity and Postmodernity, </w:t>
      </w:r>
      <w:r w:rsidRPr="00A07836">
        <w:rPr>
          <w:rFonts w:eastAsia="Times New Roman" w:cs="Times New Roman"/>
          <w:color w:val="000000"/>
        </w:rPr>
        <w:t>edited by Bryan Turner, 45-61.</w:t>
      </w:r>
      <w:r w:rsidRPr="00A07836">
        <w:rPr>
          <w:rFonts w:eastAsia="Times New Roman" w:cs="Times New Roman"/>
          <w:i/>
          <w:iCs/>
          <w:color w:val="000000"/>
        </w:rPr>
        <w:t xml:space="preserve"> </w:t>
      </w:r>
      <w:r w:rsidRPr="00A07836">
        <w:rPr>
          <w:rFonts w:eastAsia="Times New Roman" w:cs="Times New Roman"/>
          <w:color w:val="000000"/>
        </w:rPr>
        <w:t xml:space="preserve">London: Sage, 1990. </w:t>
      </w:r>
    </w:p>
    <w:p w14:paraId="5810B22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Rodríguez Pérez, Carlos. “News Framing and Media Legitimacy: An Exploratory Study of the Media Coverage of the Refugee Crisis in the European Union,” </w:t>
      </w:r>
      <w:r w:rsidRPr="00A07836">
        <w:rPr>
          <w:rFonts w:eastAsia="Times New Roman" w:cs="Times New Roman"/>
          <w:i/>
          <w:iCs/>
          <w:color w:val="000000"/>
        </w:rPr>
        <w:t xml:space="preserve">Communication and Society </w:t>
      </w:r>
      <w:r w:rsidRPr="00A07836">
        <w:rPr>
          <w:rFonts w:eastAsia="Times New Roman" w:cs="Times New Roman"/>
          <w:color w:val="000000"/>
        </w:rPr>
        <w:t>30, no. 3 (2017): 169-184.</w:t>
      </w:r>
    </w:p>
    <w:p w14:paraId="138EE08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Rose, Gideon. “It Could Happen Here: Facing the New Terrorism.” </w:t>
      </w:r>
      <w:r w:rsidRPr="00A07836">
        <w:rPr>
          <w:rFonts w:eastAsia="Times New Roman" w:cs="Times New Roman"/>
          <w:i/>
          <w:iCs/>
          <w:color w:val="000000"/>
        </w:rPr>
        <w:t>Foreign Affairs</w:t>
      </w:r>
      <w:r w:rsidRPr="00A07836">
        <w:rPr>
          <w:rFonts w:eastAsia="Times New Roman" w:cs="Times New Roman"/>
          <w:color w:val="000000"/>
        </w:rPr>
        <w:t xml:space="preserve"> (March-April 1999): 131-137.</w:t>
      </w:r>
    </w:p>
    <w:p w14:paraId="6B485F8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Rosenberg, Justin. “A Non-Realist Theory of Sovereignty? Giddens’ “The Nation-State and Violence.”” </w:t>
      </w:r>
      <w:r w:rsidRPr="00A07836">
        <w:rPr>
          <w:rFonts w:eastAsia="Times New Roman" w:cs="Times New Roman"/>
          <w:i/>
          <w:iCs/>
          <w:color w:val="000000"/>
        </w:rPr>
        <w:t>Millennium</w:t>
      </w:r>
      <w:r w:rsidRPr="00A07836">
        <w:rPr>
          <w:rFonts w:eastAsia="Times New Roman" w:cs="Times New Roman"/>
          <w:color w:val="000000"/>
        </w:rPr>
        <w:t xml:space="preserve">, xix (1990): 249-259. </w:t>
      </w:r>
    </w:p>
    <w:p w14:paraId="528598A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Rowling, J.K. </w:t>
      </w:r>
      <w:r w:rsidRPr="00A07836">
        <w:rPr>
          <w:rFonts w:eastAsia="Times New Roman" w:cs="Times New Roman"/>
          <w:i/>
          <w:iCs/>
          <w:color w:val="000000"/>
        </w:rPr>
        <w:t>Harry Potter and the Philosopher’s Stone.</w:t>
      </w:r>
      <w:r w:rsidRPr="00A07836">
        <w:rPr>
          <w:rFonts w:eastAsia="Times New Roman" w:cs="Times New Roman"/>
          <w:color w:val="000000"/>
        </w:rPr>
        <w:t xml:space="preserve"> London: Bloomsbury, 1997.</w:t>
      </w:r>
    </w:p>
    <w:p w14:paraId="6A3D498E"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Rozycka</w:t>
      </w:r>
      <w:proofErr w:type="spellEnd"/>
      <w:r w:rsidRPr="00A07836">
        <w:rPr>
          <w:rFonts w:eastAsia="Times New Roman" w:cs="Times New Roman"/>
          <w:color w:val="000000"/>
        </w:rPr>
        <w:t xml:space="preserve">-Tran, Joanna, Pawel </w:t>
      </w:r>
      <w:proofErr w:type="spellStart"/>
      <w:r w:rsidRPr="00A07836">
        <w:rPr>
          <w:rFonts w:eastAsia="Times New Roman" w:cs="Times New Roman"/>
          <w:color w:val="000000"/>
        </w:rPr>
        <w:t>Boski</w:t>
      </w:r>
      <w:proofErr w:type="spellEnd"/>
      <w:r w:rsidRPr="00A07836">
        <w:rPr>
          <w:rFonts w:eastAsia="Times New Roman" w:cs="Times New Roman"/>
          <w:color w:val="000000"/>
        </w:rPr>
        <w:t xml:space="preserve">, and Bogdan </w:t>
      </w:r>
      <w:proofErr w:type="spellStart"/>
      <w:r w:rsidRPr="00A07836">
        <w:rPr>
          <w:rFonts w:eastAsia="Times New Roman" w:cs="Times New Roman"/>
          <w:color w:val="000000"/>
        </w:rPr>
        <w:t>Wojciszke</w:t>
      </w:r>
      <w:proofErr w:type="spellEnd"/>
      <w:r w:rsidRPr="00A07836">
        <w:rPr>
          <w:rFonts w:eastAsia="Times New Roman" w:cs="Times New Roman"/>
          <w:color w:val="000000"/>
        </w:rPr>
        <w:t>, "Belief in a Zero-Sum Game as a Social Axiom: A 37-Nation Study." </w:t>
      </w:r>
      <w:r w:rsidRPr="00A07836">
        <w:rPr>
          <w:rFonts w:eastAsia="Times New Roman" w:cs="Times New Roman"/>
          <w:i/>
          <w:iCs/>
          <w:color w:val="000000"/>
        </w:rPr>
        <w:t>Journal of Cross-Cultural Psychology</w:t>
      </w:r>
      <w:r w:rsidRPr="00A07836">
        <w:rPr>
          <w:rFonts w:eastAsia="Times New Roman" w:cs="Times New Roman"/>
          <w:color w:val="000000"/>
        </w:rPr>
        <w:t> 46, no. 4 (2015): 525–548.</w:t>
      </w:r>
    </w:p>
    <w:p w14:paraId="4C3BAA1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Ruggie</w:t>
      </w:r>
      <w:proofErr w:type="spellEnd"/>
      <w:r w:rsidRPr="00A07836">
        <w:rPr>
          <w:rFonts w:eastAsia="Times New Roman" w:cs="Times New Roman"/>
          <w:color w:val="000000"/>
        </w:rPr>
        <w:t xml:space="preserve">, John G. </w:t>
      </w:r>
      <w:r w:rsidRPr="00A07836">
        <w:rPr>
          <w:rFonts w:eastAsia="Times New Roman" w:cs="Times New Roman"/>
          <w:i/>
          <w:iCs/>
          <w:color w:val="000000"/>
        </w:rPr>
        <w:t>Constructing the World Polity.</w:t>
      </w:r>
      <w:r w:rsidRPr="00A07836">
        <w:rPr>
          <w:rFonts w:eastAsia="Times New Roman" w:cs="Times New Roman"/>
          <w:color w:val="000000"/>
        </w:rPr>
        <w:t xml:space="preserve"> New York City: Routledge, 1998. </w:t>
      </w:r>
    </w:p>
    <w:p w14:paraId="27F94EEF"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Russett</w:t>
      </w:r>
      <w:proofErr w:type="spellEnd"/>
      <w:r w:rsidRPr="00A07836">
        <w:rPr>
          <w:rFonts w:eastAsia="Times New Roman" w:cs="Times New Roman"/>
          <w:color w:val="000000"/>
        </w:rPr>
        <w:t xml:space="preserve">, Bruce Martin, David Todd Kinsella, and Harvey Starr. </w:t>
      </w:r>
      <w:r w:rsidRPr="00A07836">
        <w:rPr>
          <w:rFonts w:eastAsia="Times New Roman" w:cs="Times New Roman"/>
          <w:i/>
          <w:iCs/>
          <w:color w:val="000000"/>
        </w:rPr>
        <w:t>World Politics: The Menu for Choice</w:t>
      </w:r>
      <w:r w:rsidRPr="00A07836">
        <w:rPr>
          <w:rFonts w:eastAsia="Times New Roman" w:cs="Times New Roman"/>
          <w:color w:val="000000"/>
        </w:rPr>
        <w:t>. San Francisco: Wadsworth Publishing, 1981.</w:t>
      </w:r>
    </w:p>
    <w:p w14:paraId="2255F61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Russett</w:t>
      </w:r>
      <w:proofErr w:type="spellEnd"/>
      <w:r w:rsidRPr="00A07836">
        <w:rPr>
          <w:rFonts w:eastAsia="Times New Roman" w:cs="Times New Roman"/>
          <w:color w:val="000000"/>
        </w:rPr>
        <w:t xml:space="preserve">, Bruce Martin. </w:t>
      </w:r>
      <w:r w:rsidRPr="00A07836">
        <w:rPr>
          <w:rFonts w:eastAsia="Times New Roman" w:cs="Times New Roman"/>
          <w:i/>
          <w:iCs/>
          <w:color w:val="000000"/>
        </w:rPr>
        <w:t>Grasping the Democratic Peace: Principles for a Post-Cold War World.</w:t>
      </w:r>
      <w:r w:rsidRPr="00A07836">
        <w:rPr>
          <w:rFonts w:eastAsia="Times New Roman" w:cs="Times New Roman"/>
          <w:color w:val="000000"/>
        </w:rPr>
        <w:t xml:space="preserve"> Princeton: Princeton University Press, 1993.</w:t>
      </w:r>
    </w:p>
    <w:p w14:paraId="56CEFDA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Said, Edward W. “American Intellectuals and Middle East Politics: An Interview with Edward W. Said.” In </w:t>
      </w:r>
      <w:r w:rsidRPr="00A07836">
        <w:rPr>
          <w:rFonts w:eastAsia="Times New Roman" w:cs="Times New Roman"/>
          <w:i/>
          <w:iCs/>
          <w:color w:val="000000"/>
        </w:rPr>
        <w:t>Intellectuals: Aesthetics, Politics, Academics,</w:t>
      </w:r>
      <w:r w:rsidRPr="00A07836">
        <w:rPr>
          <w:rFonts w:eastAsia="Times New Roman" w:cs="Times New Roman"/>
          <w:color w:val="000000"/>
        </w:rPr>
        <w:t xml:space="preserve"> edited by Bruce Robbins, 37-53. Minneapolis: University of Minnesota Press, 1988. </w:t>
      </w:r>
    </w:p>
    <w:p w14:paraId="5DE641C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Salibi</w:t>
      </w:r>
      <w:proofErr w:type="spellEnd"/>
      <w:r w:rsidRPr="00A07836">
        <w:rPr>
          <w:rFonts w:eastAsia="Times New Roman" w:cs="Times New Roman"/>
          <w:color w:val="000000"/>
        </w:rPr>
        <w:t xml:space="preserve">, Kamal. </w:t>
      </w:r>
      <w:r w:rsidRPr="00A07836">
        <w:rPr>
          <w:rFonts w:eastAsia="Times New Roman" w:cs="Times New Roman"/>
          <w:i/>
          <w:iCs/>
          <w:color w:val="000000"/>
        </w:rPr>
        <w:t>The Modern History of Jordan.</w:t>
      </w:r>
      <w:r w:rsidRPr="00A07836">
        <w:rPr>
          <w:rFonts w:eastAsia="Times New Roman" w:cs="Times New Roman"/>
          <w:color w:val="000000"/>
        </w:rPr>
        <w:t xml:space="preserve"> New York City: I.B. Tauris, 1998.</w:t>
      </w:r>
    </w:p>
    <w:p w14:paraId="6575E25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Sapolsky, Harvey M., Eugene </w:t>
      </w:r>
      <w:proofErr w:type="spellStart"/>
      <w:r w:rsidRPr="00A07836">
        <w:rPr>
          <w:rFonts w:eastAsia="Times New Roman" w:cs="Times New Roman"/>
          <w:color w:val="000000"/>
        </w:rPr>
        <w:t>Gholz</w:t>
      </w:r>
      <w:proofErr w:type="spellEnd"/>
      <w:r w:rsidRPr="00A07836">
        <w:rPr>
          <w:rFonts w:eastAsia="Times New Roman" w:cs="Times New Roman"/>
          <w:color w:val="000000"/>
        </w:rPr>
        <w:t xml:space="preserve">, and Caitlin Talmadge. </w:t>
      </w:r>
      <w:r w:rsidRPr="00A07836">
        <w:rPr>
          <w:rFonts w:eastAsia="Times New Roman" w:cs="Times New Roman"/>
          <w:i/>
          <w:iCs/>
          <w:color w:val="000000"/>
        </w:rPr>
        <w:t>US Defense Politics: The Origins of Security Policy.</w:t>
      </w:r>
      <w:r w:rsidRPr="00A07836">
        <w:rPr>
          <w:rFonts w:eastAsia="Times New Roman" w:cs="Times New Roman"/>
          <w:color w:val="000000"/>
        </w:rPr>
        <w:t xml:space="preserve"> 3</w:t>
      </w:r>
      <w:r w:rsidRPr="00A07836">
        <w:rPr>
          <w:rFonts w:eastAsia="Times New Roman" w:cs="Times New Roman"/>
          <w:color w:val="000000"/>
          <w:vertAlign w:val="superscript"/>
        </w:rPr>
        <w:t>rd</w:t>
      </w:r>
      <w:r w:rsidRPr="00A07836">
        <w:rPr>
          <w:rFonts w:eastAsia="Times New Roman" w:cs="Times New Roman"/>
          <w:color w:val="000000"/>
        </w:rPr>
        <w:t xml:space="preserve"> edition. London: Routledge, 2017.</w:t>
      </w:r>
    </w:p>
    <w:p w14:paraId="7678A075" w14:textId="30B19E75"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Scanlan, Margaret. </w:t>
      </w:r>
      <w:r w:rsidRPr="00A07836">
        <w:rPr>
          <w:rFonts w:eastAsia="Times New Roman" w:cs="Times New Roman"/>
          <w:i/>
          <w:iCs/>
          <w:color w:val="000000"/>
        </w:rPr>
        <w:t xml:space="preserve">Plotting Terror: Novelists and Terrorists in Contemporary Fiction. </w:t>
      </w:r>
      <w:r w:rsidRPr="00A07836">
        <w:rPr>
          <w:rFonts w:eastAsia="Times New Roman" w:cs="Times New Roman"/>
          <w:color w:val="000000"/>
        </w:rPr>
        <w:t xml:space="preserve">Charlottesville: University Press of Virginia, 2001. </w:t>
      </w:r>
    </w:p>
    <w:p w14:paraId="0CB0909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Schmid, Alex P. “The Definition of Terrorism.” In </w:t>
      </w:r>
      <w:r w:rsidRPr="00A07836">
        <w:rPr>
          <w:rFonts w:eastAsia="Times New Roman" w:cs="Times New Roman"/>
          <w:i/>
          <w:iCs/>
          <w:color w:val="000000"/>
        </w:rPr>
        <w:t xml:space="preserve">The Routledge Handbook of Terrorism, </w:t>
      </w:r>
      <w:r w:rsidRPr="00A07836">
        <w:rPr>
          <w:rFonts w:eastAsia="Times New Roman" w:cs="Times New Roman"/>
          <w:color w:val="000000"/>
        </w:rPr>
        <w:t>edited by Alex P. Schmid, 39-157. New York, NY: Routledge, 2011.</w:t>
      </w:r>
    </w:p>
    <w:p w14:paraId="6CA7632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“Terrorism – The Definitional Problem.” </w:t>
      </w:r>
      <w:r w:rsidRPr="00A07836">
        <w:rPr>
          <w:rFonts w:eastAsia="Times New Roman" w:cs="Times New Roman"/>
          <w:i/>
          <w:iCs/>
          <w:color w:val="000000"/>
        </w:rPr>
        <w:t>Case Western Reserve Journal of International Law</w:t>
      </w:r>
      <w:r w:rsidRPr="00A07836">
        <w:rPr>
          <w:rFonts w:eastAsia="Times New Roman" w:cs="Times New Roman"/>
          <w:color w:val="000000"/>
        </w:rPr>
        <w:t xml:space="preserve"> 36, no. 2 (2004): 375-420.</w:t>
      </w:r>
    </w:p>
    <w:p w14:paraId="6C93531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 – – .  “Terrorism and Democracy.” </w:t>
      </w:r>
      <w:r w:rsidRPr="00A07836">
        <w:rPr>
          <w:rFonts w:eastAsia="Times New Roman" w:cs="Times New Roman"/>
          <w:i/>
          <w:iCs/>
          <w:color w:val="000000"/>
        </w:rPr>
        <w:t xml:space="preserve">Terrorism and Political Violence </w:t>
      </w:r>
      <w:r w:rsidRPr="00A07836">
        <w:rPr>
          <w:rFonts w:eastAsia="Times New Roman" w:cs="Times New Roman"/>
          <w:color w:val="000000"/>
        </w:rPr>
        <w:t>4, no. 4 (1992): 14-25.</w:t>
      </w:r>
    </w:p>
    <w:p w14:paraId="6AE677B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“Terrorism and the Media: The Ethics of Publicity.” </w:t>
      </w:r>
      <w:r w:rsidRPr="00A07836">
        <w:rPr>
          <w:rFonts w:eastAsia="Times New Roman" w:cs="Times New Roman"/>
          <w:i/>
          <w:iCs/>
          <w:color w:val="000000"/>
        </w:rPr>
        <w:t xml:space="preserve">Terrorism and Political Violence </w:t>
      </w:r>
      <w:r w:rsidRPr="00A07836">
        <w:rPr>
          <w:rFonts w:eastAsia="Times New Roman" w:cs="Times New Roman"/>
          <w:color w:val="000000"/>
        </w:rPr>
        <w:t xml:space="preserve">1, no. 4 (1989): 539-556. </w:t>
      </w:r>
    </w:p>
    <w:p w14:paraId="268C48EE"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Schmid, Alex P., A.J. Jongman, and Michael </w:t>
      </w:r>
      <w:proofErr w:type="spellStart"/>
      <w:r w:rsidRPr="00A07836">
        <w:rPr>
          <w:rFonts w:eastAsia="Times New Roman" w:cs="Times New Roman"/>
          <w:color w:val="000000"/>
        </w:rPr>
        <w:t>Stohl</w:t>
      </w:r>
      <w:proofErr w:type="spellEnd"/>
      <w:r w:rsidRPr="00A07836">
        <w:rPr>
          <w:rFonts w:eastAsia="Times New Roman" w:cs="Times New Roman"/>
          <w:color w:val="000000"/>
        </w:rPr>
        <w:t xml:space="preserve">. </w:t>
      </w:r>
      <w:r w:rsidRPr="00A07836">
        <w:rPr>
          <w:rFonts w:eastAsia="Times New Roman" w:cs="Times New Roman"/>
          <w:i/>
          <w:iCs/>
          <w:color w:val="000000"/>
        </w:rPr>
        <w:t xml:space="preserve">Political Terrorism: A New Guide to Actors, Authors, Concepts, Data Bases, Theories, and Literature. </w:t>
      </w:r>
      <w:r w:rsidRPr="00A07836">
        <w:rPr>
          <w:rFonts w:eastAsia="Times New Roman" w:cs="Times New Roman"/>
          <w:color w:val="000000"/>
        </w:rPr>
        <w:t>Amsterdam: North-Holland Pub. Co., 1988.</w:t>
      </w:r>
    </w:p>
    <w:p w14:paraId="6ED6A00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Schmid, Alex P., and Janny de Graaf. </w:t>
      </w:r>
      <w:r w:rsidRPr="00A07836">
        <w:rPr>
          <w:rFonts w:eastAsia="Times New Roman" w:cs="Times New Roman"/>
          <w:i/>
          <w:iCs/>
          <w:color w:val="000000"/>
        </w:rPr>
        <w:t xml:space="preserve">Violence as Communication: Insurgent Terrorism and the Western News Media. </w:t>
      </w:r>
      <w:r w:rsidRPr="00A07836">
        <w:rPr>
          <w:rFonts w:eastAsia="Times New Roman" w:cs="Times New Roman"/>
          <w:color w:val="000000"/>
        </w:rPr>
        <w:t xml:space="preserve">Beverly Hills: Sage, 1982. </w:t>
      </w:r>
    </w:p>
    <w:p w14:paraId="3AC56CD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Schmitt, Carl. </w:t>
      </w:r>
      <w:r w:rsidRPr="00A07836">
        <w:rPr>
          <w:rFonts w:eastAsia="Times New Roman" w:cs="Times New Roman"/>
          <w:i/>
          <w:iCs/>
          <w:color w:val="000000"/>
        </w:rPr>
        <w:t>The Concept of the Political.</w:t>
      </w:r>
      <w:r w:rsidRPr="00A07836">
        <w:rPr>
          <w:rFonts w:eastAsia="Times New Roman" w:cs="Times New Roman"/>
          <w:color w:val="000000"/>
        </w:rPr>
        <w:t xml:space="preserve"> Chicago: University of Chicago Press, 2007.</w:t>
      </w:r>
    </w:p>
    <w:p w14:paraId="42EDD86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Schramm, Wilbur. “The Nature of News.” In </w:t>
      </w:r>
      <w:r w:rsidRPr="00A07836">
        <w:rPr>
          <w:rFonts w:eastAsia="Times New Roman" w:cs="Times New Roman"/>
          <w:i/>
          <w:iCs/>
          <w:color w:val="000000"/>
        </w:rPr>
        <w:t>Mass Communications</w:t>
      </w:r>
      <w:r w:rsidRPr="00A07836">
        <w:rPr>
          <w:rFonts w:eastAsia="Times New Roman" w:cs="Times New Roman"/>
          <w:color w:val="000000"/>
        </w:rPr>
        <w:t>, edited by Wilbur Schramm, 288-303. Urbana: University of Illinois Press, 1949.</w:t>
      </w:r>
    </w:p>
    <w:p w14:paraId="39941F9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Schultz, Brad. </w:t>
      </w:r>
      <w:r w:rsidRPr="00A07836">
        <w:rPr>
          <w:rFonts w:eastAsia="Times New Roman" w:cs="Times New Roman"/>
          <w:i/>
          <w:iCs/>
          <w:color w:val="000000"/>
        </w:rPr>
        <w:t>Broadcast News Producing.</w:t>
      </w:r>
      <w:r w:rsidRPr="00A07836">
        <w:rPr>
          <w:rFonts w:eastAsia="Times New Roman" w:cs="Times New Roman"/>
          <w:color w:val="000000"/>
        </w:rPr>
        <w:t xml:space="preserve"> New York City: SAGE Publications, 2004. </w:t>
      </w:r>
    </w:p>
    <w:p w14:paraId="028CCFD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Searle, John R. </w:t>
      </w:r>
      <w:r w:rsidRPr="00A07836">
        <w:rPr>
          <w:rFonts w:eastAsia="Times New Roman" w:cs="Times New Roman"/>
          <w:i/>
          <w:iCs/>
          <w:color w:val="000000"/>
        </w:rPr>
        <w:t>Speech Acts: An Essay in the Philosophy of Language.</w:t>
      </w:r>
      <w:r w:rsidRPr="00A07836">
        <w:rPr>
          <w:rFonts w:eastAsia="Times New Roman" w:cs="Times New Roman"/>
          <w:color w:val="000000"/>
        </w:rPr>
        <w:t xml:space="preserve"> London: Cambridge University Press, 1969.</w:t>
      </w:r>
    </w:p>
    <w:p w14:paraId="6F0DC80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Selala</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Malekeng</w:t>
      </w:r>
      <w:proofErr w:type="spellEnd"/>
      <w:r w:rsidRPr="00A07836">
        <w:rPr>
          <w:rFonts w:eastAsia="Times New Roman" w:cs="Times New Roman"/>
          <w:color w:val="000000"/>
        </w:rPr>
        <w:t xml:space="preserve"> Sylvester, Aidan </w:t>
      </w:r>
      <w:proofErr w:type="spellStart"/>
      <w:r w:rsidRPr="00A07836">
        <w:rPr>
          <w:rFonts w:eastAsia="Times New Roman" w:cs="Times New Roman"/>
          <w:color w:val="000000"/>
        </w:rPr>
        <w:t>Senzanje</w:t>
      </w:r>
      <w:proofErr w:type="spellEnd"/>
      <w:r w:rsidRPr="00A07836">
        <w:rPr>
          <w:rFonts w:eastAsia="Times New Roman" w:cs="Times New Roman"/>
          <w:color w:val="000000"/>
        </w:rPr>
        <w:t xml:space="preserve">, and </w:t>
      </w:r>
      <w:proofErr w:type="spellStart"/>
      <w:r w:rsidRPr="00A07836">
        <w:rPr>
          <w:rFonts w:eastAsia="Times New Roman" w:cs="Times New Roman"/>
          <w:color w:val="000000"/>
        </w:rPr>
        <w:t>Khumbulani</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Dhavu</w:t>
      </w:r>
      <w:proofErr w:type="spellEnd"/>
      <w:r w:rsidRPr="00A07836">
        <w:rPr>
          <w:rFonts w:eastAsia="Times New Roman" w:cs="Times New Roman"/>
          <w:color w:val="000000"/>
        </w:rPr>
        <w:t xml:space="preserve">. “Requirements for Sustainable Operation and Maintenance of Rural Small-Scale Water Infrastructure in Limpopo Province, South Africa.” </w:t>
      </w:r>
      <w:r w:rsidRPr="00A07836">
        <w:rPr>
          <w:rFonts w:eastAsia="Times New Roman" w:cs="Times New Roman"/>
          <w:i/>
          <w:iCs/>
          <w:color w:val="000000"/>
        </w:rPr>
        <w:t>Water SA</w:t>
      </w:r>
      <w:r w:rsidRPr="00A07836">
        <w:rPr>
          <w:rFonts w:eastAsia="Times New Roman" w:cs="Times New Roman"/>
          <w:color w:val="000000"/>
        </w:rPr>
        <w:t xml:space="preserve"> 45, no. 2 (2019): 291-304.</w:t>
      </w:r>
    </w:p>
    <w:p w14:paraId="7EC0012C" w14:textId="77777777" w:rsidR="00F072B0" w:rsidRPr="00A07836" w:rsidRDefault="00F072B0" w:rsidP="00F072B0">
      <w:pPr>
        <w:spacing w:after="240"/>
        <w:ind w:left="567" w:hanging="567"/>
        <w:rPr>
          <w:rFonts w:eastAsia="Times New Roman" w:cs="Times New Roman"/>
        </w:rPr>
      </w:pPr>
      <w:proofErr w:type="spellStart"/>
      <w:r w:rsidRPr="00A07836">
        <w:rPr>
          <w:rFonts w:eastAsia="Times New Roman" w:cs="Times New Roman"/>
        </w:rPr>
        <w:t>Semetko</w:t>
      </w:r>
      <w:proofErr w:type="spellEnd"/>
      <w:r w:rsidRPr="00A07836">
        <w:rPr>
          <w:rFonts w:eastAsia="Times New Roman" w:cs="Times New Roman"/>
        </w:rPr>
        <w:t xml:space="preserve">, Holli A., and Patti M. Valkenburg. “Framing European Politics: A Content Analysis of Press and Television Shows.” </w:t>
      </w:r>
      <w:r w:rsidRPr="00A07836">
        <w:rPr>
          <w:rFonts w:eastAsia="Times New Roman" w:cs="Times New Roman"/>
          <w:i/>
          <w:iCs/>
        </w:rPr>
        <w:t xml:space="preserve">Journal of </w:t>
      </w:r>
      <w:r w:rsidRPr="00A07836">
        <w:rPr>
          <w:rFonts w:eastAsia="Times New Roman" w:cs="Times New Roman"/>
        </w:rPr>
        <w:t xml:space="preserve">Communication 50 (2000): 93-109. </w:t>
      </w:r>
    </w:p>
    <w:p w14:paraId="26F9E82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Shaver, James P. “What Statistical Significance Testing Is, and What It Is Not.” Presented at the Annual Meeting of the American Educational Research Association in San Francisco, CA held from April 20-24, 1992.</w:t>
      </w:r>
    </w:p>
    <w:p w14:paraId="5C4BDAB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Shaw, Tony, and Denise J. Youngblood. “Cold War Sport, Film, and Propaganda: A Comparative Analysis of the Superpowers.” </w:t>
      </w:r>
      <w:r w:rsidRPr="00A07836">
        <w:rPr>
          <w:rFonts w:eastAsia="Times New Roman" w:cs="Times New Roman"/>
          <w:i/>
          <w:iCs/>
          <w:color w:val="000000"/>
        </w:rPr>
        <w:t xml:space="preserve">Journal of Cold War Studies </w:t>
      </w:r>
      <w:r w:rsidRPr="00A07836">
        <w:rPr>
          <w:rFonts w:eastAsia="Times New Roman" w:cs="Times New Roman"/>
          <w:color w:val="000000"/>
        </w:rPr>
        <w:t>19, no. 1 (2017): 160-192.</w:t>
      </w:r>
    </w:p>
    <w:p w14:paraId="6511667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Sheehan, Michael. “The Evolution of Modern Warfare.” In </w:t>
      </w:r>
      <w:r w:rsidRPr="00A07836">
        <w:rPr>
          <w:rFonts w:eastAsia="Times New Roman" w:cs="Times New Roman"/>
          <w:i/>
          <w:iCs/>
          <w:color w:val="000000"/>
        </w:rPr>
        <w:t>Strategy in the Contemporary World,</w:t>
      </w:r>
      <w:r w:rsidRPr="00A07836">
        <w:rPr>
          <w:rFonts w:eastAsia="Times New Roman" w:cs="Times New Roman"/>
          <w:color w:val="000000"/>
        </w:rPr>
        <w:t xml:space="preserve"> 6</w:t>
      </w:r>
      <w:r w:rsidRPr="00A07836">
        <w:rPr>
          <w:rFonts w:eastAsia="Times New Roman" w:cs="Times New Roman"/>
          <w:color w:val="000000"/>
          <w:vertAlign w:val="superscript"/>
        </w:rPr>
        <w:t>th</w:t>
      </w:r>
      <w:r w:rsidRPr="00A07836">
        <w:rPr>
          <w:rFonts w:eastAsia="Times New Roman" w:cs="Times New Roman"/>
          <w:color w:val="000000"/>
        </w:rPr>
        <w:t xml:space="preserve"> ed., edited by John Baylis, James J. Wirtz, and Colin S. Gray, 36-52. Oxford: Oxford University Press, 2019. </w:t>
      </w:r>
    </w:p>
    <w:p w14:paraId="67946C25"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Sheskin</w:t>
      </w:r>
      <w:proofErr w:type="spellEnd"/>
      <w:r w:rsidRPr="00A07836">
        <w:rPr>
          <w:rFonts w:eastAsia="Times New Roman" w:cs="Times New Roman"/>
          <w:color w:val="000000"/>
        </w:rPr>
        <w:t>, David J. </w:t>
      </w:r>
      <w:r w:rsidRPr="00A07836">
        <w:rPr>
          <w:rFonts w:eastAsia="Times New Roman" w:cs="Times New Roman"/>
          <w:i/>
          <w:iCs/>
          <w:color w:val="000000"/>
        </w:rPr>
        <w:t>Handbook of Parametric and Nonparametric Statistical Procedures.</w:t>
      </w:r>
      <w:r w:rsidRPr="00A07836">
        <w:rPr>
          <w:rFonts w:eastAsia="Times New Roman" w:cs="Times New Roman"/>
          <w:color w:val="000000"/>
        </w:rPr>
        <w:t xml:space="preserve"> Boca Raton: CRC Press, 1997.</w:t>
      </w:r>
    </w:p>
    <w:p w14:paraId="4405B8E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Shirk, Mark. “The Universal Eye: Anarchist “Propaganda of the Deed” and Development of the Modern Surveillance State.” </w:t>
      </w:r>
      <w:r w:rsidRPr="00A07836">
        <w:rPr>
          <w:rFonts w:eastAsia="Times New Roman" w:cs="Times New Roman"/>
          <w:i/>
          <w:iCs/>
          <w:color w:val="000000"/>
        </w:rPr>
        <w:t>International Studies Quarterly</w:t>
      </w:r>
      <w:r w:rsidRPr="00A07836">
        <w:rPr>
          <w:rFonts w:eastAsia="Times New Roman" w:cs="Times New Roman"/>
          <w:color w:val="000000"/>
        </w:rPr>
        <w:t xml:space="preserve"> 63, no. 2 (2019): 334-345. </w:t>
      </w:r>
    </w:p>
    <w:p w14:paraId="2A92901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“How Does Violence Threaten the State? Four Narratives on Piracy.” </w:t>
      </w:r>
      <w:r w:rsidRPr="00A07836">
        <w:rPr>
          <w:rFonts w:eastAsia="Times New Roman" w:cs="Times New Roman"/>
          <w:i/>
          <w:iCs/>
          <w:color w:val="000000"/>
        </w:rPr>
        <w:t>Terrorism and Political Violence</w:t>
      </w:r>
      <w:r w:rsidRPr="00A07836">
        <w:rPr>
          <w:rFonts w:eastAsia="Times New Roman" w:cs="Times New Roman"/>
          <w:color w:val="000000"/>
        </w:rPr>
        <w:t xml:space="preserve"> 29, no. 4 (2017): 656-673.</w:t>
      </w:r>
    </w:p>
    <w:p w14:paraId="53AEA1F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“Pirates, Anarchists, and Terrorists: Violence and the Boundaries of Sovereign Authority.” Ph.D. diss., University of Maryland, 2014. </w:t>
      </w:r>
    </w:p>
    <w:p w14:paraId="6D8851E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Simon, Adam, and Michael </w:t>
      </w:r>
      <w:proofErr w:type="spellStart"/>
      <w:r w:rsidRPr="00A07836">
        <w:rPr>
          <w:rFonts w:eastAsia="Times New Roman" w:cs="Times New Roman"/>
          <w:color w:val="000000"/>
        </w:rPr>
        <w:t>Xenos</w:t>
      </w:r>
      <w:proofErr w:type="spellEnd"/>
      <w:r w:rsidRPr="00A07836">
        <w:rPr>
          <w:rFonts w:eastAsia="Times New Roman" w:cs="Times New Roman"/>
          <w:color w:val="000000"/>
        </w:rPr>
        <w:t xml:space="preserve">. “Media Framing and Effective Public Deliberation.” </w:t>
      </w:r>
      <w:r w:rsidRPr="00A07836">
        <w:rPr>
          <w:rFonts w:eastAsia="Times New Roman" w:cs="Times New Roman"/>
          <w:i/>
          <w:iCs/>
          <w:color w:val="000000"/>
        </w:rPr>
        <w:t>Political Communication</w:t>
      </w:r>
      <w:r w:rsidRPr="00A07836">
        <w:rPr>
          <w:rFonts w:eastAsia="Times New Roman" w:cs="Times New Roman"/>
          <w:color w:val="000000"/>
        </w:rPr>
        <w:t xml:space="preserve"> 17 (2000): 363-376.</w:t>
      </w:r>
    </w:p>
    <w:p w14:paraId="21B9F3B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Simon, Jeffrey D. </w:t>
      </w:r>
      <w:r w:rsidRPr="00A07836">
        <w:rPr>
          <w:rFonts w:eastAsia="Times New Roman" w:cs="Times New Roman"/>
          <w:i/>
          <w:iCs/>
          <w:color w:val="000000"/>
        </w:rPr>
        <w:t>The Terrorist Trap.</w:t>
      </w:r>
      <w:r w:rsidRPr="00A07836">
        <w:rPr>
          <w:rFonts w:eastAsia="Times New Roman" w:cs="Times New Roman"/>
          <w:color w:val="000000"/>
        </w:rPr>
        <w:t xml:space="preserve"> Bloomington: Indiana University Press, 1994.</w:t>
      </w:r>
    </w:p>
    <w:p w14:paraId="75C7785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Simon, Steven, and Daniel Benjamin. “The Terror.” </w:t>
      </w:r>
      <w:r w:rsidRPr="00A07836">
        <w:rPr>
          <w:rFonts w:eastAsia="Times New Roman" w:cs="Times New Roman"/>
          <w:i/>
          <w:iCs/>
          <w:color w:val="000000"/>
        </w:rPr>
        <w:t>Survival</w:t>
      </w:r>
      <w:r w:rsidRPr="00A07836">
        <w:rPr>
          <w:rFonts w:eastAsia="Times New Roman" w:cs="Times New Roman"/>
          <w:color w:val="000000"/>
        </w:rPr>
        <w:t xml:space="preserve"> 43, no. 4 (2001): 5-18. </w:t>
      </w:r>
    </w:p>
    <w:p w14:paraId="006078A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Slaughter, Anne Marie. “International Relations, Principal Theories.” In </w:t>
      </w:r>
      <w:r w:rsidRPr="00A07836">
        <w:rPr>
          <w:rFonts w:eastAsia="Times New Roman" w:cs="Times New Roman"/>
          <w:i/>
          <w:iCs/>
          <w:color w:val="000000"/>
        </w:rPr>
        <w:t>Max Planck Encyclopedia of Public International Law,</w:t>
      </w:r>
      <w:r w:rsidRPr="00A07836">
        <w:rPr>
          <w:rFonts w:eastAsia="Times New Roman" w:cs="Times New Roman"/>
          <w:color w:val="000000"/>
        </w:rPr>
        <w:t xml:space="preserve"> edited by </w:t>
      </w:r>
      <w:proofErr w:type="spellStart"/>
      <w:r w:rsidRPr="00A07836">
        <w:rPr>
          <w:rFonts w:eastAsia="Times New Roman" w:cs="Times New Roman"/>
          <w:color w:val="000000"/>
        </w:rPr>
        <w:t>Rüdiger</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Wolfrum</w:t>
      </w:r>
      <w:proofErr w:type="spellEnd"/>
      <w:r w:rsidRPr="00A07836">
        <w:rPr>
          <w:rFonts w:eastAsia="Times New Roman" w:cs="Times New Roman"/>
          <w:color w:val="000000"/>
        </w:rPr>
        <w:t>, 1-28.</w:t>
      </w:r>
      <w:r w:rsidRPr="00A07836">
        <w:rPr>
          <w:rFonts w:eastAsia="Times New Roman" w:cs="Times New Roman"/>
          <w:i/>
          <w:iCs/>
          <w:color w:val="000000"/>
        </w:rPr>
        <w:t xml:space="preserve"> </w:t>
      </w:r>
      <w:r w:rsidRPr="00A07836">
        <w:rPr>
          <w:rFonts w:eastAsia="Times New Roman" w:cs="Times New Roman"/>
          <w:color w:val="000000"/>
        </w:rPr>
        <w:t>Oxford: Oxford University Press, 2011.</w:t>
      </w:r>
    </w:p>
    <w:p w14:paraId="10023B0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Smith, Anthony. </w:t>
      </w:r>
      <w:r w:rsidRPr="00A07836">
        <w:rPr>
          <w:rFonts w:eastAsia="Times New Roman" w:cs="Times New Roman"/>
          <w:i/>
          <w:iCs/>
          <w:color w:val="000000"/>
        </w:rPr>
        <w:t xml:space="preserve">The Newspaper: An International History. </w:t>
      </w:r>
      <w:r w:rsidRPr="00A07836">
        <w:rPr>
          <w:rFonts w:eastAsia="Times New Roman" w:cs="Times New Roman"/>
          <w:color w:val="000000"/>
        </w:rPr>
        <w:t>London: Thames and Hudson, 1979.</w:t>
      </w:r>
    </w:p>
    <w:p w14:paraId="409F152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Smith, Paul J. </w:t>
      </w:r>
      <w:r w:rsidRPr="00A07836">
        <w:rPr>
          <w:rFonts w:eastAsia="Times New Roman" w:cs="Times New Roman"/>
          <w:i/>
          <w:iCs/>
          <w:color w:val="000000"/>
        </w:rPr>
        <w:t xml:space="preserve">The Terrorism Ahead: Confronting Transnational Violence in the Twenty-First Century. </w:t>
      </w:r>
      <w:r w:rsidRPr="00A07836">
        <w:rPr>
          <w:rFonts w:eastAsia="Times New Roman" w:cs="Times New Roman"/>
          <w:color w:val="000000"/>
        </w:rPr>
        <w:t xml:space="preserve">Armonk: M.E. Sharpe, 2015. </w:t>
      </w:r>
    </w:p>
    <w:p w14:paraId="31FBFF79"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Smith, Steve. “The Contested Concept of Security.” In </w:t>
      </w:r>
      <w:r w:rsidRPr="00A07836">
        <w:rPr>
          <w:rFonts w:eastAsia="Times New Roman" w:cs="Times New Roman"/>
          <w:i/>
          <w:iCs/>
          <w:color w:val="000000"/>
        </w:rPr>
        <w:t xml:space="preserve">Critical Security Studies and World Politics, </w:t>
      </w:r>
      <w:r w:rsidRPr="00A07836">
        <w:rPr>
          <w:rFonts w:eastAsia="Times New Roman" w:cs="Times New Roman"/>
          <w:color w:val="000000"/>
        </w:rPr>
        <w:t xml:space="preserve">edited by Ken Booth, 27-62. Boulder: Lynne </w:t>
      </w:r>
      <w:proofErr w:type="spellStart"/>
      <w:r w:rsidRPr="00A07836">
        <w:rPr>
          <w:rFonts w:eastAsia="Times New Roman" w:cs="Times New Roman"/>
          <w:color w:val="000000"/>
        </w:rPr>
        <w:t>Rienner</w:t>
      </w:r>
      <w:proofErr w:type="spellEnd"/>
      <w:r w:rsidRPr="00A07836">
        <w:rPr>
          <w:rFonts w:eastAsia="Times New Roman" w:cs="Times New Roman"/>
          <w:color w:val="000000"/>
        </w:rPr>
        <w:t xml:space="preserve"> Publishers, 2005.</w:t>
      </w:r>
    </w:p>
    <w:p w14:paraId="2B84A3BE"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Snow, David A., and Robert D. </w:t>
      </w:r>
      <w:proofErr w:type="spellStart"/>
      <w:r w:rsidRPr="00A07836">
        <w:rPr>
          <w:rFonts w:eastAsia="Times New Roman" w:cs="Times New Roman"/>
          <w:color w:val="000000"/>
        </w:rPr>
        <w:t>Benford</w:t>
      </w:r>
      <w:proofErr w:type="spellEnd"/>
      <w:r w:rsidRPr="00A07836">
        <w:rPr>
          <w:rFonts w:eastAsia="Times New Roman" w:cs="Times New Roman"/>
          <w:color w:val="000000"/>
        </w:rPr>
        <w:t xml:space="preserve">. “Framing processes and social movements: An overview and assessment.” </w:t>
      </w:r>
      <w:r w:rsidRPr="00A07836">
        <w:rPr>
          <w:rFonts w:eastAsia="Times New Roman" w:cs="Times New Roman"/>
          <w:i/>
          <w:iCs/>
          <w:color w:val="000000"/>
        </w:rPr>
        <w:t>Annual Review of Sociology</w:t>
      </w:r>
      <w:r w:rsidRPr="00A07836">
        <w:rPr>
          <w:rFonts w:eastAsia="Times New Roman" w:cs="Times New Roman"/>
          <w:color w:val="000000"/>
        </w:rPr>
        <w:t xml:space="preserve"> 26 (1992): 611-639.</w:t>
      </w:r>
    </w:p>
    <w:p w14:paraId="1A8A8140"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Sonnleitner</w:t>
      </w:r>
      <w:proofErr w:type="spellEnd"/>
      <w:r w:rsidRPr="00A07836">
        <w:rPr>
          <w:rFonts w:eastAsia="Times New Roman" w:cs="Times New Roman"/>
          <w:color w:val="000000"/>
        </w:rPr>
        <w:t xml:space="preserve">, Michael W. “Of Logic and Liberation: Frantz Fanon on Terrorism.” </w:t>
      </w:r>
      <w:r w:rsidRPr="00A07836">
        <w:rPr>
          <w:rFonts w:eastAsia="Times New Roman" w:cs="Times New Roman"/>
          <w:i/>
          <w:iCs/>
          <w:color w:val="000000"/>
        </w:rPr>
        <w:t xml:space="preserve">Journal of Black </w:t>
      </w:r>
      <w:r w:rsidRPr="00A07836">
        <w:rPr>
          <w:rFonts w:eastAsia="Times New Roman" w:cs="Times New Roman"/>
          <w:color w:val="000000"/>
        </w:rPr>
        <w:t xml:space="preserve">Studies 17, no. 3 (1987): 287-304. </w:t>
      </w:r>
    </w:p>
    <w:p w14:paraId="4E8D23D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Springer, Annemarie. “Terrorism and Anarchy: Late 19</w:t>
      </w:r>
      <w:r w:rsidRPr="00A07836">
        <w:rPr>
          <w:rFonts w:eastAsia="Times New Roman" w:cs="Times New Roman"/>
          <w:color w:val="000000"/>
          <w:vertAlign w:val="superscript"/>
        </w:rPr>
        <w:t>th</w:t>
      </w:r>
      <w:r w:rsidRPr="00A07836">
        <w:rPr>
          <w:rFonts w:eastAsia="Times New Roman" w:cs="Times New Roman"/>
          <w:color w:val="000000"/>
        </w:rPr>
        <w:t xml:space="preserve">-century Images of a Political Phenomenon in France.” </w:t>
      </w:r>
      <w:r w:rsidRPr="00A07836">
        <w:rPr>
          <w:rFonts w:eastAsia="Times New Roman" w:cs="Times New Roman"/>
          <w:i/>
          <w:iCs/>
          <w:color w:val="000000"/>
        </w:rPr>
        <w:t xml:space="preserve">Art Journal </w:t>
      </w:r>
      <w:r w:rsidRPr="00A07836">
        <w:rPr>
          <w:rFonts w:eastAsia="Times New Roman" w:cs="Times New Roman"/>
          <w:color w:val="000000"/>
        </w:rPr>
        <w:t>38, no. 4 (1979): 261-266.</w:t>
      </w:r>
    </w:p>
    <w:p w14:paraId="17A462F8"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Spruyt</w:t>
      </w:r>
      <w:proofErr w:type="spellEnd"/>
      <w:r w:rsidRPr="00A07836">
        <w:rPr>
          <w:rFonts w:eastAsia="Times New Roman" w:cs="Times New Roman"/>
          <w:color w:val="000000"/>
        </w:rPr>
        <w:t xml:space="preserve">, Hendrik. </w:t>
      </w:r>
      <w:r w:rsidRPr="00A07836">
        <w:rPr>
          <w:rFonts w:eastAsia="Times New Roman" w:cs="Times New Roman"/>
          <w:i/>
          <w:iCs/>
          <w:color w:val="000000"/>
        </w:rPr>
        <w:t>The Sovereign State and Its Competitors.</w:t>
      </w:r>
      <w:r w:rsidRPr="00A07836">
        <w:rPr>
          <w:rFonts w:eastAsia="Times New Roman" w:cs="Times New Roman"/>
          <w:color w:val="000000"/>
        </w:rPr>
        <w:t xml:space="preserve"> Princeton: Princeton University Press, 1994.</w:t>
      </w:r>
    </w:p>
    <w:p w14:paraId="18758D9A"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Steffek</w:t>
      </w:r>
      <w:proofErr w:type="spellEnd"/>
      <w:r w:rsidRPr="00A07836">
        <w:rPr>
          <w:rFonts w:eastAsia="Times New Roman" w:cs="Times New Roman"/>
          <w:color w:val="000000"/>
        </w:rPr>
        <w:t xml:space="preserve">, Jens. “Legitimacy in International Relations: From State Compliance to Citizen Consensus.” In </w:t>
      </w:r>
      <w:r w:rsidRPr="00A07836">
        <w:rPr>
          <w:rFonts w:eastAsia="Times New Roman" w:cs="Times New Roman"/>
          <w:i/>
          <w:iCs/>
          <w:color w:val="000000"/>
        </w:rPr>
        <w:t>Legitimacy in an Age of Global Politics</w:t>
      </w:r>
      <w:r w:rsidRPr="00A07836">
        <w:rPr>
          <w:rFonts w:eastAsia="Times New Roman" w:cs="Times New Roman"/>
          <w:color w:val="000000"/>
        </w:rPr>
        <w:t xml:space="preserve">, edited by Achim </w:t>
      </w:r>
      <w:proofErr w:type="spellStart"/>
      <w:r w:rsidRPr="00A07836">
        <w:rPr>
          <w:rFonts w:eastAsia="Times New Roman" w:cs="Times New Roman"/>
          <w:color w:val="000000"/>
        </w:rPr>
        <w:t>Hurrelman</w:t>
      </w:r>
      <w:proofErr w:type="spellEnd"/>
      <w:r w:rsidRPr="00A07836">
        <w:rPr>
          <w:rFonts w:eastAsia="Times New Roman" w:cs="Times New Roman"/>
          <w:color w:val="000000"/>
        </w:rPr>
        <w:t xml:space="preserve">, Steffen Schneider, and Jens </w:t>
      </w:r>
      <w:proofErr w:type="spellStart"/>
      <w:r w:rsidRPr="00A07836">
        <w:rPr>
          <w:rFonts w:eastAsia="Times New Roman" w:cs="Times New Roman"/>
          <w:color w:val="000000"/>
        </w:rPr>
        <w:t>Steffek</w:t>
      </w:r>
      <w:proofErr w:type="spellEnd"/>
      <w:r w:rsidRPr="00A07836">
        <w:rPr>
          <w:rFonts w:eastAsia="Times New Roman" w:cs="Times New Roman"/>
          <w:color w:val="000000"/>
        </w:rPr>
        <w:t xml:space="preserve">, 175-192. London: Palgrave Macmillan, 2007. </w:t>
      </w:r>
    </w:p>
    <w:p w14:paraId="70C607B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Steger, Manfred B. </w:t>
      </w:r>
      <w:r w:rsidRPr="00A07836">
        <w:rPr>
          <w:rFonts w:eastAsia="Times New Roman" w:cs="Times New Roman"/>
          <w:i/>
          <w:iCs/>
          <w:color w:val="000000"/>
        </w:rPr>
        <w:t xml:space="preserve">Globalization: A Very Short Introduction. </w:t>
      </w:r>
      <w:r w:rsidRPr="00A07836">
        <w:rPr>
          <w:rFonts w:eastAsia="Times New Roman" w:cs="Times New Roman"/>
          <w:color w:val="000000"/>
        </w:rPr>
        <w:t>Oxford: Oxford University Press, 2003.</w:t>
      </w:r>
    </w:p>
    <w:p w14:paraId="7821D45C"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Stites</w:t>
      </w:r>
      <w:proofErr w:type="spellEnd"/>
      <w:r w:rsidRPr="00A07836">
        <w:rPr>
          <w:rFonts w:eastAsia="Times New Roman" w:cs="Times New Roman"/>
          <w:color w:val="000000"/>
        </w:rPr>
        <w:t xml:space="preserve">, Richard. “Heaven and Hell: Soviet Propaganda Constructs the World.” In </w:t>
      </w:r>
      <w:r w:rsidRPr="00A07836">
        <w:rPr>
          <w:rFonts w:eastAsia="Times New Roman" w:cs="Times New Roman"/>
          <w:i/>
          <w:iCs/>
          <w:color w:val="000000"/>
        </w:rPr>
        <w:t>Cold-War Propaganda in the 1950s</w:t>
      </w:r>
      <w:r w:rsidRPr="00A07836">
        <w:rPr>
          <w:rFonts w:eastAsia="Times New Roman" w:cs="Times New Roman"/>
          <w:color w:val="000000"/>
        </w:rPr>
        <w:t>, edited by Gary D. Rawnsley, 85-104. London: Palgrave Macmillan, 1998.</w:t>
      </w:r>
    </w:p>
    <w:p w14:paraId="44DCBD2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Suchman</w:t>
      </w:r>
      <w:proofErr w:type="spellEnd"/>
      <w:r w:rsidRPr="00A07836">
        <w:rPr>
          <w:rFonts w:eastAsia="Times New Roman" w:cs="Times New Roman"/>
          <w:color w:val="000000"/>
        </w:rPr>
        <w:t>, Mark C. “Managing Legitimacy: Strategic and Institutional Approaches.” </w:t>
      </w:r>
      <w:r w:rsidRPr="00A07836">
        <w:rPr>
          <w:rFonts w:eastAsia="Times New Roman" w:cs="Times New Roman"/>
          <w:i/>
          <w:iCs/>
          <w:color w:val="000000"/>
        </w:rPr>
        <w:t>Academy of Management Review</w:t>
      </w:r>
      <w:r w:rsidRPr="00A07836">
        <w:rPr>
          <w:rFonts w:eastAsia="Times New Roman" w:cs="Times New Roman"/>
          <w:color w:val="000000"/>
        </w:rPr>
        <w:t xml:space="preserve"> 20, no. 3 (1995): 571-610. </w:t>
      </w:r>
    </w:p>
    <w:p w14:paraId="6350E152"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Suissa</w:t>
      </w:r>
      <w:proofErr w:type="spellEnd"/>
      <w:r w:rsidRPr="00A07836">
        <w:rPr>
          <w:rFonts w:eastAsia="Times New Roman" w:cs="Times New Roman"/>
          <w:color w:val="000000"/>
        </w:rPr>
        <w:t xml:space="preserve">, Judith. “Education and Non-domination: Reflections from the Radical Tradition.” </w:t>
      </w:r>
      <w:r w:rsidRPr="00A07836">
        <w:rPr>
          <w:rFonts w:eastAsia="Times New Roman" w:cs="Times New Roman"/>
          <w:i/>
          <w:iCs/>
          <w:color w:val="000000"/>
        </w:rPr>
        <w:t>Studies in Philosophy and Education</w:t>
      </w:r>
      <w:r w:rsidRPr="00A07836">
        <w:rPr>
          <w:rFonts w:eastAsia="Times New Roman" w:cs="Times New Roman"/>
          <w:color w:val="000000"/>
        </w:rPr>
        <w:t xml:space="preserve"> 38, no. 4 (2019): 359-375.</w:t>
      </w:r>
    </w:p>
    <w:p w14:paraId="30E0FF6D"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Susen</w:t>
      </w:r>
      <w:proofErr w:type="spellEnd"/>
      <w:r w:rsidRPr="00A07836">
        <w:rPr>
          <w:rFonts w:eastAsia="Times New Roman" w:cs="Times New Roman"/>
          <w:color w:val="000000"/>
        </w:rPr>
        <w:t xml:space="preserve">, Simon. “Remarks on the Concept of Critique in </w:t>
      </w:r>
      <w:proofErr w:type="spellStart"/>
      <w:r w:rsidRPr="00A07836">
        <w:rPr>
          <w:rFonts w:eastAsia="Times New Roman" w:cs="Times New Roman"/>
          <w:color w:val="000000"/>
        </w:rPr>
        <w:t>Habermasian</w:t>
      </w:r>
      <w:proofErr w:type="spellEnd"/>
      <w:r w:rsidRPr="00A07836">
        <w:rPr>
          <w:rFonts w:eastAsia="Times New Roman" w:cs="Times New Roman"/>
          <w:color w:val="000000"/>
        </w:rPr>
        <w:t xml:space="preserve"> Thought.” </w:t>
      </w:r>
      <w:r w:rsidRPr="00A07836">
        <w:rPr>
          <w:rFonts w:eastAsia="Times New Roman" w:cs="Times New Roman"/>
          <w:i/>
          <w:iCs/>
          <w:color w:val="000000"/>
        </w:rPr>
        <w:t>Journal of Global Ethics</w:t>
      </w:r>
      <w:r w:rsidRPr="00A07836">
        <w:rPr>
          <w:rFonts w:eastAsia="Times New Roman" w:cs="Times New Roman"/>
          <w:color w:val="000000"/>
        </w:rPr>
        <w:t xml:space="preserve"> 6 no. 2 (2010): 103-126.</w:t>
      </w:r>
    </w:p>
    <w:p w14:paraId="42B3BD0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Swanton, Christine. “On the ‘Essential Contestedness’ of Political Concepts.” </w:t>
      </w:r>
      <w:r w:rsidRPr="00A07836">
        <w:rPr>
          <w:rFonts w:eastAsia="Times New Roman" w:cs="Times New Roman"/>
          <w:i/>
          <w:iCs/>
          <w:color w:val="000000"/>
        </w:rPr>
        <w:t>Ethics</w:t>
      </w:r>
      <w:r w:rsidRPr="00A07836">
        <w:rPr>
          <w:rFonts w:eastAsia="Times New Roman" w:cs="Times New Roman"/>
          <w:color w:val="000000"/>
        </w:rPr>
        <w:t xml:space="preserve"> 95 (1985): 811-827. </w:t>
      </w:r>
    </w:p>
    <w:p w14:paraId="0466C95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The Geneva Centre for the Democratic Control of Armed Forces. “Armed Non-State Actors: Current Trends and Future Challenges.” Geneva: DCAF, 2015.</w:t>
      </w:r>
    </w:p>
    <w:p w14:paraId="76472A1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Theys</w:t>
      </w:r>
      <w:proofErr w:type="spellEnd"/>
      <w:r w:rsidRPr="00A07836">
        <w:rPr>
          <w:rFonts w:eastAsia="Times New Roman" w:cs="Times New Roman"/>
          <w:color w:val="000000"/>
        </w:rPr>
        <w:t xml:space="preserve">, Sarina. “Constructivism.” In </w:t>
      </w:r>
      <w:r w:rsidRPr="00A07836">
        <w:rPr>
          <w:rFonts w:eastAsia="Times New Roman" w:cs="Times New Roman"/>
          <w:i/>
          <w:iCs/>
          <w:color w:val="000000"/>
        </w:rPr>
        <w:t xml:space="preserve">International Relations Theory, </w:t>
      </w:r>
      <w:r w:rsidRPr="00A07836">
        <w:rPr>
          <w:rFonts w:eastAsia="Times New Roman" w:cs="Times New Roman"/>
          <w:color w:val="000000"/>
        </w:rPr>
        <w:t xml:space="preserve">edited by Stephen McGlinchey, Rosie Walters, and Christian </w:t>
      </w:r>
      <w:proofErr w:type="spellStart"/>
      <w:r w:rsidRPr="00A07836">
        <w:rPr>
          <w:rFonts w:eastAsia="Times New Roman" w:cs="Times New Roman"/>
          <w:color w:val="000000"/>
        </w:rPr>
        <w:t>Scheinpflug</w:t>
      </w:r>
      <w:proofErr w:type="spellEnd"/>
      <w:r w:rsidRPr="00A07836">
        <w:rPr>
          <w:rFonts w:eastAsia="Times New Roman" w:cs="Times New Roman"/>
          <w:color w:val="000000"/>
        </w:rPr>
        <w:t>, 36-41</w:t>
      </w:r>
      <w:r w:rsidRPr="00A07836">
        <w:rPr>
          <w:rFonts w:eastAsia="Times New Roman" w:cs="Times New Roman"/>
          <w:i/>
          <w:iCs/>
          <w:color w:val="000000"/>
        </w:rPr>
        <w:t>.</w:t>
      </w:r>
      <w:r w:rsidRPr="00A07836">
        <w:rPr>
          <w:rFonts w:eastAsia="Times New Roman" w:cs="Times New Roman"/>
          <w:color w:val="000000"/>
        </w:rPr>
        <w:t xml:space="preserve"> Bristol: E-International Relations Publishing, 2017.</w:t>
      </w:r>
    </w:p>
    <w:p w14:paraId="23263DC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Thomson, S. Harrison. </w:t>
      </w:r>
      <w:r w:rsidRPr="00A07836">
        <w:rPr>
          <w:rFonts w:eastAsia="Times New Roman" w:cs="Times New Roman"/>
          <w:i/>
          <w:iCs/>
          <w:color w:val="000000"/>
        </w:rPr>
        <w:t>Europe in Renaissance and Reformation.</w:t>
      </w:r>
      <w:r w:rsidRPr="00A07836">
        <w:rPr>
          <w:rFonts w:eastAsia="Times New Roman" w:cs="Times New Roman"/>
          <w:color w:val="000000"/>
        </w:rPr>
        <w:t xml:space="preserve"> New York City: Harcourt, Brace and World, 1963. </w:t>
      </w:r>
    </w:p>
    <w:p w14:paraId="0D1D90C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Tilly, Charles. </w:t>
      </w:r>
      <w:r w:rsidRPr="00A07836">
        <w:rPr>
          <w:rFonts w:eastAsia="Times New Roman" w:cs="Times New Roman"/>
          <w:i/>
          <w:iCs/>
          <w:color w:val="000000"/>
        </w:rPr>
        <w:t>Coercion, Capital and European States, AD 900-1992.</w:t>
      </w:r>
      <w:r w:rsidRPr="00A07836">
        <w:rPr>
          <w:rFonts w:eastAsia="Times New Roman" w:cs="Times New Roman"/>
          <w:color w:val="000000"/>
        </w:rPr>
        <w:t xml:space="preserve"> Cambridge: Basil Blackwell, 1992.</w:t>
      </w:r>
    </w:p>
    <w:p w14:paraId="4247073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Toros, Harmonie. “’We Don’t Negotiate with Terrorists!’: Legitimacy and Complexity in Terrorist Conflicts.” </w:t>
      </w:r>
      <w:r w:rsidRPr="00A07836">
        <w:rPr>
          <w:rFonts w:eastAsia="Times New Roman" w:cs="Times New Roman"/>
          <w:i/>
          <w:iCs/>
          <w:color w:val="000000"/>
        </w:rPr>
        <w:t xml:space="preserve">Security Dialogue </w:t>
      </w:r>
      <w:r w:rsidRPr="00A07836">
        <w:rPr>
          <w:rFonts w:eastAsia="Times New Roman" w:cs="Times New Roman"/>
          <w:color w:val="000000"/>
        </w:rPr>
        <w:t>39, no. 4 (2008):407-426.</w:t>
      </w:r>
    </w:p>
    <w:p w14:paraId="39EBBCC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Toyon, Mohammed Abu Sayed. “Explanatory Sequential Design of Mixed Methods Research: Phases and Challenges.” </w:t>
      </w:r>
      <w:r w:rsidRPr="00A07836">
        <w:rPr>
          <w:rFonts w:eastAsia="Times New Roman" w:cs="Times New Roman"/>
          <w:i/>
          <w:iCs/>
          <w:color w:val="000000"/>
        </w:rPr>
        <w:t>International Journal of Research in Business and Social Science</w:t>
      </w:r>
      <w:r w:rsidRPr="00A07836">
        <w:rPr>
          <w:rFonts w:eastAsia="Times New Roman" w:cs="Times New Roman"/>
          <w:color w:val="000000"/>
        </w:rPr>
        <w:t xml:space="preserve"> 10, no. 5 (2021): 253-260. </w:t>
      </w:r>
    </w:p>
    <w:p w14:paraId="23B670FE"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Trueb</w:t>
      </w:r>
      <w:proofErr w:type="spellEnd"/>
      <w:r w:rsidRPr="00A07836">
        <w:rPr>
          <w:rFonts w:eastAsia="Times New Roman" w:cs="Times New Roman"/>
          <w:color w:val="000000"/>
        </w:rPr>
        <w:t>, Bettina. “Teaching Students to Write for ‘Real Life’: Policy Paper Writing in the Classroom.”</w:t>
      </w:r>
      <w:r w:rsidRPr="00A07836">
        <w:rPr>
          <w:rFonts w:eastAsia="Times New Roman" w:cs="Times New Roman"/>
          <w:i/>
          <w:iCs/>
          <w:color w:val="000000"/>
        </w:rPr>
        <w:t xml:space="preserve"> PS:</w:t>
      </w:r>
      <w:r w:rsidRPr="00A07836">
        <w:rPr>
          <w:rFonts w:eastAsia="Times New Roman" w:cs="Times New Roman"/>
          <w:color w:val="000000"/>
        </w:rPr>
        <w:t xml:space="preserve"> </w:t>
      </w:r>
      <w:r w:rsidRPr="00A07836">
        <w:rPr>
          <w:rFonts w:eastAsia="Times New Roman" w:cs="Times New Roman"/>
          <w:i/>
          <w:iCs/>
          <w:color w:val="000000"/>
        </w:rPr>
        <w:t>Political Science &amp; Politics</w:t>
      </w:r>
      <w:r w:rsidRPr="00A07836">
        <w:rPr>
          <w:rFonts w:eastAsia="Times New Roman" w:cs="Times New Roman"/>
          <w:color w:val="000000"/>
        </w:rPr>
        <w:t xml:space="preserve"> 46 (2013): 137-141.</w:t>
      </w:r>
    </w:p>
    <w:p w14:paraId="2919916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Tuchman, G. “Objectivity as a Strategic Ritual: An Examination of Newsmen’s Notions of Objectivity.” </w:t>
      </w:r>
      <w:r w:rsidRPr="00A07836">
        <w:rPr>
          <w:rFonts w:eastAsia="Times New Roman" w:cs="Times New Roman"/>
          <w:i/>
          <w:iCs/>
          <w:color w:val="000000"/>
        </w:rPr>
        <w:t>American Journal of Sociology</w:t>
      </w:r>
      <w:r w:rsidRPr="00A07836">
        <w:rPr>
          <w:rFonts w:eastAsia="Times New Roman" w:cs="Times New Roman"/>
          <w:color w:val="000000"/>
        </w:rPr>
        <w:t xml:space="preserve"> 77 (1977): 660-679.</w:t>
      </w:r>
    </w:p>
    <w:p w14:paraId="54ECAB3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Von Hippel, Karin. </w:t>
      </w:r>
      <w:r w:rsidRPr="00A07836">
        <w:rPr>
          <w:rFonts w:eastAsia="Times New Roman" w:cs="Times New Roman"/>
          <w:i/>
          <w:iCs/>
          <w:color w:val="000000"/>
        </w:rPr>
        <w:t>Democracy by Force: US Military Intervention in the Post-Cold War World.</w:t>
      </w:r>
      <w:r w:rsidRPr="00A07836">
        <w:rPr>
          <w:rFonts w:eastAsia="Times New Roman" w:cs="Times New Roman"/>
          <w:color w:val="000000"/>
        </w:rPr>
        <w:t xml:space="preserve"> Cambridge: Cambridge University Press, 2004. </w:t>
      </w:r>
    </w:p>
    <w:p w14:paraId="1670FB5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Von Neumann, John, and Oskar Morgenstern. </w:t>
      </w:r>
      <w:r w:rsidRPr="00A07836">
        <w:rPr>
          <w:rFonts w:eastAsia="Times New Roman" w:cs="Times New Roman"/>
          <w:i/>
          <w:iCs/>
          <w:color w:val="000000"/>
        </w:rPr>
        <w:t xml:space="preserve">Theory of Games and Economic Behavior. </w:t>
      </w:r>
      <w:r w:rsidRPr="00A07836">
        <w:rPr>
          <w:rFonts w:eastAsia="Times New Roman" w:cs="Times New Roman"/>
          <w:color w:val="000000"/>
        </w:rPr>
        <w:t>Princeton: Princeton University Press, 1953.</w:t>
      </w:r>
    </w:p>
    <w:p w14:paraId="07668EA6"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Vultee</w:t>
      </w:r>
      <w:proofErr w:type="spellEnd"/>
      <w:r w:rsidRPr="00A07836">
        <w:rPr>
          <w:rFonts w:eastAsia="Times New Roman" w:cs="Times New Roman"/>
          <w:color w:val="000000"/>
        </w:rPr>
        <w:t xml:space="preserve">, Fred. “Securitization: A New Approach to the Framing of the ‘War on Terror.’” </w:t>
      </w:r>
      <w:r w:rsidRPr="00A07836">
        <w:rPr>
          <w:rFonts w:eastAsia="Times New Roman" w:cs="Times New Roman"/>
          <w:i/>
          <w:iCs/>
          <w:color w:val="000000"/>
        </w:rPr>
        <w:t>Journalism Practice</w:t>
      </w:r>
      <w:r w:rsidRPr="00A07836">
        <w:rPr>
          <w:rFonts w:eastAsia="Times New Roman" w:cs="Times New Roman"/>
          <w:color w:val="000000"/>
        </w:rPr>
        <w:t xml:space="preserve"> 4, no. 1 (January 22, 2010): 33-47.</w:t>
      </w:r>
    </w:p>
    <w:p w14:paraId="047B349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“‘Fatwa on the Bunny’: News Language and the Creation of Meaning About the Middle East.” </w:t>
      </w:r>
      <w:r w:rsidRPr="00A07836">
        <w:rPr>
          <w:rFonts w:eastAsia="Times New Roman" w:cs="Times New Roman"/>
          <w:i/>
          <w:iCs/>
          <w:color w:val="000000"/>
        </w:rPr>
        <w:t xml:space="preserve">Journal of Communication Inquiry </w:t>
      </w:r>
      <w:r w:rsidRPr="00A07836">
        <w:rPr>
          <w:rFonts w:eastAsia="Times New Roman" w:cs="Times New Roman"/>
          <w:color w:val="000000"/>
        </w:rPr>
        <w:t xml:space="preserve">30, no. 4 (2006): 452-461. </w:t>
      </w:r>
    </w:p>
    <w:p w14:paraId="059C9CB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Wacquant, </w:t>
      </w:r>
      <w:proofErr w:type="spellStart"/>
      <w:r w:rsidRPr="00A07836">
        <w:rPr>
          <w:rFonts w:eastAsia="Times New Roman" w:cs="Times New Roman"/>
          <w:color w:val="000000"/>
        </w:rPr>
        <w:t>Loïc</w:t>
      </w:r>
      <w:proofErr w:type="spellEnd"/>
      <w:r w:rsidRPr="00A07836">
        <w:rPr>
          <w:rFonts w:eastAsia="Times New Roman" w:cs="Times New Roman"/>
          <w:color w:val="000000"/>
        </w:rPr>
        <w:t xml:space="preserve">. “Symbolic Power and Group-Making: On Pierre Bourdieu’s Reframing of Class.” </w:t>
      </w:r>
      <w:r w:rsidRPr="00A07836">
        <w:rPr>
          <w:rFonts w:eastAsia="Times New Roman" w:cs="Times New Roman"/>
          <w:i/>
          <w:iCs/>
          <w:color w:val="000000"/>
        </w:rPr>
        <w:t>Journal of Classical Sociology</w:t>
      </w:r>
      <w:r w:rsidRPr="00A07836">
        <w:rPr>
          <w:rFonts w:eastAsia="Times New Roman" w:cs="Times New Roman"/>
          <w:color w:val="000000"/>
        </w:rPr>
        <w:t xml:space="preserve"> (2013): 1-18.</w:t>
      </w:r>
    </w:p>
    <w:p w14:paraId="64349329"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Wæver</w:t>
      </w:r>
      <w:proofErr w:type="spellEnd"/>
      <w:r w:rsidRPr="00A07836">
        <w:rPr>
          <w:rFonts w:eastAsia="Times New Roman" w:cs="Times New Roman"/>
          <w:color w:val="000000"/>
        </w:rPr>
        <w:t xml:space="preserve">, Ole. “Securitization and </w:t>
      </w:r>
      <w:proofErr w:type="spellStart"/>
      <w:r w:rsidRPr="00A07836">
        <w:rPr>
          <w:rFonts w:eastAsia="Times New Roman" w:cs="Times New Roman"/>
          <w:color w:val="000000"/>
        </w:rPr>
        <w:t>Desecuritization</w:t>
      </w:r>
      <w:proofErr w:type="spellEnd"/>
      <w:r w:rsidRPr="00A07836">
        <w:rPr>
          <w:rFonts w:eastAsia="Times New Roman" w:cs="Times New Roman"/>
          <w:color w:val="000000"/>
        </w:rPr>
        <w:t xml:space="preserve">.” In </w:t>
      </w:r>
      <w:r w:rsidRPr="00A07836">
        <w:rPr>
          <w:rFonts w:eastAsia="Times New Roman" w:cs="Times New Roman"/>
          <w:i/>
          <w:iCs/>
          <w:color w:val="000000"/>
        </w:rPr>
        <w:t xml:space="preserve">On Security, </w:t>
      </w:r>
      <w:r w:rsidRPr="00A07836">
        <w:rPr>
          <w:rFonts w:eastAsia="Times New Roman" w:cs="Times New Roman"/>
          <w:color w:val="000000"/>
        </w:rPr>
        <w:t xml:space="preserve">edited by Ronnie D. </w:t>
      </w:r>
      <w:proofErr w:type="spellStart"/>
      <w:r w:rsidRPr="00A07836">
        <w:rPr>
          <w:rFonts w:eastAsia="Times New Roman" w:cs="Times New Roman"/>
          <w:color w:val="000000"/>
        </w:rPr>
        <w:t>Lipschutz</w:t>
      </w:r>
      <w:proofErr w:type="spellEnd"/>
      <w:r w:rsidRPr="00A07836">
        <w:rPr>
          <w:rFonts w:eastAsia="Times New Roman" w:cs="Times New Roman"/>
          <w:color w:val="000000"/>
        </w:rPr>
        <w:t>, 46-86.</w:t>
      </w:r>
      <w:r w:rsidRPr="00A07836">
        <w:rPr>
          <w:rFonts w:eastAsia="Times New Roman" w:cs="Times New Roman"/>
          <w:i/>
          <w:iCs/>
          <w:color w:val="000000"/>
        </w:rPr>
        <w:t xml:space="preserve"> </w:t>
      </w:r>
      <w:r w:rsidRPr="00A07836">
        <w:rPr>
          <w:rFonts w:eastAsia="Times New Roman" w:cs="Times New Roman"/>
          <w:color w:val="000000"/>
        </w:rPr>
        <w:t>New York: Columbia University Press, 1995.</w:t>
      </w:r>
    </w:p>
    <w:p w14:paraId="4FFE69B4"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Wajner</w:t>
      </w:r>
      <w:proofErr w:type="spellEnd"/>
      <w:r w:rsidRPr="00A07836">
        <w:rPr>
          <w:rFonts w:eastAsia="Times New Roman" w:cs="Times New Roman"/>
          <w:color w:val="000000"/>
        </w:rPr>
        <w:t xml:space="preserve">, Daniel F. “’Battling’ for Legitimacy: Analyzing Performative Contests in the Gaza Flotilla Paradigmatic Case.” </w:t>
      </w:r>
      <w:r w:rsidRPr="00A07836">
        <w:rPr>
          <w:rFonts w:eastAsia="Times New Roman" w:cs="Times New Roman"/>
          <w:i/>
          <w:iCs/>
          <w:color w:val="000000"/>
        </w:rPr>
        <w:t>International Studies Quarterly</w:t>
      </w:r>
      <w:r w:rsidRPr="00A07836">
        <w:rPr>
          <w:rFonts w:eastAsia="Times New Roman" w:cs="Times New Roman"/>
          <w:color w:val="000000"/>
        </w:rPr>
        <w:t xml:space="preserve"> 63 (July 2019): 1035-1050. </w:t>
      </w:r>
    </w:p>
    <w:p w14:paraId="6E2A081D"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Weaver, David Hugh, and G. Cleveland </w:t>
      </w:r>
      <w:proofErr w:type="spellStart"/>
      <w:r w:rsidRPr="00A07836">
        <w:rPr>
          <w:rFonts w:eastAsia="Times New Roman" w:cs="Times New Roman"/>
          <w:color w:val="000000"/>
        </w:rPr>
        <w:t>Wilhoit</w:t>
      </w:r>
      <w:proofErr w:type="spellEnd"/>
      <w:r w:rsidRPr="00A07836">
        <w:rPr>
          <w:rFonts w:eastAsia="Times New Roman" w:cs="Times New Roman"/>
          <w:color w:val="000000"/>
        </w:rPr>
        <w:t xml:space="preserve">. </w:t>
      </w:r>
      <w:r w:rsidRPr="00A07836">
        <w:rPr>
          <w:rFonts w:eastAsia="Times New Roman" w:cs="Times New Roman"/>
          <w:i/>
          <w:iCs/>
          <w:color w:val="000000"/>
        </w:rPr>
        <w:t>The American Journalist in the 1990s: U.S. News People at the End of an Era.</w:t>
      </w:r>
      <w:r w:rsidRPr="00A07836">
        <w:rPr>
          <w:rFonts w:eastAsia="Times New Roman" w:cs="Times New Roman"/>
          <w:color w:val="000000"/>
        </w:rPr>
        <w:t xml:space="preserve"> Mahwah: Lawrence Erlbaum Associates, 1996.</w:t>
      </w:r>
    </w:p>
    <w:p w14:paraId="5D8625B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Webb, Geoffrey I. “</w:t>
      </w:r>
      <w:proofErr w:type="spellStart"/>
      <w:r w:rsidRPr="00A07836">
        <w:rPr>
          <w:rFonts w:eastAsia="Times New Roman" w:cs="Times New Roman"/>
          <w:color w:val="000000"/>
        </w:rPr>
        <w:t>Naïve</w:t>
      </w:r>
      <w:proofErr w:type="spellEnd"/>
      <w:r w:rsidRPr="00A07836">
        <w:rPr>
          <w:rFonts w:eastAsia="Times New Roman" w:cs="Times New Roman"/>
          <w:color w:val="000000"/>
        </w:rPr>
        <w:t xml:space="preserve"> Bayes.” In </w:t>
      </w:r>
      <w:r w:rsidRPr="00A07836">
        <w:rPr>
          <w:rFonts w:eastAsia="Times New Roman" w:cs="Times New Roman"/>
          <w:i/>
          <w:iCs/>
          <w:color w:val="000000"/>
        </w:rPr>
        <w:t>Encyclopedia of Machine Learning and Data Mining</w:t>
      </w:r>
      <w:r w:rsidRPr="00A07836">
        <w:rPr>
          <w:rFonts w:eastAsia="Times New Roman" w:cs="Times New Roman"/>
          <w:color w:val="000000"/>
        </w:rPr>
        <w:t>, edited by</w:t>
      </w:r>
      <w:r w:rsidRPr="00A07836">
        <w:rPr>
          <w:rFonts w:eastAsia="Times New Roman" w:cs="Times New Roman"/>
          <w:i/>
          <w:iCs/>
          <w:color w:val="000000"/>
        </w:rPr>
        <w:t xml:space="preserve"> </w:t>
      </w:r>
      <w:r w:rsidRPr="00A07836">
        <w:rPr>
          <w:rFonts w:eastAsia="Times New Roman" w:cs="Times New Roman"/>
          <w:color w:val="000000"/>
        </w:rPr>
        <w:t xml:space="preserve">Claude </w:t>
      </w:r>
      <w:proofErr w:type="spellStart"/>
      <w:r w:rsidRPr="00A07836">
        <w:rPr>
          <w:rFonts w:eastAsia="Times New Roman" w:cs="Times New Roman"/>
          <w:color w:val="000000"/>
        </w:rPr>
        <w:t>Sammut</w:t>
      </w:r>
      <w:proofErr w:type="spellEnd"/>
      <w:r w:rsidRPr="00A07836">
        <w:rPr>
          <w:rFonts w:eastAsia="Times New Roman" w:cs="Times New Roman"/>
          <w:color w:val="000000"/>
        </w:rPr>
        <w:t>, and Geoffrey I. Webb, 713-714. New York: Springer, 2017.</w:t>
      </w:r>
    </w:p>
    <w:p w14:paraId="7E60B32A"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Weber, Max, and Dagmar Waters, ed., </w:t>
      </w:r>
      <w:r w:rsidRPr="00A07836">
        <w:rPr>
          <w:rFonts w:eastAsia="Times New Roman" w:cs="Times New Roman"/>
          <w:i/>
          <w:iCs/>
          <w:color w:val="000000"/>
        </w:rPr>
        <w:t>Weber’s Rationalism and Modern Society.</w:t>
      </w:r>
      <w:r w:rsidRPr="00A07836">
        <w:rPr>
          <w:rFonts w:eastAsia="Times New Roman" w:cs="Times New Roman"/>
          <w:color w:val="000000"/>
        </w:rPr>
        <w:t xml:space="preserve"> Translated by Tony Waters. New York City: Palgrave Books, 2015. </w:t>
      </w:r>
    </w:p>
    <w:p w14:paraId="5EC6577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Weber, Max. </w:t>
      </w:r>
      <w:r w:rsidRPr="00A07836">
        <w:rPr>
          <w:rFonts w:eastAsia="Times New Roman" w:cs="Times New Roman"/>
          <w:i/>
          <w:iCs/>
          <w:color w:val="000000"/>
        </w:rPr>
        <w:t xml:space="preserve">The Vocation Lecture. </w:t>
      </w:r>
      <w:r w:rsidRPr="00A07836">
        <w:rPr>
          <w:rFonts w:eastAsia="Times New Roman" w:cs="Times New Roman"/>
          <w:color w:val="000000"/>
        </w:rPr>
        <w:t>Translated by Rodney Livingstone. Indianapolis: Hackett Publishing, 2004.</w:t>
      </w:r>
    </w:p>
    <w:p w14:paraId="7A16E20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i/>
          <w:iCs/>
          <w:color w:val="000000"/>
          <w:lang w:val="en-US"/>
        </w:rPr>
        <w:t>The Theory of Social and Economic Organization.</w:t>
      </w:r>
      <w:r w:rsidRPr="00A07836">
        <w:rPr>
          <w:rFonts w:eastAsia="Times New Roman" w:cs="Times New Roman"/>
          <w:color w:val="000000"/>
          <w:lang w:val="en-US"/>
        </w:rPr>
        <w:t xml:space="preserve"> Translated by Talcott Parsons. New York City: The Free Press, 1964.</w:t>
      </w:r>
    </w:p>
    <w:p w14:paraId="5AE9DFF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“The Three Types of Legitimate Rule.” Translated by Hans </w:t>
      </w:r>
      <w:proofErr w:type="spellStart"/>
      <w:r w:rsidRPr="00A07836">
        <w:rPr>
          <w:rFonts w:eastAsia="Times New Roman" w:cs="Times New Roman"/>
          <w:color w:val="000000"/>
        </w:rPr>
        <w:t>Gerth</w:t>
      </w:r>
      <w:proofErr w:type="spellEnd"/>
      <w:r w:rsidRPr="00A07836">
        <w:rPr>
          <w:rFonts w:eastAsia="Times New Roman" w:cs="Times New Roman"/>
          <w:color w:val="000000"/>
        </w:rPr>
        <w:t xml:space="preserve">. </w:t>
      </w:r>
      <w:r w:rsidRPr="00A07836">
        <w:rPr>
          <w:rFonts w:eastAsia="Times New Roman" w:cs="Times New Roman"/>
          <w:i/>
          <w:iCs/>
          <w:color w:val="000000"/>
        </w:rPr>
        <w:t>Berkeley Publications in Society and Institutions</w:t>
      </w:r>
      <w:r w:rsidRPr="00A07836">
        <w:rPr>
          <w:rFonts w:eastAsia="Times New Roman" w:cs="Times New Roman"/>
          <w:color w:val="000000"/>
        </w:rPr>
        <w:t> 4, no. 1 (1958): 1-11.</w:t>
      </w:r>
    </w:p>
    <w:p w14:paraId="5940D96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w:t>
      </w:r>
      <w:r w:rsidRPr="00A07836">
        <w:rPr>
          <w:rFonts w:eastAsia="Times New Roman" w:cs="Times New Roman"/>
          <w:color w:val="000000"/>
          <w:lang w:val="en-US"/>
        </w:rPr>
        <w:t xml:space="preserve">“Politics as a Vocation.” In </w:t>
      </w:r>
      <w:r w:rsidRPr="00A07836">
        <w:rPr>
          <w:rFonts w:eastAsia="Times New Roman" w:cs="Times New Roman"/>
          <w:i/>
          <w:iCs/>
          <w:color w:val="000000"/>
          <w:lang w:val="en-US"/>
        </w:rPr>
        <w:t xml:space="preserve">From Max Weber: Essays in Sociology, </w:t>
      </w:r>
      <w:r w:rsidRPr="00A07836">
        <w:rPr>
          <w:rFonts w:eastAsia="Times New Roman" w:cs="Times New Roman"/>
          <w:color w:val="000000"/>
          <w:lang w:val="en-US"/>
        </w:rPr>
        <w:t xml:space="preserve">edited by H.H. </w:t>
      </w:r>
      <w:proofErr w:type="spellStart"/>
      <w:r w:rsidRPr="00A07836">
        <w:rPr>
          <w:rFonts w:eastAsia="Times New Roman" w:cs="Times New Roman"/>
          <w:color w:val="000000"/>
          <w:lang w:val="en-US"/>
        </w:rPr>
        <w:t>Gerth</w:t>
      </w:r>
      <w:proofErr w:type="spellEnd"/>
      <w:r w:rsidRPr="00A07836">
        <w:rPr>
          <w:rFonts w:eastAsia="Times New Roman" w:cs="Times New Roman"/>
          <w:color w:val="000000"/>
          <w:lang w:val="en-US"/>
        </w:rPr>
        <w:t xml:space="preserve"> and C.W. Mills, 77-128</w:t>
      </w:r>
      <w:r w:rsidRPr="00A07836">
        <w:rPr>
          <w:rFonts w:eastAsia="Times New Roman" w:cs="Times New Roman"/>
          <w:i/>
          <w:iCs/>
          <w:color w:val="000000"/>
          <w:lang w:val="en-US"/>
        </w:rPr>
        <w:t>.</w:t>
      </w:r>
      <w:r w:rsidRPr="00A07836">
        <w:rPr>
          <w:rFonts w:eastAsia="Times New Roman" w:cs="Times New Roman"/>
          <w:color w:val="000000"/>
          <w:lang w:val="en-US"/>
        </w:rPr>
        <w:t xml:space="preserve"> London: Routledge and Keegan Paul, 1947.</w:t>
      </w:r>
      <w:r w:rsidRPr="00A07836">
        <w:rPr>
          <w:rFonts w:eastAsia="Times New Roman" w:cs="Times New Roman"/>
          <w:color w:val="000000"/>
        </w:rPr>
        <w:t xml:space="preserve"> </w:t>
      </w:r>
    </w:p>
    <w:p w14:paraId="27E1D8E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Weber, Robert Philip. </w:t>
      </w:r>
      <w:r w:rsidRPr="00A07836">
        <w:rPr>
          <w:rFonts w:eastAsia="Times New Roman" w:cs="Times New Roman"/>
          <w:i/>
          <w:iCs/>
          <w:color w:val="000000"/>
        </w:rPr>
        <w:t>Basic Content Analysis</w:t>
      </w:r>
      <w:r w:rsidRPr="00A07836">
        <w:rPr>
          <w:rFonts w:eastAsia="Times New Roman" w:cs="Times New Roman"/>
          <w:color w:val="000000"/>
        </w:rPr>
        <w:t>. California: SAGE, 1990.</w:t>
      </w:r>
    </w:p>
    <w:p w14:paraId="1E4AF980"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Weimann</w:t>
      </w:r>
      <w:proofErr w:type="spellEnd"/>
      <w:r w:rsidRPr="00A07836">
        <w:rPr>
          <w:rFonts w:eastAsia="Times New Roman" w:cs="Times New Roman"/>
          <w:color w:val="000000"/>
        </w:rPr>
        <w:t xml:space="preserve">, Gabriel, and Conrad Winn. </w:t>
      </w:r>
      <w:r w:rsidRPr="00A07836">
        <w:rPr>
          <w:rFonts w:eastAsia="Times New Roman" w:cs="Times New Roman"/>
          <w:i/>
          <w:iCs/>
          <w:color w:val="000000"/>
        </w:rPr>
        <w:t>The Theatre of Terror: The Mass Media and International Terrorism.</w:t>
      </w:r>
      <w:r w:rsidRPr="00A07836">
        <w:rPr>
          <w:rFonts w:eastAsia="Times New Roman" w:cs="Times New Roman"/>
          <w:color w:val="000000"/>
        </w:rPr>
        <w:t xml:space="preserve"> New York City: Longman Publishing, 1994.</w:t>
      </w:r>
    </w:p>
    <w:p w14:paraId="3D526656"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Weimann</w:t>
      </w:r>
      <w:proofErr w:type="spellEnd"/>
      <w:r w:rsidRPr="00A07836">
        <w:rPr>
          <w:rFonts w:eastAsia="Times New Roman" w:cs="Times New Roman"/>
          <w:color w:val="000000"/>
        </w:rPr>
        <w:t xml:space="preserve">, Gabriel. “The Theater of Terror: Effects of Press Coverage.” </w:t>
      </w:r>
      <w:r w:rsidRPr="00A07836">
        <w:rPr>
          <w:rFonts w:eastAsia="Times New Roman" w:cs="Times New Roman"/>
          <w:i/>
          <w:iCs/>
          <w:color w:val="000000"/>
        </w:rPr>
        <w:t>Journal of Communication</w:t>
      </w:r>
      <w:r w:rsidRPr="00A07836">
        <w:rPr>
          <w:rFonts w:eastAsia="Times New Roman" w:cs="Times New Roman"/>
          <w:color w:val="000000"/>
        </w:rPr>
        <w:t xml:space="preserve"> 33, no. 1 (1983): 38-45. </w:t>
      </w:r>
    </w:p>
    <w:p w14:paraId="1D2CCBF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Weinberg, Leonard, Ami </w:t>
      </w:r>
      <w:proofErr w:type="spellStart"/>
      <w:r w:rsidRPr="00A07836">
        <w:rPr>
          <w:rFonts w:eastAsia="Times New Roman" w:cs="Times New Roman"/>
          <w:color w:val="000000"/>
        </w:rPr>
        <w:t>Pedahzur</w:t>
      </w:r>
      <w:proofErr w:type="spellEnd"/>
      <w:r w:rsidRPr="00A07836">
        <w:rPr>
          <w:rFonts w:eastAsia="Times New Roman" w:cs="Times New Roman"/>
          <w:color w:val="000000"/>
        </w:rPr>
        <w:t>, and Sivan Hirsch-</w:t>
      </w:r>
      <w:proofErr w:type="spellStart"/>
      <w:r w:rsidRPr="00A07836">
        <w:rPr>
          <w:rFonts w:eastAsia="Times New Roman" w:cs="Times New Roman"/>
          <w:color w:val="000000"/>
        </w:rPr>
        <w:t>Hoefler</w:t>
      </w:r>
      <w:proofErr w:type="spellEnd"/>
      <w:r w:rsidRPr="00A07836">
        <w:rPr>
          <w:rFonts w:eastAsia="Times New Roman" w:cs="Times New Roman"/>
          <w:color w:val="000000"/>
        </w:rPr>
        <w:t xml:space="preserve">. “The Challenges of Conceptualizing Terrorism.” </w:t>
      </w:r>
      <w:r w:rsidRPr="00A07836">
        <w:rPr>
          <w:rFonts w:eastAsia="Times New Roman" w:cs="Times New Roman"/>
          <w:i/>
          <w:iCs/>
          <w:color w:val="000000"/>
        </w:rPr>
        <w:t>Terrorism and Political Violence</w:t>
      </w:r>
      <w:r w:rsidRPr="00A07836">
        <w:rPr>
          <w:rFonts w:eastAsia="Times New Roman" w:cs="Times New Roman"/>
          <w:color w:val="000000"/>
        </w:rPr>
        <w:t xml:space="preserve"> 16, no. 4 (Winter 2004): 777-794.</w:t>
      </w:r>
    </w:p>
    <w:p w14:paraId="5A9A34BF"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Weiss, Thomas G., and </w:t>
      </w:r>
      <w:proofErr w:type="spellStart"/>
      <w:r w:rsidRPr="00A07836">
        <w:rPr>
          <w:rFonts w:eastAsia="Times New Roman" w:cs="Times New Roman"/>
          <w:color w:val="000000"/>
        </w:rPr>
        <w:t>Anoulak</w:t>
      </w:r>
      <w:proofErr w:type="spellEnd"/>
      <w:r w:rsidRPr="00A07836">
        <w:rPr>
          <w:rFonts w:eastAsia="Times New Roman" w:cs="Times New Roman"/>
          <w:color w:val="000000"/>
        </w:rPr>
        <w:t xml:space="preserve"> </w:t>
      </w:r>
      <w:proofErr w:type="spellStart"/>
      <w:r w:rsidRPr="00A07836">
        <w:rPr>
          <w:rFonts w:eastAsia="Times New Roman" w:cs="Times New Roman"/>
          <w:color w:val="000000"/>
        </w:rPr>
        <w:t>Kittikhoun</w:t>
      </w:r>
      <w:proofErr w:type="spellEnd"/>
      <w:r w:rsidRPr="00A07836">
        <w:rPr>
          <w:rFonts w:eastAsia="Times New Roman" w:cs="Times New Roman"/>
          <w:color w:val="000000"/>
        </w:rPr>
        <w:t xml:space="preserve">. “Theory vs. Practice: A Symposium.” </w:t>
      </w:r>
      <w:r w:rsidRPr="00A07836">
        <w:rPr>
          <w:rFonts w:eastAsia="Times New Roman" w:cs="Times New Roman"/>
          <w:i/>
          <w:iCs/>
          <w:color w:val="000000"/>
        </w:rPr>
        <w:t>International Studies Review</w:t>
      </w:r>
      <w:r w:rsidRPr="00A07836">
        <w:rPr>
          <w:rFonts w:eastAsia="Times New Roman" w:cs="Times New Roman"/>
          <w:color w:val="000000"/>
        </w:rPr>
        <w:t xml:space="preserve"> 13, no. 1 (2011): 1-5.</w:t>
      </w:r>
    </w:p>
    <w:p w14:paraId="68E6780C"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Wells, H.G. </w:t>
      </w:r>
      <w:r w:rsidRPr="00A07836">
        <w:rPr>
          <w:rFonts w:eastAsia="Times New Roman" w:cs="Times New Roman"/>
          <w:i/>
          <w:iCs/>
          <w:color w:val="000000"/>
        </w:rPr>
        <w:t>The War That Will End War.</w:t>
      </w:r>
      <w:r w:rsidRPr="00A07836">
        <w:rPr>
          <w:rFonts w:eastAsia="Times New Roman" w:cs="Times New Roman"/>
          <w:color w:val="000000"/>
        </w:rPr>
        <w:t xml:space="preserve"> New York City: Duffield and Co., 1914. </w:t>
      </w:r>
    </w:p>
    <w:p w14:paraId="6C985D71"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Wendt, Alexander. “Anarchy is What States Make of It: The Social Construction of Power Politics.” </w:t>
      </w:r>
      <w:r w:rsidRPr="00A07836">
        <w:rPr>
          <w:rFonts w:eastAsia="Times New Roman" w:cs="Times New Roman"/>
          <w:i/>
          <w:iCs/>
          <w:color w:val="000000"/>
        </w:rPr>
        <w:t>International Organization</w:t>
      </w:r>
      <w:r w:rsidRPr="00A07836">
        <w:rPr>
          <w:rFonts w:eastAsia="Times New Roman" w:cs="Times New Roman"/>
          <w:color w:val="000000"/>
        </w:rPr>
        <w:t xml:space="preserve"> 46, no. 2 (1992): 391-425.</w:t>
      </w:r>
    </w:p>
    <w:p w14:paraId="2C45A646" w14:textId="77777777" w:rsidR="00F072B0" w:rsidRPr="00A07836" w:rsidRDefault="00F072B0" w:rsidP="00F072B0">
      <w:pPr>
        <w:spacing w:after="240"/>
        <w:ind w:left="567" w:hanging="567"/>
        <w:rPr>
          <w:rFonts w:eastAsia="Times New Roman" w:cs="Times New Roman"/>
          <w:color w:val="000000"/>
        </w:rPr>
      </w:pPr>
      <w:proofErr w:type="spellStart"/>
      <w:r w:rsidRPr="00A07836">
        <w:rPr>
          <w:rFonts w:eastAsia="Times New Roman" w:cs="Times New Roman"/>
          <w:color w:val="000000"/>
        </w:rPr>
        <w:t>Wieviorka</w:t>
      </w:r>
      <w:proofErr w:type="spellEnd"/>
      <w:r w:rsidRPr="00A07836">
        <w:rPr>
          <w:rFonts w:eastAsia="Times New Roman" w:cs="Times New Roman"/>
          <w:color w:val="000000"/>
        </w:rPr>
        <w:t xml:space="preserve">, Michel. </w:t>
      </w:r>
      <w:r w:rsidRPr="00A07836">
        <w:rPr>
          <w:rFonts w:eastAsia="Times New Roman" w:cs="Times New Roman"/>
          <w:i/>
          <w:iCs/>
          <w:color w:val="000000"/>
        </w:rPr>
        <w:t>The Making of Terrorism.</w:t>
      </w:r>
      <w:r w:rsidRPr="00A07836">
        <w:rPr>
          <w:rFonts w:eastAsia="Times New Roman" w:cs="Times New Roman"/>
          <w:color w:val="000000"/>
        </w:rPr>
        <w:t xml:space="preserve"> Translated by David Gordon White. Chicago: University of Chicago Press, 1993.</w:t>
      </w:r>
    </w:p>
    <w:p w14:paraId="07088667"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Wight, Colin. “Theorising Terrorism: The State, Structure, and History.” </w:t>
      </w:r>
      <w:r w:rsidRPr="00A07836">
        <w:rPr>
          <w:rFonts w:eastAsia="Times New Roman" w:cs="Times New Roman"/>
          <w:i/>
          <w:iCs/>
          <w:color w:val="000000"/>
        </w:rPr>
        <w:t>International Relations</w:t>
      </w:r>
      <w:r w:rsidRPr="00A07836">
        <w:rPr>
          <w:rFonts w:eastAsia="Times New Roman" w:cs="Times New Roman"/>
          <w:color w:val="000000"/>
        </w:rPr>
        <w:t xml:space="preserve"> 23, no. 1 (2009): 99-106. </w:t>
      </w:r>
    </w:p>
    <w:p w14:paraId="6D18CF05"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Wilkinson, Paul. “The Media and Terrorism: A Reassessment.” </w:t>
      </w:r>
      <w:r w:rsidRPr="00A07836">
        <w:rPr>
          <w:rFonts w:eastAsia="Times New Roman" w:cs="Times New Roman"/>
          <w:i/>
          <w:iCs/>
          <w:color w:val="000000"/>
        </w:rPr>
        <w:t>Terrorism and Political Violence</w:t>
      </w:r>
      <w:r w:rsidRPr="00A07836">
        <w:rPr>
          <w:rFonts w:eastAsia="Times New Roman" w:cs="Times New Roman"/>
          <w:color w:val="000000"/>
        </w:rPr>
        <w:t xml:space="preserve"> 9, no. 2 (1997): 51-64.</w:t>
      </w:r>
    </w:p>
    <w:p w14:paraId="6BCAD618"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Williams, Alden. “Unbiased Study of Television News Bias.” </w:t>
      </w:r>
      <w:r w:rsidRPr="00A07836">
        <w:rPr>
          <w:rFonts w:eastAsia="Times New Roman" w:cs="Times New Roman"/>
          <w:i/>
          <w:iCs/>
          <w:color w:val="000000"/>
        </w:rPr>
        <w:t>Journal of Communication</w:t>
      </w:r>
      <w:r w:rsidRPr="00A07836">
        <w:rPr>
          <w:rFonts w:eastAsia="Times New Roman" w:cs="Times New Roman"/>
          <w:color w:val="000000"/>
        </w:rPr>
        <w:t xml:space="preserve"> 25, no. 4 (1975): 190-199.</w:t>
      </w:r>
    </w:p>
    <w:p w14:paraId="5F844A7B"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Wittgenstein, Ludwig. </w:t>
      </w:r>
      <w:r w:rsidRPr="00A07836">
        <w:rPr>
          <w:rFonts w:eastAsia="Times New Roman" w:cs="Times New Roman"/>
          <w:i/>
          <w:iCs/>
          <w:color w:val="000000"/>
        </w:rPr>
        <w:t>Philosophical Investigations.</w:t>
      </w:r>
      <w:r w:rsidRPr="00A07836">
        <w:rPr>
          <w:rFonts w:eastAsia="Times New Roman" w:cs="Times New Roman"/>
          <w:color w:val="000000"/>
        </w:rPr>
        <w:t xml:space="preserve"> 4</w:t>
      </w:r>
      <w:r w:rsidRPr="00A07836">
        <w:rPr>
          <w:rFonts w:eastAsia="Times New Roman" w:cs="Times New Roman"/>
          <w:color w:val="000000"/>
          <w:vertAlign w:val="superscript"/>
        </w:rPr>
        <w:t>th</w:t>
      </w:r>
      <w:r w:rsidRPr="00A07836">
        <w:rPr>
          <w:rFonts w:eastAsia="Times New Roman" w:cs="Times New Roman"/>
          <w:color w:val="000000"/>
        </w:rPr>
        <w:t xml:space="preserve"> ed. Translated by G.E.M. Anscombe. Hoboken: Wiley Blackwell, 2009. </w:t>
      </w:r>
    </w:p>
    <w:p w14:paraId="712A42F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lastRenderedPageBreak/>
        <w:t xml:space="preserve">Wolfers, Arnold. “‘National Security’ as an </w:t>
      </w:r>
      <w:proofErr w:type="spellStart"/>
      <w:r w:rsidRPr="00A07836">
        <w:rPr>
          <w:rFonts w:eastAsia="Times New Roman" w:cs="Times New Roman"/>
          <w:color w:val="000000"/>
        </w:rPr>
        <w:t>Ambigous</w:t>
      </w:r>
      <w:proofErr w:type="spellEnd"/>
      <w:r w:rsidRPr="00A07836">
        <w:rPr>
          <w:rFonts w:eastAsia="Times New Roman" w:cs="Times New Roman"/>
          <w:color w:val="000000"/>
        </w:rPr>
        <w:t xml:space="preserve"> Symbol.” </w:t>
      </w:r>
      <w:r w:rsidRPr="00A07836">
        <w:rPr>
          <w:rFonts w:eastAsia="Times New Roman" w:cs="Times New Roman"/>
          <w:i/>
          <w:iCs/>
          <w:color w:val="000000"/>
        </w:rPr>
        <w:t>Political Science Quarterly</w:t>
      </w:r>
      <w:r w:rsidRPr="00A07836">
        <w:rPr>
          <w:rFonts w:eastAsia="Times New Roman" w:cs="Times New Roman"/>
          <w:color w:val="000000"/>
        </w:rPr>
        <w:t xml:space="preserve"> 67, no. 4 (1952): 481-502.</w:t>
      </w:r>
    </w:p>
    <w:p w14:paraId="7D573E30"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Young, John W., and John Kent. “The Origins and Development of the Cold War.” In </w:t>
      </w:r>
      <w:r w:rsidRPr="00A07836">
        <w:rPr>
          <w:rFonts w:eastAsia="Times New Roman" w:cs="Times New Roman"/>
          <w:i/>
          <w:iCs/>
          <w:color w:val="000000"/>
        </w:rPr>
        <w:t>International Relations Since 1945</w:t>
      </w:r>
      <w:r w:rsidRPr="00A07836">
        <w:rPr>
          <w:rFonts w:eastAsia="Times New Roman" w:cs="Times New Roman"/>
          <w:color w:val="000000"/>
        </w:rPr>
        <w:t>, by John W. Young, and John Kent, 19-51</w:t>
      </w:r>
      <w:r w:rsidRPr="00A07836">
        <w:rPr>
          <w:rFonts w:eastAsia="Times New Roman" w:cs="Times New Roman"/>
          <w:i/>
          <w:iCs/>
          <w:color w:val="000000"/>
        </w:rPr>
        <w:t>.</w:t>
      </w:r>
      <w:r w:rsidRPr="00A07836">
        <w:rPr>
          <w:rFonts w:eastAsia="Times New Roman" w:cs="Times New Roman"/>
          <w:color w:val="000000"/>
        </w:rPr>
        <w:t xml:space="preserve"> Oxford: Oxford University Press, 2004.</w:t>
      </w:r>
    </w:p>
    <w:p w14:paraId="16F9B672"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Young, Oran R. “The United Nations and the International System.” In </w:t>
      </w:r>
      <w:r w:rsidRPr="00A07836">
        <w:rPr>
          <w:rFonts w:eastAsia="Times New Roman" w:cs="Times New Roman"/>
          <w:i/>
          <w:iCs/>
          <w:color w:val="000000"/>
        </w:rPr>
        <w:t>The United Nations in International Politics</w:t>
      </w:r>
      <w:r w:rsidRPr="00A07836">
        <w:rPr>
          <w:rFonts w:eastAsia="Times New Roman" w:cs="Times New Roman"/>
          <w:color w:val="000000"/>
        </w:rPr>
        <w:t xml:space="preserve">, edited by Leon </w:t>
      </w:r>
      <w:proofErr w:type="spellStart"/>
      <w:r w:rsidRPr="00A07836">
        <w:rPr>
          <w:rFonts w:eastAsia="Times New Roman" w:cs="Times New Roman"/>
          <w:color w:val="000000"/>
        </w:rPr>
        <w:t>Gordenker</w:t>
      </w:r>
      <w:proofErr w:type="spellEnd"/>
      <w:r w:rsidRPr="00A07836">
        <w:rPr>
          <w:rFonts w:eastAsia="Times New Roman" w:cs="Times New Roman"/>
          <w:color w:val="000000"/>
        </w:rPr>
        <w:t xml:space="preserve">, 10-59. Princeton: Princeton University Press, 1971. </w:t>
      </w:r>
    </w:p>
    <w:p w14:paraId="04D8E266"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Youngs, Gillian. “Media and Mediation in the ‘War on Terror’: Issues and Challenges.” </w:t>
      </w:r>
      <w:r w:rsidRPr="00A07836">
        <w:rPr>
          <w:rFonts w:eastAsia="Times New Roman" w:cs="Times New Roman"/>
          <w:i/>
          <w:iCs/>
          <w:color w:val="000000"/>
        </w:rPr>
        <w:t>Critical Studies on Terrorism</w:t>
      </w:r>
      <w:r w:rsidRPr="00A07836">
        <w:rPr>
          <w:rFonts w:eastAsia="Times New Roman" w:cs="Times New Roman"/>
          <w:color w:val="000000"/>
        </w:rPr>
        <w:t xml:space="preserve"> 2, no. 1 (2009): 95-102.</w:t>
      </w:r>
    </w:p>
    <w:p w14:paraId="0F721243"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Yuan, </w:t>
      </w:r>
      <w:proofErr w:type="spellStart"/>
      <w:r w:rsidRPr="00A07836">
        <w:rPr>
          <w:rFonts w:eastAsia="Times New Roman" w:cs="Times New Roman"/>
          <w:color w:val="000000"/>
        </w:rPr>
        <w:t>Yacong</w:t>
      </w:r>
      <w:proofErr w:type="spellEnd"/>
      <w:r w:rsidRPr="00A07836">
        <w:rPr>
          <w:rFonts w:eastAsia="Times New Roman" w:cs="Times New Roman"/>
          <w:color w:val="000000"/>
        </w:rPr>
        <w:t>. “Soft Power of International News Media: American Audiences’ Perceptions of China’s Country Image Mediated by Trust in News.” Ph.D. diss., University of Maryland, 2017.</w:t>
      </w:r>
    </w:p>
    <w:p w14:paraId="26335874" w14:textId="77777777" w:rsidR="00F072B0" w:rsidRPr="00A07836"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Zarakol, Ayşe. “What Makes Terrorism Modern? Terrorism, Legitimacy, and the International System.” </w:t>
      </w:r>
      <w:r w:rsidRPr="00A07836">
        <w:rPr>
          <w:rFonts w:eastAsia="Times New Roman" w:cs="Times New Roman"/>
          <w:i/>
          <w:iCs/>
          <w:color w:val="000000"/>
        </w:rPr>
        <w:t>Review of International Studies</w:t>
      </w:r>
      <w:r w:rsidRPr="00A07836">
        <w:rPr>
          <w:rFonts w:eastAsia="Times New Roman" w:cs="Times New Roman"/>
          <w:color w:val="000000"/>
        </w:rPr>
        <w:t xml:space="preserve"> 37, no. 5 (2011): 2311-2336. </w:t>
      </w:r>
    </w:p>
    <w:p w14:paraId="0AC9F5D0" w14:textId="0BBBF65A" w:rsidR="0026633F" w:rsidRDefault="00F072B0" w:rsidP="00F072B0">
      <w:pPr>
        <w:spacing w:after="240"/>
        <w:ind w:left="567" w:hanging="567"/>
        <w:rPr>
          <w:rFonts w:eastAsia="Times New Roman" w:cs="Times New Roman"/>
          <w:color w:val="000000"/>
        </w:rPr>
      </w:pPr>
      <w:r w:rsidRPr="00A07836">
        <w:rPr>
          <w:rFonts w:eastAsia="Times New Roman" w:cs="Times New Roman"/>
          <w:color w:val="000000"/>
        </w:rPr>
        <w:t xml:space="preserve">– – – .  “Ontological (In)Security and State Denial of Historical Crimes: Turkey and Japan.” </w:t>
      </w:r>
      <w:r w:rsidRPr="00A07836">
        <w:rPr>
          <w:rFonts w:eastAsia="Times New Roman" w:cs="Times New Roman"/>
          <w:i/>
          <w:iCs/>
          <w:color w:val="000000"/>
        </w:rPr>
        <w:t xml:space="preserve">International Relations </w:t>
      </w:r>
      <w:r w:rsidRPr="00A07836">
        <w:rPr>
          <w:rFonts w:eastAsia="Times New Roman" w:cs="Times New Roman"/>
          <w:color w:val="000000"/>
        </w:rPr>
        <w:t>24, no.1 (2010): 3-23.</w:t>
      </w:r>
    </w:p>
    <w:p w14:paraId="44E68C73" w14:textId="77777777" w:rsidR="0026633F" w:rsidRDefault="0026633F">
      <w:pPr>
        <w:rPr>
          <w:rFonts w:eastAsia="Times New Roman" w:cs="Times New Roman"/>
          <w:color w:val="000000"/>
        </w:rPr>
      </w:pPr>
      <w:r>
        <w:rPr>
          <w:rFonts w:eastAsia="Times New Roman" w:cs="Times New Roman"/>
          <w:color w:val="000000"/>
        </w:rPr>
        <w:br w:type="page"/>
      </w:r>
    </w:p>
    <w:p w14:paraId="267319A7" w14:textId="77777777" w:rsidR="0026633F" w:rsidRDefault="0026633F" w:rsidP="0026633F">
      <w:pPr>
        <w:pStyle w:val="DissertationChapterName"/>
      </w:pPr>
    </w:p>
    <w:p w14:paraId="669A7D8B" w14:textId="77777777" w:rsidR="0026633F" w:rsidRDefault="0026633F" w:rsidP="0026633F">
      <w:pPr>
        <w:pStyle w:val="DissertationChapterName"/>
      </w:pPr>
    </w:p>
    <w:p w14:paraId="5C6AAE9A" w14:textId="77777777" w:rsidR="0026633F" w:rsidRDefault="0026633F" w:rsidP="0026633F">
      <w:pPr>
        <w:pStyle w:val="DissertationChapterName"/>
      </w:pPr>
    </w:p>
    <w:p w14:paraId="74E016AD" w14:textId="77777777" w:rsidR="0026633F" w:rsidRDefault="0026633F" w:rsidP="0026633F">
      <w:pPr>
        <w:pStyle w:val="DissertationChapterName"/>
      </w:pPr>
    </w:p>
    <w:p w14:paraId="5965B360" w14:textId="77777777" w:rsidR="0026633F" w:rsidRDefault="0026633F" w:rsidP="0026633F">
      <w:pPr>
        <w:pStyle w:val="DissertationChapterName"/>
      </w:pPr>
    </w:p>
    <w:p w14:paraId="510CBFA1" w14:textId="77777777" w:rsidR="0026633F" w:rsidRDefault="0026633F" w:rsidP="0026633F">
      <w:pPr>
        <w:pStyle w:val="DissertationChapterName"/>
      </w:pPr>
    </w:p>
    <w:p w14:paraId="7FE025BF" w14:textId="77777777" w:rsidR="0026633F" w:rsidRDefault="0026633F" w:rsidP="0026633F">
      <w:pPr>
        <w:pStyle w:val="DissertationChapterName"/>
      </w:pPr>
    </w:p>
    <w:p w14:paraId="2491BDF3" w14:textId="77777777" w:rsidR="0026633F" w:rsidRDefault="0026633F" w:rsidP="0026633F">
      <w:pPr>
        <w:pStyle w:val="DissertationChapterName"/>
      </w:pPr>
    </w:p>
    <w:p w14:paraId="1A0337BE" w14:textId="77777777" w:rsidR="0026633F" w:rsidRDefault="0026633F" w:rsidP="0026633F">
      <w:pPr>
        <w:pStyle w:val="DissertationChapterName"/>
      </w:pPr>
    </w:p>
    <w:p w14:paraId="6CAF74CC" w14:textId="77777777" w:rsidR="0026633F" w:rsidRDefault="0026633F" w:rsidP="0026633F">
      <w:pPr>
        <w:pStyle w:val="DissertationChapterName"/>
      </w:pPr>
    </w:p>
    <w:p w14:paraId="58923454" w14:textId="77777777" w:rsidR="0026633F" w:rsidRDefault="0026633F" w:rsidP="0026633F">
      <w:pPr>
        <w:pStyle w:val="DissertationChapterName"/>
      </w:pPr>
    </w:p>
    <w:p w14:paraId="01D0911B" w14:textId="77777777" w:rsidR="0026633F" w:rsidRDefault="0026633F" w:rsidP="0026633F">
      <w:pPr>
        <w:pStyle w:val="DissertationChapterName"/>
      </w:pPr>
    </w:p>
    <w:p w14:paraId="01565538" w14:textId="77777777" w:rsidR="0026633F" w:rsidRDefault="0026633F" w:rsidP="0026633F">
      <w:pPr>
        <w:pStyle w:val="DissertationChapterName"/>
      </w:pPr>
    </w:p>
    <w:p w14:paraId="461D153B" w14:textId="77777777" w:rsidR="0026633F" w:rsidRDefault="0026633F" w:rsidP="0026633F">
      <w:pPr>
        <w:pStyle w:val="DissertationChapterName"/>
      </w:pPr>
    </w:p>
    <w:p w14:paraId="5C4445B4" w14:textId="77777777" w:rsidR="0026633F" w:rsidRDefault="0026633F" w:rsidP="0026633F">
      <w:pPr>
        <w:pStyle w:val="DissertationChapterName"/>
      </w:pPr>
    </w:p>
    <w:p w14:paraId="078B72B3" w14:textId="3FB3D532" w:rsidR="0026633F" w:rsidRPr="00787123" w:rsidRDefault="0026633F" w:rsidP="00787123">
      <w:pPr>
        <w:pStyle w:val="DissertationChapterName"/>
      </w:pPr>
      <w:bookmarkStart w:id="94" w:name="_Toc175413173"/>
      <w:r w:rsidRPr="00787123">
        <w:t>Appendices</w:t>
      </w:r>
      <w:bookmarkEnd w:id="94"/>
    </w:p>
    <w:p w14:paraId="7106BBC6" w14:textId="77777777" w:rsidR="0026633F" w:rsidRDefault="0026633F">
      <w:pPr>
        <w:rPr>
          <w:rFonts w:eastAsia="Times New Roman" w:cs="Times New Roman"/>
          <w:b/>
          <w:bCs/>
        </w:rPr>
      </w:pPr>
      <w:r>
        <w:br w:type="page"/>
      </w:r>
    </w:p>
    <w:p w14:paraId="3133211A" w14:textId="589C31A3" w:rsidR="009E4883" w:rsidRPr="009E4883" w:rsidRDefault="0026633F" w:rsidP="009E4883">
      <w:pPr>
        <w:pStyle w:val="DissertationSection1"/>
      </w:pPr>
      <w:bookmarkStart w:id="95" w:name="_Toc175413174"/>
      <w:r w:rsidRPr="008800C4">
        <w:lastRenderedPageBreak/>
        <w:t xml:space="preserve">Appendix </w:t>
      </w:r>
      <w:r w:rsidR="00D64A92" w:rsidRPr="008800C4">
        <w:t>A</w:t>
      </w:r>
      <w:r w:rsidR="008800C4" w:rsidRPr="008800C4">
        <w:t xml:space="preserve"> – Redacted Correspondence with Staff at the Reuters Archive in London, and the AP Archive in New York</w:t>
      </w:r>
      <w:bookmarkEnd w:id="95"/>
    </w:p>
    <w:p w14:paraId="1189ADFA" w14:textId="77777777" w:rsidR="009E4883" w:rsidRDefault="009E4883" w:rsidP="009E4883">
      <w:pPr>
        <w:pStyle w:val="DissertationSection2"/>
      </w:pPr>
      <w:bookmarkStart w:id="96" w:name="_Toc175413175"/>
      <w:r w:rsidRPr="00373C16">
        <w:t>Correspondence with Staff</w:t>
      </w:r>
      <w:r>
        <w:t xml:space="preserve"> at the Reuters Archive (March 30, 2020 – April 7, 2020)</w:t>
      </w:r>
      <w:bookmarkEnd w:id="96"/>
    </w:p>
    <w:p w14:paraId="69E406E4" w14:textId="77777777" w:rsidR="009E4883" w:rsidRPr="00850250" w:rsidRDefault="009E4883" w:rsidP="009E4883">
      <w:pPr>
        <w:shd w:val="clear" w:color="auto" w:fill="FFFFFF"/>
        <w:rPr>
          <w:rFonts w:eastAsia="Times New Roman" w:cs="Times New Roman"/>
          <w:b/>
          <w:bCs/>
          <w:color w:val="222222"/>
          <w:sz w:val="12"/>
          <w:szCs w:val="12"/>
        </w:rPr>
      </w:pPr>
      <w:r>
        <w:rPr>
          <w:rFonts w:ascii="Arial" w:eastAsia="Times New Roman" w:hAnsi="Arial" w:cs="Arial"/>
          <w:noProof/>
          <w:color w:val="222222"/>
          <w:sz w:val="20"/>
          <w:szCs w:val="20"/>
        </w:rPr>
        <mc:AlternateContent>
          <mc:Choice Requires="wps">
            <w:drawing>
              <wp:anchor distT="0" distB="0" distL="114300" distR="114300" simplePos="0" relativeHeight="251671552" behindDoc="0" locked="0" layoutInCell="1" allowOverlap="1" wp14:anchorId="3D9E798D" wp14:editId="67B76DCC">
                <wp:simplePos x="0" y="0"/>
                <wp:positionH relativeFrom="column">
                  <wp:posOffset>-237490</wp:posOffset>
                </wp:positionH>
                <wp:positionV relativeFrom="paragraph">
                  <wp:posOffset>102235</wp:posOffset>
                </wp:positionV>
                <wp:extent cx="6356985" cy="6667500"/>
                <wp:effectExtent l="0" t="0" r="18415" b="12700"/>
                <wp:wrapNone/>
                <wp:docPr id="121988048" name="Rectangle 3"/>
                <wp:cNvGraphicFramePr/>
                <a:graphic xmlns:a="http://schemas.openxmlformats.org/drawingml/2006/main">
                  <a:graphicData uri="http://schemas.microsoft.com/office/word/2010/wordprocessingShape">
                    <wps:wsp>
                      <wps:cNvSpPr/>
                      <wps:spPr>
                        <a:xfrm>
                          <a:off x="0" y="0"/>
                          <a:ext cx="6356985" cy="666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A5FFC93" id="Rectangle 3" o:spid="_x0000_s1026" style="position:absolute;margin-left:-18.7pt;margin-top:8.05pt;width:500.55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" filled="f" strokecolor="black [3213]" strokeweight="1pt"/>
            </w:pict>
          </mc:Fallback>
        </mc:AlternateContent>
      </w:r>
    </w:p>
    <w:p w14:paraId="6BE94612" w14:textId="77777777" w:rsidR="009E4883" w:rsidRPr="00A9086C" w:rsidRDefault="009E4883" w:rsidP="009E4883">
      <w:pPr>
        <w:shd w:val="clear" w:color="auto" w:fill="FFFFFF"/>
        <w:rPr>
          <w:rFonts w:ascii="Arial" w:eastAsia="Times New Roman" w:hAnsi="Arial" w:cs="Arial"/>
          <w:color w:val="222222"/>
          <w:sz w:val="20"/>
          <w:szCs w:val="20"/>
        </w:rPr>
      </w:pPr>
    </w:p>
    <w:p w14:paraId="6F321A4C"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b/>
          <w:bCs/>
          <w:color w:val="222222"/>
          <w:sz w:val="20"/>
          <w:szCs w:val="20"/>
          <w:lang w:val="en-US"/>
        </w:rPr>
        <w:t>From:</w:t>
      </w:r>
      <w:r w:rsidRPr="00A9086C">
        <w:rPr>
          <w:rFonts w:ascii="Arial" w:eastAsia="Times New Roman" w:hAnsi="Arial" w:cs="Arial"/>
          <w:color w:val="222222"/>
          <w:sz w:val="20"/>
          <w:szCs w:val="20"/>
          <w:lang w:val="en-US"/>
        </w:rPr>
        <w:t xml:space="preserve"> Eliana Glogauer </w:t>
      </w:r>
      <w:r w:rsidRPr="00A9086C">
        <w:rPr>
          <w:rFonts w:ascii="Arial" w:eastAsia="Times New Roman" w:hAnsi="Arial" w:cs="Arial"/>
          <w:color w:val="000000" w:themeColor="text1"/>
          <w:sz w:val="20"/>
          <w:szCs w:val="20"/>
          <w:highlight w:val="black"/>
          <w:lang w:val="en-US"/>
        </w:rPr>
        <w:t>&lt;</w:t>
      </w:r>
      <w:r w:rsidRPr="00A9086C">
        <w:rPr>
          <w:rFonts w:ascii="Arial" w:eastAsia="Times New Roman" w:hAnsi="Arial" w:cs="Arial"/>
          <w:color w:val="000000" w:themeColor="text1"/>
          <w:sz w:val="20"/>
          <w:szCs w:val="20"/>
          <w:highlight w:val="black"/>
          <w:u w:val="single"/>
          <w:lang w:val="en-US"/>
        </w:rPr>
        <w:t>glogauer.eliana@gmail.com</w:t>
      </w:r>
      <w:r w:rsidRPr="00A9086C">
        <w:rPr>
          <w:rFonts w:ascii="Arial" w:eastAsia="Times New Roman" w:hAnsi="Arial" w:cs="Arial"/>
          <w:color w:val="000000" w:themeColor="text1"/>
          <w:sz w:val="20"/>
          <w:szCs w:val="20"/>
          <w:highlight w:val="black"/>
          <w:lang w:val="en-US"/>
        </w:rPr>
        <w:t>&gt;</w:t>
      </w:r>
      <w:r w:rsidRPr="00A9086C">
        <w:rPr>
          <w:rFonts w:ascii="Arial" w:eastAsia="Times New Roman" w:hAnsi="Arial" w:cs="Arial"/>
          <w:color w:val="000000" w:themeColor="text1"/>
          <w:sz w:val="20"/>
          <w:szCs w:val="20"/>
          <w:lang w:val="en-US"/>
        </w:rPr>
        <w:t> </w:t>
      </w:r>
      <w:r w:rsidRPr="00A9086C">
        <w:rPr>
          <w:rFonts w:ascii="Arial" w:eastAsia="Times New Roman" w:hAnsi="Arial" w:cs="Arial"/>
          <w:color w:val="222222"/>
          <w:sz w:val="20"/>
          <w:szCs w:val="20"/>
          <w:lang w:val="en-US"/>
        </w:rPr>
        <w:br/>
      </w:r>
      <w:r w:rsidRPr="00A9086C">
        <w:rPr>
          <w:rFonts w:ascii="Arial" w:eastAsia="Times New Roman" w:hAnsi="Arial" w:cs="Arial"/>
          <w:b/>
          <w:bCs/>
          <w:color w:val="222222"/>
          <w:sz w:val="20"/>
          <w:szCs w:val="20"/>
          <w:lang w:val="en-US"/>
        </w:rPr>
        <w:t>Sent:</w:t>
      </w:r>
      <w:r w:rsidRPr="00A9086C">
        <w:rPr>
          <w:rFonts w:ascii="Arial" w:eastAsia="Times New Roman" w:hAnsi="Arial" w:cs="Arial"/>
          <w:color w:val="222222"/>
          <w:sz w:val="20"/>
          <w:szCs w:val="20"/>
          <w:lang w:val="en-US"/>
        </w:rPr>
        <w:t> 30 March 2020 02:09</w:t>
      </w:r>
      <w:r w:rsidRPr="00A9086C">
        <w:rPr>
          <w:rFonts w:ascii="Arial" w:eastAsia="Times New Roman" w:hAnsi="Arial" w:cs="Arial"/>
          <w:color w:val="222222"/>
          <w:sz w:val="20"/>
          <w:szCs w:val="20"/>
          <w:lang w:val="en-US"/>
        </w:rPr>
        <w:br/>
      </w:r>
      <w:r w:rsidRPr="00A9086C">
        <w:rPr>
          <w:rFonts w:ascii="Arial" w:eastAsia="Times New Roman" w:hAnsi="Arial" w:cs="Arial"/>
          <w:b/>
          <w:bCs/>
          <w:color w:val="222222"/>
          <w:sz w:val="20"/>
          <w:szCs w:val="20"/>
          <w:lang w:val="en-US"/>
        </w:rPr>
        <w:t>To:</w:t>
      </w:r>
      <w:r w:rsidRPr="00A9086C">
        <w:rPr>
          <w:rFonts w:ascii="Arial" w:eastAsia="Times New Roman" w:hAnsi="Arial" w:cs="Arial"/>
          <w:color w:val="000000" w:themeColor="text1"/>
          <w:sz w:val="20"/>
          <w:szCs w:val="20"/>
          <w:lang w:val="en-US"/>
        </w:rPr>
        <w:t> </w:t>
      </w:r>
      <w:r w:rsidRPr="00A9086C">
        <w:rPr>
          <w:rFonts w:ascii="Arial" w:eastAsia="Times New Roman" w:hAnsi="Arial" w:cs="Arial"/>
          <w:color w:val="000000" w:themeColor="text1"/>
          <w:sz w:val="20"/>
          <w:szCs w:val="20"/>
          <w:highlight w:val="black"/>
          <w:lang w:val="en-US"/>
        </w:rPr>
        <w:t>Cutler, David &lt;</w:t>
      </w:r>
      <w:r w:rsidRPr="00A9086C">
        <w:rPr>
          <w:rFonts w:ascii="Arial" w:eastAsia="Times New Roman" w:hAnsi="Arial" w:cs="Arial"/>
          <w:color w:val="000000" w:themeColor="text1"/>
          <w:sz w:val="20"/>
          <w:szCs w:val="20"/>
          <w:highlight w:val="black"/>
          <w:u w:val="single"/>
          <w:lang w:val="en-US"/>
        </w:rPr>
        <w:t>D.Cutler@thomsonreuters.com</w:t>
      </w:r>
      <w:r w:rsidRPr="00A9086C">
        <w:rPr>
          <w:rFonts w:ascii="Arial" w:eastAsia="Times New Roman" w:hAnsi="Arial" w:cs="Arial"/>
          <w:color w:val="000000" w:themeColor="text1"/>
          <w:sz w:val="20"/>
          <w:szCs w:val="20"/>
          <w:highlight w:val="black"/>
          <w:lang w:val="en-US"/>
        </w:rPr>
        <w:t>&gt;</w:t>
      </w:r>
      <w:r w:rsidRPr="00A9086C">
        <w:rPr>
          <w:rFonts w:ascii="Arial" w:eastAsia="Times New Roman" w:hAnsi="Arial" w:cs="Arial"/>
          <w:color w:val="222222"/>
          <w:sz w:val="20"/>
          <w:szCs w:val="20"/>
          <w:lang w:val="en-US"/>
        </w:rPr>
        <w:br/>
      </w:r>
      <w:r w:rsidRPr="00A9086C">
        <w:rPr>
          <w:rFonts w:ascii="Arial" w:eastAsia="Times New Roman" w:hAnsi="Arial" w:cs="Arial"/>
          <w:b/>
          <w:bCs/>
          <w:color w:val="222222"/>
          <w:sz w:val="20"/>
          <w:szCs w:val="20"/>
          <w:lang w:val="en-US"/>
        </w:rPr>
        <w:t>Subject:</w:t>
      </w:r>
      <w:r w:rsidRPr="00A9086C">
        <w:rPr>
          <w:rFonts w:ascii="Arial" w:eastAsia="Times New Roman" w:hAnsi="Arial" w:cs="Arial"/>
          <w:color w:val="222222"/>
          <w:sz w:val="20"/>
          <w:szCs w:val="20"/>
          <w:lang w:val="en-US"/>
        </w:rPr>
        <w:t> Request: Access to Archive</w:t>
      </w:r>
    </w:p>
    <w:p w14:paraId="7027B5E4"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3E79D567" w14:textId="77777777" w:rsidR="009E4883" w:rsidRPr="005E1DF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000000" w:themeColor="text1"/>
          <w:sz w:val="20"/>
          <w:szCs w:val="20"/>
          <w:lang w:val="en-GB"/>
        </w:rPr>
        <w:t xml:space="preserve">Dear </w:t>
      </w:r>
      <w:r w:rsidRPr="00A9086C">
        <w:rPr>
          <w:rFonts w:ascii="Arial" w:eastAsia="Times New Roman" w:hAnsi="Arial" w:cs="Arial"/>
          <w:color w:val="000000" w:themeColor="text1"/>
          <w:sz w:val="20"/>
          <w:szCs w:val="20"/>
          <w:highlight w:val="black"/>
          <w:lang w:val="en-GB"/>
        </w:rPr>
        <w:t>Mr. Cutler</w:t>
      </w:r>
      <w:r w:rsidRPr="00A9086C">
        <w:rPr>
          <w:rFonts w:ascii="Arial" w:eastAsia="Times New Roman" w:hAnsi="Arial" w:cs="Arial"/>
          <w:color w:val="222222"/>
          <w:sz w:val="20"/>
          <w:szCs w:val="20"/>
          <w:lang w:val="en-GB"/>
        </w:rPr>
        <w:t>,</w:t>
      </w:r>
    </w:p>
    <w:p w14:paraId="62FCA7B5" w14:textId="77777777" w:rsidR="009E4883" w:rsidRPr="00A9086C" w:rsidRDefault="009E4883" w:rsidP="009E4883">
      <w:pPr>
        <w:shd w:val="clear" w:color="auto" w:fill="FFFFFF"/>
        <w:rPr>
          <w:rFonts w:ascii="Arial" w:eastAsia="Times New Roman" w:hAnsi="Arial" w:cs="Arial"/>
          <w:color w:val="222222"/>
          <w:sz w:val="20"/>
          <w:szCs w:val="20"/>
          <w:lang w:val="en-GB"/>
        </w:rPr>
      </w:pPr>
    </w:p>
    <w:p w14:paraId="11BABC0C"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 xml:space="preserve">I am a Ph.D. candidate in War Studies at the Royal Military College of Canada. My dissertation </w:t>
      </w:r>
      <w:proofErr w:type="spellStart"/>
      <w:r w:rsidRPr="00A9086C">
        <w:rPr>
          <w:rFonts w:ascii="Helvetica" w:eastAsia="Times New Roman" w:hAnsi="Helvetica" w:cs="Arial"/>
          <w:color w:val="222222"/>
          <w:sz w:val="20"/>
          <w:szCs w:val="20"/>
          <w:lang w:val="en-GB"/>
        </w:rPr>
        <w:t>analyzes</w:t>
      </w:r>
      <w:proofErr w:type="spellEnd"/>
      <w:r w:rsidRPr="00A9086C">
        <w:rPr>
          <w:rFonts w:ascii="Helvetica" w:eastAsia="Times New Roman" w:hAnsi="Helvetica" w:cs="Arial"/>
          <w:color w:val="222222"/>
          <w:sz w:val="20"/>
          <w:szCs w:val="20"/>
          <w:lang w:val="en-GB"/>
        </w:rPr>
        <w:t xml:space="preserve"> how terrorism succeeds by suggesting that media coverage and framing of terrorism has an effect on state legitimacy.</w:t>
      </w:r>
    </w:p>
    <w:p w14:paraId="43CCE469"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 </w:t>
      </w:r>
    </w:p>
    <w:p w14:paraId="266377FF"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In order to complete my dissertation research, I am looking to access the Reuters Archive in order to run keyword searches on print articles published between 1969 and 2017. Specifically, I am looking to ascertain how many articles and news bulletins relating to terrorism and terrorist activity were published for every year of my study, as well as how many articles and news bulletins were published in total for every year of my study.</w:t>
      </w:r>
    </w:p>
    <w:p w14:paraId="50FF4209"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 </w:t>
      </w:r>
    </w:p>
    <w:p w14:paraId="6B952949"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How can I facilitate the type of access to your archives that I would need in order to gain access to this data</w:t>
      </w:r>
      <w:r w:rsidRPr="005E1DFC">
        <w:rPr>
          <w:rFonts w:ascii="Helvetica" w:eastAsia="Times New Roman" w:hAnsi="Helvetica" w:cs="Arial"/>
          <w:color w:val="222222"/>
          <w:sz w:val="20"/>
          <w:szCs w:val="20"/>
          <w:lang w:val="en-GB"/>
        </w:rPr>
        <w:t>, given the restrictions associated with COVID-19</w:t>
      </w:r>
      <w:r w:rsidRPr="00A9086C">
        <w:rPr>
          <w:rFonts w:ascii="Helvetica" w:eastAsia="Times New Roman" w:hAnsi="Helvetica" w:cs="Arial"/>
          <w:color w:val="222222"/>
          <w:sz w:val="20"/>
          <w:szCs w:val="20"/>
          <w:lang w:val="en-GB"/>
        </w:rPr>
        <w:t>?</w:t>
      </w:r>
    </w:p>
    <w:p w14:paraId="545DC370"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 </w:t>
      </w:r>
    </w:p>
    <w:p w14:paraId="2C1F8B83"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Thank you, and looking forward to hearing from you.</w:t>
      </w:r>
    </w:p>
    <w:p w14:paraId="5137E2AD"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 </w:t>
      </w:r>
    </w:p>
    <w:p w14:paraId="67FFE8A1"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Best regards,</w:t>
      </w:r>
    </w:p>
    <w:p w14:paraId="5F8C43E6"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Eliana Glogauer</w:t>
      </w:r>
    </w:p>
    <w:p w14:paraId="2315BF79"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222222"/>
          <w:sz w:val="20"/>
          <w:szCs w:val="20"/>
          <w:lang w:val="en-GB"/>
        </w:rPr>
        <w:t> </w:t>
      </w:r>
    </w:p>
    <w:p w14:paraId="145F5489"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666666"/>
          <w:sz w:val="20"/>
          <w:szCs w:val="20"/>
          <w:lang w:val="en-GB"/>
        </w:rPr>
        <w:t>Ph.D. Candidate (</w:t>
      </w:r>
      <w:proofErr w:type="spellStart"/>
      <w:r w:rsidRPr="00A9086C">
        <w:rPr>
          <w:rFonts w:ascii="Helvetica" w:eastAsia="Times New Roman" w:hAnsi="Helvetica" w:cs="Arial"/>
          <w:color w:val="666666"/>
          <w:sz w:val="20"/>
          <w:szCs w:val="20"/>
          <w:lang w:val="en-GB"/>
        </w:rPr>
        <w:t>abd</w:t>
      </w:r>
      <w:proofErr w:type="spellEnd"/>
      <w:r w:rsidRPr="00A9086C">
        <w:rPr>
          <w:rFonts w:ascii="Helvetica" w:eastAsia="Times New Roman" w:hAnsi="Helvetica" w:cs="Arial"/>
          <w:color w:val="666666"/>
          <w:sz w:val="20"/>
          <w:szCs w:val="20"/>
          <w:lang w:val="en-GB"/>
        </w:rPr>
        <w:t xml:space="preserve">.) | </w:t>
      </w:r>
      <w:proofErr w:type="spellStart"/>
      <w:r w:rsidRPr="00A9086C">
        <w:rPr>
          <w:rFonts w:ascii="Helvetica" w:eastAsia="Times New Roman" w:hAnsi="Helvetica" w:cs="Arial"/>
          <w:color w:val="666666"/>
          <w:sz w:val="20"/>
          <w:szCs w:val="20"/>
          <w:lang w:val="en-GB"/>
        </w:rPr>
        <w:t>Étudiante</w:t>
      </w:r>
      <w:proofErr w:type="spellEnd"/>
      <w:r w:rsidRPr="00A9086C">
        <w:rPr>
          <w:rFonts w:ascii="Helvetica" w:eastAsia="Times New Roman" w:hAnsi="Helvetica" w:cs="Arial"/>
          <w:color w:val="666666"/>
          <w:sz w:val="20"/>
          <w:szCs w:val="20"/>
          <w:lang w:val="en-GB"/>
        </w:rPr>
        <w:t xml:space="preserve"> de 3e Cycle</w:t>
      </w:r>
      <w:r w:rsidRPr="00A9086C">
        <w:rPr>
          <w:rFonts w:ascii="Helvetica" w:eastAsia="Times New Roman" w:hAnsi="Helvetica" w:cs="Arial"/>
          <w:color w:val="666666"/>
          <w:sz w:val="20"/>
          <w:szCs w:val="20"/>
          <w:lang w:val="en-GB"/>
        </w:rPr>
        <w:br/>
        <w:t>War Studies Programme | Études de la Guerre</w:t>
      </w:r>
      <w:r w:rsidRPr="00A9086C">
        <w:rPr>
          <w:rFonts w:ascii="Helvetica" w:eastAsia="Times New Roman" w:hAnsi="Helvetica" w:cs="Arial"/>
          <w:color w:val="666666"/>
          <w:sz w:val="20"/>
          <w:szCs w:val="20"/>
          <w:lang w:val="en-GB"/>
        </w:rPr>
        <w:br/>
        <w:t>Royal Military College of Canada |</w:t>
      </w:r>
      <w:r w:rsidRPr="00A9086C">
        <w:rPr>
          <w:rFonts w:ascii="Helvetica" w:eastAsia="Times New Roman" w:hAnsi="Helvetica" w:cs="Arial"/>
          <w:color w:val="666666"/>
          <w:sz w:val="20"/>
          <w:szCs w:val="20"/>
          <w:lang w:val="en-GB"/>
        </w:rPr>
        <w:br/>
        <w:t xml:space="preserve">Collège </w:t>
      </w:r>
      <w:proofErr w:type="spellStart"/>
      <w:r w:rsidRPr="00A9086C">
        <w:rPr>
          <w:rFonts w:ascii="Helvetica" w:eastAsia="Times New Roman" w:hAnsi="Helvetica" w:cs="Arial"/>
          <w:color w:val="666666"/>
          <w:sz w:val="20"/>
          <w:szCs w:val="20"/>
          <w:lang w:val="en-GB"/>
        </w:rPr>
        <w:t>Militaire</w:t>
      </w:r>
      <w:proofErr w:type="spellEnd"/>
      <w:r w:rsidRPr="00A9086C">
        <w:rPr>
          <w:rFonts w:ascii="Helvetica" w:eastAsia="Times New Roman" w:hAnsi="Helvetica" w:cs="Arial"/>
          <w:color w:val="666666"/>
          <w:sz w:val="20"/>
          <w:szCs w:val="20"/>
          <w:lang w:val="en-GB"/>
        </w:rPr>
        <w:t xml:space="preserve"> Royale du Canada</w:t>
      </w:r>
    </w:p>
    <w:p w14:paraId="283ABB80"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Helvetica" w:eastAsia="Times New Roman" w:hAnsi="Helvetica" w:cs="Arial"/>
          <w:color w:val="500050"/>
          <w:sz w:val="20"/>
          <w:szCs w:val="20"/>
          <w:lang w:val="en-GB"/>
        </w:rPr>
        <w:t> </w:t>
      </w:r>
    </w:p>
    <w:p w14:paraId="7037EC06" w14:textId="77777777" w:rsidR="009E4883" w:rsidRPr="00A9086C" w:rsidRDefault="009E4883" w:rsidP="009E4883">
      <w:pPr>
        <w:shd w:val="clear" w:color="auto" w:fill="FFFFFF"/>
        <w:rPr>
          <w:rFonts w:ascii="Arial" w:eastAsia="Times New Roman" w:hAnsi="Arial" w:cs="Arial"/>
          <w:color w:val="000000" w:themeColor="text1"/>
          <w:sz w:val="20"/>
          <w:szCs w:val="20"/>
          <w:highlight w:val="black"/>
          <w:lang w:val="en-GB"/>
        </w:rPr>
      </w:pPr>
      <w:r w:rsidRPr="00A9086C">
        <w:rPr>
          <w:rFonts w:ascii="Helvetica" w:eastAsia="Times New Roman" w:hAnsi="Helvetica" w:cs="Arial"/>
          <w:color w:val="000000" w:themeColor="text1"/>
          <w:sz w:val="20"/>
          <w:szCs w:val="20"/>
          <w:highlight w:val="black"/>
          <w:u w:val="single"/>
          <w:lang w:val="en-GB"/>
        </w:rPr>
        <w:t>eliana.glogauer@rmc.ca</w:t>
      </w:r>
    </w:p>
    <w:p w14:paraId="2C6689CF" w14:textId="77777777" w:rsidR="009E4883" w:rsidRDefault="009E4883" w:rsidP="009E4883">
      <w:pPr>
        <w:shd w:val="clear" w:color="auto" w:fill="FFFFFF"/>
        <w:rPr>
          <w:rFonts w:ascii="Helvetica" w:eastAsia="Times New Roman" w:hAnsi="Helvetica" w:cs="Arial"/>
          <w:color w:val="000000" w:themeColor="text1"/>
          <w:sz w:val="20"/>
          <w:szCs w:val="20"/>
          <w:lang w:val="en-GB"/>
        </w:rPr>
      </w:pPr>
      <w:r w:rsidRPr="00A9086C">
        <w:rPr>
          <w:rFonts w:ascii="Helvetica" w:eastAsia="Times New Roman" w:hAnsi="Helvetica" w:cs="Arial"/>
          <w:color w:val="000000" w:themeColor="text1"/>
          <w:sz w:val="20"/>
          <w:szCs w:val="20"/>
          <w:highlight w:val="black"/>
          <w:lang w:val="en-GB"/>
        </w:rPr>
        <w:t xml:space="preserve">Tel | </w:t>
      </w:r>
      <w:proofErr w:type="spellStart"/>
      <w:r w:rsidRPr="00A9086C">
        <w:rPr>
          <w:rFonts w:ascii="Helvetica" w:eastAsia="Times New Roman" w:hAnsi="Helvetica" w:cs="Arial"/>
          <w:color w:val="000000" w:themeColor="text1"/>
          <w:sz w:val="20"/>
          <w:szCs w:val="20"/>
          <w:highlight w:val="black"/>
          <w:lang w:val="en-GB"/>
        </w:rPr>
        <w:t>Tél</w:t>
      </w:r>
      <w:proofErr w:type="spellEnd"/>
      <w:r w:rsidRPr="00A9086C">
        <w:rPr>
          <w:rFonts w:ascii="Helvetica" w:eastAsia="Times New Roman" w:hAnsi="Helvetica" w:cs="Arial"/>
          <w:color w:val="000000" w:themeColor="text1"/>
          <w:sz w:val="20"/>
          <w:szCs w:val="20"/>
          <w:highlight w:val="black"/>
          <w:lang w:val="en-GB"/>
        </w:rPr>
        <w:t xml:space="preserve"> (work): +1 (647) 205-2670</w:t>
      </w:r>
    </w:p>
    <w:p w14:paraId="74C185C4" w14:textId="77777777" w:rsidR="009E4883" w:rsidRPr="00A9086C" w:rsidRDefault="009E4883" w:rsidP="009E4883">
      <w:pPr>
        <w:shd w:val="clear" w:color="auto" w:fill="FFFFFF"/>
        <w:rPr>
          <w:rFonts w:ascii="Arial" w:eastAsia="Times New Roman" w:hAnsi="Arial" w:cs="Arial"/>
          <w:color w:val="000000" w:themeColor="text1"/>
          <w:sz w:val="20"/>
          <w:szCs w:val="20"/>
          <w:lang w:val="en-GB"/>
        </w:rPr>
      </w:pPr>
      <w:r>
        <w:rPr>
          <w:noProof/>
        </w:rPr>
        <mc:AlternateContent>
          <mc:Choice Requires="wps">
            <w:drawing>
              <wp:anchor distT="0" distB="0" distL="114300" distR="114300" simplePos="0" relativeHeight="251676672" behindDoc="0" locked="0" layoutInCell="1" allowOverlap="1" wp14:anchorId="2A7C7B33" wp14:editId="048F250E">
                <wp:simplePos x="0" y="0"/>
                <wp:positionH relativeFrom="column">
                  <wp:posOffset>-243840</wp:posOffset>
                </wp:positionH>
                <wp:positionV relativeFrom="paragraph">
                  <wp:posOffset>210003</wp:posOffset>
                </wp:positionV>
                <wp:extent cx="6356985" cy="635"/>
                <wp:effectExtent l="0" t="0" r="5715" b="0"/>
                <wp:wrapNone/>
                <wp:docPr id="1128533060" name="Text Box 1"/>
                <wp:cNvGraphicFramePr/>
                <a:graphic xmlns:a="http://schemas.openxmlformats.org/drawingml/2006/main">
                  <a:graphicData uri="http://schemas.microsoft.com/office/word/2010/wordprocessingShape">
                    <wps:wsp>
                      <wps:cNvSpPr txBox="1"/>
                      <wps:spPr>
                        <a:xfrm>
                          <a:off x="0" y="0"/>
                          <a:ext cx="6356985" cy="635"/>
                        </a:xfrm>
                        <a:prstGeom prst="rect">
                          <a:avLst/>
                        </a:prstGeom>
                        <a:noFill/>
                        <a:ln>
                          <a:noFill/>
                        </a:ln>
                      </wps:spPr>
                      <wps:txbx>
                        <w:txbxContent>
                          <w:p w14:paraId="5E6E051F" w14:textId="7B398E70" w:rsidR="009E4883" w:rsidRPr="00850250" w:rsidRDefault="009E4883" w:rsidP="00C14930">
                            <w:pPr>
                              <w:pStyle w:val="DissertationFigureCaption"/>
                              <w:rPr>
                                <w:rFonts w:eastAsia="Times New Roman"/>
                                <w:b/>
                                <w:bCs/>
                              </w:rPr>
                            </w:pPr>
                            <w:bookmarkStart w:id="97" w:name="_Toc168415562"/>
                            <w:bookmarkStart w:id="98" w:name="_Toc175413244"/>
                            <w:r w:rsidRPr="00850250">
                              <w:t>Fig</w:t>
                            </w:r>
                            <w:r w:rsidR="00E214D9">
                              <w:t>ure</w:t>
                            </w:r>
                            <w:r w:rsidRPr="00850250">
                              <w:t xml:space="preserve"> A1- </w:t>
                            </w:r>
                            <w:fldSimple w:instr=" SEQ Fig._A1- \* ARABIC ">
                              <w:r w:rsidR="00AF1E65">
                                <w:rPr>
                                  <w:noProof/>
                                </w:rPr>
                                <w:t>1</w:t>
                              </w:r>
                            </w:fldSimple>
                            <w:r w:rsidR="00880AD8">
                              <w:rPr>
                                <w:noProof/>
                              </w:rPr>
                              <w:t>:</w:t>
                            </w:r>
                            <w:r w:rsidR="00C14930" w:rsidRPr="00C14930">
                              <w:rPr>
                                <w:u w:val="none"/>
                              </w:rPr>
                              <w:tab/>
                            </w:r>
                            <w:r w:rsidRPr="00C14930">
                              <w:rPr>
                                <w:u w:val="none"/>
                              </w:rPr>
                              <w:t xml:space="preserve"> March 30, 2020 Email to Reuters Archival Staff</w:t>
                            </w:r>
                            <w:bookmarkEnd w:id="97"/>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2A7C7B33" id="Text Box 1" o:spid="_x0000_s1028" type="#_x0000_t202" style="position:absolute;margin-left:-19.2pt;margin-top:16.55pt;width:500.5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" filled="f" stroked="f">
                <v:textbox style="mso-fit-shape-to-text:t" inset="0,0,0,0">
                  <w:txbxContent>
                    <w:p w14:paraId="5E6E051F" w14:textId="7B398E70" w:rsidR="009E4883" w:rsidRPr="00850250" w:rsidRDefault="009E4883" w:rsidP="00C14930">
                      <w:pPr>
                        <w:pStyle w:val="DissertationFigureCaption"/>
                        <w:rPr>
                          <w:rFonts w:eastAsia="Times New Roman"/>
                          <w:b/>
                          <w:bCs/>
                        </w:rPr>
                      </w:pPr>
                      <w:bookmarkStart w:id="103" w:name="_Toc168415562"/>
                      <w:bookmarkStart w:id="104" w:name="_Toc175413244"/>
                      <w:r w:rsidRPr="00850250">
                        <w:t>Fig</w:t>
                      </w:r>
                      <w:r w:rsidR="00E214D9">
                        <w:t>ure</w:t>
                      </w:r>
                      <w:r w:rsidRPr="00850250">
                        <w:t xml:space="preserve"> A1- </w:t>
                      </w:r>
                      <w:r w:rsidR="00000000">
                        <w:fldChar w:fldCharType="begin"/>
                      </w:r>
                      <w:r w:rsidR="00000000">
                        <w:instrText xml:space="preserve"> SEQ Fig._A1- \* ARABIC </w:instrText>
                      </w:r>
                      <w:r w:rsidR="00000000">
                        <w:fldChar w:fldCharType="separate"/>
                      </w:r>
                      <w:r w:rsidR="00AF1E65">
                        <w:rPr>
                          <w:noProof/>
                        </w:rPr>
                        <w:t>1</w:t>
                      </w:r>
                      <w:r w:rsidR="00000000">
                        <w:rPr>
                          <w:noProof/>
                        </w:rPr>
                        <w:fldChar w:fldCharType="end"/>
                      </w:r>
                      <w:r w:rsidR="00880AD8">
                        <w:rPr>
                          <w:noProof/>
                        </w:rPr>
                        <w:t>:</w:t>
                      </w:r>
                      <w:r w:rsidR="00C14930" w:rsidRPr="00C14930">
                        <w:rPr>
                          <w:u w:val="none"/>
                        </w:rPr>
                        <w:tab/>
                      </w:r>
                      <w:r w:rsidRPr="00C14930">
                        <w:rPr>
                          <w:u w:val="none"/>
                        </w:rPr>
                        <w:t xml:space="preserve"> March 30, 2020 Email to Reuters Archival Staff</w:t>
                      </w:r>
                      <w:bookmarkEnd w:id="103"/>
                      <w:bookmarkEnd w:id="104"/>
                    </w:p>
                  </w:txbxContent>
                </v:textbox>
              </v:shape>
            </w:pict>
          </mc:Fallback>
        </mc:AlternateContent>
      </w:r>
    </w:p>
    <w:p w14:paraId="3F35998D" w14:textId="77777777" w:rsidR="009E4883" w:rsidRPr="00850250" w:rsidRDefault="009E4883" w:rsidP="009E4883">
      <w:pPr>
        <w:rPr>
          <w:rFonts w:ascii="Arial" w:eastAsia="Times New Roman" w:hAnsi="Arial" w:cs="Arial"/>
          <w:color w:val="222222"/>
          <w:sz w:val="10"/>
          <w:szCs w:val="10"/>
          <w:lang w:val="en-GB"/>
        </w:rPr>
      </w:pPr>
      <w:r>
        <w:rPr>
          <w:rFonts w:ascii="Arial" w:eastAsia="Times New Roman" w:hAnsi="Arial" w:cs="Arial"/>
          <w:color w:val="222222"/>
          <w:sz w:val="20"/>
          <w:szCs w:val="20"/>
          <w:lang w:val="en-GB"/>
        </w:rPr>
        <w:br w:type="page"/>
      </w:r>
    </w:p>
    <w:p w14:paraId="06509F0D" w14:textId="77777777" w:rsidR="009E4883" w:rsidRPr="005E1DFC" w:rsidRDefault="009E4883" w:rsidP="009E4883">
      <w:pPr>
        <w:rPr>
          <w:rFonts w:ascii="Arial" w:eastAsia="Times New Roman" w:hAnsi="Arial" w:cs="Arial"/>
          <w:color w:val="222222"/>
          <w:sz w:val="20"/>
          <w:szCs w:val="20"/>
          <w:lang w:val="en-GB"/>
        </w:rPr>
      </w:pPr>
      <w:r w:rsidRPr="005E1DFC">
        <w:rPr>
          <w:rFonts w:ascii="Arial" w:eastAsia="Times New Roman" w:hAnsi="Arial" w:cs="Arial"/>
          <w:noProof/>
          <w:color w:val="222222"/>
          <w:sz w:val="20"/>
          <w:szCs w:val="20"/>
          <w:lang w:val="en-GB"/>
        </w:rPr>
        <w:lastRenderedPageBreak/>
        <mc:AlternateContent>
          <mc:Choice Requires="wps">
            <w:drawing>
              <wp:anchor distT="0" distB="0" distL="114300" distR="114300" simplePos="0" relativeHeight="251672576" behindDoc="0" locked="0" layoutInCell="1" allowOverlap="1" wp14:anchorId="028D2F2E" wp14:editId="426F89B1">
                <wp:simplePos x="0" y="0"/>
                <wp:positionH relativeFrom="column">
                  <wp:posOffset>-199390</wp:posOffset>
                </wp:positionH>
                <wp:positionV relativeFrom="paragraph">
                  <wp:posOffset>38100</wp:posOffset>
                </wp:positionV>
                <wp:extent cx="6322060" cy="6578600"/>
                <wp:effectExtent l="0" t="0" r="15240" b="12700"/>
                <wp:wrapNone/>
                <wp:docPr id="1485580544" name="Rectangle 4"/>
                <wp:cNvGraphicFramePr/>
                <a:graphic xmlns:a="http://schemas.openxmlformats.org/drawingml/2006/main">
                  <a:graphicData uri="http://schemas.microsoft.com/office/word/2010/wordprocessingShape">
                    <wps:wsp>
                      <wps:cNvSpPr/>
                      <wps:spPr>
                        <a:xfrm>
                          <a:off x="0" y="0"/>
                          <a:ext cx="6322060" cy="657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0422D6D" id="Rectangle 4" o:spid="_x0000_s1026" style="position:absolute;margin-left:-15.7pt;margin-top:3pt;width:497.8pt;height:5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" filled="f" strokecolor="black [3213]" strokeweight="1pt"/>
            </w:pict>
          </mc:Fallback>
        </mc:AlternateContent>
      </w:r>
    </w:p>
    <w:p w14:paraId="5DF26D9E" w14:textId="77777777" w:rsidR="009E4883" w:rsidRPr="00A9086C" w:rsidRDefault="009E4883" w:rsidP="009E4883">
      <w:pPr>
        <w:rPr>
          <w:rFonts w:ascii="Arial" w:eastAsia="Times New Roman" w:hAnsi="Arial" w:cs="Arial"/>
          <w:color w:val="222222"/>
          <w:sz w:val="20"/>
          <w:szCs w:val="20"/>
        </w:rPr>
      </w:pPr>
      <w:r w:rsidRPr="00A9086C">
        <w:rPr>
          <w:rFonts w:ascii="Arial" w:eastAsia="Times New Roman" w:hAnsi="Arial" w:cs="Arial"/>
          <w:color w:val="222222"/>
          <w:sz w:val="20"/>
          <w:szCs w:val="20"/>
          <w:lang w:val="en-GB"/>
        </w:rPr>
        <w:t xml:space="preserve">On Tue, Mar 31, 2020 at 6:32 AM </w:t>
      </w:r>
      <w:r w:rsidRPr="00A9086C">
        <w:rPr>
          <w:rFonts w:ascii="Arial" w:eastAsia="Times New Roman" w:hAnsi="Arial" w:cs="Arial"/>
          <w:color w:val="000000" w:themeColor="text1"/>
          <w:sz w:val="20"/>
          <w:szCs w:val="20"/>
          <w:highlight w:val="black"/>
          <w:lang w:val="en-GB"/>
        </w:rPr>
        <w:t>Cutler, David &lt;</w:t>
      </w:r>
      <w:r w:rsidRPr="00A9086C">
        <w:rPr>
          <w:rFonts w:ascii="Arial" w:eastAsia="Times New Roman" w:hAnsi="Arial" w:cs="Arial"/>
          <w:color w:val="000000" w:themeColor="text1"/>
          <w:sz w:val="20"/>
          <w:szCs w:val="20"/>
          <w:highlight w:val="black"/>
          <w:u w:val="single"/>
          <w:lang w:val="en-GB"/>
        </w:rPr>
        <w:t>D.Cutler@thomsonreuters.com</w:t>
      </w:r>
      <w:r w:rsidRPr="00A9086C">
        <w:rPr>
          <w:rFonts w:ascii="Arial" w:eastAsia="Times New Roman" w:hAnsi="Arial" w:cs="Arial"/>
          <w:color w:val="000000" w:themeColor="text1"/>
          <w:sz w:val="20"/>
          <w:szCs w:val="20"/>
          <w:highlight w:val="black"/>
          <w:lang w:val="en-GB"/>
        </w:rPr>
        <w:t>&gt;</w:t>
      </w:r>
      <w:r w:rsidRPr="00A9086C">
        <w:rPr>
          <w:rFonts w:ascii="Arial" w:eastAsia="Times New Roman" w:hAnsi="Arial" w:cs="Arial"/>
          <w:color w:val="000000" w:themeColor="text1"/>
          <w:sz w:val="20"/>
          <w:szCs w:val="20"/>
          <w:lang w:val="en-GB"/>
        </w:rPr>
        <w:t xml:space="preserve"> </w:t>
      </w:r>
      <w:r w:rsidRPr="00A9086C">
        <w:rPr>
          <w:rFonts w:ascii="Arial" w:eastAsia="Times New Roman" w:hAnsi="Arial" w:cs="Arial"/>
          <w:color w:val="222222"/>
          <w:sz w:val="20"/>
          <w:szCs w:val="20"/>
          <w:lang w:val="en-GB"/>
        </w:rPr>
        <w:t>wrote:</w:t>
      </w:r>
    </w:p>
    <w:p w14:paraId="38643392" w14:textId="77777777" w:rsidR="009E4883" w:rsidRPr="005E1DFC" w:rsidRDefault="009E4883" w:rsidP="009E4883">
      <w:pPr>
        <w:shd w:val="clear" w:color="auto" w:fill="FFFFFF"/>
        <w:rPr>
          <w:rFonts w:ascii="Arial" w:eastAsia="Times New Roman" w:hAnsi="Arial" w:cs="Arial"/>
          <w:color w:val="222222"/>
          <w:sz w:val="20"/>
          <w:szCs w:val="20"/>
          <w:lang w:val="en-GB"/>
        </w:rPr>
      </w:pPr>
    </w:p>
    <w:p w14:paraId="771B3476"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Dear Ms Glogauer</w:t>
      </w:r>
    </w:p>
    <w:p w14:paraId="69B89D8F"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6A81592E"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Thanks for your mail. Sadly</w:t>
      </w:r>
      <w:r w:rsidRPr="005E1DFC">
        <w:rPr>
          <w:rFonts w:ascii="Arial" w:eastAsia="Times New Roman" w:hAnsi="Arial" w:cs="Arial"/>
          <w:color w:val="222222"/>
          <w:sz w:val="20"/>
          <w:szCs w:val="20"/>
          <w:lang w:val="en-GB"/>
        </w:rPr>
        <w:t>,</w:t>
      </w:r>
      <w:r w:rsidRPr="00A9086C">
        <w:rPr>
          <w:rFonts w:ascii="Arial" w:eastAsia="Times New Roman" w:hAnsi="Arial" w:cs="Arial"/>
          <w:color w:val="222222"/>
          <w:sz w:val="20"/>
          <w:szCs w:val="20"/>
          <w:lang w:val="en-GB"/>
        </w:rPr>
        <w:t xml:space="preserve"> the Archive is normally closed access and as a result you would have to visit. However</w:t>
      </w:r>
      <w:r w:rsidRPr="005E1DFC">
        <w:rPr>
          <w:rFonts w:ascii="Arial" w:eastAsia="Times New Roman" w:hAnsi="Arial" w:cs="Arial"/>
          <w:color w:val="222222"/>
          <w:sz w:val="20"/>
          <w:szCs w:val="20"/>
          <w:lang w:val="en-GB"/>
        </w:rPr>
        <w:t>,</w:t>
      </w:r>
      <w:r w:rsidRPr="00A9086C">
        <w:rPr>
          <w:rFonts w:ascii="Arial" w:eastAsia="Times New Roman" w:hAnsi="Arial" w:cs="Arial"/>
          <w:color w:val="222222"/>
          <w:sz w:val="20"/>
          <w:szCs w:val="20"/>
          <w:lang w:val="en-GB"/>
        </w:rPr>
        <w:t xml:space="preserve"> in these days and certainly for the moment this is impossible. If you can visit, are you able to delay coming to see us? We are in lockdown here!</w:t>
      </w:r>
    </w:p>
    <w:p w14:paraId="7F471891"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6586713A"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However</w:t>
      </w:r>
      <w:r w:rsidRPr="005E1DFC">
        <w:rPr>
          <w:rFonts w:ascii="Arial" w:eastAsia="Times New Roman" w:hAnsi="Arial" w:cs="Arial"/>
          <w:color w:val="222222"/>
          <w:sz w:val="20"/>
          <w:szCs w:val="20"/>
          <w:lang w:val="en-GB"/>
        </w:rPr>
        <w:t>,</w:t>
      </w:r>
      <w:r w:rsidRPr="00A9086C">
        <w:rPr>
          <w:rFonts w:ascii="Arial" w:eastAsia="Times New Roman" w:hAnsi="Arial" w:cs="Arial"/>
          <w:color w:val="222222"/>
          <w:sz w:val="20"/>
          <w:szCs w:val="20"/>
          <w:lang w:val="en-GB"/>
        </w:rPr>
        <w:t xml:space="preserve"> you may be able to carry out some of the research yourself.</w:t>
      </w:r>
    </w:p>
    <w:p w14:paraId="71B2B654"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7009A2CF" w14:textId="77777777" w:rsidR="009E4883" w:rsidRPr="005E1DF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xml:space="preserve">Does your </w:t>
      </w:r>
      <w:r w:rsidRPr="005E1DFC">
        <w:rPr>
          <w:rFonts w:ascii="Arial" w:eastAsia="Times New Roman" w:hAnsi="Arial" w:cs="Arial"/>
          <w:color w:val="222222"/>
          <w:sz w:val="20"/>
          <w:szCs w:val="20"/>
          <w:lang w:val="en-GB"/>
        </w:rPr>
        <w:t>u</w:t>
      </w:r>
      <w:r w:rsidRPr="00A9086C">
        <w:rPr>
          <w:rFonts w:ascii="Arial" w:eastAsia="Times New Roman" w:hAnsi="Arial" w:cs="Arial"/>
          <w:color w:val="222222"/>
          <w:sz w:val="20"/>
          <w:szCs w:val="20"/>
          <w:lang w:val="en-GB"/>
        </w:rPr>
        <w:t xml:space="preserve">niversity library have </w:t>
      </w:r>
      <w:r w:rsidRPr="005E1DFC">
        <w:rPr>
          <w:rFonts w:ascii="Arial" w:eastAsia="Times New Roman" w:hAnsi="Arial" w:cs="Arial"/>
          <w:color w:val="222222"/>
          <w:sz w:val="20"/>
          <w:szCs w:val="20"/>
          <w:lang w:val="en-GB"/>
        </w:rPr>
        <w:t xml:space="preserve">access to </w:t>
      </w:r>
      <w:r w:rsidRPr="00A9086C">
        <w:rPr>
          <w:rFonts w:ascii="Arial" w:eastAsia="Times New Roman" w:hAnsi="Arial" w:cs="Arial"/>
          <w:color w:val="222222"/>
          <w:sz w:val="20"/>
          <w:szCs w:val="20"/>
          <w:lang w:val="en-GB"/>
        </w:rPr>
        <w:t xml:space="preserve">the </w:t>
      </w:r>
      <w:r w:rsidRPr="005E1DFC">
        <w:rPr>
          <w:rFonts w:ascii="Arial" w:eastAsia="Times New Roman" w:hAnsi="Arial" w:cs="Arial"/>
          <w:color w:val="222222"/>
          <w:sz w:val="20"/>
          <w:szCs w:val="20"/>
          <w:lang w:val="en-GB"/>
        </w:rPr>
        <w:t xml:space="preserve">Dow Jones </w:t>
      </w:r>
      <w:r w:rsidRPr="00A9086C">
        <w:rPr>
          <w:rFonts w:ascii="Arial" w:eastAsia="Times New Roman" w:hAnsi="Arial" w:cs="Arial"/>
          <w:color w:val="222222"/>
          <w:sz w:val="20"/>
          <w:szCs w:val="20"/>
          <w:lang w:val="en-GB"/>
        </w:rPr>
        <w:t xml:space="preserve">Factiva database? If so then that database has </w:t>
      </w:r>
      <w:r w:rsidRPr="005E1DFC">
        <w:rPr>
          <w:rFonts w:ascii="Arial" w:eastAsia="Times New Roman" w:hAnsi="Arial" w:cs="Arial"/>
          <w:color w:val="222222"/>
          <w:sz w:val="20"/>
          <w:szCs w:val="20"/>
          <w:lang w:val="en-GB"/>
        </w:rPr>
        <w:t xml:space="preserve">all </w:t>
      </w:r>
      <w:r w:rsidRPr="00A9086C">
        <w:rPr>
          <w:rFonts w:ascii="Arial" w:eastAsia="Times New Roman" w:hAnsi="Arial" w:cs="Arial"/>
          <w:color w:val="222222"/>
          <w:sz w:val="20"/>
          <w:szCs w:val="20"/>
          <w:lang w:val="en-GB"/>
        </w:rPr>
        <w:t>Reuter</w:t>
      </w:r>
      <w:r w:rsidRPr="005E1DFC">
        <w:rPr>
          <w:rFonts w:ascii="Arial" w:eastAsia="Times New Roman" w:hAnsi="Arial" w:cs="Arial"/>
          <w:color w:val="222222"/>
          <w:sz w:val="20"/>
          <w:szCs w:val="20"/>
          <w:lang w:val="en-GB"/>
        </w:rPr>
        <w:t>s</w:t>
      </w:r>
      <w:r w:rsidRPr="00A9086C">
        <w:rPr>
          <w:rFonts w:ascii="Arial" w:eastAsia="Times New Roman" w:hAnsi="Arial" w:cs="Arial"/>
          <w:color w:val="222222"/>
          <w:sz w:val="20"/>
          <w:szCs w:val="20"/>
          <w:lang w:val="en-GB"/>
        </w:rPr>
        <w:t xml:space="preserve"> stories </w:t>
      </w:r>
      <w:r w:rsidRPr="005E1DFC">
        <w:rPr>
          <w:rFonts w:ascii="Arial" w:eastAsia="Times New Roman" w:hAnsi="Arial" w:cs="Arial"/>
          <w:color w:val="222222"/>
          <w:sz w:val="20"/>
          <w:szCs w:val="20"/>
          <w:lang w:val="en-GB"/>
        </w:rPr>
        <w:t xml:space="preserve">and news bulletins </w:t>
      </w:r>
      <w:r w:rsidRPr="00A9086C">
        <w:rPr>
          <w:rFonts w:ascii="Arial" w:eastAsia="Times New Roman" w:hAnsi="Arial" w:cs="Arial"/>
          <w:color w:val="222222"/>
          <w:sz w:val="20"/>
          <w:szCs w:val="20"/>
          <w:lang w:val="en-GB"/>
        </w:rPr>
        <w:t xml:space="preserve">going back to 1987. Sadly, previous to that, only the Archive has them, on a variety of media but mostly microfilm! If you do get to use the database, </w:t>
      </w:r>
      <w:r w:rsidRPr="005E1DFC">
        <w:rPr>
          <w:rFonts w:ascii="Arial" w:eastAsia="Times New Roman" w:hAnsi="Arial" w:cs="Arial"/>
          <w:color w:val="222222"/>
          <w:sz w:val="20"/>
          <w:szCs w:val="20"/>
          <w:lang w:val="en-GB"/>
        </w:rPr>
        <w:t>firstly I</w:t>
      </w:r>
      <w:r w:rsidRPr="00A9086C">
        <w:rPr>
          <w:rFonts w:ascii="Arial" w:eastAsia="Times New Roman" w:hAnsi="Arial" w:cs="Arial"/>
          <w:color w:val="222222"/>
          <w:sz w:val="20"/>
          <w:szCs w:val="20"/>
          <w:lang w:val="en-GB"/>
        </w:rPr>
        <w:t xml:space="preserve"> should say that you will need to add Reuters News as a source.</w:t>
      </w:r>
    </w:p>
    <w:p w14:paraId="3CB7C76D" w14:textId="77777777" w:rsidR="009E4883" w:rsidRPr="00A9086C" w:rsidRDefault="009E4883" w:rsidP="009E4883">
      <w:pPr>
        <w:shd w:val="clear" w:color="auto" w:fill="FFFFFF"/>
        <w:rPr>
          <w:rFonts w:ascii="Arial" w:eastAsia="Times New Roman" w:hAnsi="Arial" w:cs="Arial"/>
          <w:color w:val="222222"/>
          <w:sz w:val="20"/>
          <w:szCs w:val="20"/>
          <w:lang w:val="en-GB"/>
        </w:rPr>
      </w:pPr>
    </w:p>
    <w:p w14:paraId="716A6D8C"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5E1DFC">
        <w:rPr>
          <w:rFonts w:ascii="Arial" w:eastAsia="Times New Roman" w:hAnsi="Arial" w:cs="Arial"/>
          <w:color w:val="222222"/>
          <w:sz w:val="20"/>
          <w:szCs w:val="20"/>
          <w:lang w:val="en-GB"/>
        </w:rPr>
        <w:t>Secondly,</w:t>
      </w:r>
      <w:r w:rsidRPr="00A9086C">
        <w:rPr>
          <w:rFonts w:ascii="Arial" w:eastAsia="Times New Roman" w:hAnsi="Arial" w:cs="Arial"/>
          <w:color w:val="222222"/>
          <w:sz w:val="20"/>
          <w:szCs w:val="20"/>
          <w:lang w:val="en-GB"/>
        </w:rPr>
        <w:t xml:space="preserve"> I should specify that Reuters tended to use the word</w:t>
      </w:r>
      <w:r w:rsidRPr="005E1DFC">
        <w:rPr>
          <w:rFonts w:ascii="Arial" w:eastAsia="Times New Roman" w:hAnsi="Arial" w:cs="Arial"/>
          <w:color w:val="222222"/>
          <w:sz w:val="20"/>
          <w:szCs w:val="20"/>
          <w:lang w:val="en-GB"/>
        </w:rPr>
        <w:t>s</w:t>
      </w:r>
      <w:r w:rsidRPr="00A9086C">
        <w:rPr>
          <w:rFonts w:ascii="Arial" w:eastAsia="Times New Roman" w:hAnsi="Arial" w:cs="Arial"/>
          <w:color w:val="222222"/>
          <w:sz w:val="20"/>
          <w:szCs w:val="20"/>
          <w:lang w:val="en-GB"/>
        </w:rPr>
        <w:t xml:space="preserve"> terrorist and terrorism perhaps differently from others.</w:t>
      </w:r>
    </w:p>
    <w:p w14:paraId="1AF9829B"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711439C4"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If you cannot find access to the database, then perhaps let me know and I can see if I can help remotely.</w:t>
      </w:r>
    </w:p>
    <w:p w14:paraId="2FF8FCA8"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7E017499"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I will look forward to hearing back.</w:t>
      </w:r>
    </w:p>
    <w:p w14:paraId="18E2FAEF"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56C16549"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With kind regards</w:t>
      </w:r>
    </w:p>
    <w:p w14:paraId="54577FC7" w14:textId="77777777" w:rsidR="009E4883" w:rsidRPr="00A9086C" w:rsidRDefault="009E4883" w:rsidP="009E4883">
      <w:pPr>
        <w:shd w:val="clear" w:color="auto" w:fill="FFFFFF"/>
        <w:rPr>
          <w:rFonts w:ascii="Arial" w:eastAsia="Times New Roman" w:hAnsi="Arial" w:cs="Arial"/>
          <w:color w:val="000000" w:themeColor="text1"/>
          <w:sz w:val="20"/>
          <w:szCs w:val="20"/>
          <w:lang w:val="en-GB"/>
        </w:rPr>
      </w:pPr>
      <w:r w:rsidRPr="00A9086C">
        <w:rPr>
          <w:rFonts w:ascii="Arial" w:eastAsia="Times New Roman" w:hAnsi="Arial" w:cs="Arial"/>
          <w:color w:val="000000" w:themeColor="text1"/>
          <w:sz w:val="20"/>
          <w:szCs w:val="20"/>
          <w:highlight w:val="black"/>
          <w:lang w:val="en-GB"/>
        </w:rPr>
        <w:t>David Cutler</w:t>
      </w:r>
    </w:p>
    <w:p w14:paraId="3BCDE277"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Reuters Archives</w:t>
      </w:r>
    </w:p>
    <w:p w14:paraId="6475BBA8"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5 Canada Square</w:t>
      </w:r>
    </w:p>
    <w:p w14:paraId="13AD005D"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London E14 5AQ</w:t>
      </w:r>
    </w:p>
    <w:p w14:paraId="6EF3AB93"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150A24A9" w14:textId="77777777" w:rsidR="009E4883" w:rsidRPr="00A9086C" w:rsidRDefault="009E4883" w:rsidP="009E4883">
      <w:pPr>
        <w:shd w:val="clear" w:color="auto" w:fill="FFFFFF"/>
        <w:rPr>
          <w:rFonts w:ascii="Arial" w:eastAsia="Times New Roman" w:hAnsi="Arial" w:cs="Arial"/>
          <w:color w:val="000000" w:themeColor="text1"/>
          <w:sz w:val="20"/>
          <w:szCs w:val="20"/>
          <w:highlight w:val="black"/>
          <w:lang w:val="en-GB"/>
        </w:rPr>
      </w:pPr>
      <w:r w:rsidRPr="00A9086C">
        <w:rPr>
          <w:rFonts w:ascii="Arial" w:eastAsia="Times New Roman" w:hAnsi="Arial" w:cs="Arial"/>
          <w:color w:val="000000" w:themeColor="text1"/>
          <w:sz w:val="20"/>
          <w:szCs w:val="20"/>
          <w:highlight w:val="black"/>
          <w:lang w:val="en-GB"/>
        </w:rPr>
        <w:t>Tel: 0044 (0) 207 542 7610</w:t>
      </w:r>
    </w:p>
    <w:p w14:paraId="412D1D6B" w14:textId="77777777" w:rsidR="009E4883" w:rsidRDefault="009E4883" w:rsidP="009E4883">
      <w:pPr>
        <w:shd w:val="clear" w:color="auto" w:fill="FFFFFF"/>
        <w:rPr>
          <w:rFonts w:ascii="Arial" w:eastAsia="Times New Roman" w:hAnsi="Arial" w:cs="Arial"/>
          <w:color w:val="000000" w:themeColor="text1"/>
          <w:sz w:val="20"/>
          <w:szCs w:val="20"/>
          <w:u w:val="single"/>
          <w:lang w:val="en-GB"/>
        </w:rPr>
      </w:pPr>
      <w:r w:rsidRPr="00A9086C">
        <w:rPr>
          <w:rFonts w:ascii="Arial" w:eastAsia="Times New Roman" w:hAnsi="Arial" w:cs="Arial"/>
          <w:color w:val="000000" w:themeColor="text1"/>
          <w:sz w:val="20"/>
          <w:szCs w:val="20"/>
          <w:highlight w:val="black"/>
          <w:lang w:val="en-GB"/>
        </w:rPr>
        <w:t>Email: </w:t>
      </w:r>
      <w:r w:rsidRPr="00A9086C">
        <w:rPr>
          <w:rFonts w:ascii="Arial" w:eastAsia="Times New Roman" w:hAnsi="Arial" w:cs="Arial"/>
          <w:color w:val="000000" w:themeColor="text1"/>
          <w:sz w:val="20"/>
          <w:szCs w:val="20"/>
          <w:highlight w:val="black"/>
          <w:u w:val="single"/>
          <w:lang w:val="en-GB"/>
        </w:rPr>
        <w:t>d.cutler@thomsonreuters.com</w:t>
      </w:r>
    </w:p>
    <w:p w14:paraId="7ACE6A49" w14:textId="77777777" w:rsidR="009E4883" w:rsidRPr="00A9086C" w:rsidRDefault="009E4883" w:rsidP="009E4883">
      <w:pPr>
        <w:shd w:val="clear" w:color="auto" w:fill="FFFFFF"/>
        <w:rPr>
          <w:rFonts w:ascii="Arial" w:eastAsia="Times New Roman" w:hAnsi="Arial" w:cs="Arial"/>
          <w:color w:val="000000" w:themeColor="text1"/>
          <w:sz w:val="20"/>
          <w:szCs w:val="20"/>
          <w:lang w:val="en-GB"/>
        </w:rPr>
      </w:pPr>
      <w:r>
        <w:rPr>
          <w:noProof/>
        </w:rPr>
        <mc:AlternateContent>
          <mc:Choice Requires="wps">
            <w:drawing>
              <wp:anchor distT="0" distB="0" distL="114300" distR="114300" simplePos="0" relativeHeight="251677696" behindDoc="0" locked="0" layoutInCell="1" allowOverlap="1" wp14:anchorId="26CDC7EF" wp14:editId="3F7BDF7C">
                <wp:simplePos x="0" y="0"/>
                <wp:positionH relativeFrom="column">
                  <wp:posOffset>-200025</wp:posOffset>
                </wp:positionH>
                <wp:positionV relativeFrom="paragraph">
                  <wp:posOffset>135527</wp:posOffset>
                </wp:positionV>
                <wp:extent cx="6322060" cy="635"/>
                <wp:effectExtent l="0" t="0" r="2540" b="0"/>
                <wp:wrapNone/>
                <wp:docPr id="179948359" name="Text Box 1"/>
                <wp:cNvGraphicFramePr/>
                <a:graphic xmlns:a="http://schemas.openxmlformats.org/drawingml/2006/main">
                  <a:graphicData uri="http://schemas.microsoft.com/office/word/2010/wordprocessingShape">
                    <wps:wsp>
                      <wps:cNvSpPr txBox="1"/>
                      <wps:spPr>
                        <a:xfrm>
                          <a:off x="0" y="0"/>
                          <a:ext cx="6322060" cy="635"/>
                        </a:xfrm>
                        <a:prstGeom prst="rect">
                          <a:avLst/>
                        </a:prstGeom>
                        <a:noFill/>
                        <a:ln>
                          <a:noFill/>
                        </a:ln>
                      </wps:spPr>
                      <wps:txbx>
                        <w:txbxContent>
                          <w:p w14:paraId="25B44073" w14:textId="6A1A5A8B" w:rsidR="009E4883" w:rsidRPr="00080804" w:rsidRDefault="009E4883" w:rsidP="00080804">
                            <w:pPr>
                              <w:pStyle w:val="DissertationFigureCaption"/>
                              <w:rPr>
                                <w:rFonts w:eastAsia="Times New Roman"/>
                                <w:noProof/>
                                <w:sz w:val="20"/>
                                <w:szCs w:val="20"/>
                                <w:u w:val="none"/>
                                <w:lang w:val="en-GB"/>
                              </w:rPr>
                            </w:pPr>
                            <w:bookmarkStart w:id="99" w:name="_Toc168415263"/>
                            <w:bookmarkStart w:id="100" w:name="_Toc168415563"/>
                            <w:bookmarkStart w:id="101" w:name="_Toc175413245"/>
                            <w:r w:rsidRPr="00850250">
                              <w:t>Fig</w:t>
                            </w:r>
                            <w:r w:rsidR="00E214D9">
                              <w:t>ure</w:t>
                            </w:r>
                            <w:r w:rsidRPr="00850250">
                              <w:t xml:space="preserve"> A1- </w:t>
                            </w:r>
                            <w:fldSimple w:instr=" SEQ Fig._A1- \* ARABIC ">
                              <w:r w:rsidR="00AF1E65">
                                <w:rPr>
                                  <w:noProof/>
                                </w:rPr>
                                <w:t>2</w:t>
                              </w:r>
                            </w:fldSimple>
                            <w:r w:rsidR="00880AD8">
                              <w:rPr>
                                <w:noProof/>
                              </w:rPr>
                              <w:t>:</w:t>
                            </w:r>
                            <w:r w:rsidR="00C14930" w:rsidRPr="00080804">
                              <w:rPr>
                                <w:u w:val="none"/>
                              </w:rPr>
                              <w:tab/>
                            </w:r>
                            <w:r w:rsidRPr="00080804">
                              <w:rPr>
                                <w:u w:val="none"/>
                              </w:rPr>
                              <w:t xml:space="preserve"> March 31, 2020 Email Response from Reuters Archivist</w:t>
                            </w:r>
                            <w:bookmarkEnd w:id="99"/>
                            <w:bookmarkEnd w:id="100"/>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26CDC7EF" id="_x0000_s1029" type="#_x0000_t202" style="position:absolute;margin-left:-15.75pt;margin-top:10.65pt;width:497.8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" filled="f" stroked="f">
                <v:textbox style="mso-fit-shape-to-text:t" inset="0,0,0,0">
                  <w:txbxContent>
                    <w:p w14:paraId="25B44073" w14:textId="6A1A5A8B" w:rsidR="009E4883" w:rsidRPr="00080804" w:rsidRDefault="009E4883" w:rsidP="00080804">
                      <w:pPr>
                        <w:pStyle w:val="DissertationFigureCaption"/>
                        <w:rPr>
                          <w:rFonts w:eastAsia="Times New Roman"/>
                          <w:noProof/>
                          <w:sz w:val="20"/>
                          <w:szCs w:val="20"/>
                          <w:u w:val="none"/>
                          <w:lang w:val="en-GB"/>
                        </w:rPr>
                      </w:pPr>
                      <w:bookmarkStart w:id="108" w:name="_Toc168415263"/>
                      <w:bookmarkStart w:id="109" w:name="_Toc168415563"/>
                      <w:bookmarkStart w:id="110" w:name="_Toc175413245"/>
                      <w:r w:rsidRPr="00850250">
                        <w:t>Fig</w:t>
                      </w:r>
                      <w:r w:rsidR="00E214D9">
                        <w:t>ure</w:t>
                      </w:r>
                      <w:r w:rsidRPr="00850250">
                        <w:t xml:space="preserve"> A1- </w:t>
                      </w:r>
                      <w:r w:rsidR="00000000">
                        <w:fldChar w:fldCharType="begin"/>
                      </w:r>
                      <w:r w:rsidR="00000000">
                        <w:instrText xml:space="preserve"> SEQ Fig._A1- \* ARABIC </w:instrText>
                      </w:r>
                      <w:r w:rsidR="00000000">
                        <w:fldChar w:fldCharType="separate"/>
                      </w:r>
                      <w:r w:rsidR="00AF1E65">
                        <w:rPr>
                          <w:noProof/>
                        </w:rPr>
                        <w:t>2</w:t>
                      </w:r>
                      <w:r w:rsidR="00000000">
                        <w:rPr>
                          <w:noProof/>
                        </w:rPr>
                        <w:fldChar w:fldCharType="end"/>
                      </w:r>
                      <w:r w:rsidR="00880AD8">
                        <w:rPr>
                          <w:noProof/>
                        </w:rPr>
                        <w:t>:</w:t>
                      </w:r>
                      <w:r w:rsidR="00C14930" w:rsidRPr="00080804">
                        <w:rPr>
                          <w:u w:val="none"/>
                        </w:rPr>
                        <w:tab/>
                      </w:r>
                      <w:r w:rsidRPr="00080804">
                        <w:rPr>
                          <w:u w:val="none"/>
                        </w:rPr>
                        <w:t xml:space="preserve"> March 31, 2020 Email Response from Reuters Archivist</w:t>
                      </w:r>
                      <w:bookmarkEnd w:id="108"/>
                      <w:bookmarkEnd w:id="109"/>
                      <w:bookmarkEnd w:id="110"/>
                    </w:p>
                  </w:txbxContent>
                </v:textbox>
              </v:shape>
            </w:pict>
          </mc:Fallback>
        </mc:AlternateContent>
      </w:r>
    </w:p>
    <w:p w14:paraId="5BD0593F" w14:textId="77777777" w:rsidR="009E4883" w:rsidRDefault="009E4883" w:rsidP="009E4883">
      <w:pPr>
        <w:shd w:val="clear" w:color="auto" w:fill="FFFFFF"/>
        <w:rPr>
          <w:rFonts w:ascii="Arial" w:eastAsia="Times New Roman" w:hAnsi="Arial" w:cs="Arial"/>
          <w:color w:val="222222"/>
          <w:sz w:val="20"/>
          <w:szCs w:val="20"/>
          <w:lang w:val="en-GB"/>
        </w:rPr>
      </w:pPr>
    </w:p>
    <w:p w14:paraId="0FB154B0" w14:textId="77777777" w:rsidR="009E4883" w:rsidRDefault="009E4883">
      <w:pPr>
        <w:spacing w:before="0" w:after="0"/>
        <w:rPr>
          <w:rFonts w:ascii="Arial" w:eastAsia="Times New Roman" w:hAnsi="Arial" w:cs="Arial"/>
          <w:color w:val="222222"/>
          <w:sz w:val="20"/>
          <w:szCs w:val="20"/>
          <w:lang w:val="en-GB"/>
        </w:rPr>
      </w:pPr>
      <w:r>
        <w:rPr>
          <w:rFonts w:ascii="Arial" w:eastAsia="Times New Roman" w:hAnsi="Arial" w:cs="Arial"/>
          <w:color w:val="222222"/>
          <w:sz w:val="20"/>
          <w:szCs w:val="20"/>
          <w:lang w:val="en-GB"/>
        </w:rPr>
        <w:br w:type="page"/>
      </w:r>
    </w:p>
    <w:p w14:paraId="62FCA0EC" w14:textId="772E5977" w:rsidR="009E4883" w:rsidRPr="005E1DFC" w:rsidRDefault="009E4883" w:rsidP="009E4883">
      <w:pPr>
        <w:shd w:val="clear" w:color="auto" w:fill="FFFFFF"/>
        <w:rPr>
          <w:rFonts w:ascii="Arial" w:eastAsia="Times New Roman" w:hAnsi="Arial" w:cs="Arial"/>
          <w:color w:val="222222"/>
          <w:sz w:val="20"/>
          <w:szCs w:val="20"/>
          <w:lang w:val="en-GB"/>
        </w:rPr>
      </w:pPr>
      <w:r w:rsidRPr="005E1DFC">
        <w:rPr>
          <w:rFonts w:ascii="Arial" w:eastAsia="Times New Roman" w:hAnsi="Arial" w:cs="Arial"/>
          <w:noProof/>
          <w:color w:val="222222"/>
          <w:sz w:val="20"/>
          <w:szCs w:val="20"/>
          <w:lang w:val="en-GB"/>
        </w:rPr>
        <w:lastRenderedPageBreak/>
        <mc:AlternateContent>
          <mc:Choice Requires="wps">
            <w:drawing>
              <wp:anchor distT="0" distB="0" distL="114300" distR="114300" simplePos="0" relativeHeight="251670528" behindDoc="0" locked="0" layoutInCell="1" allowOverlap="1" wp14:anchorId="0E671BE8" wp14:editId="24A75BE0">
                <wp:simplePos x="0" y="0"/>
                <wp:positionH relativeFrom="column">
                  <wp:posOffset>-199390</wp:posOffset>
                </wp:positionH>
                <wp:positionV relativeFrom="paragraph">
                  <wp:posOffset>76200</wp:posOffset>
                </wp:positionV>
                <wp:extent cx="6322060" cy="4127500"/>
                <wp:effectExtent l="0" t="0" r="15240" b="12700"/>
                <wp:wrapNone/>
                <wp:docPr id="311636997" name="Rectangle 2"/>
                <wp:cNvGraphicFramePr/>
                <a:graphic xmlns:a="http://schemas.openxmlformats.org/drawingml/2006/main">
                  <a:graphicData uri="http://schemas.microsoft.com/office/word/2010/wordprocessingShape">
                    <wps:wsp>
                      <wps:cNvSpPr/>
                      <wps:spPr>
                        <a:xfrm>
                          <a:off x="0" y="0"/>
                          <a:ext cx="6322060" cy="412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041F24E" id="Rectangle 2" o:spid="_x0000_s1026" style="position:absolute;margin-left:-15.7pt;margin-top:6pt;width:497.8pt;height: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" filled="f" strokecolor="black [3213]" strokeweight="1pt"/>
            </w:pict>
          </mc:Fallback>
        </mc:AlternateContent>
      </w:r>
    </w:p>
    <w:p w14:paraId="10B6722D"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b/>
          <w:bCs/>
          <w:color w:val="222222"/>
          <w:sz w:val="20"/>
          <w:szCs w:val="20"/>
          <w:lang w:val="en-US"/>
        </w:rPr>
        <w:t>From:</w:t>
      </w:r>
      <w:r w:rsidRPr="00A9086C">
        <w:rPr>
          <w:rFonts w:ascii="Arial" w:eastAsia="Times New Roman" w:hAnsi="Arial" w:cs="Arial"/>
          <w:color w:val="222222"/>
          <w:sz w:val="20"/>
          <w:szCs w:val="20"/>
          <w:lang w:val="en-US"/>
        </w:rPr>
        <w:t xml:space="preserve"> Eliana Glogauer </w:t>
      </w:r>
      <w:r w:rsidRPr="00A9086C">
        <w:rPr>
          <w:rFonts w:ascii="Arial" w:eastAsia="Times New Roman" w:hAnsi="Arial" w:cs="Arial"/>
          <w:color w:val="000000" w:themeColor="text1"/>
          <w:sz w:val="20"/>
          <w:szCs w:val="20"/>
          <w:highlight w:val="black"/>
          <w:lang w:val="en-US"/>
        </w:rPr>
        <w:t>&lt;</w:t>
      </w:r>
      <w:r w:rsidRPr="00A9086C">
        <w:rPr>
          <w:rFonts w:ascii="Arial" w:eastAsia="Times New Roman" w:hAnsi="Arial" w:cs="Arial"/>
          <w:color w:val="000000" w:themeColor="text1"/>
          <w:sz w:val="20"/>
          <w:szCs w:val="20"/>
          <w:highlight w:val="black"/>
          <w:u w:val="single"/>
          <w:lang w:val="en-US"/>
        </w:rPr>
        <w:t>glogauer.eliana@gmail.com</w:t>
      </w:r>
      <w:r w:rsidRPr="00A9086C">
        <w:rPr>
          <w:rFonts w:ascii="Arial" w:eastAsia="Times New Roman" w:hAnsi="Arial" w:cs="Arial"/>
          <w:color w:val="000000" w:themeColor="text1"/>
          <w:sz w:val="20"/>
          <w:szCs w:val="20"/>
          <w:highlight w:val="black"/>
          <w:lang w:val="en-US"/>
        </w:rPr>
        <w:t>&gt;</w:t>
      </w:r>
      <w:r w:rsidRPr="00A9086C">
        <w:rPr>
          <w:rFonts w:ascii="Arial" w:eastAsia="Times New Roman" w:hAnsi="Arial" w:cs="Arial"/>
          <w:color w:val="000000" w:themeColor="text1"/>
          <w:sz w:val="20"/>
          <w:szCs w:val="20"/>
          <w:lang w:val="en-US"/>
        </w:rPr>
        <w:t> </w:t>
      </w:r>
      <w:r w:rsidRPr="00A9086C">
        <w:rPr>
          <w:rFonts w:ascii="Arial" w:eastAsia="Times New Roman" w:hAnsi="Arial" w:cs="Arial"/>
          <w:color w:val="222222"/>
          <w:sz w:val="20"/>
          <w:szCs w:val="20"/>
          <w:lang w:val="en-US"/>
        </w:rPr>
        <w:br/>
      </w:r>
      <w:r w:rsidRPr="00A9086C">
        <w:rPr>
          <w:rFonts w:ascii="Arial" w:eastAsia="Times New Roman" w:hAnsi="Arial" w:cs="Arial"/>
          <w:b/>
          <w:bCs/>
          <w:color w:val="222222"/>
          <w:sz w:val="20"/>
          <w:szCs w:val="20"/>
          <w:lang w:val="en-US"/>
        </w:rPr>
        <w:t>Sent:</w:t>
      </w:r>
      <w:r w:rsidRPr="00A9086C">
        <w:rPr>
          <w:rFonts w:ascii="Arial" w:eastAsia="Times New Roman" w:hAnsi="Arial" w:cs="Arial"/>
          <w:color w:val="222222"/>
          <w:sz w:val="20"/>
          <w:szCs w:val="20"/>
          <w:lang w:val="en-US"/>
        </w:rPr>
        <w:t> 05 April 2020 18:54</w:t>
      </w:r>
      <w:r w:rsidRPr="00A9086C">
        <w:rPr>
          <w:rFonts w:ascii="Arial" w:eastAsia="Times New Roman" w:hAnsi="Arial" w:cs="Arial"/>
          <w:color w:val="222222"/>
          <w:sz w:val="20"/>
          <w:szCs w:val="20"/>
          <w:lang w:val="en-US"/>
        </w:rPr>
        <w:br/>
      </w:r>
      <w:r w:rsidRPr="00A9086C">
        <w:rPr>
          <w:rFonts w:ascii="Arial" w:eastAsia="Times New Roman" w:hAnsi="Arial" w:cs="Arial"/>
          <w:b/>
          <w:bCs/>
          <w:color w:val="222222"/>
          <w:sz w:val="20"/>
          <w:szCs w:val="20"/>
          <w:lang w:val="en-US"/>
        </w:rPr>
        <w:t>To:</w:t>
      </w:r>
      <w:r w:rsidRPr="00A9086C">
        <w:rPr>
          <w:rFonts w:ascii="Arial" w:eastAsia="Times New Roman" w:hAnsi="Arial" w:cs="Arial"/>
          <w:color w:val="222222"/>
          <w:sz w:val="20"/>
          <w:szCs w:val="20"/>
          <w:lang w:val="en-US"/>
        </w:rPr>
        <w:t> </w:t>
      </w:r>
      <w:r w:rsidRPr="00A9086C">
        <w:rPr>
          <w:rFonts w:ascii="Arial" w:eastAsia="Times New Roman" w:hAnsi="Arial" w:cs="Arial"/>
          <w:color w:val="000000" w:themeColor="text1"/>
          <w:sz w:val="20"/>
          <w:szCs w:val="20"/>
          <w:highlight w:val="black"/>
          <w:lang w:val="en-US"/>
        </w:rPr>
        <w:t>Cutler, David &lt;</w:t>
      </w:r>
      <w:r w:rsidRPr="00A9086C">
        <w:rPr>
          <w:rFonts w:ascii="Arial" w:eastAsia="Times New Roman" w:hAnsi="Arial" w:cs="Arial"/>
          <w:color w:val="000000" w:themeColor="text1"/>
          <w:sz w:val="20"/>
          <w:szCs w:val="20"/>
          <w:highlight w:val="black"/>
          <w:u w:val="single"/>
          <w:lang w:val="en-US"/>
        </w:rPr>
        <w:t>D.Cutler@thomsonreuters.com</w:t>
      </w:r>
      <w:r w:rsidRPr="00A9086C">
        <w:rPr>
          <w:rFonts w:ascii="Arial" w:eastAsia="Times New Roman" w:hAnsi="Arial" w:cs="Arial"/>
          <w:color w:val="000000" w:themeColor="text1"/>
          <w:sz w:val="20"/>
          <w:szCs w:val="20"/>
          <w:highlight w:val="black"/>
          <w:lang w:val="en-US"/>
        </w:rPr>
        <w:t>&gt;</w:t>
      </w:r>
      <w:r w:rsidRPr="00A9086C">
        <w:rPr>
          <w:rFonts w:ascii="Arial" w:eastAsia="Times New Roman" w:hAnsi="Arial" w:cs="Arial"/>
          <w:color w:val="222222"/>
          <w:sz w:val="20"/>
          <w:szCs w:val="20"/>
          <w:lang w:val="en-US"/>
        </w:rPr>
        <w:br/>
      </w:r>
      <w:r w:rsidRPr="00A9086C">
        <w:rPr>
          <w:rFonts w:ascii="Arial" w:eastAsia="Times New Roman" w:hAnsi="Arial" w:cs="Arial"/>
          <w:b/>
          <w:bCs/>
          <w:color w:val="222222"/>
          <w:sz w:val="20"/>
          <w:szCs w:val="20"/>
          <w:lang w:val="en-US"/>
        </w:rPr>
        <w:t>Subject:</w:t>
      </w:r>
      <w:r w:rsidRPr="00A9086C">
        <w:rPr>
          <w:rFonts w:ascii="Arial" w:eastAsia="Times New Roman" w:hAnsi="Arial" w:cs="Arial"/>
          <w:color w:val="222222"/>
          <w:sz w:val="20"/>
          <w:szCs w:val="20"/>
          <w:lang w:val="en-US"/>
        </w:rPr>
        <w:t> Re: Request: Access to Archive</w:t>
      </w:r>
    </w:p>
    <w:p w14:paraId="4246E62A"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34F8AD7A"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xml:space="preserve">Dear </w:t>
      </w:r>
      <w:r w:rsidRPr="00A9086C">
        <w:rPr>
          <w:rFonts w:ascii="Arial" w:eastAsia="Times New Roman" w:hAnsi="Arial" w:cs="Arial"/>
          <w:color w:val="000000" w:themeColor="text1"/>
          <w:sz w:val="20"/>
          <w:szCs w:val="20"/>
          <w:highlight w:val="black"/>
          <w:lang w:val="en-GB"/>
        </w:rPr>
        <w:t>David</w:t>
      </w:r>
      <w:r w:rsidRPr="00A9086C">
        <w:rPr>
          <w:rFonts w:ascii="Arial" w:eastAsia="Times New Roman" w:hAnsi="Arial" w:cs="Arial"/>
          <w:color w:val="222222"/>
          <w:sz w:val="20"/>
          <w:szCs w:val="20"/>
          <w:lang w:val="en-GB"/>
        </w:rPr>
        <w:t>,</w:t>
      </w:r>
    </w:p>
    <w:p w14:paraId="43240174"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57589AB4"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Thanks so much for getting back to me so quickly! We are also on lockdown here - it has s</w:t>
      </w:r>
      <w:r w:rsidRPr="005E1DFC">
        <w:rPr>
          <w:rFonts w:ascii="Arial" w:eastAsia="Times New Roman" w:hAnsi="Arial" w:cs="Arial"/>
          <w:color w:val="222222"/>
          <w:sz w:val="20"/>
          <w:szCs w:val="20"/>
          <w:lang w:val="en-GB"/>
        </w:rPr>
        <w:t>ignificantly</w:t>
      </w:r>
      <w:r w:rsidRPr="00A9086C">
        <w:rPr>
          <w:rFonts w:ascii="Arial" w:eastAsia="Times New Roman" w:hAnsi="Arial" w:cs="Arial"/>
          <w:color w:val="222222"/>
          <w:sz w:val="20"/>
          <w:szCs w:val="20"/>
          <w:lang w:val="en-GB"/>
        </w:rPr>
        <w:t> impacted my research, as I'm sure you can imagine.</w:t>
      </w:r>
    </w:p>
    <w:p w14:paraId="7D33C3E1"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45EE7C6F"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I will definitely add Reuters Media as a source for my dissertation - should I gain access to the relevant material, that was always something that I was planning to do. Do you, perchance, have access to an editorial guide that might help me understand how Reuters tends to use the terms "terrorist" and "terrorism"?</w:t>
      </w:r>
    </w:p>
    <w:p w14:paraId="6928852A"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52898A1A"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As well, I've done some looking into things, and unfortunately, the Royal Military College does not have access to the Factiva database. To that end, any suggestions that you might have that would help me access the relevant articles are greatly appreciated!</w:t>
      </w:r>
    </w:p>
    <w:p w14:paraId="0183EC3A" w14:textId="76334942"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3D0A2C4F" w14:textId="59CC6D2C"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Best regards,</w:t>
      </w:r>
    </w:p>
    <w:p w14:paraId="4A52B83A" w14:textId="482B2D21" w:rsidR="009E4883" w:rsidRPr="00A9086C" w:rsidRDefault="009E4883" w:rsidP="009E4883">
      <w:pPr>
        <w:shd w:val="clear" w:color="auto" w:fill="FFFFFF"/>
        <w:rPr>
          <w:rFonts w:ascii="Arial" w:eastAsia="Times New Roman" w:hAnsi="Arial" w:cs="Arial"/>
          <w:color w:val="222222"/>
          <w:sz w:val="20"/>
          <w:szCs w:val="20"/>
          <w:lang w:val="en-GB"/>
        </w:rPr>
      </w:pPr>
      <w:r>
        <w:rPr>
          <w:noProof/>
        </w:rPr>
        <mc:AlternateContent>
          <mc:Choice Requires="wps">
            <w:drawing>
              <wp:anchor distT="0" distB="0" distL="114300" distR="114300" simplePos="0" relativeHeight="251678720" behindDoc="0" locked="0" layoutInCell="1" allowOverlap="1" wp14:anchorId="0E3972B7" wp14:editId="42CBF8A6">
                <wp:simplePos x="0" y="0"/>
                <wp:positionH relativeFrom="column">
                  <wp:posOffset>-237490</wp:posOffset>
                </wp:positionH>
                <wp:positionV relativeFrom="paragraph">
                  <wp:posOffset>222250</wp:posOffset>
                </wp:positionV>
                <wp:extent cx="6322060" cy="266700"/>
                <wp:effectExtent l="0" t="0" r="2540" b="0"/>
                <wp:wrapNone/>
                <wp:docPr id="1754336760" name="Text Box 1"/>
                <wp:cNvGraphicFramePr/>
                <a:graphic xmlns:a="http://schemas.openxmlformats.org/drawingml/2006/main">
                  <a:graphicData uri="http://schemas.microsoft.com/office/word/2010/wordprocessingShape">
                    <wps:wsp>
                      <wps:cNvSpPr txBox="1"/>
                      <wps:spPr>
                        <a:xfrm>
                          <a:off x="0" y="0"/>
                          <a:ext cx="6322060" cy="266700"/>
                        </a:xfrm>
                        <a:prstGeom prst="rect">
                          <a:avLst/>
                        </a:prstGeom>
                        <a:solidFill>
                          <a:prstClr val="white"/>
                        </a:solidFill>
                        <a:ln>
                          <a:noFill/>
                        </a:ln>
                      </wps:spPr>
                      <wps:txbx>
                        <w:txbxContent>
                          <w:p w14:paraId="5935C8BC" w14:textId="0D6507A5" w:rsidR="009E4883" w:rsidRPr="00850250" w:rsidRDefault="00E214D9" w:rsidP="00C14930">
                            <w:pPr>
                              <w:pStyle w:val="DissertationFigureCaption"/>
                              <w:rPr>
                                <w:rFonts w:eastAsia="Times New Roman"/>
                                <w:noProof/>
                                <w:sz w:val="20"/>
                                <w:szCs w:val="20"/>
                                <w:lang w:val="en-GB"/>
                              </w:rPr>
                            </w:pPr>
                            <w:bookmarkStart w:id="102" w:name="_Toc168415564"/>
                            <w:bookmarkStart w:id="103" w:name="_Toc175413246"/>
                            <w:r>
                              <w:t>Figur</w:t>
                            </w:r>
                            <w:r w:rsidR="00880AD8">
                              <w:t>e</w:t>
                            </w:r>
                            <w:r w:rsidR="009E4883" w:rsidRPr="00850250">
                              <w:t xml:space="preserve"> A1- </w:t>
                            </w:r>
                            <w:fldSimple w:instr=" SEQ Fig._A1- \* ARABIC ">
                              <w:r w:rsidR="00AF1E65">
                                <w:rPr>
                                  <w:noProof/>
                                </w:rPr>
                                <w:t>3</w:t>
                              </w:r>
                            </w:fldSimple>
                            <w:r w:rsidR="00880AD8">
                              <w:rPr>
                                <w:noProof/>
                              </w:rPr>
                              <w:t>:</w:t>
                            </w:r>
                            <w:r w:rsidR="00C14930" w:rsidRPr="00C14930">
                              <w:rPr>
                                <w:u w:val="none"/>
                              </w:rPr>
                              <w:tab/>
                            </w:r>
                            <w:r w:rsidR="009E4883" w:rsidRPr="00C14930">
                              <w:rPr>
                                <w:u w:val="none"/>
                              </w:rPr>
                              <w:t>April 5, 2020 Email Response to Reuters Archivist</w:t>
                            </w:r>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0E3972B7" id="_x0000_s1030" type="#_x0000_t202" style="position:absolute;margin-left:-18.7pt;margin-top:17.5pt;width:497.8pt;height:2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" stroked="f">
                <v:textbox inset="0,0,0,0">
                  <w:txbxContent>
                    <w:p w14:paraId="5935C8BC" w14:textId="0D6507A5" w:rsidR="009E4883" w:rsidRPr="00850250" w:rsidRDefault="00E214D9" w:rsidP="00C14930">
                      <w:pPr>
                        <w:pStyle w:val="DissertationFigureCaption"/>
                        <w:rPr>
                          <w:rFonts w:eastAsia="Times New Roman"/>
                          <w:noProof/>
                          <w:sz w:val="20"/>
                          <w:szCs w:val="20"/>
                          <w:lang w:val="en-GB"/>
                        </w:rPr>
                      </w:pPr>
                      <w:bookmarkStart w:id="113" w:name="_Toc168415564"/>
                      <w:bookmarkStart w:id="114" w:name="_Toc175413246"/>
                      <w:r>
                        <w:t>Figur</w:t>
                      </w:r>
                      <w:r w:rsidR="00880AD8">
                        <w:t>e</w:t>
                      </w:r>
                      <w:r w:rsidR="009E4883" w:rsidRPr="00850250">
                        <w:t xml:space="preserve"> A1- </w:t>
                      </w:r>
                      <w:r w:rsidR="00000000">
                        <w:fldChar w:fldCharType="begin"/>
                      </w:r>
                      <w:r w:rsidR="00000000">
                        <w:instrText xml:space="preserve"> SEQ Fig._A1- \* ARABIC </w:instrText>
                      </w:r>
                      <w:r w:rsidR="00000000">
                        <w:fldChar w:fldCharType="separate"/>
                      </w:r>
                      <w:r w:rsidR="00AF1E65">
                        <w:rPr>
                          <w:noProof/>
                        </w:rPr>
                        <w:t>3</w:t>
                      </w:r>
                      <w:r w:rsidR="00000000">
                        <w:rPr>
                          <w:noProof/>
                        </w:rPr>
                        <w:fldChar w:fldCharType="end"/>
                      </w:r>
                      <w:r w:rsidR="00880AD8">
                        <w:rPr>
                          <w:noProof/>
                        </w:rPr>
                        <w:t>:</w:t>
                      </w:r>
                      <w:r w:rsidR="00C14930" w:rsidRPr="00C14930">
                        <w:rPr>
                          <w:u w:val="none"/>
                        </w:rPr>
                        <w:tab/>
                      </w:r>
                      <w:r w:rsidR="009E4883" w:rsidRPr="00C14930">
                        <w:rPr>
                          <w:u w:val="none"/>
                        </w:rPr>
                        <w:t>April 5, 2020 Email Response to Reuters Archivist</w:t>
                      </w:r>
                      <w:bookmarkEnd w:id="113"/>
                      <w:bookmarkEnd w:id="114"/>
                    </w:p>
                  </w:txbxContent>
                </v:textbox>
              </v:shape>
            </w:pict>
          </mc:Fallback>
        </mc:AlternateContent>
      </w:r>
      <w:r w:rsidRPr="00A9086C">
        <w:rPr>
          <w:rFonts w:ascii="Arial" w:eastAsia="Times New Roman" w:hAnsi="Arial" w:cs="Arial"/>
          <w:color w:val="222222"/>
          <w:sz w:val="20"/>
          <w:szCs w:val="20"/>
          <w:lang w:val="en-GB"/>
        </w:rPr>
        <w:t>Eliana Glogauer</w:t>
      </w:r>
    </w:p>
    <w:p w14:paraId="33C794F6" w14:textId="71D916AF" w:rsidR="009E4883" w:rsidRDefault="009E4883" w:rsidP="009E4883">
      <w:pPr>
        <w:shd w:val="clear" w:color="auto" w:fill="FFFFFF"/>
        <w:rPr>
          <w:rFonts w:ascii="Arial" w:eastAsia="Times New Roman" w:hAnsi="Arial" w:cs="Arial"/>
          <w:color w:val="222222"/>
          <w:sz w:val="20"/>
          <w:szCs w:val="20"/>
          <w:lang w:val="en-GB"/>
        </w:rPr>
      </w:pPr>
    </w:p>
    <w:p w14:paraId="5BB63A61" w14:textId="04979087" w:rsidR="009E4883" w:rsidRPr="009E4883" w:rsidRDefault="009E4883" w:rsidP="009E4883">
      <w:pPr>
        <w:shd w:val="clear" w:color="auto" w:fill="FFFFFF"/>
        <w:rPr>
          <w:rFonts w:ascii="Arial" w:eastAsia="Times New Roman" w:hAnsi="Arial" w:cs="Arial"/>
          <w:color w:val="222222"/>
          <w:sz w:val="20"/>
          <w:szCs w:val="20"/>
          <w:lang w:val="en-GB"/>
        </w:rPr>
      </w:pPr>
      <w:r>
        <w:rPr>
          <w:rFonts w:ascii="Arial" w:eastAsia="Times New Roman" w:hAnsi="Arial" w:cs="Arial"/>
          <w:noProof/>
          <w:color w:val="222222"/>
          <w:sz w:val="20"/>
          <w:szCs w:val="20"/>
        </w:rPr>
        <mc:AlternateContent>
          <mc:Choice Requires="wps">
            <w:drawing>
              <wp:anchor distT="0" distB="0" distL="114300" distR="114300" simplePos="0" relativeHeight="251673600" behindDoc="0" locked="0" layoutInCell="1" allowOverlap="1" wp14:anchorId="14CAD91E" wp14:editId="249D3D08">
                <wp:simplePos x="0" y="0"/>
                <wp:positionH relativeFrom="column">
                  <wp:posOffset>-135890</wp:posOffset>
                </wp:positionH>
                <wp:positionV relativeFrom="paragraph">
                  <wp:posOffset>120650</wp:posOffset>
                </wp:positionV>
                <wp:extent cx="6252210" cy="3619500"/>
                <wp:effectExtent l="0" t="0" r="8890" b="12700"/>
                <wp:wrapNone/>
                <wp:docPr id="917835181" name="Rectangle 5"/>
                <wp:cNvGraphicFramePr/>
                <a:graphic xmlns:a="http://schemas.openxmlformats.org/drawingml/2006/main">
                  <a:graphicData uri="http://schemas.microsoft.com/office/word/2010/wordprocessingShape">
                    <wps:wsp>
                      <wps:cNvSpPr/>
                      <wps:spPr>
                        <a:xfrm>
                          <a:off x="0" y="0"/>
                          <a:ext cx="6252210" cy="3619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5B28ACD" id="Rectangle 5" o:spid="_x0000_s1026" style="position:absolute;margin-left:-10.7pt;margin-top:9.5pt;width:492.3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" filled="f" strokecolor="black [3213]" strokeweight="1pt"/>
            </w:pict>
          </mc:Fallback>
        </mc:AlternateContent>
      </w:r>
    </w:p>
    <w:p w14:paraId="78EA9332" w14:textId="77777777" w:rsidR="009E4883" w:rsidRPr="00A9086C" w:rsidRDefault="009E4883" w:rsidP="009E4883">
      <w:pPr>
        <w:rPr>
          <w:rFonts w:ascii="Arial" w:eastAsia="Times New Roman" w:hAnsi="Arial" w:cs="Arial"/>
          <w:b/>
          <w:bCs/>
          <w:color w:val="222222"/>
          <w:sz w:val="20"/>
          <w:szCs w:val="20"/>
          <w:lang w:val="en-US"/>
        </w:rPr>
      </w:pPr>
      <w:r w:rsidRPr="00A9086C">
        <w:rPr>
          <w:rFonts w:ascii="Arial" w:eastAsia="Times New Roman" w:hAnsi="Arial" w:cs="Arial"/>
          <w:color w:val="222222"/>
          <w:sz w:val="20"/>
          <w:szCs w:val="20"/>
        </w:rPr>
        <w:t xml:space="preserve">On Tue, Apr 7, 2020 at 9:26 AM </w:t>
      </w:r>
      <w:r w:rsidRPr="00A9086C">
        <w:rPr>
          <w:rFonts w:ascii="Arial" w:eastAsia="Times New Roman" w:hAnsi="Arial" w:cs="Arial"/>
          <w:color w:val="000000" w:themeColor="text1"/>
          <w:sz w:val="20"/>
          <w:szCs w:val="20"/>
          <w:highlight w:val="black"/>
        </w:rPr>
        <w:t>Cutler, David &lt;D.Cutler@thomsonreuters.com&gt;</w:t>
      </w:r>
      <w:r w:rsidRPr="00A9086C">
        <w:rPr>
          <w:rFonts w:ascii="Arial" w:eastAsia="Times New Roman" w:hAnsi="Arial" w:cs="Arial"/>
          <w:color w:val="000000" w:themeColor="text1"/>
          <w:sz w:val="20"/>
          <w:szCs w:val="20"/>
        </w:rPr>
        <w:t xml:space="preserve"> </w:t>
      </w:r>
      <w:r w:rsidRPr="00A9086C">
        <w:rPr>
          <w:rFonts w:ascii="Arial" w:eastAsia="Times New Roman" w:hAnsi="Arial" w:cs="Arial"/>
          <w:color w:val="222222"/>
          <w:sz w:val="20"/>
          <w:szCs w:val="20"/>
        </w:rPr>
        <w:t>wrote:</w:t>
      </w:r>
    </w:p>
    <w:p w14:paraId="5A1DDDF2" w14:textId="77777777" w:rsidR="009E4883" w:rsidRPr="005E1DFC" w:rsidRDefault="009E4883" w:rsidP="009E4883">
      <w:pPr>
        <w:shd w:val="clear" w:color="auto" w:fill="FFFFFF"/>
        <w:rPr>
          <w:rFonts w:ascii="Arial" w:eastAsia="Times New Roman" w:hAnsi="Arial" w:cs="Arial"/>
          <w:color w:val="222222"/>
          <w:sz w:val="20"/>
          <w:szCs w:val="20"/>
          <w:lang w:val="en-GB"/>
        </w:rPr>
      </w:pPr>
    </w:p>
    <w:p w14:paraId="46D885A0"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Dear Eliana</w:t>
      </w:r>
    </w:p>
    <w:p w14:paraId="7B8B1680"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21EB225D"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Thanks for your mail.</w:t>
      </w:r>
    </w:p>
    <w:p w14:paraId="549218FC"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03D5552A"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Sadly</w:t>
      </w:r>
      <w:r w:rsidRPr="005E1DFC">
        <w:rPr>
          <w:rFonts w:ascii="Arial" w:eastAsia="Times New Roman" w:hAnsi="Arial" w:cs="Arial"/>
          <w:color w:val="222222"/>
          <w:sz w:val="20"/>
          <w:szCs w:val="20"/>
          <w:lang w:val="en-GB"/>
        </w:rPr>
        <w:t>,</w:t>
      </w:r>
      <w:r w:rsidRPr="00A9086C">
        <w:rPr>
          <w:rFonts w:ascii="Arial" w:eastAsia="Times New Roman" w:hAnsi="Arial" w:cs="Arial"/>
          <w:color w:val="222222"/>
          <w:sz w:val="20"/>
          <w:szCs w:val="20"/>
          <w:lang w:val="en-GB"/>
        </w:rPr>
        <w:t xml:space="preserve"> I do not have access at the moment to the style guidelines and all may have changed anyway.</w:t>
      </w:r>
    </w:p>
    <w:p w14:paraId="2A30E907"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316870EF"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Is there not a university library or public library that you use that may also subscribe to the Factiva database. My thinking was that you may find examples of usage just by searching on the relevant words.</w:t>
      </w:r>
    </w:p>
    <w:p w14:paraId="0EC14DEE" w14:textId="6AF8EEF3"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28D7536B"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In the meantime</w:t>
      </w:r>
      <w:r w:rsidRPr="005E1DFC">
        <w:rPr>
          <w:rFonts w:ascii="Arial" w:eastAsia="Times New Roman" w:hAnsi="Arial" w:cs="Arial"/>
          <w:color w:val="222222"/>
          <w:sz w:val="20"/>
          <w:szCs w:val="20"/>
          <w:lang w:val="en-GB"/>
        </w:rPr>
        <w:t>,</w:t>
      </w:r>
      <w:r w:rsidRPr="00A9086C">
        <w:rPr>
          <w:rFonts w:ascii="Arial" w:eastAsia="Times New Roman" w:hAnsi="Arial" w:cs="Arial"/>
          <w:color w:val="222222"/>
          <w:sz w:val="20"/>
          <w:szCs w:val="20"/>
          <w:lang w:val="en-GB"/>
        </w:rPr>
        <w:t xml:space="preserve"> let me have a look and I will get back to you later this week or early next.</w:t>
      </w:r>
    </w:p>
    <w:p w14:paraId="67A7ECF0" w14:textId="77777777"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 </w:t>
      </w:r>
    </w:p>
    <w:p w14:paraId="2B1AB4C2" w14:textId="28536090" w:rsidR="009E4883" w:rsidRPr="00A9086C" w:rsidRDefault="009E4883" w:rsidP="009E4883">
      <w:pPr>
        <w:shd w:val="clear" w:color="auto" w:fill="FFFFFF"/>
        <w:rPr>
          <w:rFonts w:ascii="Arial" w:eastAsia="Times New Roman" w:hAnsi="Arial" w:cs="Arial"/>
          <w:color w:val="222222"/>
          <w:sz w:val="20"/>
          <w:szCs w:val="20"/>
          <w:lang w:val="en-GB"/>
        </w:rPr>
      </w:pPr>
      <w:r w:rsidRPr="00A9086C">
        <w:rPr>
          <w:rFonts w:ascii="Arial" w:eastAsia="Times New Roman" w:hAnsi="Arial" w:cs="Arial"/>
          <w:color w:val="222222"/>
          <w:sz w:val="20"/>
          <w:szCs w:val="20"/>
          <w:lang w:val="en-GB"/>
        </w:rPr>
        <w:t>With kind regards</w:t>
      </w:r>
      <w:r>
        <w:rPr>
          <w:rFonts w:ascii="Arial" w:eastAsia="Times New Roman" w:hAnsi="Arial" w:cs="Arial"/>
          <w:color w:val="222222"/>
          <w:sz w:val="20"/>
          <w:szCs w:val="20"/>
          <w:lang w:val="en-GB"/>
        </w:rPr>
        <w:t>,</w:t>
      </w:r>
    </w:p>
    <w:p w14:paraId="45DA9D64" w14:textId="6562B435" w:rsidR="009E4883" w:rsidRPr="009E4883" w:rsidRDefault="009E4883" w:rsidP="009E4883">
      <w:pPr>
        <w:shd w:val="clear" w:color="auto" w:fill="FFFFFF"/>
        <w:rPr>
          <w:rFonts w:ascii="Arial" w:eastAsia="Times New Roman" w:hAnsi="Arial" w:cs="Arial"/>
          <w:color w:val="000000" w:themeColor="text1"/>
          <w:sz w:val="20"/>
          <w:szCs w:val="20"/>
          <w:lang w:val="en-GB"/>
        </w:rPr>
      </w:pPr>
      <w:r>
        <w:rPr>
          <w:noProof/>
        </w:rPr>
        <mc:AlternateContent>
          <mc:Choice Requires="wps">
            <w:drawing>
              <wp:anchor distT="0" distB="0" distL="114300" distR="114300" simplePos="0" relativeHeight="251682816" behindDoc="0" locked="0" layoutInCell="1" allowOverlap="1" wp14:anchorId="792BCBF5" wp14:editId="35492B07">
                <wp:simplePos x="0" y="0"/>
                <wp:positionH relativeFrom="column">
                  <wp:posOffset>-138430</wp:posOffset>
                </wp:positionH>
                <wp:positionV relativeFrom="paragraph">
                  <wp:posOffset>251460</wp:posOffset>
                </wp:positionV>
                <wp:extent cx="6252210" cy="635"/>
                <wp:effectExtent l="0" t="0" r="8890" b="8255"/>
                <wp:wrapNone/>
                <wp:docPr id="1196224976" name="Text Box 1"/>
                <wp:cNvGraphicFramePr/>
                <a:graphic xmlns:a="http://schemas.openxmlformats.org/drawingml/2006/main">
                  <a:graphicData uri="http://schemas.microsoft.com/office/word/2010/wordprocessingShape">
                    <wps:wsp>
                      <wps:cNvSpPr txBox="1"/>
                      <wps:spPr>
                        <a:xfrm>
                          <a:off x="0" y="0"/>
                          <a:ext cx="6252210" cy="635"/>
                        </a:xfrm>
                        <a:prstGeom prst="rect">
                          <a:avLst/>
                        </a:prstGeom>
                        <a:noFill/>
                        <a:ln>
                          <a:noFill/>
                        </a:ln>
                      </wps:spPr>
                      <wps:txbx>
                        <w:txbxContent>
                          <w:p w14:paraId="4F539D6B" w14:textId="77E2ECE0" w:rsidR="009E4883" w:rsidRPr="00850250" w:rsidRDefault="009E4883" w:rsidP="00C14930">
                            <w:pPr>
                              <w:pStyle w:val="DissertationFigureCaption"/>
                              <w:rPr>
                                <w:rFonts w:eastAsia="Times New Roman"/>
                                <w:noProof/>
                                <w:sz w:val="20"/>
                                <w:szCs w:val="20"/>
                              </w:rPr>
                            </w:pPr>
                            <w:bookmarkStart w:id="104" w:name="_Toc168415565"/>
                            <w:bookmarkStart w:id="105" w:name="_Toc175413247"/>
                            <w:r w:rsidRPr="00850250">
                              <w:t>Fig</w:t>
                            </w:r>
                            <w:r w:rsidR="00E214D9">
                              <w:t>ure</w:t>
                            </w:r>
                            <w:r w:rsidRPr="00850250">
                              <w:t xml:space="preserve"> A1- </w:t>
                            </w:r>
                            <w:r>
                              <w:t>4</w:t>
                            </w:r>
                            <w:r w:rsidR="00880AD8">
                              <w:t>:</w:t>
                            </w:r>
                            <w:r w:rsidR="00C14930" w:rsidRPr="00C14930">
                              <w:rPr>
                                <w:u w:val="none"/>
                              </w:rPr>
                              <w:tab/>
                            </w:r>
                            <w:r w:rsidRPr="00C14930">
                              <w:rPr>
                                <w:u w:val="none"/>
                              </w:rPr>
                              <w:t xml:space="preserve"> April 7, 2020 Email Response from Reuters Archivist</w:t>
                            </w:r>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792BCBF5" id="_x0000_s1031" type="#_x0000_t202" style="position:absolute;margin-left:-10.9pt;margin-top:19.8pt;width:492.3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" filled="f" stroked="f">
                <v:textbox style="mso-fit-shape-to-text:t" inset="0,0,0,0">
                  <w:txbxContent>
                    <w:p w14:paraId="4F539D6B" w14:textId="77E2ECE0" w:rsidR="009E4883" w:rsidRPr="00850250" w:rsidRDefault="009E4883" w:rsidP="00C14930">
                      <w:pPr>
                        <w:pStyle w:val="DissertationFigureCaption"/>
                        <w:rPr>
                          <w:rFonts w:eastAsia="Times New Roman"/>
                          <w:noProof/>
                          <w:sz w:val="20"/>
                          <w:szCs w:val="20"/>
                        </w:rPr>
                      </w:pPr>
                      <w:bookmarkStart w:id="117" w:name="_Toc168415565"/>
                      <w:bookmarkStart w:id="118" w:name="_Toc175413247"/>
                      <w:r w:rsidRPr="00850250">
                        <w:t>Fig</w:t>
                      </w:r>
                      <w:r w:rsidR="00E214D9">
                        <w:t>ure</w:t>
                      </w:r>
                      <w:r w:rsidRPr="00850250">
                        <w:t xml:space="preserve"> A1- </w:t>
                      </w:r>
                      <w:r>
                        <w:t>4</w:t>
                      </w:r>
                      <w:r w:rsidR="00880AD8">
                        <w:t>:</w:t>
                      </w:r>
                      <w:r w:rsidR="00C14930" w:rsidRPr="00C14930">
                        <w:rPr>
                          <w:u w:val="none"/>
                        </w:rPr>
                        <w:tab/>
                      </w:r>
                      <w:r w:rsidRPr="00C14930">
                        <w:rPr>
                          <w:u w:val="none"/>
                        </w:rPr>
                        <w:t xml:space="preserve"> April 7, 2020 Email Response from Reuters Archivist</w:t>
                      </w:r>
                      <w:bookmarkEnd w:id="117"/>
                      <w:bookmarkEnd w:id="118"/>
                    </w:p>
                  </w:txbxContent>
                </v:textbox>
              </v:shape>
            </w:pict>
          </mc:Fallback>
        </mc:AlternateContent>
      </w:r>
      <w:r w:rsidRPr="00A9086C">
        <w:rPr>
          <w:rFonts w:ascii="Arial" w:eastAsia="Times New Roman" w:hAnsi="Arial" w:cs="Arial"/>
          <w:color w:val="000000" w:themeColor="text1"/>
          <w:sz w:val="20"/>
          <w:szCs w:val="20"/>
          <w:highlight w:val="black"/>
          <w:lang w:val="en-GB"/>
        </w:rPr>
        <w:t>David</w:t>
      </w:r>
    </w:p>
    <w:p w14:paraId="6ED4D5E0" w14:textId="77777777" w:rsidR="009E4883" w:rsidRPr="005E1DFC" w:rsidRDefault="009E4883" w:rsidP="009E4883">
      <w:pPr>
        <w:pStyle w:val="DissertationSection2"/>
      </w:pPr>
      <w:bookmarkStart w:id="106" w:name="_Toc175413176"/>
      <w:r w:rsidRPr="005E1DFC">
        <w:lastRenderedPageBreak/>
        <w:t>Correspondence with Staff at the AP Archive (March 30, 2020 and April 7, 2020)</w:t>
      </w:r>
      <w:bookmarkEnd w:id="106"/>
    </w:p>
    <w:p w14:paraId="761DD654" w14:textId="5FAB2E70" w:rsidR="009E4883" w:rsidRPr="005E1DFC" w:rsidRDefault="009E4883" w:rsidP="009E4883">
      <w:pPr>
        <w:rPr>
          <w:rFonts w:ascii="Arial" w:eastAsia="Times New Roman" w:hAnsi="Arial" w:cs="Arial"/>
          <w:color w:val="222222"/>
          <w:sz w:val="20"/>
          <w:szCs w:val="20"/>
        </w:rPr>
      </w:pPr>
      <w:r>
        <w:rPr>
          <w:rFonts w:ascii="Arial" w:eastAsia="Times New Roman" w:hAnsi="Arial" w:cs="Arial"/>
          <w:noProof/>
          <w:color w:val="222222"/>
          <w:sz w:val="20"/>
          <w:szCs w:val="20"/>
        </w:rPr>
        <mc:AlternateContent>
          <mc:Choice Requires="wps">
            <w:drawing>
              <wp:anchor distT="0" distB="0" distL="114300" distR="114300" simplePos="0" relativeHeight="251674624" behindDoc="0" locked="0" layoutInCell="1" allowOverlap="1" wp14:anchorId="07929BC1" wp14:editId="209D639D">
                <wp:simplePos x="0" y="0"/>
                <wp:positionH relativeFrom="column">
                  <wp:posOffset>-161290</wp:posOffset>
                </wp:positionH>
                <wp:positionV relativeFrom="paragraph">
                  <wp:posOffset>93345</wp:posOffset>
                </wp:positionV>
                <wp:extent cx="6251575" cy="6134100"/>
                <wp:effectExtent l="0" t="0" r="9525" b="12700"/>
                <wp:wrapNone/>
                <wp:docPr id="1519073623" name="Rectangle 6"/>
                <wp:cNvGraphicFramePr/>
                <a:graphic xmlns:a="http://schemas.openxmlformats.org/drawingml/2006/main">
                  <a:graphicData uri="http://schemas.microsoft.com/office/word/2010/wordprocessingShape">
                    <wps:wsp>
                      <wps:cNvSpPr/>
                      <wps:spPr>
                        <a:xfrm>
                          <a:off x="0" y="0"/>
                          <a:ext cx="6251575" cy="6134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02A478F" id="Rectangle 6" o:spid="_x0000_s1026" style="position:absolute;margin-left:-12.7pt;margin-top:7.35pt;width:492.25pt;height:4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" filled="f" strokecolor="black [3213]" strokeweight="1pt"/>
            </w:pict>
          </mc:Fallback>
        </mc:AlternateContent>
      </w:r>
      <w:r w:rsidRPr="00373C16">
        <w:rPr>
          <w:rFonts w:ascii="Arial" w:eastAsia="Times New Roman" w:hAnsi="Arial" w:cs="Arial"/>
          <w:color w:val="222222"/>
          <w:sz w:val="20"/>
          <w:szCs w:val="20"/>
        </w:rPr>
        <w:br/>
        <w:t xml:space="preserve">On Sun, Mar 29, 2020 at 7:04 PM Eliana Glogauer </w:t>
      </w:r>
      <w:r w:rsidRPr="00373C16">
        <w:rPr>
          <w:rFonts w:ascii="Arial" w:eastAsia="Times New Roman" w:hAnsi="Arial" w:cs="Arial"/>
          <w:color w:val="000000" w:themeColor="text1"/>
          <w:sz w:val="20"/>
          <w:szCs w:val="20"/>
          <w:highlight w:val="black"/>
        </w:rPr>
        <w:t>&lt;glogauer.eliana@gmail.com&gt;</w:t>
      </w:r>
      <w:r w:rsidRPr="00373C16">
        <w:rPr>
          <w:rFonts w:ascii="Arial" w:eastAsia="Times New Roman" w:hAnsi="Arial" w:cs="Arial"/>
          <w:color w:val="000000" w:themeColor="text1"/>
          <w:sz w:val="20"/>
          <w:szCs w:val="20"/>
        </w:rPr>
        <w:t xml:space="preserve"> </w:t>
      </w:r>
      <w:r w:rsidRPr="00373C16">
        <w:rPr>
          <w:rFonts w:ascii="Arial" w:eastAsia="Times New Roman" w:hAnsi="Arial" w:cs="Arial"/>
          <w:color w:val="222222"/>
          <w:sz w:val="20"/>
          <w:szCs w:val="20"/>
        </w:rPr>
        <w:t>wrote:</w:t>
      </w:r>
    </w:p>
    <w:p w14:paraId="71B43A57" w14:textId="77777777" w:rsidR="009E4883" w:rsidRPr="00373C16" w:rsidRDefault="009E4883" w:rsidP="009E4883">
      <w:pPr>
        <w:rPr>
          <w:rFonts w:ascii="Arial" w:eastAsia="Times New Roman" w:hAnsi="Arial" w:cs="Arial"/>
          <w:color w:val="222222"/>
          <w:sz w:val="20"/>
          <w:szCs w:val="20"/>
        </w:rPr>
      </w:pPr>
    </w:p>
    <w:p w14:paraId="2A2F161D" w14:textId="77777777" w:rsidR="009E4883" w:rsidRPr="00373C16" w:rsidRDefault="009E4883" w:rsidP="009E4883">
      <w:pPr>
        <w:rPr>
          <w:rFonts w:ascii="Arial" w:eastAsia="Times New Roman" w:hAnsi="Arial" w:cs="Arial"/>
          <w:color w:val="222222"/>
          <w:sz w:val="20"/>
          <w:szCs w:val="20"/>
        </w:rPr>
      </w:pPr>
      <w:r w:rsidRPr="00373C16">
        <w:rPr>
          <w:rFonts w:ascii="Arial" w:eastAsia="Times New Roman" w:hAnsi="Arial" w:cs="Arial"/>
          <w:color w:val="222222"/>
          <w:sz w:val="20"/>
          <w:szCs w:val="20"/>
        </w:rPr>
        <w:t>To Whom It May Concern,</w:t>
      </w:r>
    </w:p>
    <w:p w14:paraId="6B702FC6" w14:textId="77777777" w:rsidR="009E4883" w:rsidRPr="00373C16" w:rsidRDefault="009E4883" w:rsidP="009E4883">
      <w:pPr>
        <w:rPr>
          <w:rFonts w:ascii="Arial" w:eastAsia="Times New Roman" w:hAnsi="Arial" w:cs="Arial"/>
          <w:color w:val="222222"/>
          <w:sz w:val="20"/>
          <w:szCs w:val="20"/>
        </w:rPr>
      </w:pPr>
    </w:p>
    <w:p w14:paraId="49E5A595" w14:textId="77777777" w:rsidR="009E4883" w:rsidRPr="00373C16" w:rsidRDefault="009E4883" w:rsidP="009E4883">
      <w:pPr>
        <w:rPr>
          <w:rFonts w:ascii="Arial" w:eastAsia="Times New Roman" w:hAnsi="Arial" w:cs="Arial"/>
          <w:color w:val="222222"/>
          <w:sz w:val="20"/>
          <w:szCs w:val="20"/>
        </w:rPr>
      </w:pPr>
      <w:r w:rsidRPr="00373C16">
        <w:rPr>
          <w:rFonts w:ascii="Arial" w:eastAsia="Times New Roman" w:hAnsi="Arial" w:cs="Arial"/>
          <w:color w:val="222222"/>
          <w:sz w:val="20"/>
          <w:szCs w:val="20"/>
        </w:rPr>
        <w:t>I am a Ph.D. candidate in War Studies at the Royal Military College of Canada. My dissertation analyzes how terrorism succeeds by suggesting that media coverage and framing of terrorism has an effect on state legitimacy.</w:t>
      </w:r>
    </w:p>
    <w:p w14:paraId="0A0E1947" w14:textId="77777777" w:rsidR="009E4883" w:rsidRPr="00373C16" w:rsidRDefault="009E4883" w:rsidP="009E4883">
      <w:pPr>
        <w:rPr>
          <w:rFonts w:ascii="Arial" w:eastAsia="Times New Roman" w:hAnsi="Arial" w:cs="Arial"/>
          <w:color w:val="222222"/>
          <w:sz w:val="20"/>
          <w:szCs w:val="20"/>
        </w:rPr>
      </w:pPr>
    </w:p>
    <w:p w14:paraId="59EC6B98" w14:textId="77777777" w:rsidR="009E4883" w:rsidRPr="00373C16" w:rsidRDefault="009E4883" w:rsidP="009E4883">
      <w:pPr>
        <w:rPr>
          <w:rFonts w:ascii="Arial" w:eastAsia="Times New Roman" w:hAnsi="Arial" w:cs="Arial"/>
          <w:color w:val="222222"/>
          <w:sz w:val="20"/>
          <w:szCs w:val="20"/>
        </w:rPr>
      </w:pPr>
      <w:r w:rsidRPr="00373C16">
        <w:rPr>
          <w:rFonts w:ascii="Arial" w:eastAsia="Times New Roman" w:hAnsi="Arial" w:cs="Arial"/>
          <w:color w:val="222222"/>
          <w:sz w:val="20"/>
          <w:szCs w:val="20"/>
        </w:rPr>
        <w:t>In order to complete my dissertation research, I am looking to access your print article archives in order to run keyword searches on articles published between 1969 and 2017. Specifically, I am looking to ascertain how many articles and news bulletins relating to terrorism and terrorist activity were published for every year of my study, as well as how many articles and news bulletins were published in total for every year of my study.</w:t>
      </w:r>
    </w:p>
    <w:p w14:paraId="5DE885E7" w14:textId="77777777" w:rsidR="009E4883" w:rsidRPr="00373C16" w:rsidRDefault="009E4883" w:rsidP="009E4883">
      <w:pPr>
        <w:rPr>
          <w:rFonts w:ascii="Arial" w:eastAsia="Times New Roman" w:hAnsi="Arial" w:cs="Arial"/>
          <w:color w:val="222222"/>
          <w:sz w:val="20"/>
          <w:szCs w:val="20"/>
        </w:rPr>
      </w:pPr>
    </w:p>
    <w:p w14:paraId="3C65C709" w14:textId="77777777" w:rsidR="009E4883" w:rsidRPr="00373C16" w:rsidRDefault="009E4883" w:rsidP="009E4883">
      <w:pPr>
        <w:shd w:val="clear" w:color="auto" w:fill="FFFFFF"/>
        <w:rPr>
          <w:rFonts w:ascii="Arial" w:eastAsia="Times New Roman" w:hAnsi="Arial" w:cs="Arial"/>
          <w:color w:val="222222"/>
          <w:sz w:val="20"/>
          <w:szCs w:val="20"/>
          <w:lang w:val="en-GB"/>
        </w:rPr>
      </w:pPr>
      <w:r w:rsidRPr="00373C16">
        <w:rPr>
          <w:rFonts w:ascii="Arial" w:eastAsia="Times New Roman" w:hAnsi="Arial" w:cs="Arial"/>
          <w:color w:val="222222"/>
          <w:sz w:val="20"/>
          <w:szCs w:val="20"/>
        </w:rPr>
        <w:t>How can I facilitate the type of access to your archives that I would need in order to gain access to this data</w:t>
      </w:r>
      <w:r w:rsidRPr="005E1DFC">
        <w:rPr>
          <w:rFonts w:ascii="Arial" w:eastAsia="Times New Roman" w:hAnsi="Arial" w:cs="Arial"/>
          <w:color w:val="222222"/>
          <w:sz w:val="20"/>
          <w:szCs w:val="20"/>
        </w:rPr>
        <w:t xml:space="preserve">, </w:t>
      </w:r>
      <w:r w:rsidRPr="005E1DFC">
        <w:rPr>
          <w:rFonts w:ascii="Helvetica" w:eastAsia="Times New Roman" w:hAnsi="Helvetica" w:cs="Arial"/>
          <w:color w:val="222222"/>
          <w:sz w:val="20"/>
          <w:szCs w:val="20"/>
          <w:lang w:val="en-GB"/>
        </w:rPr>
        <w:t>given the restrictions associated with COVID-19</w:t>
      </w:r>
      <w:r w:rsidRPr="00A9086C">
        <w:rPr>
          <w:rFonts w:ascii="Helvetica" w:eastAsia="Times New Roman" w:hAnsi="Helvetica" w:cs="Arial"/>
          <w:color w:val="222222"/>
          <w:sz w:val="20"/>
          <w:szCs w:val="20"/>
          <w:lang w:val="en-GB"/>
        </w:rPr>
        <w:t>?</w:t>
      </w:r>
    </w:p>
    <w:p w14:paraId="27916F20" w14:textId="77777777" w:rsidR="009E4883" w:rsidRPr="00373C16" w:rsidRDefault="009E4883" w:rsidP="009E4883">
      <w:pPr>
        <w:rPr>
          <w:rFonts w:ascii="Arial" w:eastAsia="Times New Roman" w:hAnsi="Arial" w:cs="Arial"/>
          <w:color w:val="222222"/>
          <w:sz w:val="20"/>
          <w:szCs w:val="20"/>
        </w:rPr>
      </w:pPr>
    </w:p>
    <w:p w14:paraId="1160E3B6" w14:textId="77777777" w:rsidR="009E4883" w:rsidRPr="00373C16" w:rsidRDefault="009E4883" w:rsidP="009E4883">
      <w:pPr>
        <w:rPr>
          <w:rFonts w:ascii="Arial" w:eastAsia="Times New Roman" w:hAnsi="Arial" w:cs="Arial"/>
          <w:color w:val="222222"/>
          <w:sz w:val="20"/>
          <w:szCs w:val="20"/>
        </w:rPr>
      </w:pPr>
      <w:r w:rsidRPr="00373C16">
        <w:rPr>
          <w:rFonts w:ascii="Arial" w:eastAsia="Times New Roman" w:hAnsi="Arial" w:cs="Arial"/>
          <w:color w:val="222222"/>
          <w:sz w:val="20"/>
          <w:szCs w:val="20"/>
        </w:rPr>
        <w:t>Thank you, and looking forward to hearing from you.</w:t>
      </w:r>
    </w:p>
    <w:p w14:paraId="4D0C82BA" w14:textId="77777777" w:rsidR="009E4883" w:rsidRPr="00373C16" w:rsidRDefault="009E4883" w:rsidP="009E4883">
      <w:pPr>
        <w:rPr>
          <w:rFonts w:ascii="Arial" w:eastAsia="Times New Roman" w:hAnsi="Arial" w:cs="Arial"/>
          <w:color w:val="222222"/>
          <w:sz w:val="20"/>
          <w:szCs w:val="20"/>
        </w:rPr>
      </w:pPr>
    </w:p>
    <w:p w14:paraId="73FFE997" w14:textId="77777777" w:rsidR="009E4883" w:rsidRPr="00373C16" w:rsidRDefault="009E4883" w:rsidP="009E4883">
      <w:pPr>
        <w:rPr>
          <w:rFonts w:ascii="Arial" w:eastAsia="Times New Roman" w:hAnsi="Arial" w:cs="Arial"/>
          <w:color w:val="222222"/>
          <w:sz w:val="20"/>
          <w:szCs w:val="20"/>
        </w:rPr>
      </w:pPr>
      <w:r w:rsidRPr="00373C16">
        <w:rPr>
          <w:rFonts w:ascii="Arial" w:eastAsia="Times New Roman" w:hAnsi="Arial" w:cs="Arial"/>
          <w:color w:val="222222"/>
          <w:sz w:val="20"/>
          <w:szCs w:val="20"/>
        </w:rPr>
        <w:t>Best regards,</w:t>
      </w:r>
    </w:p>
    <w:p w14:paraId="3BB145C2" w14:textId="77777777" w:rsidR="009E4883" w:rsidRPr="00373C16" w:rsidRDefault="009E4883" w:rsidP="009E4883">
      <w:pPr>
        <w:rPr>
          <w:rFonts w:ascii="Arial" w:eastAsia="Times New Roman" w:hAnsi="Arial" w:cs="Arial"/>
          <w:color w:val="222222"/>
          <w:sz w:val="20"/>
          <w:szCs w:val="20"/>
        </w:rPr>
      </w:pPr>
    </w:p>
    <w:p w14:paraId="1ACDFFB7" w14:textId="77777777" w:rsidR="009E4883" w:rsidRPr="00373C16" w:rsidRDefault="009E4883" w:rsidP="009E4883">
      <w:pPr>
        <w:rPr>
          <w:rFonts w:ascii="Arial" w:eastAsia="Times New Roman" w:hAnsi="Arial" w:cs="Arial"/>
          <w:color w:val="222222"/>
          <w:sz w:val="20"/>
          <w:szCs w:val="20"/>
        </w:rPr>
      </w:pPr>
      <w:r w:rsidRPr="00373C16">
        <w:rPr>
          <w:rFonts w:ascii="Arial" w:eastAsia="Times New Roman" w:hAnsi="Arial" w:cs="Arial"/>
          <w:color w:val="222222"/>
          <w:sz w:val="20"/>
          <w:szCs w:val="20"/>
        </w:rPr>
        <w:t>Eliana Glogauer</w:t>
      </w:r>
    </w:p>
    <w:p w14:paraId="6BD7D9F5" w14:textId="77777777" w:rsidR="009E4883" w:rsidRPr="00373C16" w:rsidRDefault="009E4883" w:rsidP="009E4883">
      <w:pPr>
        <w:rPr>
          <w:rFonts w:ascii="Arial" w:eastAsia="Times New Roman" w:hAnsi="Arial" w:cs="Arial"/>
          <w:color w:val="222222"/>
          <w:sz w:val="20"/>
          <w:szCs w:val="20"/>
        </w:rPr>
      </w:pPr>
    </w:p>
    <w:p w14:paraId="52D17AF9" w14:textId="0357A01A" w:rsidR="009E4883" w:rsidRPr="00373C16" w:rsidRDefault="009E4883" w:rsidP="009E4883">
      <w:pPr>
        <w:rPr>
          <w:rFonts w:ascii="Arial" w:eastAsia="Times New Roman" w:hAnsi="Arial" w:cs="Arial"/>
          <w:color w:val="500050"/>
          <w:sz w:val="20"/>
          <w:szCs w:val="20"/>
        </w:rPr>
      </w:pPr>
      <w:r w:rsidRPr="00373C16">
        <w:rPr>
          <w:rFonts w:ascii="Arial" w:eastAsia="Times New Roman" w:hAnsi="Arial" w:cs="Arial"/>
          <w:color w:val="666666"/>
          <w:sz w:val="20"/>
          <w:szCs w:val="20"/>
        </w:rPr>
        <w:t>Ph.D. Candidate (</w:t>
      </w:r>
      <w:proofErr w:type="spellStart"/>
      <w:r w:rsidRPr="00373C16">
        <w:rPr>
          <w:rFonts w:ascii="Arial" w:eastAsia="Times New Roman" w:hAnsi="Arial" w:cs="Arial"/>
          <w:color w:val="666666"/>
          <w:sz w:val="20"/>
          <w:szCs w:val="20"/>
        </w:rPr>
        <w:t>abd</w:t>
      </w:r>
      <w:proofErr w:type="spellEnd"/>
      <w:r w:rsidRPr="00373C16">
        <w:rPr>
          <w:rFonts w:ascii="Arial" w:eastAsia="Times New Roman" w:hAnsi="Arial" w:cs="Arial"/>
          <w:color w:val="666666"/>
          <w:sz w:val="20"/>
          <w:szCs w:val="20"/>
        </w:rPr>
        <w:t xml:space="preserve">.) | </w:t>
      </w:r>
      <w:proofErr w:type="spellStart"/>
      <w:r w:rsidRPr="00373C16">
        <w:rPr>
          <w:rFonts w:ascii="Arial" w:eastAsia="Times New Roman" w:hAnsi="Arial" w:cs="Arial"/>
          <w:color w:val="666666"/>
          <w:sz w:val="20"/>
          <w:szCs w:val="20"/>
        </w:rPr>
        <w:t>Étudiante</w:t>
      </w:r>
      <w:proofErr w:type="spellEnd"/>
      <w:r w:rsidRPr="00373C16">
        <w:rPr>
          <w:rFonts w:ascii="Arial" w:eastAsia="Times New Roman" w:hAnsi="Arial" w:cs="Arial"/>
          <w:color w:val="666666"/>
          <w:sz w:val="20"/>
          <w:szCs w:val="20"/>
        </w:rPr>
        <w:t xml:space="preserve"> de 3e Cycle</w:t>
      </w:r>
      <w:r w:rsidRPr="00373C16">
        <w:rPr>
          <w:rFonts w:ascii="Arial" w:eastAsia="Times New Roman" w:hAnsi="Arial" w:cs="Arial"/>
          <w:color w:val="666666"/>
          <w:sz w:val="20"/>
          <w:szCs w:val="20"/>
        </w:rPr>
        <w:br/>
        <w:t>War Studies Programme | Études de la Guerre</w:t>
      </w:r>
      <w:r w:rsidRPr="00373C16">
        <w:rPr>
          <w:rFonts w:ascii="Arial" w:eastAsia="Times New Roman" w:hAnsi="Arial" w:cs="Arial"/>
          <w:color w:val="666666"/>
          <w:sz w:val="20"/>
          <w:szCs w:val="20"/>
        </w:rPr>
        <w:br/>
        <w:t>Royal Military College of Canada |</w:t>
      </w:r>
      <w:r w:rsidRPr="00373C16">
        <w:rPr>
          <w:rFonts w:ascii="Arial" w:eastAsia="Times New Roman" w:hAnsi="Arial" w:cs="Arial"/>
          <w:color w:val="666666"/>
          <w:sz w:val="20"/>
          <w:szCs w:val="20"/>
        </w:rPr>
        <w:br/>
        <w:t xml:space="preserve">Collège </w:t>
      </w:r>
      <w:proofErr w:type="spellStart"/>
      <w:r w:rsidRPr="00373C16">
        <w:rPr>
          <w:rFonts w:ascii="Arial" w:eastAsia="Times New Roman" w:hAnsi="Arial" w:cs="Arial"/>
          <w:color w:val="666666"/>
          <w:sz w:val="20"/>
          <w:szCs w:val="20"/>
        </w:rPr>
        <w:t>Militaire</w:t>
      </w:r>
      <w:proofErr w:type="spellEnd"/>
      <w:r w:rsidRPr="00373C16">
        <w:rPr>
          <w:rFonts w:ascii="Arial" w:eastAsia="Times New Roman" w:hAnsi="Arial" w:cs="Arial"/>
          <w:color w:val="666666"/>
          <w:sz w:val="20"/>
          <w:szCs w:val="20"/>
        </w:rPr>
        <w:t xml:space="preserve"> Royale du Canada</w:t>
      </w:r>
    </w:p>
    <w:p w14:paraId="49677CBF" w14:textId="77777777" w:rsidR="009E4883" w:rsidRPr="00373C16" w:rsidRDefault="009E4883" w:rsidP="009E4883">
      <w:pPr>
        <w:rPr>
          <w:rFonts w:ascii="Arial" w:eastAsia="Times New Roman" w:hAnsi="Arial" w:cs="Arial"/>
          <w:color w:val="500050"/>
          <w:sz w:val="20"/>
          <w:szCs w:val="20"/>
        </w:rPr>
      </w:pPr>
    </w:p>
    <w:p w14:paraId="22298082" w14:textId="5A839E10" w:rsidR="009E4883" w:rsidRPr="00373C16" w:rsidRDefault="009E4883" w:rsidP="009E4883">
      <w:pPr>
        <w:rPr>
          <w:rFonts w:ascii="Arial" w:eastAsia="Times New Roman" w:hAnsi="Arial" w:cs="Arial"/>
          <w:color w:val="000000" w:themeColor="text1"/>
          <w:sz w:val="20"/>
          <w:szCs w:val="20"/>
          <w:highlight w:val="black"/>
        </w:rPr>
      </w:pPr>
      <w:r w:rsidRPr="00373C16">
        <w:rPr>
          <w:rFonts w:ascii="Arial" w:eastAsia="Times New Roman" w:hAnsi="Arial" w:cs="Arial"/>
          <w:color w:val="000000" w:themeColor="text1"/>
          <w:sz w:val="20"/>
          <w:szCs w:val="20"/>
          <w:highlight w:val="black"/>
          <w:u w:val="single"/>
        </w:rPr>
        <w:t>eliana.glogauer@rmc.ca</w:t>
      </w:r>
    </w:p>
    <w:p w14:paraId="2D33BBE4" w14:textId="4E370B8D" w:rsidR="009E4883" w:rsidRPr="00373C16" w:rsidRDefault="009E4883" w:rsidP="009E4883">
      <w:pPr>
        <w:rPr>
          <w:rFonts w:ascii="Arial" w:eastAsia="Times New Roman" w:hAnsi="Arial" w:cs="Arial"/>
          <w:color w:val="000000" w:themeColor="text1"/>
          <w:sz w:val="20"/>
          <w:szCs w:val="20"/>
        </w:rPr>
      </w:pPr>
      <w:r w:rsidRPr="00373C16">
        <w:rPr>
          <w:rFonts w:ascii="Arial" w:eastAsia="Times New Roman" w:hAnsi="Arial" w:cs="Arial"/>
          <w:color w:val="000000" w:themeColor="text1"/>
          <w:sz w:val="20"/>
          <w:szCs w:val="20"/>
          <w:highlight w:val="black"/>
        </w:rPr>
        <w:t xml:space="preserve">Tel | </w:t>
      </w:r>
      <w:proofErr w:type="spellStart"/>
      <w:r w:rsidRPr="00373C16">
        <w:rPr>
          <w:rFonts w:ascii="Arial" w:eastAsia="Times New Roman" w:hAnsi="Arial" w:cs="Arial"/>
          <w:color w:val="000000" w:themeColor="text1"/>
          <w:sz w:val="20"/>
          <w:szCs w:val="20"/>
          <w:highlight w:val="black"/>
        </w:rPr>
        <w:t>Tél</w:t>
      </w:r>
      <w:proofErr w:type="spellEnd"/>
      <w:r w:rsidRPr="00373C16">
        <w:rPr>
          <w:rFonts w:ascii="Arial" w:eastAsia="Times New Roman" w:hAnsi="Arial" w:cs="Arial"/>
          <w:color w:val="000000" w:themeColor="text1"/>
          <w:sz w:val="20"/>
          <w:szCs w:val="20"/>
          <w:highlight w:val="black"/>
        </w:rPr>
        <w:t xml:space="preserve"> (work): +1 (647) 205-2670</w:t>
      </w:r>
    </w:p>
    <w:p w14:paraId="34BBEA4D" w14:textId="5C0201E8" w:rsidR="009E4883" w:rsidRDefault="00C14930" w:rsidP="009E4883">
      <w:pPr>
        <w:pBdr>
          <w:bottom w:val="single" w:sz="6" w:space="1" w:color="auto"/>
        </w:pBdr>
        <w:rPr>
          <w:rFonts w:ascii="Arial" w:eastAsia="Times New Roman" w:hAnsi="Arial" w:cs="Arial"/>
          <w:color w:val="222222"/>
          <w:sz w:val="20"/>
          <w:szCs w:val="20"/>
        </w:rPr>
      </w:pPr>
      <w:r>
        <w:rPr>
          <w:noProof/>
        </w:rPr>
        <mc:AlternateContent>
          <mc:Choice Requires="wps">
            <w:drawing>
              <wp:anchor distT="0" distB="0" distL="114300" distR="114300" simplePos="0" relativeHeight="251680768" behindDoc="0" locked="0" layoutInCell="1" allowOverlap="1" wp14:anchorId="4C4A4D16" wp14:editId="52064B07">
                <wp:simplePos x="0" y="0"/>
                <wp:positionH relativeFrom="column">
                  <wp:posOffset>-155575</wp:posOffset>
                </wp:positionH>
                <wp:positionV relativeFrom="paragraph">
                  <wp:posOffset>172085</wp:posOffset>
                </wp:positionV>
                <wp:extent cx="6251575" cy="635"/>
                <wp:effectExtent l="0" t="0" r="0" b="12065"/>
                <wp:wrapNone/>
                <wp:docPr id="1352920223" name="Text Box 1"/>
                <wp:cNvGraphicFramePr/>
                <a:graphic xmlns:a="http://schemas.openxmlformats.org/drawingml/2006/main">
                  <a:graphicData uri="http://schemas.microsoft.com/office/word/2010/wordprocessingShape">
                    <wps:wsp>
                      <wps:cNvSpPr txBox="1"/>
                      <wps:spPr>
                        <a:xfrm>
                          <a:off x="0" y="0"/>
                          <a:ext cx="6251575" cy="635"/>
                        </a:xfrm>
                        <a:prstGeom prst="rect">
                          <a:avLst/>
                        </a:prstGeom>
                        <a:solidFill>
                          <a:prstClr val="white"/>
                        </a:solidFill>
                        <a:ln>
                          <a:noFill/>
                        </a:ln>
                      </wps:spPr>
                      <wps:txbx>
                        <w:txbxContent>
                          <w:p w14:paraId="63A203B8" w14:textId="57A64675" w:rsidR="009E4883" w:rsidRPr="00850250" w:rsidRDefault="009E4883" w:rsidP="00C14930">
                            <w:pPr>
                              <w:pStyle w:val="DissertationFigureCaption"/>
                              <w:rPr>
                                <w:rFonts w:eastAsia="Times New Roman"/>
                                <w:noProof/>
                                <w:sz w:val="20"/>
                                <w:szCs w:val="20"/>
                              </w:rPr>
                            </w:pPr>
                            <w:bookmarkStart w:id="107" w:name="_Toc168415566"/>
                            <w:bookmarkStart w:id="108" w:name="_Toc175413248"/>
                            <w:r w:rsidRPr="00850250">
                              <w:t>Fig</w:t>
                            </w:r>
                            <w:r w:rsidR="00E214D9">
                              <w:t>ure</w:t>
                            </w:r>
                            <w:r w:rsidRPr="00850250">
                              <w:t xml:space="preserve"> A1- </w:t>
                            </w:r>
                            <w:r>
                              <w:t>5</w:t>
                            </w:r>
                            <w:r w:rsidR="00880AD8">
                              <w:t>:</w:t>
                            </w:r>
                            <w:r w:rsidR="00C14930">
                              <w:rPr>
                                <w:u w:val="none"/>
                              </w:rPr>
                              <w:tab/>
                            </w:r>
                            <w:r w:rsidRPr="00C14930">
                              <w:rPr>
                                <w:u w:val="none"/>
                              </w:rPr>
                              <w:t>March 29, 2020 Email to Associated Press Archival Staff</w:t>
                            </w:r>
                            <w:bookmarkEnd w:id="107"/>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4C4A4D16" id="_x0000_s1032" type="#_x0000_t202" style="position:absolute;margin-left:-12.25pt;margin-top:13.55pt;width:492.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" stroked="f">
                <v:textbox style="mso-fit-shape-to-text:t" inset="0,0,0,0">
                  <w:txbxContent>
                    <w:p w14:paraId="63A203B8" w14:textId="57A64675" w:rsidR="009E4883" w:rsidRPr="00850250" w:rsidRDefault="009E4883" w:rsidP="00C14930">
                      <w:pPr>
                        <w:pStyle w:val="DissertationFigureCaption"/>
                        <w:rPr>
                          <w:rFonts w:eastAsia="Times New Roman"/>
                          <w:noProof/>
                          <w:sz w:val="20"/>
                          <w:szCs w:val="20"/>
                        </w:rPr>
                      </w:pPr>
                      <w:bookmarkStart w:id="122" w:name="_Toc168415566"/>
                      <w:bookmarkStart w:id="123" w:name="_Toc175413248"/>
                      <w:r w:rsidRPr="00850250">
                        <w:t>Fig</w:t>
                      </w:r>
                      <w:r w:rsidR="00E214D9">
                        <w:t>ure</w:t>
                      </w:r>
                      <w:r w:rsidRPr="00850250">
                        <w:t xml:space="preserve"> A1- </w:t>
                      </w:r>
                      <w:r>
                        <w:t>5</w:t>
                      </w:r>
                      <w:r w:rsidR="00880AD8">
                        <w:t>:</w:t>
                      </w:r>
                      <w:r w:rsidR="00C14930">
                        <w:rPr>
                          <w:u w:val="none"/>
                        </w:rPr>
                        <w:tab/>
                      </w:r>
                      <w:r w:rsidRPr="00C14930">
                        <w:rPr>
                          <w:u w:val="none"/>
                        </w:rPr>
                        <w:t>March 29, 2020 Email to Associated Press Archival Staff</w:t>
                      </w:r>
                      <w:bookmarkEnd w:id="122"/>
                      <w:bookmarkEnd w:id="123"/>
                    </w:p>
                  </w:txbxContent>
                </v:textbox>
              </v:shape>
            </w:pict>
          </mc:Fallback>
        </mc:AlternateContent>
      </w:r>
    </w:p>
    <w:p w14:paraId="281868F6" w14:textId="2C372E90" w:rsidR="009E4883" w:rsidRDefault="009E4883">
      <w:pPr>
        <w:spacing w:before="0" w:after="0"/>
        <w:rPr>
          <w:rFonts w:ascii="Arial" w:eastAsia="Times New Roman" w:hAnsi="Arial" w:cs="Arial"/>
          <w:color w:val="222222"/>
          <w:sz w:val="20"/>
          <w:szCs w:val="20"/>
        </w:rPr>
      </w:pPr>
      <w:r>
        <w:rPr>
          <w:rFonts w:ascii="Arial" w:eastAsia="Times New Roman" w:hAnsi="Arial" w:cs="Arial"/>
          <w:color w:val="222222"/>
          <w:sz w:val="20"/>
          <w:szCs w:val="20"/>
        </w:rPr>
        <w:br w:type="page"/>
      </w:r>
    </w:p>
    <w:p w14:paraId="203F9E8B" w14:textId="54666E48" w:rsidR="009E4883" w:rsidRPr="005E1DFC" w:rsidRDefault="009E4883" w:rsidP="009E4883">
      <w:pPr>
        <w:pBdr>
          <w:bottom w:val="single" w:sz="6" w:space="1" w:color="auto"/>
        </w:pBdr>
        <w:rPr>
          <w:rFonts w:ascii="Arial" w:eastAsia="Times New Roman" w:hAnsi="Arial" w:cs="Arial"/>
          <w:color w:val="222222"/>
          <w:sz w:val="20"/>
          <w:szCs w:val="20"/>
        </w:rPr>
      </w:pPr>
      <w:r>
        <w:rPr>
          <w:rFonts w:ascii="Arial" w:eastAsia="Times New Roman" w:hAnsi="Arial" w:cs="Arial"/>
          <w:noProof/>
          <w:color w:val="222222"/>
          <w:sz w:val="20"/>
          <w:szCs w:val="20"/>
        </w:rPr>
        <w:lastRenderedPageBreak/>
        <mc:AlternateContent>
          <mc:Choice Requires="wps">
            <w:drawing>
              <wp:anchor distT="0" distB="0" distL="114300" distR="114300" simplePos="0" relativeHeight="251675648" behindDoc="0" locked="0" layoutInCell="1" allowOverlap="1" wp14:anchorId="61630110" wp14:editId="0D15EF02">
                <wp:simplePos x="0" y="0"/>
                <wp:positionH relativeFrom="column">
                  <wp:posOffset>-504190</wp:posOffset>
                </wp:positionH>
                <wp:positionV relativeFrom="paragraph">
                  <wp:posOffset>165100</wp:posOffset>
                </wp:positionV>
                <wp:extent cx="6374675" cy="6057900"/>
                <wp:effectExtent l="0" t="0" r="13970" b="12700"/>
                <wp:wrapNone/>
                <wp:docPr id="232874567" name="Rectangle 7"/>
                <wp:cNvGraphicFramePr/>
                <a:graphic xmlns:a="http://schemas.openxmlformats.org/drawingml/2006/main">
                  <a:graphicData uri="http://schemas.microsoft.com/office/word/2010/wordprocessingShape">
                    <wps:wsp>
                      <wps:cNvSpPr/>
                      <wps:spPr>
                        <a:xfrm>
                          <a:off x="0" y="0"/>
                          <a:ext cx="6374675" cy="6057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B8EFC06" id="Rectangle 7" o:spid="_x0000_s1026" style="position:absolute;margin-left:-39.7pt;margin-top:13pt;width:501.95pt;height:4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" filled="f" strokecolor="black [3213]" strokeweight="1pt"/>
            </w:pict>
          </mc:Fallback>
        </mc:AlternateContent>
      </w:r>
    </w:p>
    <w:p w14:paraId="4B7F68CD" w14:textId="77777777" w:rsidR="009E4883" w:rsidRDefault="009E4883" w:rsidP="009E4883">
      <w:pPr>
        <w:rPr>
          <w:rFonts w:ascii="Arial" w:eastAsia="Times New Roman" w:hAnsi="Arial" w:cs="Arial"/>
          <w:color w:val="222222"/>
          <w:sz w:val="20"/>
          <w:szCs w:val="20"/>
        </w:rPr>
      </w:pPr>
    </w:p>
    <w:p w14:paraId="71E46C97" w14:textId="47E6D24A" w:rsidR="009E4883" w:rsidRPr="00373C16" w:rsidRDefault="009E4883" w:rsidP="009E4883">
      <w:pPr>
        <w:rPr>
          <w:rFonts w:ascii="Arial" w:eastAsia="Times New Roman" w:hAnsi="Arial" w:cs="Arial"/>
          <w:color w:val="222222"/>
          <w:sz w:val="20"/>
          <w:szCs w:val="20"/>
        </w:rPr>
      </w:pPr>
      <w:r w:rsidRPr="00373C16">
        <w:rPr>
          <w:rFonts w:ascii="Arial" w:eastAsia="Times New Roman" w:hAnsi="Arial" w:cs="Arial"/>
          <w:color w:val="222222"/>
          <w:sz w:val="20"/>
          <w:szCs w:val="20"/>
        </w:rPr>
        <w:br/>
        <w:t>From: </w:t>
      </w:r>
      <w:proofErr w:type="spellStart"/>
      <w:r w:rsidRPr="00373C16">
        <w:rPr>
          <w:rFonts w:ascii="Arial" w:eastAsia="Times New Roman" w:hAnsi="Arial" w:cs="Arial"/>
          <w:b/>
          <w:bCs/>
          <w:color w:val="000000" w:themeColor="text1"/>
          <w:sz w:val="20"/>
          <w:szCs w:val="20"/>
          <w:highlight w:val="black"/>
        </w:rPr>
        <w:t>Pitaro</w:t>
      </w:r>
      <w:proofErr w:type="spellEnd"/>
      <w:r w:rsidRPr="00373C16">
        <w:rPr>
          <w:rFonts w:ascii="Arial" w:eastAsia="Times New Roman" w:hAnsi="Arial" w:cs="Arial"/>
          <w:b/>
          <w:bCs/>
          <w:color w:val="000000" w:themeColor="text1"/>
          <w:sz w:val="20"/>
          <w:szCs w:val="20"/>
          <w:highlight w:val="black"/>
        </w:rPr>
        <w:t>, Francesca</w:t>
      </w:r>
      <w:r w:rsidRPr="00373C16">
        <w:rPr>
          <w:rFonts w:ascii="Arial" w:eastAsia="Times New Roman" w:hAnsi="Arial" w:cs="Arial"/>
          <w:color w:val="000000" w:themeColor="text1"/>
          <w:sz w:val="20"/>
          <w:szCs w:val="20"/>
          <w:highlight w:val="black"/>
        </w:rPr>
        <w:t> &lt;</w:t>
      </w:r>
      <w:r w:rsidRPr="00373C16">
        <w:rPr>
          <w:rFonts w:ascii="Arial" w:eastAsia="Times New Roman" w:hAnsi="Arial" w:cs="Arial"/>
          <w:color w:val="000000" w:themeColor="text1"/>
          <w:sz w:val="20"/>
          <w:szCs w:val="20"/>
          <w:highlight w:val="black"/>
          <w:u w:val="single"/>
        </w:rPr>
        <w:t>FPitaro@ap.org</w:t>
      </w:r>
      <w:r w:rsidRPr="00373C16">
        <w:rPr>
          <w:rFonts w:ascii="Arial" w:eastAsia="Times New Roman" w:hAnsi="Arial" w:cs="Arial"/>
          <w:color w:val="000000" w:themeColor="text1"/>
          <w:sz w:val="20"/>
          <w:szCs w:val="20"/>
          <w:highlight w:val="black"/>
        </w:rPr>
        <w:t>&gt;</w:t>
      </w:r>
      <w:r w:rsidRPr="00373C16">
        <w:rPr>
          <w:rFonts w:ascii="Arial" w:eastAsia="Times New Roman" w:hAnsi="Arial" w:cs="Arial"/>
          <w:color w:val="222222"/>
          <w:sz w:val="20"/>
          <w:szCs w:val="20"/>
        </w:rPr>
        <w:br/>
        <w:t>Date: Thu., Apr. 2, 2020, 4:19 p.m.</w:t>
      </w:r>
      <w:r w:rsidRPr="00373C16">
        <w:rPr>
          <w:rFonts w:ascii="Arial" w:eastAsia="Times New Roman" w:hAnsi="Arial" w:cs="Arial"/>
          <w:color w:val="222222"/>
          <w:sz w:val="20"/>
          <w:szCs w:val="20"/>
        </w:rPr>
        <w:br/>
        <w:t>Subject: AP Research Request</w:t>
      </w:r>
      <w:r w:rsidRPr="00373C16">
        <w:rPr>
          <w:rFonts w:ascii="Arial" w:eastAsia="Times New Roman" w:hAnsi="Arial" w:cs="Arial"/>
          <w:color w:val="222222"/>
          <w:sz w:val="20"/>
          <w:szCs w:val="20"/>
        </w:rPr>
        <w:br/>
        <w:t xml:space="preserve">To: Eliana Glogauer </w:t>
      </w:r>
      <w:r w:rsidRPr="00373C16">
        <w:rPr>
          <w:rFonts w:ascii="Arial" w:eastAsia="Times New Roman" w:hAnsi="Arial" w:cs="Arial"/>
          <w:color w:val="000000" w:themeColor="text1"/>
          <w:sz w:val="20"/>
          <w:szCs w:val="20"/>
          <w:highlight w:val="black"/>
        </w:rPr>
        <w:t>&lt;</w:t>
      </w:r>
      <w:hyperlink r:id="rId33" w:tgtFrame="_blank" w:history="1">
        <w:r w:rsidRPr="00373C16">
          <w:rPr>
            <w:rFonts w:ascii="Arial" w:eastAsia="Times New Roman" w:hAnsi="Arial" w:cs="Arial"/>
            <w:color w:val="000000" w:themeColor="text1"/>
            <w:sz w:val="20"/>
            <w:szCs w:val="20"/>
            <w:highlight w:val="black"/>
            <w:u w:val="single"/>
          </w:rPr>
          <w:t>eliana.glogauer@rmc-cmr.ca</w:t>
        </w:r>
      </w:hyperlink>
      <w:r w:rsidRPr="00373C16">
        <w:rPr>
          <w:rFonts w:ascii="Arial" w:eastAsia="Times New Roman" w:hAnsi="Arial" w:cs="Arial"/>
          <w:color w:val="000000" w:themeColor="text1"/>
          <w:sz w:val="20"/>
          <w:szCs w:val="20"/>
          <w:highlight w:val="black"/>
        </w:rPr>
        <w:t>&gt;</w:t>
      </w:r>
      <w:r w:rsidRPr="00373C16">
        <w:rPr>
          <w:rFonts w:ascii="Arial" w:eastAsia="Times New Roman" w:hAnsi="Arial" w:cs="Arial"/>
          <w:color w:val="222222"/>
          <w:sz w:val="20"/>
          <w:szCs w:val="20"/>
        </w:rPr>
        <w:br/>
        <w:t xml:space="preserve">Cc: </w:t>
      </w:r>
      <w:proofErr w:type="spellStart"/>
      <w:r w:rsidRPr="00373C16">
        <w:rPr>
          <w:rFonts w:ascii="Arial" w:eastAsia="Times New Roman" w:hAnsi="Arial" w:cs="Arial"/>
          <w:color w:val="000000" w:themeColor="text1"/>
          <w:sz w:val="20"/>
          <w:szCs w:val="20"/>
          <w:highlight w:val="black"/>
        </w:rPr>
        <w:t>Komor</w:t>
      </w:r>
      <w:proofErr w:type="spellEnd"/>
      <w:r w:rsidRPr="00373C16">
        <w:rPr>
          <w:rFonts w:ascii="Arial" w:eastAsia="Times New Roman" w:hAnsi="Arial" w:cs="Arial"/>
          <w:color w:val="000000" w:themeColor="text1"/>
          <w:sz w:val="20"/>
          <w:szCs w:val="20"/>
          <w:highlight w:val="black"/>
        </w:rPr>
        <w:t>, Valerie &lt;</w:t>
      </w:r>
      <w:hyperlink r:id="rId34" w:tgtFrame="_blank" w:history="1">
        <w:r w:rsidRPr="00373C16">
          <w:rPr>
            <w:rFonts w:ascii="Arial" w:eastAsia="Times New Roman" w:hAnsi="Arial" w:cs="Arial"/>
            <w:color w:val="000000" w:themeColor="text1"/>
            <w:sz w:val="20"/>
            <w:szCs w:val="20"/>
            <w:highlight w:val="black"/>
            <w:u w:val="single"/>
          </w:rPr>
          <w:t>VKomor@ap.org</w:t>
        </w:r>
      </w:hyperlink>
      <w:r w:rsidRPr="00373C16">
        <w:rPr>
          <w:rFonts w:ascii="Arial" w:eastAsia="Times New Roman" w:hAnsi="Arial" w:cs="Arial"/>
          <w:color w:val="000000" w:themeColor="text1"/>
          <w:sz w:val="20"/>
          <w:szCs w:val="20"/>
          <w:highlight w:val="black"/>
        </w:rPr>
        <w:t>&gt;</w:t>
      </w:r>
    </w:p>
    <w:p w14:paraId="6326E12D"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 </w:t>
      </w:r>
    </w:p>
    <w:p w14:paraId="65997328"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Dear Ms. Glogauer,</w:t>
      </w:r>
    </w:p>
    <w:p w14:paraId="4AE3B061"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 </w:t>
      </w:r>
    </w:p>
    <w:p w14:paraId="1BF253D4"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AP Archive has forwarded your request to the AP Corporate Archives. Unfortunately, we don’t have the staff to undertake extensive research projects.</w:t>
      </w:r>
    </w:p>
    <w:p w14:paraId="3A86B6A5"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 </w:t>
      </w:r>
    </w:p>
    <w:p w14:paraId="5D19AE7B"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Although there is no one repository for AP stories for the years 1969-2017, you can search for AP stories from a variety of sources which are listed in the attachment to this email.</w:t>
      </w:r>
    </w:p>
    <w:p w14:paraId="3D479D05"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 </w:t>
      </w:r>
    </w:p>
    <w:p w14:paraId="7F5F97B6"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Nexis would be a the most efficient place to start. I would suggest checking with your university library to see if it’s available there. Nexis is not available to individual subscribers.</w:t>
      </w:r>
    </w:p>
    <w:p w14:paraId="114C2B96"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 </w:t>
      </w:r>
    </w:p>
    <w:p w14:paraId="3230E6BF"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Please let me know if you have any questions.</w:t>
      </w:r>
    </w:p>
    <w:p w14:paraId="1910EB48"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 </w:t>
      </w:r>
    </w:p>
    <w:p w14:paraId="391EDDFB"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lang w:val="en-US"/>
        </w:rPr>
        <w:t>Regards,</w:t>
      </w:r>
    </w:p>
    <w:p w14:paraId="7036C231" w14:textId="77777777" w:rsidR="009E4883" w:rsidRPr="00373C16" w:rsidRDefault="009E4883" w:rsidP="009E4883">
      <w:pPr>
        <w:rPr>
          <w:rFonts w:ascii="Arial" w:eastAsia="Times New Roman" w:hAnsi="Arial" w:cs="Arial"/>
          <w:color w:val="222222"/>
          <w:sz w:val="20"/>
          <w:szCs w:val="20"/>
          <w:lang w:val="en-US"/>
        </w:rPr>
      </w:pPr>
      <w:r w:rsidRPr="00373C16">
        <w:rPr>
          <w:rFonts w:ascii="Arial" w:eastAsia="Times New Roman" w:hAnsi="Arial" w:cs="Arial"/>
          <w:color w:val="222222"/>
          <w:sz w:val="20"/>
          <w:szCs w:val="20"/>
          <w:highlight w:val="black"/>
          <w:lang w:val="en-US"/>
        </w:rPr>
        <w:t>Francesca</w:t>
      </w:r>
    </w:p>
    <w:p w14:paraId="7FC4D419" w14:textId="31B8AB0C" w:rsidR="009E4883" w:rsidRPr="005E1DFC" w:rsidRDefault="009E4883" w:rsidP="009E4883">
      <w:pPr>
        <w:rPr>
          <w:rFonts w:ascii="Arial" w:eastAsia="Times New Roman" w:hAnsi="Arial" w:cs="Arial"/>
          <w:color w:val="222222"/>
          <w:sz w:val="20"/>
          <w:szCs w:val="20"/>
          <w:lang w:val="en-US"/>
        </w:rPr>
      </w:pPr>
    </w:p>
    <w:p w14:paraId="3D09BE7D" w14:textId="77777777" w:rsidR="009E4883" w:rsidRPr="00373C16" w:rsidRDefault="009E4883" w:rsidP="009E4883">
      <w:pPr>
        <w:rPr>
          <w:rFonts w:eastAsia="Times New Roman" w:cs="Times New Roman"/>
          <w:sz w:val="20"/>
          <w:szCs w:val="20"/>
        </w:rPr>
      </w:pPr>
      <w:r w:rsidRPr="00373C16">
        <w:rPr>
          <w:rFonts w:ascii="Verdana" w:eastAsia="Times New Roman" w:hAnsi="Verdana" w:cs="Times New Roman"/>
          <w:b/>
          <w:bCs/>
          <w:color w:val="000000"/>
          <w:sz w:val="20"/>
          <w:szCs w:val="20"/>
          <w:highlight w:val="black"/>
          <w:lang w:val="fr-FR"/>
        </w:rPr>
        <w:t xml:space="preserve">Francesca </w:t>
      </w:r>
      <w:proofErr w:type="spellStart"/>
      <w:r w:rsidRPr="00373C16">
        <w:rPr>
          <w:rFonts w:ascii="Verdana" w:eastAsia="Times New Roman" w:hAnsi="Verdana" w:cs="Times New Roman"/>
          <w:b/>
          <w:bCs/>
          <w:color w:val="000000"/>
          <w:sz w:val="20"/>
          <w:szCs w:val="20"/>
          <w:highlight w:val="black"/>
          <w:lang w:val="fr-FR"/>
        </w:rPr>
        <w:t>Pitaro</w:t>
      </w:r>
      <w:proofErr w:type="spellEnd"/>
    </w:p>
    <w:p w14:paraId="39DDA18B" w14:textId="77777777" w:rsidR="009E4883" w:rsidRPr="005E1DFC" w:rsidRDefault="009E4883" w:rsidP="009E4883">
      <w:pPr>
        <w:rPr>
          <w:rFonts w:ascii="Verdana" w:eastAsia="Times New Roman" w:hAnsi="Verdana" w:cs="Times New Roman"/>
          <w:color w:val="000000"/>
          <w:sz w:val="20"/>
          <w:szCs w:val="20"/>
          <w:lang w:val="fr-FR"/>
        </w:rPr>
      </w:pPr>
      <w:proofErr w:type="spellStart"/>
      <w:r w:rsidRPr="00373C16">
        <w:rPr>
          <w:rFonts w:ascii="Verdana" w:eastAsia="Times New Roman" w:hAnsi="Verdana" w:cs="Times New Roman"/>
          <w:color w:val="000000"/>
          <w:sz w:val="20"/>
          <w:szCs w:val="20"/>
          <w:lang w:val="fr-FR"/>
        </w:rPr>
        <w:t>Archivist</w:t>
      </w:r>
      <w:proofErr w:type="spellEnd"/>
      <w:r w:rsidRPr="00373C16">
        <w:rPr>
          <w:rFonts w:ascii="Verdana" w:eastAsia="Times New Roman" w:hAnsi="Verdana" w:cs="Times New Roman"/>
          <w:color w:val="000000"/>
          <w:sz w:val="20"/>
          <w:szCs w:val="20"/>
        </w:rPr>
        <w:br/>
      </w:r>
      <w:r w:rsidRPr="00373C16">
        <w:rPr>
          <w:rFonts w:ascii="Verdana" w:eastAsia="Times New Roman" w:hAnsi="Verdana" w:cs="Times New Roman"/>
          <w:color w:val="000000"/>
          <w:sz w:val="20"/>
          <w:szCs w:val="20"/>
          <w:lang w:val="fr-FR"/>
        </w:rPr>
        <w:t xml:space="preserve">AP </w:t>
      </w:r>
      <w:proofErr w:type="spellStart"/>
      <w:r w:rsidRPr="00373C16">
        <w:rPr>
          <w:rFonts w:ascii="Verdana" w:eastAsia="Times New Roman" w:hAnsi="Verdana" w:cs="Times New Roman"/>
          <w:color w:val="000000"/>
          <w:sz w:val="20"/>
          <w:szCs w:val="20"/>
          <w:lang w:val="fr-FR"/>
        </w:rPr>
        <w:t>Corporate</w:t>
      </w:r>
      <w:proofErr w:type="spellEnd"/>
      <w:r w:rsidRPr="00373C16">
        <w:rPr>
          <w:rFonts w:ascii="Verdana" w:eastAsia="Times New Roman" w:hAnsi="Verdana" w:cs="Times New Roman"/>
          <w:color w:val="000000"/>
          <w:sz w:val="20"/>
          <w:szCs w:val="20"/>
          <w:lang w:val="fr-FR"/>
        </w:rPr>
        <w:t xml:space="preserve"> Archives</w:t>
      </w:r>
    </w:p>
    <w:p w14:paraId="068B2D10" w14:textId="77777777" w:rsidR="009E4883" w:rsidRPr="00373C16" w:rsidRDefault="009E4883" w:rsidP="009E4883">
      <w:pPr>
        <w:rPr>
          <w:rFonts w:eastAsia="Times New Roman" w:cs="Times New Roman"/>
          <w:sz w:val="20"/>
          <w:szCs w:val="20"/>
        </w:rPr>
      </w:pPr>
    </w:p>
    <w:p w14:paraId="244C70F1" w14:textId="3C9B47C1" w:rsidR="009E4883" w:rsidRDefault="009E4883" w:rsidP="009E4883">
      <w:pPr>
        <w:rPr>
          <w:rFonts w:ascii="Verdana" w:eastAsia="Times New Roman" w:hAnsi="Verdana" w:cs="Times New Roman"/>
          <w:color w:val="1F497D"/>
          <w:szCs w:val="22"/>
        </w:rPr>
      </w:pPr>
      <w:r w:rsidRPr="00373C16">
        <w:rPr>
          <w:rFonts w:ascii="Verdana" w:eastAsia="Times New Roman" w:hAnsi="Verdana" w:cs="Times New Roman"/>
          <w:color w:val="000000" w:themeColor="text1"/>
          <w:sz w:val="20"/>
          <w:szCs w:val="20"/>
          <w:highlight w:val="black"/>
          <w:u w:val="single"/>
        </w:rPr>
        <w:t>fpitaro@ap.org</w:t>
      </w:r>
      <w:r w:rsidRPr="00373C16">
        <w:rPr>
          <w:rFonts w:ascii="Verdana" w:eastAsia="Times New Roman" w:hAnsi="Verdana" w:cs="Times New Roman"/>
          <w:color w:val="000000"/>
          <w:sz w:val="20"/>
          <w:szCs w:val="20"/>
        </w:rPr>
        <w:br/>
      </w:r>
      <w:hyperlink r:id="rId35" w:tgtFrame="_blank" w:history="1">
        <w:r w:rsidRPr="00373C16">
          <w:rPr>
            <w:rFonts w:ascii="Verdana" w:eastAsia="Times New Roman" w:hAnsi="Verdana" w:cs="Times New Roman"/>
            <w:color w:val="000000"/>
            <w:sz w:val="20"/>
            <w:szCs w:val="20"/>
            <w:u w:val="single"/>
          </w:rPr>
          <w:t>www.ap.org</w:t>
        </w:r>
      </w:hyperlink>
    </w:p>
    <w:p w14:paraId="239594E2" w14:textId="7D1E2F8E" w:rsidR="009E4883" w:rsidRDefault="009E4883" w:rsidP="009E4883">
      <w:pPr>
        <w:rPr>
          <w:rFonts w:cs="Times New Roman"/>
        </w:rPr>
      </w:pPr>
      <w:r>
        <w:rPr>
          <w:noProof/>
        </w:rPr>
        <mc:AlternateContent>
          <mc:Choice Requires="wps">
            <w:drawing>
              <wp:anchor distT="0" distB="0" distL="114300" distR="114300" simplePos="0" relativeHeight="251681792" behindDoc="0" locked="0" layoutInCell="1" allowOverlap="1" wp14:anchorId="7D4F6707" wp14:editId="4DF7CBBA">
                <wp:simplePos x="0" y="0"/>
                <wp:positionH relativeFrom="column">
                  <wp:posOffset>-501015</wp:posOffset>
                </wp:positionH>
                <wp:positionV relativeFrom="paragraph">
                  <wp:posOffset>33020</wp:posOffset>
                </wp:positionV>
                <wp:extent cx="6374130" cy="635"/>
                <wp:effectExtent l="0" t="0" r="1270" b="8255"/>
                <wp:wrapNone/>
                <wp:docPr id="1798579385" name="Text Box 1"/>
                <wp:cNvGraphicFramePr/>
                <a:graphic xmlns:a="http://schemas.openxmlformats.org/drawingml/2006/main">
                  <a:graphicData uri="http://schemas.microsoft.com/office/word/2010/wordprocessingShape">
                    <wps:wsp>
                      <wps:cNvSpPr txBox="1"/>
                      <wps:spPr>
                        <a:xfrm>
                          <a:off x="0" y="0"/>
                          <a:ext cx="6374130" cy="635"/>
                        </a:xfrm>
                        <a:prstGeom prst="rect">
                          <a:avLst/>
                        </a:prstGeom>
                        <a:noFill/>
                        <a:ln>
                          <a:noFill/>
                        </a:ln>
                      </wps:spPr>
                      <wps:txbx>
                        <w:txbxContent>
                          <w:p w14:paraId="107CB1E2" w14:textId="20E9E4BA" w:rsidR="009E4883" w:rsidRPr="00850250" w:rsidRDefault="009E4883" w:rsidP="00C14930">
                            <w:pPr>
                              <w:pStyle w:val="DissertationFigureCaption"/>
                              <w:rPr>
                                <w:rFonts w:eastAsia="Times New Roman"/>
                                <w:noProof/>
                                <w:sz w:val="20"/>
                                <w:szCs w:val="20"/>
                              </w:rPr>
                            </w:pPr>
                            <w:bookmarkStart w:id="109" w:name="_Toc168415567"/>
                            <w:bookmarkStart w:id="110" w:name="_Toc175413249"/>
                            <w:r w:rsidRPr="00850250">
                              <w:t>Fig</w:t>
                            </w:r>
                            <w:r w:rsidR="00E214D9">
                              <w:t>ure</w:t>
                            </w:r>
                            <w:r w:rsidRPr="00850250">
                              <w:t xml:space="preserve"> A1- </w:t>
                            </w:r>
                            <w:r>
                              <w:t>6</w:t>
                            </w:r>
                            <w:r w:rsidR="00880AD8">
                              <w:t>:</w:t>
                            </w:r>
                            <w:r w:rsidR="00C14930" w:rsidRPr="00C14930">
                              <w:rPr>
                                <w:u w:val="none"/>
                              </w:rPr>
                              <w:tab/>
                            </w:r>
                            <w:r w:rsidRPr="00C14930">
                              <w:rPr>
                                <w:u w:val="none"/>
                              </w:rPr>
                              <w:t>April 2, 2020 Email Response from Archivist at the Associated Press Corporate Archives (New York).</w:t>
                            </w:r>
                            <w:bookmarkEnd w:id="109"/>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7D4F6707" id="_x0000_s1033" type="#_x0000_t202" style="position:absolute;margin-left:-39.45pt;margin-top:2.6pt;width:501.9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" filled="f" stroked="f">
                <v:textbox style="mso-fit-shape-to-text:t" inset="0,0,0,0">
                  <w:txbxContent>
                    <w:p w14:paraId="107CB1E2" w14:textId="20E9E4BA" w:rsidR="009E4883" w:rsidRPr="00850250" w:rsidRDefault="009E4883" w:rsidP="00C14930">
                      <w:pPr>
                        <w:pStyle w:val="DissertationFigureCaption"/>
                        <w:rPr>
                          <w:rFonts w:eastAsia="Times New Roman"/>
                          <w:noProof/>
                          <w:sz w:val="20"/>
                          <w:szCs w:val="20"/>
                        </w:rPr>
                      </w:pPr>
                      <w:bookmarkStart w:id="126" w:name="_Toc168415567"/>
                      <w:bookmarkStart w:id="127" w:name="_Toc175413249"/>
                      <w:r w:rsidRPr="00850250">
                        <w:t>Fig</w:t>
                      </w:r>
                      <w:r w:rsidR="00E214D9">
                        <w:t>ure</w:t>
                      </w:r>
                      <w:r w:rsidRPr="00850250">
                        <w:t xml:space="preserve"> A1- </w:t>
                      </w:r>
                      <w:r>
                        <w:t>6</w:t>
                      </w:r>
                      <w:r w:rsidR="00880AD8">
                        <w:t>:</w:t>
                      </w:r>
                      <w:r w:rsidR="00C14930" w:rsidRPr="00C14930">
                        <w:rPr>
                          <w:u w:val="none"/>
                        </w:rPr>
                        <w:tab/>
                      </w:r>
                      <w:r w:rsidRPr="00C14930">
                        <w:rPr>
                          <w:u w:val="none"/>
                        </w:rPr>
                        <w:t>April 2, 2020 Email Response from Archivist at the Associated Press Corporate Archives (New York).</w:t>
                      </w:r>
                      <w:bookmarkEnd w:id="126"/>
                      <w:bookmarkEnd w:id="127"/>
                    </w:p>
                  </w:txbxContent>
                </v:textbox>
              </v:shape>
            </w:pict>
          </mc:Fallback>
        </mc:AlternateContent>
      </w:r>
      <w:r>
        <w:rPr>
          <w:rFonts w:cs="Times New Roman"/>
        </w:rPr>
        <w:br w:type="page"/>
      </w:r>
    </w:p>
    <w:p w14:paraId="3C7D78F2" w14:textId="77777777" w:rsidR="009E4883" w:rsidRPr="003B0D9C" w:rsidRDefault="009E4883" w:rsidP="00E13D63">
      <w:pPr>
        <w:pStyle w:val="DissertationSection3"/>
      </w:pPr>
      <w:bookmarkStart w:id="111" w:name="_Toc175413177"/>
      <w:r w:rsidRPr="003B0D9C">
        <w:lastRenderedPageBreak/>
        <w:t>Email Attachment: AP Stories Search_2019.docx</w:t>
      </w:r>
      <w:bookmarkEnd w:id="111"/>
      <w:r w:rsidRPr="003B0D9C">
        <w:t xml:space="preserve"> </w:t>
      </w:r>
    </w:p>
    <w:p w14:paraId="3495A366" w14:textId="77777777" w:rsidR="009E4883" w:rsidRDefault="009E4883" w:rsidP="009E4883">
      <w:pPr>
        <w:rPr>
          <w:rFonts w:cs="Times New Roman"/>
        </w:rPr>
      </w:pPr>
      <w:r>
        <w:rPr>
          <w:rFonts w:cs="Times New Roman"/>
          <w:noProof/>
        </w:rPr>
        <mc:AlternateContent>
          <mc:Choice Requires="wps">
            <w:drawing>
              <wp:anchor distT="0" distB="0" distL="114300" distR="114300" simplePos="0" relativeHeight="251669504" behindDoc="0" locked="0" layoutInCell="1" allowOverlap="1" wp14:anchorId="05706B92" wp14:editId="44DB6CFF">
                <wp:simplePos x="0" y="0"/>
                <wp:positionH relativeFrom="column">
                  <wp:posOffset>-209006</wp:posOffset>
                </wp:positionH>
                <wp:positionV relativeFrom="paragraph">
                  <wp:posOffset>173083</wp:posOffset>
                </wp:positionV>
                <wp:extent cx="6330315" cy="7480663"/>
                <wp:effectExtent l="0" t="0" r="6985" b="12700"/>
                <wp:wrapNone/>
                <wp:docPr id="187009051" name="Rectangle 1"/>
                <wp:cNvGraphicFramePr/>
                <a:graphic xmlns:a="http://schemas.openxmlformats.org/drawingml/2006/main">
                  <a:graphicData uri="http://schemas.microsoft.com/office/word/2010/wordprocessingShape">
                    <wps:wsp>
                      <wps:cNvSpPr/>
                      <wps:spPr>
                        <a:xfrm>
                          <a:off x="0" y="0"/>
                          <a:ext cx="6330315" cy="74806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87962BA" id="Rectangle 1" o:spid="_x0000_s1026" style="position:absolute;margin-left:-16.45pt;margin-top:13.65pt;width:498.45pt;height:58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" filled="f" strokecolor="black [3213]" strokeweight="1pt"/>
            </w:pict>
          </mc:Fallback>
        </mc:AlternateContent>
      </w:r>
    </w:p>
    <w:p w14:paraId="6BAA3E78" w14:textId="77777777" w:rsidR="009E4883" w:rsidRPr="003B0D9C" w:rsidRDefault="009E4883" w:rsidP="009E4883">
      <w:pPr>
        <w:rPr>
          <w:rFonts w:cs="Times New Roman"/>
        </w:rPr>
      </w:pPr>
      <w:r>
        <w:rPr>
          <w:noProof/>
        </w:rPr>
        <w:drawing>
          <wp:inline distT="0" distB="0" distL="0" distR="0" wp14:anchorId="30F14BE1" wp14:editId="33F8B707">
            <wp:extent cx="947928" cy="1097280"/>
            <wp:effectExtent l="0" t="0" r="5080" b="7620"/>
            <wp:docPr id="158339217" name="Picture 15833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_LOG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7928" cy="1097280"/>
                    </a:xfrm>
                    <a:prstGeom prst="rect">
                      <a:avLst/>
                    </a:prstGeom>
                  </pic:spPr>
                </pic:pic>
              </a:graphicData>
            </a:graphic>
          </wp:inline>
        </w:drawing>
      </w:r>
    </w:p>
    <w:p w14:paraId="7D2B6731" w14:textId="77777777" w:rsidR="009E4883" w:rsidRDefault="009E4883" w:rsidP="009E4883"/>
    <w:p w14:paraId="0522CEB2" w14:textId="77777777" w:rsidR="009E4883" w:rsidRPr="003B0D9C" w:rsidRDefault="009E4883" w:rsidP="009E4883">
      <w:pPr>
        <w:rPr>
          <w:b/>
          <w:szCs w:val="22"/>
        </w:rPr>
      </w:pPr>
      <w:r w:rsidRPr="003B0D9C">
        <w:rPr>
          <w:b/>
          <w:szCs w:val="22"/>
        </w:rPr>
        <w:t>How to Search for Associated Press Copy/Stories</w:t>
      </w:r>
    </w:p>
    <w:p w14:paraId="23603AF0" w14:textId="77777777" w:rsidR="009E4883" w:rsidRPr="003B0D9C" w:rsidRDefault="009E4883" w:rsidP="009E4883">
      <w:pPr>
        <w:rPr>
          <w:szCs w:val="22"/>
        </w:rPr>
      </w:pPr>
      <w:r w:rsidRPr="003B0D9C">
        <w:rPr>
          <w:szCs w:val="22"/>
        </w:rPr>
        <w:t>The following sites contain AP news stories and many can be accessed through public, college or university libraries that subscribe to these services.  Some sites may charge for services.</w:t>
      </w:r>
    </w:p>
    <w:p w14:paraId="3DC1CC79" w14:textId="77777777" w:rsidR="009E4883" w:rsidRPr="003B0D9C" w:rsidRDefault="009E4883" w:rsidP="009E4883">
      <w:pPr>
        <w:rPr>
          <w:szCs w:val="22"/>
        </w:rPr>
      </w:pPr>
      <w:r w:rsidRPr="003B0D9C">
        <w:rPr>
          <w:szCs w:val="22"/>
        </w:rPr>
        <w:t>Genealogybank.com – AP stories as published in AP member papers, with a focus on the small to medium-size newspapers that took the AP service.</w:t>
      </w:r>
    </w:p>
    <w:p w14:paraId="4ECE1C24" w14:textId="77777777" w:rsidR="009E4883" w:rsidRPr="003B0D9C" w:rsidRDefault="009E4883" w:rsidP="009E4883">
      <w:pPr>
        <w:rPr>
          <w:szCs w:val="22"/>
        </w:rPr>
      </w:pPr>
      <w:r w:rsidRPr="003B0D9C">
        <w:rPr>
          <w:szCs w:val="22"/>
        </w:rPr>
        <w:t>Newsbank.com</w:t>
      </w:r>
    </w:p>
    <w:p w14:paraId="541A7748" w14:textId="77777777" w:rsidR="009E4883" w:rsidRPr="003B0D9C" w:rsidRDefault="009E4883" w:rsidP="009E4883">
      <w:pPr>
        <w:rPr>
          <w:szCs w:val="22"/>
        </w:rPr>
      </w:pPr>
      <w:r w:rsidRPr="003B0D9C">
        <w:rPr>
          <w:szCs w:val="22"/>
        </w:rPr>
        <w:t>Newspaperarchive.com – AP stories as published in AP member papers.</w:t>
      </w:r>
    </w:p>
    <w:p w14:paraId="165ED5B5" w14:textId="77777777" w:rsidR="009E4883" w:rsidRPr="003B0D9C" w:rsidRDefault="009E4883" w:rsidP="009E4883">
      <w:pPr>
        <w:rPr>
          <w:szCs w:val="22"/>
        </w:rPr>
      </w:pPr>
      <w:r w:rsidRPr="003B0D9C">
        <w:rPr>
          <w:szCs w:val="22"/>
        </w:rPr>
        <w:t>Newspapers.com – AP stories as published in AP member papers</w:t>
      </w:r>
    </w:p>
    <w:p w14:paraId="4F393E58" w14:textId="77777777" w:rsidR="009E4883" w:rsidRPr="003B0D9C" w:rsidRDefault="009E4883" w:rsidP="009E4883">
      <w:pPr>
        <w:rPr>
          <w:szCs w:val="22"/>
        </w:rPr>
      </w:pPr>
      <w:r w:rsidRPr="003B0D9C">
        <w:rPr>
          <w:szCs w:val="22"/>
        </w:rPr>
        <w:t>Chronicling America (Library of Congress) – AP stories as published in member papers, 1789-1963. (Free)</w:t>
      </w:r>
    </w:p>
    <w:p w14:paraId="62199BA5" w14:textId="77777777" w:rsidR="009E4883" w:rsidRPr="003B0D9C" w:rsidRDefault="00000000" w:rsidP="009E4883">
      <w:pPr>
        <w:rPr>
          <w:szCs w:val="22"/>
        </w:rPr>
      </w:pPr>
      <w:hyperlink r:id="rId37" w:history="1">
        <w:r w:rsidR="009E4883" w:rsidRPr="003B0D9C">
          <w:rPr>
            <w:rStyle w:val="Hyperlink"/>
            <w:szCs w:val="22"/>
          </w:rPr>
          <w:t>https://chroniclingamerica.loc.gov/</w:t>
        </w:r>
      </w:hyperlink>
    </w:p>
    <w:p w14:paraId="0B74F571" w14:textId="77777777" w:rsidR="009E4883" w:rsidRPr="003B0D9C" w:rsidRDefault="009E4883" w:rsidP="009E4883">
      <w:pPr>
        <w:rPr>
          <w:b/>
          <w:szCs w:val="22"/>
        </w:rPr>
      </w:pPr>
    </w:p>
    <w:p w14:paraId="20F8A421" w14:textId="77777777" w:rsidR="009E4883" w:rsidRPr="003B0D9C" w:rsidRDefault="009E4883" w:rsidP="009E4883">
      <w:pPr>
        <w:rPr>
          <w:b/>
          <w:szCs w:val="22"/>
        </w:rPr>
      </w:pPr>
      <w:r w:rsidRPr="003B0D9C">
        <w:rPr>
          <w:b/>
          <w:szCs w:val="22"/>
        </w:rPr>
        <w:t>For stories and archival material:</w:t>
      </w:r>
    </w:p>
    <w:p w14:paraId="7DBD42AD" w14:textId="77777777" w:rsidR="009E4883" w:rsidRPr="003B0D9C" w:rsidRDefault="009E4883" w:rsidP="009E4883">
      <w:pPr>
        <w:rPr>
          <w:szCs w:val="22"/>
        </w:rPr>
      </w:pPr>
      <w:r w:rsidRPr="003B0D9C">
        <w:rPr>
          <w:szCs w:val="22"/>
        </w:rPr>
        <w:t>Gale/Cengage: “Associated Press Collections Online,” including wire copy, bureau records and in-house publications spanning 1848 to 2010; approximately 2,000,000 pages of original sources.  Only available where the service has been purchased.</w:t>
      </w:r>
    </w:p>
    <w:p w14:paraId="60B3EBFE" w14:textId="77777777" w:rsidR="009E4883" w:rsidRPr="003B0D9C" w:rsidRDefault="009E4883" w:rsidP="009E4883">
      <w:pPr>
        <w:rPr>
          <w:szCs w:val="22"/>
        </w:rPr>
      </w:pPr>
      <w:r w:rsidRPr="003B0D9C">
        <w:rPr>
          <w:szCs w:val="22"/>
        </w:rPr>
        <w:t>Ancestry.com – Associated Press Collections -- Selected news stories, 1937-1976; 1982-1985.  Available as an individual subscription.</w:t>
      </w:r>
    </w:p>
    <w:p w14:paraId="717166EE" w14:textId="77777777" w:rsidR="009E4883" w:rsidRPr="003B0D9C" w:rsidRDefault="009E4883" w:rsidP="009E4883">
      <w:pPr>
        <w:rPr>
          <w:szCs w:val="22"/>
        </w:rPr>
      </w:pPr>
      <w:r w:rsidRPr="003B0D9C">
        <w:rPr>
          <w:szCs w:val="22"/>
        </w:rPr>
        <w:t>ProQuest Historical Newspapers – AP stories as published in AP member papers.  Check to see which papers your library has chosen to take as part of this service.  Generally, you will only be able to search in the big papers, like the New York Times, the Washington Post, the Boston Globe, the Los Angeles Times, which did not exclusively take the AP service.  Only available where the service has been purchased.</w:t>
      </w:r>
    </w:p>
    <w:p w14:paraId="2686BBBD" w14:textId="77777777" w:rsidR="009E4883" w:rsidRDefault="009E4883" w:rsidP="009E4883">
      <w:pPr>
        <w:rPr>
          <w:szCs w:val="22"/>
        </w:rPr>
      </w:pPr>
      <w:r w:rsidRPr="003B0D9C">
        <w:rPr>
          <w:szCs w:val="22"/>
        </w:rPr>
        <w:t>ProQuest History Vault – Associated Press Saigon Bureau Records, Cape Canaveral Bureau Records and John F. Kennedy and Robert F. Kennedy Assassination wires. Only available where service has been purchased.</w:t>
      </w:r>
    </w:p>
    <w:p w14:paraId="19DCFE21" w14:textId="77777777" w:rsidR="009E4883" w:rsidRPr="003B0D9C" w:rsidRDefault="009E4883" w:rsidP="009E4883">
      <w:pPr>
        <w:rPr>
          <w:szCs w:val="22"/>
        </w:rPr>
      </w:pPr>
      <w:r w:rsidRPr="003B0D9C">
        <w:rPr>
          <w:szCs w:val="22"/>
        </w:rPr>
        <w:t>Nexis.com – news bulletins and stories dating back to 1977 --</w:t>
      </w:r>
    </w:p>
    <w:p w14:paraId="4E0E01DE" w14:textId="77777777" w:rsidR="009E4883" w:rsidRDefault="009E4883" w:rsidP="009E4883">
      <w:r>
        <w:br/>
      </w:r>
      <w:r w:rsidRPr="003B0D9C">
        <w:rPr>
          <w:sz w:val="16"/>
          <w:szCs w:val="16"/>
        </w:rPr>
        <w:t>The Associated Press Corporate Archives</w:t>
      </w:r>
      <w:r w:rsidRPr="003B0D9C">
        <w:rPr>
          <w:sz w:val="16"/>
          <w:szCs w:val="16"/>
        </w:rPr>
        <w:br/>
        <w:t>2019</w:t>
      </w:r>
    </w:p>
    <w:p w14:paraId="0A6A7F3D" w14:textId="77777777" w:rsidR="009E4883" w:rsidRPr="00373C16" w:rsidRDefault="009E4883" w:rsidP="009E4883">
      <w:pPr>
        <w:rPr>
          <w:rFonts w:ascii="Arial" w:eastAsia="Times New Roman" w:hAnsi="Arial" w:cs="Arial"/>
          <w:color w:val="222222"/>
          <w:szCs w:val="22"/>
          <w:lang w:val="en-US"/>
        </w:rPr>
      </w:pPr>
      <w:r>
        <w:rPr>
          <w:noProof/>
        </w:rPr>
        <mc:AlternateContent>
          <mc:Choice Requires="wps">
            <w:drawing>
              <wp:anchor distT="0" distB="0" distL="114300" distR="114300" simplePos="0" relativeHeight="251683840" behindDoc="0" locked="0" layoutInCell="1" allowOverlap="1" wp14:anchorId="67925B89" wp14:editId="74CE885C">
                <wp:simplePos x="0" y="0"/>
                <wp:positionH relativeFrom="column">
                  <wp:posOffset>-209006</wp:posOffset>
                </wp:positionH>
                <wp:positionV relativeFrom="paragraph">
                  <wp:posOffset>128724</wp:posOffset>
                </wp:positionV>
                <wp:extent cx="6373858" cy="635"/>
                <wp:effectExtent l="0" t="0" r="1905" b="0"/>
                <wp:wrapNone/>
                <wp:docPr id="1311965030" name="Text Box 1"/>
                <wp:cNvGraphicFramePr/>
                <a:graphic xmlns:a="http://schemas.openxmlformats.org/drawingml/2006/main">
                  <a:graphicData uri="http://schemas.microsoft.com/office/word/2010/wordprocessingShape">
                    <wps:wsp>
                      <wps:cNvSpPr txBox="1"/>
                      <wps:spPr>
                        <a:xfrm>
                          <a:off x="0" y="0"/>
                          <a:ext cx="6373858" cy="635"/>
                        </a:xfrm>
                        <a:prstGeom prst="rect">
                          <a:avLst/>
                        </a:prstGeom>
                        <a:solidFill>
                          <a:prstClr val="white"/>
                        </a:solidFill>
                        <a:ln>
                          <a:noFill/>
                        </a:ln>
                      </wps:spPr>
                      <wps:txbx>
                        <w:txbxContent>
                          <w:p w14:paraId="7313B1DA" w14:textId="47F86E77" w:rsidR="009E4883" w:rsidRPr="00C14930" w:rsidRDefault="009E4883" w:rsidP="00C14930">
                            <w:pPr>
                              <w:pStyle w:val="DissertationFigureCaption"/>
                              <w:rPr>
                                <w:noProof/>
                                <w:u w:val="none"/>
                              </w:rPr>
                            </w:pPr>
                            <w:bookmarkStart w:id="112" w:name="_Toc168415568"/>
                            <w:bookmarkStart w:id="113" w:name="_Toc175413250"/>
                            <w:r w:rsidRPr="00C14930">
                              <w:t>Fig</w:t>
                            </w:r>
                            <w:r w:rsidR="00E214D9" w:rsidRPr="00C14930">
                              <w:t>ure</w:t>
                            </w:r>
                            <w:r w:rsidRPr="00C14930">
                              <w:t xml:space="preserve"> A1- 7</w:t>
                            </w:r>
                            <w:r w:rsidR="00880AD8">
                              <w:t>:</w:t>
                            </w:r>
                            <w:r w:rsidR="00C14930" w:rsidRPr="00C14930">
                              <w:rPr>
                                <w:u w:val="none"/>
                              </w:rPr>
                              <w:tab/>
                            </w:r>
                            <w:r w:rsidRPr="00C14930">
                              <w:rPr>
                                <w:u w:val="none"/>
                              </w:rPr>
                              <w:t xml:space="preserve"> Attachment Included with April 2, 2020 Email Response from Archivist at the Associated Press Corporate Archives (New York)</w:t>
                            </w:r>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67925B89" id="_x0000_s1034" type="#_x0000_t202" style="position:absolute;margin-left:-16.45pt;margin-top:10.15pt;width:501.9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" stroked="f">
                <v:textbox style="mso-fit-shape-to-text:t" inset="0,0,0,0">
                  <w:txbxContent>
                    <w:p w14:paraId="7313B1DA" w14:textId="47F86E77" w:rsidR="009E4883" w:rsidRPr="00C14930" w:rsidRDefault="009E4883" w:rsidP="00C14930">
                      <w:pPr>
                        <w:pStyle w:val="DissertationFigureCaption"/>
                        <w:rPr>
                          <w:noProof/>
                          <w:u w:val="none"/>
                        </w:rPr>
                      </w:pPr>
                      <w:bookmarkStart w:id="131" w:name="_Toc168415568"/>
                      <w:bookmarkStart w:id="132" w:name="_Toc175413250"/>
                      <w:r w:rsidRPr="00C14930">
                        <w:t>Fig</w:t>
                      </w:r>
                      <w:r w:rsidR="00E214D9" w:rsidRPr="00C14930">
                        <w:t>ure</w:t>
                      </w:r>
                      <w:r w:rsidRPr="00C14930">
                        <w:t xml:space="preserve"> A1- 7</w:t>
                      </w:r>
                      <w:r w:rsidR="00880AD8">
                        <w:t>:</w:t>
                      </w:r>
                      <w:r w:rsidR="00C14930" w:rsidRPr="00C14930">
                        <w:rPr>
                          <w:u w:val="none"/>
                        </w:rPr>
                        <w:tab/>
                      </w:r>
                      <w:r w:rsidRPr="00C14930">
                        <w:rPr>
                          <w:u w:val="none"/>
                        </w:rPr>
                        <w:t xml:space="preserve"> Attachment Included with April 2, 2020 Email Response from Archivist at the Associated Press Corporate Archives (New York)</w:t>
                      </w:r>
                      <w:bookmarkEnd w:id="131"/>
                      <w:bookmarkEnd w:id="132"/>
                    </w:p>
                  </w:txbxContent>
                </v:textbox>
              </v:shape>
            </w:pict>
          </mc:Fallback>
        </mc:AlternateContent>
      </w:r>
    </w:p>
    <w:p w14:paraId="11A30D3F" w14:textId="06CD6475" w:rsidR="00C13AC5" w:rsidRPr="00C13AC5" w:rsidRDefault="00D64A92" w:rsidP="00C13AC5">
      <w:pPr>
        <w:pStyle w:val="DissertationSection1"/>
      </w:pPr>
      <w:bookmarkStart w:id="114" w:name="_Toc168411137"/>
      <w:bookmarkStart w:id="115" w:name="_Toc175413178"/>
      <w:r w:rsidRPr="00C13AC5">
        <w:lastRenderedPageBreak/>
        <w:t>Appendix B</w:t>
      </w:r>
      <w:r w:rsidR="008800C4" w:rsidRPr="00C13AC5">
        <w:t xml:space="preserve"> – Full Dictionary of Bias Indicators Derived from Luo, Card, and </w:t>
      </w:r>
      <w:proofErr w:type="spellStart"/>
      <w:r w:rsidR="008800C4" w:rsidRPr="00C13AC5">
        <w:t>Jurafsky’s</w:t>
      </w:r>
      <w:proofErr w:type="spellEnd"/>
      <w:r w:rsidR="008800C4" w:rsidRPr="00C13AC5">
        <w:t xml:space="preserve"> 2020 Research</w:t>
      </w:r>
      <w:bookmarkEnd w:id="114"/>
      <w:bookmarkEnd w:id="115"/>
    </w:p>
    <w:p w14:paraId="0D3CEF22" w14:textId="77777777" w:rsidR="00C13AC5" w:rsidRPr="00C13AC5" w:rsidRDefault="00C13AC5" w:rsidP="00C13AC5">
      <w:pPr>
        <w:ind w:firstLine="720"/>
        <w:rPr>
          <w:rFonts w:cs="Times New Roman"/>
          <w:szCs w:val="22"/>
        </w:rPr>
      </w:pPr>
      <w:r w:rsidRPr="00C13AC5">
        <w:rPr>
          <w:rFonts w:cs="Times New Roman"/>
          <w:szCs w:val="22"/>
        </w:rPr>
        <w:t xml:space="preserve">I use </w:t>
      </w:r>
      <w:proofErr w:type="spellStart"/>
      <w:r w:rsidRPr="00C13AC5">
        <w:rPr>
          <w:rFonts w:cs="Times New Roman"/>
          <w:szCs w:val="22"/>
        </w:rPr>
        <w:t>WordStat’s</w:t>
      </w:r>
      <w:proofErr w:type="spellEnd"/>
      <w:r w:rsidRPr="00C13AC5">
        <w:rPr>
          <w:rFonts w:cs="Times New Roman"/>
          <w:szCs w:val="22"/>
        </w:rPr>
        <w:t xml:space="preserve"> lemmatization pre-processing feature in connection with both the news bulletins that comprise my sampling frame and the dictionaries categorized in Table A2- 1 and Table A2- 2, below, before commencing my analysis. Lemmatization considers a language’s full vocabulary to apply a morphological analysis to words, with the objective of removing inflectional endings to return the </w:t>
      </w:r>
      <w:r w:rsidRPr="00C13AC5">
        <w:rPr>
          <w:rFonts w:cs="Times New Roman"/>
          <w:i/>
          <w:iCs/>
          <w:szCs w:val="22"/>
        </w:rPr>
        <w:t xml:space="preserve">lemma: </w:t>
      </w:r>
      <w:r w:rsidRPr="00C13AC5">
        <w:rPr>
          <w:rFonts w:cs="Times New Roman"/>
          <w:szCs w:val="22"/>
        </w:rPr>
        <w:t xml:space="preserve">the base form (also referred to as the dictionary form) of a word. Here, it is important to note that </w:t>
      </w:r>
      <w:proofErr w:type="spellStart"/>
      <w:r w:rsidRPr="00C13AC5">
        <w:rPr>
          <w:rFonts w:cs="Times New Roman"/>
          <w:szCs w:val="22"/>
        </w:rPr>
        <w:t>WordStat</w:t>
      </w:r>
      <w:proofErr w:type="spellEnd"/>
      <w:r w:rsidRPr="00C13AC5">
        <w:rPr>
          <w:rFonts w:cs="Times New Roman"/>
          <w:szCs w:val="22"/>
        </w:rPr>
        <w:t xml:space="preserve"> provides for a user’s ability to manually review and edit (include or exclude specific cases or selections of text) both in the context of the lemmatization process, and in terms of any content analysis conducted in connection with the texts that comprise their specific sampling frame.</w:t>
      </w:r>
    </w:p>
    <w:p w14:paraId="75AEA664" w14:textId="77777777" w:rsidR="00C13AC5" w:rsidRPr="00C13AC5" w:rsidRDefault="00C13AC5" w:rsidP="00C13AC5">
      <w:pPr>
        <w:ind w:firstLine="720"/>
        <w:rPr>
          <w:rFonts w:cs="Times New Roman"/>
          <w:szCs w:val="22"/>
        </w:rPr>
      </w:pPr>
      <w:r w:rsidRPr="00C13AC5">
        <w:rPr>
          <w:rFonts w:cs="Times New Roman"/>
          <w:szCs w:val="22"/>
        </w:rPr>
        <w:t xml:space="preserve">I employ Luo, </w:t>
      </w:r>
      <w:proofErr w:type="spellStart"/>
      <w:r w:rsidRPr="00C13AC5">
        <w:rPr>
          <w:rFonts w:cs="Times New Roman"/>
          <w:szCs w:val="22"/>
        </w:rPr>
        <w:t>Jurafsky</w:t>
      </w:r>
      <w:proofErr w:type="spellEnd"/>
      <w:r w:rsidRPr="00C13AC5">
        <w:rPr>
          <w:rFonts w:cs="Times New Roman"/>
          <w:szCs w:val="22"/>
        </w:rPr>
        <w:t>, and Card’s categorization of five affirming devices, and six doubting devices to identify positive and negative bias in connection with two targets: terrorism/terrorists, and the state/state institutions.</w:t>
      </w:r>
      <w:r w:rsidRPr="00C13AC5">
        <w:rPr>
          <w:rStyle w:val="FootnoteReference"/>
          <w:rFonts w:cs="Times New Roman"/>
          <w:szCs w:val="22"/>
        </w:rPr>
        <w:footnoteReference w:id="563"/>
      </w:r>
      <w:r w:rsidRPr="00C13AC5">
        <w:rPr>
          <w:rFonts w:cs="Times New Roman"/>
          <w:szCs w:val="22"/>
        </w:rPr>
        <w:t xml:space="preserve"> In this context, positive bias manifests as its target’s depiction as being of vital importance to both setting, and resolving key issues on, the public agenda. Correspondingly, negative bias portrays its target in a way that detracts from its publicly perceived relevance. To that end, Table A2- 1 categorizes positive bias indicators as factive and semi-factive verbs, high commitment verbs, high commitment adjectives, hyping adjectives, and consensus of evidence adjectives. Table A2- 2 categorizes negative bias indicators as neg-factive verbs, low commitment verbs, low commitment modifiers, argumentative verbs, undermining adjectives, and lack of consensus adjectives.</w:t>
      </w:r>
    </w:p>
    <w:p w14:paraId="48324FA0" w14:textId="77777777" w:rsidR="00C13AC5" w:rsidRPr="00C13AC5" w:rsidRDefault="00C13AC5" w:rsidP="00C13AC5">
      <w:pPr>
        <w:rPr>
          <w:rFonts w:cs="Times New Roman"/>
          <w:b/>
          <w:bCs/>
          <w:szCs w:val="22"/>
        </w:rPr>
      </w:pPr>
    </w:p>
    <w:p w14:paraId="4D258C5C" w14:textId="77777777" w:rsidR="00C13AC5" w:rsidRPr="00C13AC5" w:rsidRDefault="00C13AC5" w:rsidP="00C13AC5">
      <w:pPr>
        <w:pStyle w:val="DissertationSection2"/>
      </w:pPr>
      <w:bookmarkStart w:id="116" w:name="_Toc175413179"/>
      <w:r w:rsidRPr="00C13AC5">
        <w:t>Positive Bias Indicators</w:t>
      </w:r>
      <w:bookmarkEnd w:id="116"/>
    </w:p>
    <w:p w14:paraId="34867A18" w14:textId="48EACDED" w:rsidR="00C13AC5" w:rsidRPr="00C13AC5" w:rsidRDefault="008F4194" w:rsidP="00C13AC5">
      <w:pPr>
        <w:rPr>
          <w:rFonts w:cs="Times New Roman"/>
          <w:b/>
          <w:bCs/>
          <w:szCs w:val="22"/>
        </w:rPr>
      </w:pPr>
      <w:r>
        <w:rPr>
          <w:rFonts w:cs="Times New Roman"/>
          <w:b/>
          <w:bCs/>
          <w:noProof/>
          <w:szCs w:val="22"/>
        </w:rPr>
        <w:drawing>
          <wp:inline distT="0" distB="0" distL="0" distR="0" wp14:anchorId="72EAEA91" wp14:editId="73185B64">
            <wp:extent cx="5615507" cy="2743200"/>
            <wp:effectExtent l="0" t="0" r="0" b="0"/>
            <wp:docPr id="194702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20205" name="Picture 194702020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20269" cy="2745526"/>
                    </a:xfrm>
                    <a:prstGeom prst="rect">
                      <a:avLst/>
                    </a:prstGeom>
                  </pic:spPr>
                </pic:pic>
              </a:graphicData>
            </a:graphic>
          </wp:inline>
        </w:drawing>
      </w:r>
    </w:p>
    <w:p w14:paraId="13EFA2E9" w14:textId="77777777" w:rsidR="00880AD8" w:rsidRDefault="00880AD8" w:rsidP="00C14930">
      <w:pPr>
        <w:pStyle w:val="DissertationTableCaption"/>
      </w:pPr>
      <w:bookmarkStart w:id="117" w:name="_Toc168415264"/>
    </w:p>
    <w:p w14:paraId="3E9EF00B" w14:textId="7F204478" w:rsidR="008F4194" w:rsidRPr="00C14930" w:rsidRDefault="00C13AC5" w:rsidP="00C14930">
      <w:pPr>
        <w:pStyle w:val="DissertationTableCaption"/>
        <w:rPr>
          <w:u w:val="none"/>
        </w:rPr>
      </w:pPr>
      <w:bookmarkStart w:id="118" w:name="_Toc175413207"/>
      <w:r w:rsidRPr="00C14930">
        <w:t xml:space="preserve">Table A2-  </w:t>
      </w:r>
      <w:fldSimple w:instr=" SEQ Table_A2-_ \* ARABIC ">
        <w:r w:rsidR="00AF1E65">
          <w:rPr>
            <w:noProof/>
          </w:rPr>
          <w:t>1</w:t>
        </w:r>
      </w:fldSimple>
      <w:r w:rsidR="00880AD8">
        <w:rPr>
          <w:noProof/>
        </w:rPr>
        <w:t>:</w:t>
      </w:r>
      <w:r w:rsidR="00C14930" w:rsidRPr="00C14930">
        <w:rPr>
          <w:u w:val="none"/>
        </w:rPr>
        <w:tab/>
      </w:r>
      <w:r w:rsidRPr="00C14930">
        <w:rPr>
          <w:u w:val="none"/>
        </w:rPr>
        <w:t xml:space="preserve">Positive Bias Indicators Derived from Luo, Card, and </w:t>
      </w:r>
      <w:proofErr w:type="spellStart"/>
      <w:r w:rsidRPr="00C14930">
        <w:rPr>
          <w:u w:val="none"/>
        </w:rPr>
        <w:t>Jurafsky's</w:t>
      </w:r>
      <w:proofErr w:type="spellEnd"/>
      <w:r w:rsidRPr="00C14930">
        <w:rPr>
          <w:u w:val="none"/>
        </w:rPr>
        <w:t xml:space="preserve"> 2020 Research on Media Bias in Mainstream News Coverage of Global Warming</w:t>
      </w:r>
      <w:bookmarkEnd w:id="117"/>
      <w:bookmarkEnd w:id="118"/>
    </w:p>
    <w:p w14:paraId="2AC40F30" w14:textId="01CD5E15" w:rsidR="00C13AC5" w:rsidRPr="00C13AC5" w:rsidRDefault="00C13AC5" w:rsidP="008F4194">
      <w:pPr>
        <w:pStyle w:val="DissertationSection2"/>
      </w:pPr>
      <w:bookmarkStart w:id="119" w:name="_Toc175413180"/>
      <w:r w:rsidRPr="00C13AC5">
        <w:lastRenderedPageBreak/>
        <w:t>Negative Bias Indicators</w:t>
      </w:r>
      <w:bookmarkEnd w:id="119"/>
    </w:p>
    <w:p w14:paraId="3E8772D0" w14:textId="478DD31B" w:rsidR="00C13AC5" w:rsidRPr="00C13AC5" w:rsidRDefault="008F4194" w:rsidP="00C13AC5">
      <w:pPr>
        <w:rPr>
          <w:rFonts w:cs="Times New Roman"/>
          <w:b/>
          <w:bCs/>
          <w:szCs w:val="22"/>
        </w:rPr>
      </w:pPr>
      <w:r>
        <w:rPr>
          <w:rFonts w:cs="Times New Roman"/>
          <w:b/>
          <w:bCs/>
          <w:noProof/>
          <w:szCs w:val="22"/>
        </w:rPr>
        <w:drawing>
          <wp:inline distT="0" distB="0" distL="0" distR="0" wp14:anchorId="26E89DA8" wp14:editId="37091932">
            <wp:extent cx="5468620" cy="2879090"/>
            <wp:effectExtent l="0" t="0" r="5080" b="3810"/>
            <wp:docPr id="1651784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84571" name="Picture 165178457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68620" cy="2879090"/>
                    </a:xfrm>
                    <a:prstGeom prst="rect">
                      <a:avLst/>
                    </a:prstGeom>
                  </pic:spPr>
                </pic:pic>
              </a:graphicData>
            </a:graphic>
          </wp:inline>
        </w:drawing>
      </w:r>
    </w:p>
    <w:p w14:paraId="7FB6EAB8" w14:textId="77777777" w:rsidR="00880AD8" w:rsidRDefault="00880AD8" w:rsidP="00C14930">
      <w:pPr>
        <w:pStyle w:val="DissertationTableCaption"/>
      </w:pPr>
      <w:bookmarkStart w:id="120" w:name="_Toc168415265"/>
    </w:p>
    <w:p w14:paraId="2D394ACB" w14:textId="275791C0" w:rsidR="00C13AC5" w:rsidRPr="00C13AC5" w:rsidRDefault="00C13AC5" w:rsidP="00C14930">
      <w:pPr>
        <w:pStyle w:val="DissertationTableCaption"/>
      </w:pPr>
      <w:bookmarkStart w:id="121" w:name="_Toc175413208"/>
      <w:r w:rsidRPr="00C13AC5">
        <w:t xml:space="preserve">Table A2-  </w:t>
      </w:r>
      <w:fldSimple w:instr=" SEQ Table_A2-_ \* ARABIC ">
        <w:r w:rsidR="00AF1E65">
          <w:rPr>
            <w:noProof/>
          </w:rPr>
          <w:t>2</w:t>
        </w:r>
      </w:fldSimple>
      <w:r w:rsidR="00880AD8">
        <w:rPr>
          <w:noProof/>
        </w:rPr>
        <w:t>:</w:t>
      </w:r>
      <w:r w:rsidR="00C14930" w:rsidRPr="00C14930">
        <w:rPr>
          <w:u w:val="none"/>
        </w:rPr>
        <w:tab/>
      </w:r>
      <w:r w:rsidRPr="00C14930">
        <w:rPr>
          <w:u w:val="none"/>
        </w:rPr>
        <w:t xml:space="preserve">Negative Bias Indicators Derived from Luo, Card, and </w:t>
      </w:r>
      <w:proofErr w:type="spellStart"/>
      <w:r w:rsidRPr="00C14930">
        <w:rPr>
          <w:u w:val="none"/>
        </w:rPr>
        <w:t>Jurafsky's</w:t>
      </w:r>
      <w:proofErr w:type="spellEnd"/>
      <w:r w:rsidRPr="00C14930">
        <w:rPr>
          <w:u w:val="none"/>
        </w:rPr>
        <w:t xml:space="preserve"> 2020 Research on Media Bias in Mainstream News Coverage of Global Warming</w:t>
      </w:r>
      <w:bookmarkEnd w:id="120"/>
      <w:bookmarkEnd w:id="121"/>
    </w:p>
    <w:p w14:paraId="640DEBA9" w14:textId="77777777" w:rsidR="00D64A92" w:rsidRDefault="00D64A92">
      <w:pPr>
        <w:rPr>
          <w:rFonts w:eastAsia="Times New Roman" w:cs="Times New Roman"/>
          <w:b/>
          <w:bCs/>
        </w:rPr>
      </w:pPr>
      <w:r>
        <w:br w:type="page"/>
      </w:r>
    </w:p>
    <w:p w14:paraId="6887EA7A" w14:textId="77777777" w:rsidR="008F4194" w:rsidRDefault="00D64A92" w:rsidP="008F4194">
      <w:pPr>
        <w:pStyle w:val="DissertationSection1"/>
      </w:pPr>
      <w:bookmarkStart w:id="122" w:name="_Toc168411138"/>
      <w:bookmarkStart w:id="123" w:name="_Toc175413181"/>
      <w:r>
        <w:lastRenderedPageBreak/>
        <w:t>Appendix C</w:t>
      </w:r>
      <w:r w:rsidR="004D5397">
        <w:t xml:space="preserve"> – </w:t>
      </w:r>
      <w:r w:rsidR="004D5397" w:rsidRPr="00B218EA">
        <w:t>List of Search Terms and Strings Used to Identify Bias in the Media Coverage of Terrorism</w:t>
      </w:r>
      <w:bookmarkEnd w:id="122"/>
      <w:bookmarkEnd w:id="123"/>
    </w:p>
    <w:p w14:paraId="1BF52133" w14:textId="77777777" w:rsidR="008F4194" w:rsidRDefault="008F4194" w:rsidP="008F4194">
      <w:pPr>
        <w:pStyle w:val="DissertationSection1"/>
      </w:pPr>
    </w:p>
    <w:p w14:paraId="1D6CFDAB" w14:textId="7FA329E2" w:rsidR="008F4194" w:rsidRDefault="008F4194" w:rsidP="00D73500">
      <w:r>
        <w:rPr>
          <w:noProof/>
        </w:rPr>
        <w:drawing>
          <wp:inline distT="0" distB="0" distL="0" distR="0" wp14:anchorId="318ACDCC" wp14:editId="391B6548">
            <wp:extent cx="5468620" cy="2136775"/>
            <wp:effectExtent l="0" t="0" r="5080" b="0"/>
            <wp:docPr id="992411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11052" name="Picture 9924110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68620" cy="2136775"/>
                    </a:xfrm>
                    <a:prstGeom prst="rect">
                      <a:avLst/>
                    </a:prstGeom>
                  </pic:spPr>
                </pic:pic>
              </a:graphicData>
            </a:graphic>
          </wp:inline>
        </w:drawing>
      </w:r>
    </w:p>
    <w:p w14:paraId="218122EE" w14:textId="77777777" w:rsidR="00880AD8" w:rsidRDefault="00880AD8" w:rsidP="008F4194">
      <w:pPr>
        <w:pStyle w:val="DissertationTableCaption"/>
      </w:pPr>
      <w:bookmarkStart w:id="124" w:name="_Toc168415266"/>
    </w:p>
    <w:p w14:paraId="03F2A97D" w14:textId="4C8B9287" w:rsidR="008F4194" w:rsidRPr="008F4194" w:rsidRDefault="008F4194" w:rsidP="008F4194">
      <w:pPr>
        <w:pStyle w:val="DissertationTableCaption"/>
      </w:pPr>
      <w:bookmarkStart w:id="125" w:name="_Toc175413209"/>
      <w:r w:rsidRPr="00BA3AB1">
        <w:t xml:space="preserve">Table A3- </w:t>
      </w:r>
      <w:fldSimple w:instr=" SEQ Table_A3- \* ARABIC ">
        <w:r w:rsidR="00AF1E65">
          <w:rPr>
            <w:noProof/>
          </w:rPr>
          <w:t>1</w:t>
        </w:r>
      </w:fldSimple>
      <w:r w:rsidR="00880AD8">
        <w:rPr>
          <w:u w:val="none"/>
        </w:rPr>
        <w:t>:</w:t>
      </w:r>
      <w:r>
        <w:rPr>
          <w:u w:val="none"/>
        </w:rPr>
        <w:tab/>
      </w:r>
      <w:r w:rsidRPr="008F4194">
        <w:rPr>
          <w:u w:val="none"/>
        </w:rPr>
        <w:t>Keywords Used to Identify Bias 'Targets' in the Media Coverage of Terrorism</w:t>
      </w:r>
      <w:bookmarkEnd w:id="124"/>
      <w:bookmarkEnd w:id="125"/>
    </w:p>
    <w:p w14:paraId="0F5CCC19" w14:textId="77777777" w:rsidR="008F4194" w:rsidRDefault="008F4194" w:rsidP="008F4194">
      <w:pPr>
        <w:rPr>
          <w:rFonts w:cs="Times New Roman"/>
        </w:rPr>
      </w:pPr>
    </w:p>
    <w:p w14:paraId="151080E4" w14:textId="279BF29D" w:rsidR="008F4194" w:rsidRPr="00685716" w:rsidRDefault="008F4194" w:rsidP="008F4194">
      <w:pPr>
        <w:rPr>
          <w:rFonts w:cs="Times New Roman"/>
        </w:rPr>
      </w:pPr>
      <w:r>
        <w:rPr>
          <w:rFonts w:cs="Times New Roman"/>
          <w:noProof/>
        </w:rPr>
        <w:drawing>
          <wp:inline distT="0" distB="0" distL="0" distR="0" wp14:anchorId="24B74315" wp14:editId="092059A3">
            <wp:extent cx="5468620" cy="1728470"/>
            <wp:effectExtent l="0" t="0" r="5080" b="0"/>
            <wp:docPr id="824651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51141" name="Picture 82465114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68620" cy="1728470"/>
                    </a:xfrm>
                    <a:prstGeom prst="rect">
                      <a:avLst/>
                    </a:prstGeom>
                  </pic:spPr>
                </pic:pic>
              </a:graphicData>
            </a:graphic>
          </wp:inline>
        </w:drawing>
      </w:r>
    </w:p>
    <w:p w14:paraId="0A1B189A" w14:textId="77777777" w:rsidR="00880AD8" w:rsidRDefault="00880AD8" w:rsidP="008F4194">
      <w:pPr>
        <w:pStyle w:val="DissertationTableCaption"/>
      </w:pPr>
      <w:bookmarkStart w:id="126" w:name="_Toc168415267"/>
    </w:p>
    <w:p w14:paraId="75996503" w14:textId="22F41D77" w:rsidR="008F4194" w:rsidRDefault="008F4194" w:rsidP="008F4194">
      <w:pPr>
        <w:pStyle w:val="DissertationTableCaption"/>
        <w:rPr>
          <w:u w:val="none"/>
        </w:rPr>
      </w:pPr>
      <w:bookmarkStart w:id="127" w:name="_Toc175413210"/>
      <w:r w:rsidRPr="00BA3AB1">
        <w:t xml:space="preserve">Table A3- </w:t>
      </w:r>
      <w:fldSimple w:instr=" SEQ Table_A3- \* ARABIC ">
        <w:r w:rsidR="00AF1E65">
          <w:rPr>
            <w:noProof/>
          </w:rPr>
          <w:t>2</w:t>
        </w:r>
      </w:fldSimple>
      <w:r w:rsidR="00880AD8">
        <w:rPr>
          <w:noProof/>
        </w:rPr>
        <w:t>:</w:t>
      </w:r>
      <w:r>
        <w:rPr>
          <w:u w:val="none"/>
        </w:rPr>
        <w:tab/>
      </w:r>
      <w:r w:rsidRPr="008F4194">
        <w:rPr>
          <w:u w:val="none"/>
        </w:rPr>
        <w:t xml:space="preserve"> Sub-Categorization of Positive and Negative Bias in Terms of Luo, Card and </w:t>
      </w:r>
      <w:proofErr w:type="spellStart"/>
      <w:r w:rsidRPr="008F4194">
        <w:rPr>
          <w:u w:val="none"/>
        </w:rPr>
        <w:t>Jurafsky’s</w:t>
      </w:r>
      <w:proofErr w:type="spellEnd"/>
      <w:r w:rsidRPr="008F4194">
        <w:rPr>
          <w:u w:val="none"/>
        </w:rPr>
        <w:t xml:space="preserve"> “Affirming Devices” and “Doubting Devices”</w:t>
      </w:r>
      <w:bookmarkEnd w:id="126"/>
      <w:bookmarkEnd w:id="127"/>
    </w:p>
    <w:p w14:paraId="54B8EDF0" w14:textId="77777777" w:rsidR="008F4194" w:rsidRDefault="008F4194" w:rsidP="008F4194"/>
    <w:p w14:paraId="6417257B" w14:textId="622F5567" w:rsidR="008F4194" w:rsidRPr="008F4194" w:rsidRDefault="008F4194" w:rsidP="008F4194">
      <w:r>
        <w:rPr>
          <w:noProof/>
        </w:rPr>
        <w:lastRenderedPageBreak/>
        <w:drawing>
          <wp:inline distT="0" distB="0" distL="0" distR="0" wp14:anchorId="4CEC2C0E" wp14:editId="34610598">
            <wp:extent cx="5468620" cy="4009390"/>
            <wp:effectExtent l="0" t="0" r="5080" b="3810"/>
            <wp:docPr id="1372039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9334" name="Picture 13720393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68620" cy="4009390"/>
                    </a:xfrm>
                    <a:prstGeom prst="rect">
                      <a:avLst/>
                    </a:prstGeom>
                  </pic:spPr>
                </pic:pic>
              </a:graphicData>
            </a:graphic>
          </wp:inline>
        </w:drawing>
      </w:r>
    </w:p>
    <w:p w14:paraId="38D3699F" w14:textId="7225CEC9" w:rsidR="008F4194" w:rsidRDefault="008F4194" w:rsidP="008F4194">
      <w:pPr>
        <w:pStyle w:val="DissertationTableCaption"/>
        <w:rPr>
          <w:u w:val="none"/>
        </w:rPr>
      </w:pPr>
      <w:bookmarkStart w:id="128" w:name="_Toc168415268"/>
      <w:bookmarkStart w:id="129" w:name="_Toc175413211"/>
      <w:r w:rsidRPr="00BA3AB1">
        <w:t xml:space="preserve">Table A3- </w:t>
      </w:r>
      <w:fldSimple w:instr=" SEQ Table_A3- \* ARABIC ">
        <w:r w:rsidR="00AF1E65">
          <w:rPr>
            <w:noProof/>
          </w:rPr>
          <w:t>3</w:t>
        </w:r>
      </w:fldSimple>
      <w:r w:rsidR="00880AD8">
        <w:rPr>
          <w:noProof/>
        </w:rPr>
        <w:t>:</w:t>
      </w:r>
      <w:r>
        <w:rPr>
          <w:u w:val="none"/>
        </w:rPr>
        <w:tab/>
      </w:r>
      <w:r w:rsidRPr="008F4194">
        <w:rPr>
          <w:u w:val="none"/>
        </w:rPr>
        <w:t xml:space="preserve"> Search Strings Used to Identify Positive Bias in Connection with Terrorism/Terrorists in the Media Coverage of Terrorism</w:t>
      </w:r>
      <w:bookmarkEnd w:id="128"/>
      <w:bookmarkEnd w:id="129"/>
    </w:p>
    <w:p w14:paraId="57B1CCD7" w14:textId="77777777" w:rsidR="008F4194" w:rsidRDefault="008F4194" w:rsidP="008F4194"/>
    <w:p w14:paraId="6B525726" w14:textId="2CFA24ED" w:rsidR="008F4194" w:rsidRPr="008F4194" w:rsidRDefault="008F4194" w:rsidP="008F4194">
      <w:r>
        <w:rPr>
          <w:noProof/>
        </w:rPr>
        <w:lastRenderedPageBreak/>
        <w:drawing>
          <wp:inline distT="0" distB="0" distL="0" distR="0" wp14:anchorId="136758B0" wp14:editId="12E4605D">
            <wp:extent cx="5468620" cy="4806950"/>
            <wp:effectExtent l="0" t="0" r="5080" b="6350"/>
            <wp:docPr id="583081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81411" name="Picture 583081411"/>
                    <pic:cNvPicPr/>
                  </pic:nvPicPr>
                  <pic:blipFill>
                    <a:blip r:embed="rId43">
                      <a:extLst>
                        <a:ext uri="{28A0092B-C50C-407E-A947-70E740481C1C}">
                          <a14:useLocalDpi xmlns:a14="http://schemas.microsoft.com/office/drawing/2010/main" val="0"/>
                        </a:ext>
                      </a:extLst>
                    </a:blip>
                    <a:stretch>
                      <a:fillRect/>
                    </a:stretch>
                  </pic:blipFill>
                  <pic:spPr>
                    <a:xfrm>
                      <a:off x="0" y="0"/>
                      <a:ext cx="5468620" cy="4806950"/>
                    </a:xfrm>
                    <a:prstGeom prst="rect">
                      <a:avLst/>
                    </a:prstGeom>
                  </pic:spPr>
                </pic:pic>
              </a:graphicData>
            </a:graphic>
          </wp:inline>
        </w:drawing>
      </w:r>
    </w:p>
    <w:p w14:paraId="02237B67" w14:textId="2F7AFC6B" w:rsidR="008F4194" w:rsidRDefault="008F4194" w:rsidP="008F4194">
      <w:pPr>
        <w:pStyle w:val="DissertationTableCaption"/>
        <w:rPr>
          <w:u w:val="none"/>
        </w:rPr>
      </w:pPr>
      <w:bookmarkStart w:id="130" w:name="_Toc168415269"/>
      <w:bookmarkStart w:id="131" w:name="_Toc175413212"/>
      <w:r w:rsidRPr="00340B8A">
        <w:t xml:space="preserve">Table A3- </w:t>
      </w:r>
      <w:fldSimple w:instr=" SEQ Table_A3- \* ARABIC ">
        <w:r w:rsidR="00AF1E65">
          <w:rPr>
            <w:noProof/>
          </w:rPr>
          <w:t>4</w:t>
        </w:r>
      </w:fldSimple>
      <w:r w:rsidR="00880AD8">
        <w:rPr>
          <w:noProof/>
        </w:rPr>
        <w:t>:</w:t>
      </w:r>
      <w:r>
        <w:rPr>
          <w:u w:val="none"/>
        </w:rPr>
        <w:tab/>
      </w:r>
      <w:r w:rsidRPr="008F4194">
        <w:rPr>
          <w:u w:val="none"/>
        </w:rPr>
        <w:t xml:space="preserve"> Search Strings Used to Identify Negative Bias in Connection with Terrorism/Terrorists in the Media Coverage of Terrorism</w:t>
      </w:r>
      <w:bookmarkEnd w:id="130"/>
      <w:bookmarkEnd w:id="131"/>
    </w:p>
    <w:p w14:paraId="6BA91B3A" w14:textId="77777777" w:rsidR="008F4194" w:rsidRDefault="008F4194" w:rsidP="008F4194"/>
    <w:p w14:paraId="56F2E293" w14:textId="56F4B3DC" w:rsidR="008F4194" w:rsidRPr="008F4194" w:rsidRDefault="008F4194" w:rsidP="008F4194">
      <w:r>
        <w:rPr>
          <w:noProof/>
        </w:rPr>
        <w:lastRenderedPageBreak/>
        <w:drawing>
          <wp:inline distT="0" distB="0" distL="0" distR="0" wp14:anchorId="04A4DFE2" wp14:editId="75AFA6F3">
            <wp:extent cx="5468620" cy="4125595"/>
            <wp:effectExtent l="0" t="0" r="5080" b="1905"/>
            <wp:docPr id="327060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60015" name="Picture 327060015"/>
                    <pic:cNvPicPr/>
                  </pic:nvPicPr>
                  <pic:blipFill>
                    <a:blip r:embed="rId44">
                      <a:extLst>
                        <a:ext uri="{28A0092B-C50C-407E-A947-70E740481C1C}">
                          <a14:useLocalDpi xmlns:a14="http://schemas.microsoft.com/office/drawing/2010/main" val="0"/>
                        </a:ext>
                      </a:extLst>
                    </a:blip>
                    <a:stretch>
                      <a:fillRect/>
                    </a:stretch>
                  </pic:blipFill>
                  <pic:spPr>
                    <a:xfrm>
                      <a:off x="0" y="0"/>
                      <a:ext cx="5468620" cy="4125595"/>
                    </a:xfrm>
                    <a:prstGeom prst="rect">
                      <a:avLst/>
                    </a:prstGeom>
                  </pic:spPr>
                </pic:pic>
              </a:graphicData>
            </a:graphic>
          </wp:inline>
        </w:drawing>
      </w:r>
    </w:p>
    <w:p w14:paraId="43F9B7F7" w14:textId="0F2B5ACE" w:rsidR="008F4194" w:rsidRPr="008F4194" w:rsidRDefault="008F4194" w:rsidP="008F4194">
      <w:pPr>
        <w:pStyle w:val="DissertationTableCaption"/>
        <w:rPr>
          <w:u w:val="none"/>
        </w:rPr>
      </w:pPr>
      <w:bookmarkStart w:id="132" w:name="_Toc168415270"/>
      <w:bookmarkStart w:id="133" w:name="_Toc175413213"/>
      <w:r w:rsidRPr="00AC415F">
        <w:t xml:space="preserve">Table A3- </w:t>
      </w:r>
      <w:fldSimple w:instr=" SEQ Table_A3- \* ARABIC ">
        <w:r w:rsidR="00AF1E65">
          <w:rPr>
            <w:noProof/>
          </w:rPr>
          <w:t>5</w:t>
        </w:r>
      </w:fldSimple>
      <w:r w:rsidR="00880AD8">
        <w:rPr>
          <w:noProof/>
        </w:rPr>
        <w:t>:</w:t>
      </w:r>
      <w:r w:rsidRPr="008F4194">
        <w:rPr>
          <w:u w:val="none"/>
        </w:rPr>
        <w:tab/>
        <w:t xml:space="preserve"> Search Strings Used to Identify Positive Bias in Connection with the State/State Institutions in the Media Coverage of Terrorism</w:t>
      </w:r>
      <w:bookmarkEnd w:id="132"/>
      <w:bookmarkEnd w:id="133"/>
    </w:p>
    <w:p w14:paraId="61FAA48D" w14:textId="77777777" w:rsidR="008F4194" w:rsidRDefault="008F4194" w:rsidP="008F4194">
      <w:pPr>
        <w:rPr>
          <w:rFonts w:cs="Times New Roman"/>
          <w:color w:val="000000" w:themeColor="text1"/>
          <w:u w:val="single"/>
        </w:rPr>
      </w:pPr>
    </w:p>
    <w:p w14:paraId="4423C731" w14:textId="55AC1B43" w:rsidR="008F4194" w:rsidRDefault="008F4194" w:rsidP="008F4194">
      <w:pPr>
        <w:rPr>
          <w:rFonts w:cs="Times New Roman"/>
          <w:color w:val="000000" w:themeColor="text1"/>
          <w:u w:val="single"/>
        </w:rPr>
      </w:pPr>
      <w:r>
        <w:rPr>
          <w:rFonts w:cs="Times New Roman"/>
          <w:noProof/>
          <w:color w:val="000000" w:themeColor="text1"/>
          <w:u w:val="single"/>
        </w:rPr>
        <w:lastRenderedPageBreak/>
        <w:drawing>
          <wp:inline distT="0" distB="0" distL="0" distR="0" wp14:anchorId="469ECF0D" wp14:editId="10750E86">
            <wp:extent cx="5468620" cy="4233545"/>
            <wp:effectExtent l="0" t="0" r="5080" b="0"/>
            <wp:docPr id="1522207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07134" name="Picture 1522207134"/>
                    <pic:cNvPicPr/>
                  </pic:nvPicPr>
                  <pic:blipFill>
                    <a:blip r:embed="rId45">
                      <a:extLst>
                        <a:ext uri="{28A0092B-C50C-407E-A947-70E740481C1C}">
                          <a14:useLocalDpi xmlns:a14="http://schemas.microsoft.com/office/drawing/2010/main" val="0"/>
                        </a:ext>
                      </a:extLst>
                    </a:blip>
                    <a:stretch>
                      <a:fillRect/>
                    </a:stretch>
                  </pic:blipFill>
                  <pic:spPr>
                    <a:xfrm>
                      <a:off x="0" y="0"/>
                      <a:ext cx="5468620" cy="4233545"/>
                    </a:xfrm>
                    <a:prstGeom prst="rect">
                      <a:avLst/>
                    </a:prstGeom>
                  </pic:spPr>
                </pic:pic>
              </a:graphicData>
            </a:graphic>
          </wp:inline>
        </w:drawing>
      </w:r>
    </w:p>
    <w:p w14:paraId="400DB93E" w14:textId="4BFC14D5" w:rsidR="008F4194" w:rsidRPr="008F4194" w:rsidRDefault="008F4194" w:rsidP="008F4194">
      <w:pPr>
        <w:pStyle w:val="DissertationTableCaption"/>
        <w:rPr>
          <w:rFonts w:cstheme="minorBidi"/>
        </w:rPr>
      </w:pPr>
      <w:bookmarkStart w:id="134" w:name="_Toc168415271"/>
      <w:bookmarkStart w:id="135" w:name="_Toc175413214"/>
      <w:r w:rsidRPr="00340B8A">
        <w:t xml:space="preserve">Table A3- </w:t>
      </w:r>
      <w:fldSimple w:instr=" SEQ Table_A3- \* ARABIC ">
        <w:r w:rsidR="00AF1E65">
          <w:rPr>
            <w:noProof/>
          </w:rPr>
          <w:t>6</w:t>
        </w:r>
      </w:fldSimple>
      <w:r w:rsidR="00880AD8">
        <w:rPr>
          <w:noProof/>
        </w:rPr>
        <w:t>:</w:t>
      </w:r>
      <w:r>
        <w:rPr>
          <w:u w:val="none"/>
        </w:rPr>
        <w:tab/>
      </w:r>
      <w:r w:rsidRPr="008F4194">
        <w:rPr>
          <w:u w:val="none"/>
        </w:rPr>
        <w:t xml:space="preserve"> Search Strings Used to Identify Negative Bias in Connection with the State/State Institutions in the Media Coverage of Terrorism</w:t>
      </w:r>
      <w:bookmarkEnd w:id="134"/>
      <w:bookmarkEnd w:id="135"/>
    </w:p>
    <w:p w14:paraId="698858E9" w14:textId="77777777" w:rsidR="008F4194" w:rsidRPr="00340B8A" w:rsidRDefault="008F4194" w:rsidP="008F4194"/>
    <w:p w14:paraId="42C1CCFC" w14:textId="2EC7D73C" w:rsidR="00D64A92" w:rsidRDefault="00D64A92">
      <w:pPr>
        <w:rPr>
          <w:rFonts w:eastAsia="Times New Roman" w:cs="Times New Roman"/>
          <w:b/>
          <w:bCs/>
        </w:rPr>
      </w:pPr>
    </w:p>
    <w:p w14:paraId="533B3EE3" w14:textId="77777777" w:rsidR="008F4194" w:rsidRDefault="008F4194">
      <w:pPr>
        <w:spacing w:before="0" w:after="0"/>
        <w:rPr>
          <w:rFonts w:cs="Times New Roman"/>
          <w:b/>
          <w:bCs/>
        </w:rPr>
      </w:pPr>
      <w:bookmarkStart w:id="136" w:name="_Toc168411139"/>
      <w:r>
        <w:br w:type="page"/>
      </w:r>
    </w:p>
    <w:p w14:paraId="5DB9EDE9" w14:textId="0D38B317" w:rsidR="00D64A92" w:rsidRDefault="00D64A92" w:rsidP="00787123">
      <w:pPr>
        <w:pStyle w:val="DissertationSection1"/>
      </w:pPr>
      <w:bookmarkStart w:id="137" w:name="_Toc175413182"/>
      <w:r>
        <w:lastRenderedPageBreak/>
        <w:t>Appendix D</w:t>
      </w:r>
      <w:r w:rsidR="004D5397">
        <w:t xml:space="preserve"> – </w:t>
      </w:r>
      <w:r w:rsidR="004D5397" w:rsidRPr="00B218EA">
        <w:t>Comparing Definitions of Terrorism: 1988 Schmid and Jongman vs. 2004 Weinberg et. al.</w:t>
      </w:r>
      <w:bookmarkEnd w:id="136"/>
      <w:bookmarkEnd w:id="137"/>
    </w:p>
    <w:p w14:paraId="7C77ACDC" w14:textId="77777777" w:rsidR="007B741B" w:rsidRDefault="007B741B" w:rsidP="007B741B">
      <w:pPr>
        <w:spacing w:after="0"/>
        <w:ind w:firstLine="720"/>
        <w:rPr>
          <w:rFonts w:cs="Times New Roman"/>
          <w:sz w:val="24"/>
        </w:rPr>
      </w:pPr>
    </w:p>
    <w:p w14:paraId="586266D9" w14:textId="25745F45" w:rsidR="007B741B" w:rsidRPr="00FB2594" w:rsidRDefault="007B741B" w:rsidP="007B741B">
      <w:pPr>
        <w:ind w:firstLine="720"/>
      </w:pPr>
      <w:r w:rsidRPr="00FB2594">
        <w:t xml:space="preserve">In 1988, Alex Schmid and Albert Jongman endeavored to produce the “best known work on </w:t>
      </w:r>
      <w:proofErr w:type="spellStart"/>
      <w:r w:rsidRPr="00FB2594">
        <w:t>th</w:t>
      </w:r>
      <w:proofErr w:type="spellEnd"/>
      <w:r w:rsidRPr="00FB2594">
        <w:t xml:space="preserve">[e] </w:t>
      </w:r>
      <w:proofErr w:type="gramStart"/>
      <w:r w:rsidRPr="00FB2594">
        <w:t>problem[</w:t>
      </w:r>
      <w:proofErr w:type="gramEnd"/>
      <w:r w:rsidRPr="00FB2594">
        <w:t xml:space="preserve">s associated with] </w:t>
      </w:r>
      <w:proofErr w:type="spellStart"/>
      <w:r w:rsidRPr="00FB2594">
        <w:t>defin</w:t>
      </w:r>
      <w:proofErr w:type="spellEnd"/>
      <w:r w:rsidRPr="00FB2594">
        <w:t>[</w:t>
      </w:r>
      <w:proofErr w:type="spellStart"/>
      <w:r w:rsidRPr="00FB2594">
        <w:t>ing</w:t>
      </w:r>
      <w:proofErr w:type="spellEnd"/>
      <w:r w:rsidRPr="00FB2594">
        <w:t xml:space="preserve"> terrorism]” by collating an academic consensus definition that merges distinguishing features of terrorism.</w:t>
      </w:r>
      <w:r w:rsidRPr="00FB2594">
        <w:rPr>
          <w:rStyle w:val="FootnoteReference"/>
          <w:rFonts w:cs="Times New Roman"/>
          <w:sz w:val="24"/>
        </w:rPr>
        <w:footnoteReference w:id="564"/>
      </w:r>
      <w:r w:rsidRPr="00FB2594">
        <w:t xml:space="preserve"> A list of distinct features inherent to terrorism is derived by analyzing responses to a 1985 questionnaire that were submitted by 109 terrorism experts of international renown. Schmid and Jongman’s research then </w:t>
      </w:r>
      <w:proofErr w:type="gramStart"/>
      <w:r w:rsidRPr="00FB2594">
        <w:t>distills</w:t>
      </w:r>
      <w:proofErr w:type="gramEnd"/>
      <w:r w:rsidRPr="00FB2594">
        <w:t xml:space="preserve"> the features of terrorism identified in the survey responses into twenty-two distinct definitional elements. This leads to Schmid and Jongman’s identification of the definitional elements inherent to conceptualizing terrorism as indicated in Table A</w:t>
      </w:r>
      <w:r>
        <w:t>4</w:t>
      </w:r>
      <w:r w:rsidRPr="00FB2594">
        <w:t>-1, below</w:t>
      </w:r>
      <w:r>
        <w:t>.</w:t>
      </w:r>
    </w:p>
    <w:tbl>
      <w:tblPr>
        <w:tblStyle w:val="GridTable4"/>
        <w:tblpPr w:leftFromText="180" w:rightFromText="180" w:vertAnchor="text" w:horzAnchor="margin" w:tblpY="58"/>
        <w:tblW w:w="8621" w:type="dxa"/>
        <w:tblLook w:val="04A0" w:firstRow="1" w:lastRow="0" w:firstColumn="1" w:lastColumn="0" w:noHBand="0" w:noVBand="1"/>
      </w:tblPr>
      <w:tblGrid>
        <w:gridCol w:w="1919"/>
        <w:gridCol w:w="6702"/>
      </w:tblGrid>
      <w:tr w:rsidR="007B741B" w:rsidRPr="007B741B" w14:paraId="1C63BD73" w14:textId="77777777" w:rsidTr="007B741B">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52107F54" w14:textId="77777777" w:rsidR="007B741B" w:rsidRPr="007B741B" w:rsidRDefault="007B741B" w:rsidP="007B741B">
            <w:pPr>
              <w:spacing w:before="0" w:after="0"/>
              <w:jc w:val="center"/>
              <w:rPr>
                <w:rFonts w:cs="Times New Roman"/>
                <w:color w:val="auto"/>
                <w:szCs w:val="22"/>
              </w:rPr>
            </w:pPr>
            <w:r w:rsidRPr="007B741B">
              <w:rPr>
                <w:rFonts w:cs="Times New Roman"/>
                <w:color w:val="auto"/>
                <w:szCs w:val="22"/>
              </w:rPr>
              <w:t>Definitional Element No.</w:t>
            </w:r>
          </w:p>
        </w:tc>
        <w:tc>
          <w:tcPr>
            <w:tcW w:w="6702" w:type="dxa"/>
          </w:tcPr>
          <w:p w14:paraId="5DF193F4" w14:textId="77777777" w:rsidR="007B741B" w:rsidRPr="007B741B" w:rsidRDefault="007B741B" w:rsidP="007B741B">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2"/>
              </w:rPr>
            </w:pPr>
          </w:p>
          <w:p w14:paraId="17C5DAB3" w14:textId="77777777" w:rsidR="007B741B" w:rsidRPr="007B741B" w:rsidRDefault="007B741B" w:rsidP="007B741B">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Cs w:val="22"/>
              </w:rPr>
            </w:pPr>
            <w:r w:rsidRPr="007B741B">
              <w:rPr>
                <w:rFonts w:cs="Times New Roman"/>
                <w:color w:val="auto"/>
                <w:szCs w:val="22"/>
              </w:rPr>
              <w:t>Description of Definitional Element</w:t>
            </w:r>
          </w:p>
        </w:tc>
      </w:tr>
      <w:tr w:rsidR="007B741B" w:rsidRPr="007B741B" w14:paraId="44444B81"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3967B600" w14:textId="77777777" w:rsidR="007B741B" w:rsidRPr="007B741B" w:rsidRDefault="007B741B" w:rsidP="007B741B">
            <w:pPr>
              <w:spacing w:before="0" w:after="0"/>
              <w:jc w:val="center"/>
              <w:rPr>
                <w:rFonts w:cs="Times New Roman"/>
                <w:szCs w:val="22"/>
              </w:rPr>
            </w:pPr>
            <w:r w:rsidRPr="007B741B">
              <w:rPr>
                <w:rFonts w:cs="Times New Roman"/>
                <w:szCs w:val="22"/>
              </w:rPr>
              <w:t>1</w:t>
            </w:r>
          </w:p>
        </w:tc>
        <w:tc>
          <w:tcPr>
            <w:tcW w:w="6702" w:type="dxa"/>
          </w:tcPr>
          <w:p w14:paraId="5ABDF3F1"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Use of force, violence</w:t>
            </w:r>
          </w:p>
        </w:tc>
      </w:tr>
      <w:tr w:rsidR="007B741B" w:rsidRPr="007B741B" w14:paraId="59D76709"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0B115D5F" w14:textId="77777777" w:rsidR="007B741B" w:rsidRPr="007B741B" w:rsidRDefault="007B741B" w:rsidP="007B741B">
            <w:pPr>
              <w:spacing w:before="0" w:after="0"/>
              <w:jc w:val="center"/>
              <w:rPr>
                <w:rFonts w:cs="Times New Roman"/>
                <w:szCs w:val="22"/>
              </w:rPr>
            </w:pPr>
            <w:r w:rsidRPr="007B741B">
              <w:rPr>
                <w:rFonts w:cs="Times New Roman"/>
                <w:szCs w:val="22"/>
              </w:rPr>
              <w:t>2</w:t>
            </w:r>
          </w:p>
        </w:tc>
        <w:tc>
          <w:tcPr>
            <w:tcW w:w="6702" w:type="dxa"/>
          </w:tcPr>
          <w:p w14:paraId="3437C042"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Political</w:t>
            </w:r>
          </w:p>
        </w:tc>
      </w:tr>
      <w:tr w:rsidR="007B741B" w:rsidRPr="007B741B" w14:paraId="0651BB0C" w14:textId="77777777" w:rsidTr="007B741B">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919" w:type="dxa"/>
          </w:tcPr>
          <w:p w14:paraId="3798B3EA" w14:textId="77777777" w:rsidR="007B741B" w:rsidRPr="007B741B" w:rsidRDefault="007B741B" w:rsidP="007B741B">
            <w:pPr>
              <w:spacing w:before="0" w:after="0"/>
              <w:jc w:val="center"/>
              <w:rPr>
                <w:rFonts w:cs="Times New Roman"/>
                <w:szCs w:val="22"/>
              </w:rPr>
            </w:pPr>
            <w:r w:rsidRPr="007B741B">
              <w:rPr>
                <w:rFonts w:cs="Times New Roman"/>
                <w:szCs w:val="22"/>
              </w:rPr>
              <w:t>3</w:t>
            </w:r>
          </w:p>
        </w:tc>
        <w:tc>
          <w:tcPr>
            <w:tcW w:w="6702" w:type="dxa"/>
          </w:tcPr>
          <w:p w14:paraId="783AE435"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Threat</w:t>
            </w:r>
          </w:p>
        </w:tc>
      </w:tr>
      <w:tr w:rsidR="007B741B" w:rsidRPr="007B741B" w14:paraId="4908F2B3"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08815D28" w14:textId="77777777" w:rsidR="007B741B" w:rsidRPr="007B741B" w:rsidRDefault="007B741B" w:rsidP="007B741B">
            <w:pPr>
              <w:spacing w:before="0" w:after="0"/>
              <w:jc w:val="center"/>
              <w:rPr>
                <w:rFonts w:cs="Times New Roman"/>
                <w:szCs w:val="22"/>
              </w:rPr>
            </w:pPr>
            <w:r w:rsidRPr="007B741B">
              <w:rPr>
                <w:rFonts w:cs="Times New Roman"/>
                <w:szCs w:val="22"/>
              </w:rPr>
              <w:t>4</w:t>
            </w:r>
          </w:p>
        </w:tc>
        <w:tc>
          <w:tcPr>
            <w:tcW w:w="6702" w:type="dxa"/>
          </w:tcPr>
          <w:p w14:paraId="65DF77EF"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Method of combat, or strategy</w:t>
            </w:r>
          </w:p>
        </w:tc>
      </w:tr>
      <w:tr w:rsidR="007B741B" w:rsidRPr="007B741B" w14:paraId="37C30B47"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7753A5ED" w14:textId="77777777" w:rsidR="007B741B" w:rsidRPr="007B741B" w:rsidRDefault="007B741B" w:rsidP="007B741B">
            <w:pPr>
              <w:spacing w:before="0" w:after="0"/>
              <w:jc w:val="center"/>
              <w:rPr>
                <w:rFonts w:cs="Times New Roman"/>
                <w:szCs w:val="22"/>
              </w:rPr>
            </w:pPr>
            <w:r w:rsidRPr="007B741B">
              <w:rPr>
                <w:rFonts w:cs="Times New Roman"/>
                <w:szCs w:val="22"/>
              </w:rPr>
              <w:t>5</w:t>
            </w:r>
          </w:p>
        </w:tc>
        <w:tc>
          <w:tcPr>
            <w:tcW w:w="6702" w:type="dxa"/>
          </w:tcPr>
          <w:p w14:paraId="5F115A53"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Groups, movements</w:t>
            </w:r>
          </w:p>
        </w:tc>
      </w:tr>
      <w:tr w:rsidR="007B741B" w:rsidRPr="007B741B" w14:paraId="7D0480EC"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50947690" w14:textId="77777777" w:rsidR="007B741B" w:rsidRPr="007B741B" w:rsidRDefault="007B741B" w:rsidP="007B741B">
            <w:pPr>
              <w:spacing w:before="0" w:after="0"/>
              <w:jc w:val="center"/>
              <w:rPr>
                <w:rFonts w:cs="Times New Roman"/>
                <w:szCs w:val="22"/>
              </w:rPr>
            </w:pPr>
            <w:r w:rsidRPr="007B741B">
              <w:rPr>
                <w:rFonts w:cs="Times New Roman"/>
                <w:szCs w:val="22"/>
              </w:rPr>
              <w:t>6</w:t>
            </w:r>
          </w:p>
        </w:tc>
        <w:tc>
          <w:tcPr>
            <w:tcW w:w="6702" w:type="dxa"/>
          </w:tcPr>
          <w:p w14:paraId="6A954EFF"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Victim-target differentiation</w:t>
            </w:r>
          </w:p>
        </w:tc>
      </w:tr>
      <w:tr w:rsidR="007B741B" w:rsidRPr="007B741B" w14:paraId="721E036D"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30D2DA57" w14:textId="77777777" w:rsidR="007B741B" w:rsidRPr="007B741B" w:rsidRDefault="007B741B" w:rsidP="007B741B">
            <w:pPr>
              <w:spacing w:before="0" w:after="0"/>
              <w:jc w:val="center"/>
              <w:rPr>
                <w:rFonts w:cs="Times New Roman"/>
                <w:szCs w:val="22"/>
              </w:rPr>
            </w:pPr>
            <w:r w:rsidRPr="007B741B">
              <w:rPr>
                <w:rFonts w:cs="Times New Roman"/>
                <w:szCs w:val="22"/>
              </w:rPr>
              <w:t>7</w:t>
            </w:r>
          </w:p>
        </w:tc>
        <w:tc>
          <w:tcPr>
            <w:tcW w:w="6702" w:type="dxa"/>
          </w:tcPr>
          <w:p w14:paraId="240F1825"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Civilians, non-combatants</w:t>
            </w:r>
          </w:p>
        </w:tc>
      </w:tr>
      <w:tr w:rsidR="007B741B" w:rsidRPr="007B741B" w14:paraId="2826D7ED"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04767173" w14:textId="77777777" w:rsidR="007B741B" w:rsidRPr="007B741B" w:rsidRDefault="007B741B" w:rsidP="007B741B">
            <w:pPr>
              <w:spacing w:before="0" w:after="0"/>
              <w:jc w:val="center"/>
              <w:rPr>
                <w:rFonts w:cs="Times New Roman"/>
                <w:szCs w:val="22"/>
              </w:rPr>
            </w:pPr>
            <w:r w:rsidRPr="007B741B">
              <w:rPr>
                <w:rFonts w:cs="Times New Roman"/>
                <w:szCs w:val="22"/>
              </w:rPr>
              <w:t>8</w:t>
            </w:r>
          </w:p>
        </w:tc>
        <w:tc>
          <w:tcPr>
            <w:tcW w:w="6702" w:type="dxa"/>
          </w:tcPr>
          <w:p w14:paraId="4EEAFE33"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Fear, terror</w:t>
            </w:r>
          </w:p>
        </w:tc>
      </w:tr>
      <w:tr w:rsidR="007B741B" w:rsidRPr="007B741B" w14:paraId="06A04683"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75365A10" w14:textId="77777777" w:rsidR="007B741B" w:rsidRPr="007B741B" w:rsidRDefault="007B741B" w:rsidP="007B741B">
            <w:pPr>
              <w:spacing w:before="0" w:after="0"/>
              <w:jc w:val="center"/>
              <w:rPr>
                <w:rFonts w:cs="Times New Roman"/>
                <w:szCs w:val="22"/>
              </w:rPr>
            </w:pPr>
            <w:r w:rsidRPr="007B741B">
              <w:rPr>
                <w:rFonts w:cs="Times New Roman"/>
                <w:szCs w:val="22"/>
              </w:rPr>
              <w:t>9</w:t>
            </w:r>
          </w:p>
        </w:tc>
        <w:tc>
          <w:tcPr>
            <w:tcW w:w="6702" w:type="dxa"/>
          </w:tcPr>
          <w:p w14:paraId="412A1624"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Publicity</w:t>
            </w:r>
          </w:p>
        </w:tc>
      </w:tr>
      <w:tr w:rsidR="007B741B" w:rsidRPr="007B741B" w14:paraId="06BF1E26"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4DBDC47D" w14:textId="77777777" w:rsidR="007B741B" w:rsidRPr="007B741B" w:rsidRDefault="007B741B" w:rsidP="007B741B">
            <w:pPr>
              <w:spacing w:before="0" w:after="0"/>
              <w:jc w:val="center"/>
              <w:rPr>
                <w:rFonts w:cs="Times New Roman"/>
                <w:szCs w:val="22"/>
              </w:rPr>
            </w:pPr>
            <w:r w:rsidRPr="007B741B">
              <w:rPr>
                <w:rFonts w:cs="Times New Roman"/>
                <w:szCs w:val="22"/>
              </w:rPr>
              <w:t>10</w:t>
            </w:r>
          </w:p>
        </w:tc>
        <w:tc>
          <w:tcPr>
            <w:tcW w:w="6702" w:type="dxa"/>
          </w:tcPr>
          <w:p w14:paraId="0427D265"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Intimidation</w:t>
            </w:r>
          </w:p>
        </w:tc>
      </w:tr>
      <w:tr w:rsidR="007B741B" w:rsidRPr="007B741B" w14:paraId="776EFF1D"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6CF446C8" w14:textId="77777777" w:rsidR="007B741B" w:rsidRPr="007B741B" w:rsidRDefault="007B741B" w:rsidP="007B741B">
            <w:pPr>
              <w:spacing w:before="0" w:after="0"/>
              <w:jc w:val="center"/>
              <w:rPr>
                <w:rFonts w:cs="Times New Roman"/>
                <w:szCs w:val="22"/>
              </w:rPr>
            </w:pPr>
            <w:r w:rsidRPr="007B741B">
              <w:rPr>
                <w:rFonts w:cs="Times New Roman"/>
                <w:szCs w:val="22"/>
              </w:rPr>
              <w:t>11</w:t>
            </w:r>
          </w:p>
        </w:tc>
        <w:tc>
          <w:tcPr>
            <w:tcW w:w="6702" w:type="dxa"/>
          </w:tcPr>
          <w:p w14:paraId="724C6296"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Purposive, planned, systematic, organized action</w:t>
            </w:r>
          </w:p>
        </w:tc>
      </w:tr>
      <w:tr w:rsidR="007B741B" w:rsidRPr="007B741B" w14:paraId="12A8C285"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783DE7A7" w14:textId="77777777" w:rsidR="007B741B" w:rsidRPr="007B741B" w:rsidRDefault="007B741B" w:rsidP="007B741B">
            <w:pPr>
              <w:spacing w:before="0" w:after="0"/>
              <w:jc w:val="center"/>
              <w:rPr>
                <w:rFonts w:cs="Times New Roman"/>
                <w:szCs w:val="22"/>
              </w:rPr>
            </w:pPr>
            <w:r w:rsidRPr="007B741B">
              <w:rPr>
                <w:rFonts w:cs="Times New Roman"/>
                <w:szCs w:val="22"/>
              </w:rPr>
              <w:t>12</w:t>
            </w:r>
          </w:p>
        </w:tc>
        <w:tc>
          <w:tcPr>
            <w:tcW w:w="6702" w:type="dxa"/>
          </w:tcPr>
          <w:p w14:paraId="79ECF610"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Innocence of victims</w:t>
            </w:r>
          </w:p>
        </w:tc>
      </w:tr>
      <w:tr w:rsidR="007B741B" w:rsidRPr="007B741B" w14:paraId="783855A9"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6F3B21C9" w14:textId="77777777" w:rsidR="007B741B" w:rsidRPr="007B741B" w:rsidRDefault="007B741B" w:rsidP="007B741B">
            <w:pPr>
              <w:spacing w:before="0" w:after="0"/>
              <w:jc w:val="center"/>
              <w:rPr>
                <w:rFonts w:cs="Times New Roman"/>
                <w:szCs w:val="22"/>
              </w:rPr>
            </w:pPr>
            <w:r w:rsidRPr="007B741B">
              <w:rPr>
                <w:rFonts w:cs="Times New Roman"/>
                <w:szCs w:val="22"/>
              </w:rPr>
              <w:t>13</w:t>
            </w:r>
          </w:p>
        </w:tc>
        <w:tc>
          <w:tcPr>
            <w:tcW w:w="6702" w:type="dxa"/>
          </w:tcPr>
          <w:p w14:paraId="4A8C0212"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Covert</w:t>
            </w:r>
          </w:p>
        </w:tc>
      </w:tr>
      <w:tr w:rsidR="007B741B" w:rsidRPr="007B741B" w14:paraId="550B0C99"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243B2E88" w14:textId="77777777" w:rsidR="007B741B" w:rsidRPr="007B741B" w:rsidRDefault="007B741B" w:rsidP="007B741B">
            <w:pPr>
              <w:spacing w:before="0" w:after="0"/>
              <w:jc w:val="center"/>
              <w:rPr>
                <w:rFonts w:cs="Times New Roman"/>
                <w:szCs w:val="22"/>
              </w:rPr>
            </w:pPr>
            <w:r w:rsidRPr="007B741B">
              <w:rPr>
                <w:rFonts w:cs="Times New Roman"/>
                <w:szCs w:val="22"/>
              </w:rPr>
              <w:t>14</w:t>
            </w:r>
          </w:p>
        </w:tc>
        <w:tc>
          <w:tcPr>
            <w:tcW w:w="6702" w:type="dxa"/>
          </w:tcPr>
          <w:p w14:paraId="0D74CDE2"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Coercion, extortion</w:t>
            </w:r>
          </w:p>
        </w:tc>
      </w:tr>
      <w:tr w:rsidR="007B741B" w:rsidRPr="007B741B" w14:paraId="20B085F8"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23EF3DF3" w14:textId="77777777" w:rsidR="007B741B" w:rsidRPr="007B741B" w:rsidRDefault="007B741B" w:rsidP="007B741B">
            <w:pPr>
              <w:spacing w:before="0" w:after="0"/>
              <w:jc w:val="center"/>
              <w:rPr>
                <w:rFonts w:cs="Times New Roman"/>
                <w:szCs w:val="22"/>
              </w:rPr>
            </w:pPr>
            <w:r w:rsidRPr="007B741B">
              <w:rPr>
                <w:rFonts w:cs="Times New Roman"/>
                <w:szCs w:val="22"/>
              </w:rPr>
              <w:t>15</w:t>
            </w:r>
          </w:p>
        </w:tc>
        <w:tc>
          <w:tcPr>
            <w:tcW w:w="6702" w:type="dxa"/>
          </w:tcPr>
          <w:p w14:paraId="2C284A20"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Criminal</w:t>
            </w:r>
          </w:p>
        </w:tc>
      </w:tr>
      <w:tr w:rsidR="007B741B" w:rsidRPr="007B741B" w14:paraId="5C9394DE"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2F10347D" w14:textId="77777777" w:rsidR="007B741B" w:rsidRPr="007B741B" w:rsidRDefault="007B741B" w:rsidP="007B741B">
            <w:pPr>
              <w:spacing w:before="0" w:after="0"/>
              <w:jc w:val="center"/>
              <w:rPr>
                <w:rFonts w:cs="Times New Roman"/>
                <w:szCs w:val="22"/>
              </w:rPr>
            </w:pPr>
            <w:r w:rsidRPr="007B741B">
              <w:rPr>
                <w:rFonts w:cs="Times New Roman"/>
                <w:szCs w:val="22"/>
              </w:rPr>
              <w:t>16</w:t>
            </w:r>
          </w:p>
        </w:tc>
        <w:tc>
          <w:tcPr>
            <w:tcW w:w="6702" w:type="dxa"/>
          </w:tcPr>
          <w:p w14:paraId="1BBA7E7F"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Psychological effects, anticipated reactions</w:t>
            </w:r>
          </w:p>
        </w:tc>
      </w:tr>
      <w:tr w:rsidR="007B741B" w:rsidRPr="007B741B" w14:paraId="6254EFC7"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24C2F479" w14:textId="77777777" w:rsidR="007B741B" w:rsidRPr="007B741B" w:rsidRDefault="007B741B" w:rsidP="007B741B">
            <w:pPr>
              <w:spacing w:before="0" w:after="0"/>
              <w:jc w:val="center"/>
              <w:rPr>
                <w:rFonts w:cs="Times New Roman"/>
                <w:szCs w:val="22"/>
              </w:rPr>
            </w:pPr>
            <w:r w:rsidRPr="007B741B">
              <w:rPr>
                <w:rFonts w:cs="Times New Roman"/>
                <w:szCs w:val="22"/>
              </w:rPr>
              <w:t>17</w:t>
            </w:r>
          </w:p>
        </w:tc>
        <w:tc>
          <w:tcPr>
            <w:tcW w:w="6702" w:type="dxa"/>
          </w:tcPr>
          <w:p w14:paraId="6629880B"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Symbolism</w:t>
            </w:r>
          </w:p>
        </w:tc>
      </w:tr>
      <w:tr w:rsidR="007B741B" w:rsidRPr="007B741B" w14:paraId="11F0285A"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6F7F80B4" w14:textId="77777777" w:rsidR="007B741B" w:rsidRPr="007B741B" w:rsidRDefault="007B741B" w:rsidP="007B741B">
            <w:pPr>
              <w:spacing w:before="0" w:after="0"/>
              <w:jc w:val="center"/>
              <w:rPr>
                <w:rFonts w:cs="Times New Roman"/>
                <w:szCs w:val="22"/>
              </w:rPr>
            </w:pPr>
            <w:r w:rsidRPr="007B741B">
              <w:rPr>
                <w:rFonts w:cs="Times New Roman"/>
                <w:szCs w:val="22"/>
              </w:rPr>
              <w:t>18</w:t>
            </w:r>
          </w:p>
        </w:tc>
        <w:tc>
          <w:tcPr>
            <w:tcW w:w="6702" w:type="dxa"/>
          </w:tcPr>
          <w:p w14:paraId="09796A50"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Third party demands</w:t>
            </w:r>
          </w:p>
        </w:tc>
      </w:tr>
      <w:tr w:rsidR="007B741B" w:rsidRPr="007B741B" w14:paraId="368D6CB8"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4548BB65" w14:textId="77777777" w:rsidR="007B741B" w:rsidRPr="007B741B" w:rsidRDefault="007B741B" w:rsidP="007B741B">
            <w:pPr>
              <w:spacing w:before="0" w:after="0"/>
              <w:jc w:val="center"/>
              <w:rPr>
                <w:rFonts w:cs="Times New Roman"/>
                <w:szCs w:val="22"/>
              </w:rPr>
            </w:pPr>
            <w:r w:rsidRPr="007B741B">
              <w:rPr>
                <w:rFonts w:cs="Times New Roman"/>
                <w:szCs w:val="22"/>
              </w:rPr>
              <w:t>19</w:t>
            </w:r>
          </w:p>
        </w:tc>
        <w:tc>
          <w:tcPr>
            <w:tcW w:w="6702" w:type="dxa"/>
          </w:tcPr>
          <w:p w14:paraId="1249DC19"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Unpredictability</w:t>
            </w:r>
          </w:p>
        </w:tc>
      </w:tr>
      <w:tr w:rsidR="007B741B" w:rsidRPr="007B741B" w14:paraId="6C0402B7"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6A90AD2D" w14:textId="77777777" w:rsidR="007B741B" w:rsidRPr="007B741B" w:rsidRDefault="007B741B" w:rsidP="007B741B">
            <w:pPr>
              <w:spacing w:before="0" w:after="0"/>
              <w:jc w:val="center"/>
              <w:rPr>
                <w:rFonts w:cs="Times New Roman"/>
                <w:szCs w:val="22"/>
              </w:rPr>
            </w:pPr>
            <w:r w:rsidRPr="007B741B">
              <w:rPr>
                <w:rFonts w:cs="Times New Roman"/>
                <w:szCs w:val="22"/>
              </w:rPr>
              <w:t>20</w:t>
            </w:r>
          </w:p>
        </w:tc>
        <w:tc>
          <w:tcPr>
            <w:tcW w:w="6702" w:type="dxa"/>
          </w:tcPr>
          <w:p w14:paraId="4B508B7C" w14:textId="77777777" w:rsidR="007B741B" w:rsidRPr="007B741B" w:rsidRDefault="007B741B" w:rsidP="007B741B">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Arbitrariness</w:t>
            </w:r>
          </w:p>
        </w:tc>
      </w:tr>
      <w:tr w:rsidR="007B741B" w:rsidRPr="007B741B" w14:paraId="4F12517A" w14:textId="77777777" w:rsidTr="007B741B">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919" w:type="dxa"/>
          </w:tcPr>
          <w:p w14:paraId="70E90B2E" w14:textId="77777777" w:rsidR="007B741B" w:rsidRPr="007B741B" w:rsidRDefault="007B741B" w:rsidP="007B741B">
            <w:pPr>
              <w:spacing w:before="0" w:after="0"/>
              <w:jc w:val="center"/>
              <w:rPr>
                <w:rFonts w:cs="Times New Roman"/>
                <w:szCs w:val="22"/>
              </w:rPr>
            </w:pPr>
            <w:r w:rsidRPr="007B741B">
              <w:rPr>
                <w:rFonts w:cs="Times New Roman"/>
                <w:szCs w:val="22"/>
              </w:rPr>
              <w:t>21</w:t>
            </w:r>
          </w:p>
        </w:tc>
        <w:tc>
          <w:tcPr>
            <w:tcW w:w="6702" w:type="dxa"/>
          </w:tcPr>
          <w:p w14:paraId="375EE8B6" w14:textId="77777777" w:rsidR="007B741B" w:rsidRPr="007B741B" w:rsidRDefault="007B741B" w:rsidP="007B741B">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Cs w:val="22"/>
              </w:rPr>
            </w:pPr>
            <w:r w:rsidRPr="007B741B">
              <w:rPr>
                <w:rFonts w:cs="Times New Roman"/>
                <w:szCs w:val="22"/>
              </w:rPr>
              <w:t>Extranormality in breach of accepted rules, without humanitarian constraints</w:t>
            </w:r>
          </w:p>
        </w:tc>
      </w:tr>
      <w:tr w:rsidR="007B741B" w:rsidRPr="007B741B" w14:paraId="1041AE8F" w14:textId="77777777" w:rsidTr="007B741B">
        <w:trPr>
          <w:trHeight w:val="117"/>
        </w:trPr>
        <w:tc>
          <w:tcPr>
            <w:cnfStyle w:val="001000000000" w:firstRow="0" w:lastRow="0" w:firstColumn="1" w:lastColumn="0" w:oddVBand="0" w:evenVBand="0" w:oddHBand="0" w:evenHBand="0" w:firstRowFirstColumn="0" w:firstRowLastColumn="0" w:lastRowFirstColumn="0" w:lastRowLastColumn="0"/>
            <w:tcW w:w="1919" w:type="dxa"/>
          </w:tcPr>
          <w:p w14:paraId="0CCC9A7A" w14:textId="77777777" w:rsidR="007B741B" w:rsidRPr="007B741B" w:rsidRDefault="007B741B" w:rsidP="007B741B">
            <w:pPr>
              <w:spacing w:before="0" w:after="0"/>
              <w:jc w:val="center"/>
              <w:rPr>
                <w:rFonts w:cs="Times New Roman"/>
                <w:szCs w:val="22"/>
              </w:rPr>
            </w:pPr>
            <w:r w:rsidRPr="007B741B">
              <w:rPr>
                <w:rFonts w:cs="Times New Roman"/>
                <w:szCs w:val="22"/>
              </w:rPr>
              <w:t>22</w:t>
            </w:r>
          </w:p>
        </w:tc>
        <w:tc>
          <w:tcPr>
            <w:tcW w:w="6702" w:type="dxa"/>
          </w:tcPr>
          <w:p w14:paraId="204EF60A" w14:textId="77777777" w:rsidR="007B741B" w:rsidRPr="007B741B" w:rsidRDefault="007B741B" w:rsidP="007B741B">
            <w:pPr>
              <w:keepNext/>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Cs w:val="22"/>
              </w:rPr>
            </w:pPr>
            <w:r w:rsidRPr="007B741B">
              <w:rPr>
                <w:rFonts w:cs="Times New Roman"/>
                <w:szCs w:val="22"/>
              </w:rPr>
              <w:t>Repetitiveness</w:t>
            </w:r>
          </w:p>
        </w:tc>
      </w:tr>
    </w:tbl>
    <w:p w14:paraId="42D25E05" w14:textId="20B814D6" w:rsidR="007B741B" w:rsidRPr="007B741B" w:rsidRDefault="007B741B" w:rsidP="007B741B">
      <w:pPr>
        <w:pStyle w:val="DissertationTableCaption"/>
        <w:rPr>
          <w:u w:val="none"/>
        </w:rPr>
      </w:pPr>
      <w:bookmarkStart w:id="138" w:name="_Toc168415272"/>
      <w:bookmarkStart w:id="139" w:name="_Toc175413215"/>
      <w:r w:rsidRPr="007B741B">
        <w:t xml:space="preserve">Table A4- </w:t>
      </w:r>
      <w:fldSimple w:instr=" SEQ Table_A1- \* ARABIC ">
        <w:r w:rsidR="00AF1E65">
          <w:rPr>
            <w:noProof/>
          </w:rPr>
          <w:t>1</w:t>
        </w:r>
      </w:fldSimple>
      <w:r w:rsidR="00880AD8">
        <w:rPr>
          <w:noProof/>
        </w:rPr>
        <w:t>:</w:t>
      </w:r>
      <w:r>
        <w:rPr>
          <w:u w:val="none"/>
        </w:rPr>
        <w:tab/>
      </w:r>
      <w:r w:rsidRPr="007B741B">
        <w:rPr>
          <w:u w:val="none"/>
        </w:rPr>
        <w:t>Twenty-Two (22) Definitional Elements of Terrorism, As Identified by Schmid and Jongman in 1988.</w:t>
      </w:r>
      <w:bookmarkEnd w:id="138"/>
      <w:bookmarkEnd w:id="139"/>
    </w:p>
    <w:p w14:paraId="1B6DB6E4" w14:textId="77777777" w:rsidR="007B741B" w:rsidRPr="007B741B" w:rsidRDefault="007B741B" w:rsidP="007B741B">
      <w:pPr>
        <w:spacing w:after="0"/>
        <w:rPr>
          <w:rFonts w:cs="Times New Roman"/>
          <w:szCs w:val="22"/>
        </w:rPr>
      </w:pPr>
      <w:r w:rsidRPr="007B741B">
        <w:rPr>
          <w:rFonts w:cs="Times New Roman"/>
          <w:szCs w:val="22"/>
        </w:rPr>
        <w:t>The sixteen definitional elements with the highest frequencies of recurrence are then used to construct specific understanding of terrorism as:</w:t>
      </w:r>
    </w:p>
    <w:p w14:paraId="5B0E10D5" w14:textId="77777777" w:rsidR="007B741B" w:rsidRPr="007B741B" w:rsidRDefault="007B741B" w:rsidP="007B741B">
      <w:pPr>
        <w:spacing w:after="0"/>
        <w:ind w:left="720"/>
        <w:rPr>
          <w:rFonts w:cs="Times New Roman"/>
          <w:szCs w:val="22"/>
        </w:rPr>
      </w:pPr>
      <w:r w:rsidRPr="007B741B">
        <w:rPr>
          <w:rFonts w:cs="Times New Roman"/>
          <w:szCs w:val="22"/>
        </w:rPr>
        <w:t xml:space="preserve">… an [1] anxiety-inspiring method of repeated [2] violent action, employed by (semi-) [3] clandestine individual, group, or state actors, for [4] idiosyncratic, criminal, or political reasons, whereby – in contrast to assassination – the direct targets of violence </w:t>
      </w:r>
      <w:r w:rsidRPr="007B741B">
        <w:rPr>
          <w:rFonts w:cs="Times New Roman"/>
          <w:szCs w:val="22"/>
        </w:rPr>
        <w:lastRenderedPageBreak/>
        <w:t xml:space="preserve">are not the main targets. The [5] immediate human victims of violence are generally chosen [6] randomly (targets of opportunity), or [7] selectively (representative or symbolic targets) from a target population, and serve as message generators. [8] Threat- and violence-based [9] communication processes between terrorist (organization), (imperiled) victims, and main targets are used to [10] manipulate the main target (audience(s)), turning it into a [11] </w:t>
      </w:r>
      <w:r w:rsidRPr="007B741B">
        <w:rPr>
          <w:rFonts w:cs="Times New Roman"/>
          <w:i/>
          <w:iCs/>
          <w:szCs w:val="22"/>
        </w:rPr>
        <w:t>target of terror</w:t>
      </w:r>
      <w:r w:rsidRPr="007B741B">
        <w:rPr>
          <w:rFonts w:cs="Times New Roman"/>
          <w:szCs w:val="22"/>
        </w:rPr>
        <w:t xml:space="preserve">, a [12] </w:t>
      </w:r>
      <w:r w:rsidRPr="007B741B">
        <w:rPr>
          <w:rFonts w:cs="Times New Roman"/>
          <w:i/>
          <w:iCs/>
          <w:szCs w:val="22"/>
        </w:rPr>
        <w:t>target of demands</w:t>
      </w:r>
      <w:r w:rsidRPr="007B741B">
        <w:rPr>
          <w:rFonts w:cs="Times New Roman"/>
          <w:szCs w:val="22"/>
        </w:rPr>
        <w:t xml:space="preserve">, or a [13] </w:t>
      </w:r>
      <w:r w:rsidRPr="007B741B">
        <w:rPr>
          <w:rFonts w:cs="Times New Roman"/>
          <w:i/>
          <w:iCs/>
          <w:szCs w:val="22"/>
        </w:rPr>
        <w:t>target of attention</w:t>
      </w:r>
      <w:r w:rsidRPr="007B741B">
        <w:rPr>
          <w:rFonts w:cs="Times New Roman"/>
          <w:szCs w:val="22"/>
        </w:rPr>
        <w:t>, depending on whether [14] intimidation, [15] coercion, or [16] propaganda is primarily sought.</w:t>
      </w:r>
      <w:r w:rsidRPr="007B741B">
        <w:rPr>
          <w:rStyle w:val="FootnoteReference"/>
          <w:rFonts w:cs="Times New Roman"/>
          <w:szCs w:val="22"/>
        </w:rPr>
        <w:footnoteReference w:id="565"/>
      </w:r>
    </w:p>
    <w:p w14:paraId="45A8AA93" w14:textId="77777777" w:rsidR="007B741B" w:rsidRPr="00FB2594" w:rsidRDefault="007B741B" w:rsidP="007B741B">
      <w:r w:rsidRPr="00FB2594">
        <w:t xml:space="preserve">2004 research produced by Leonard Weinberg, Ami </w:t>
      </w:r>
      <w:proofErr w:type="spellStart"/>
      <w:r w:rsidRPr="00FB2594">
        <w:t>Pedahzur</w:t>
      </w:r>
      <w:proofErr w:type="spellEnd"/>
      <w:r w:rsidRPr="00FB2594">
        <w:t xml:space="preserve"> and Sivan Hirsch-</w:t>
      </w:r>
      <w:proofErr w:type="spellStart"/>
      <w:r w:rsidRPr="00FB2594">
        <w:t>Hoefler</w:t>
      </w:r>
      <w:proofErr w:type="spellEnd"/>
      <w:r w:rsidRPr="00FB2594">
        <w:t xml:space="preserve"> confirms continued relevance of the elements identified by Schmid and Jongman’s 1988 research. Weinberg, </w:t>
      </w:r>
      <w:proofErr w:type="spellStart"/>
      <w:r w:rsidRPr="00FB2594">
        <w:t>Pedahzur</w:t>
      </w:r>
      <w:proofErr w:type="spellEnd"/>
      <w:r w:rsidRPr="00FB2594">
        <w:t xml:space="preserve"> and Hirsch-</w:t>
      </w:r>
      <w:proofErr w:type="spellStart"/>
      <w:r w:rsidRPr="00FB2594">
        <w:t>Hoefler</w:t>
      </w:r>
      <w:proofErr w:type="spellEnd"/>
      <w:r w:rsidRPr="00FB2594">
        <w:t xml:space="preserve"> update these definitional elements’ frequencies of recurrence in the context of 73 scholarly definitions of terrorism drawn from 55 articles in three separate academic journals: Studies in Terrorism and Political Violence, Terrorism, and Studies in Conflict and Terrorism.</w:t>
      </w:r>
      <w:r w:rsidRPr="00FB2594">
        <w:rPr>
          <w:rStyle w:val="FootnoteReference"/>
          <w:rFonts w:cs="Times New Roman"/>
          <w:sz w:val="24"/>
        </w:rPr>
        <w:footnoteReference w:id="566"/>
      </w:r>
      <w:r w:rsidRPr="00FB2594">
        <w:t xml:space="preserve"> </w:t>
      </w:r>
      <w:r>
        <w:t>Figure A4-1,</w:t>
      </w:r>
      <w:r w:rsidRPr="00FB2594">
        <w:t xml:space="preserve"> below</w:t>
      </w:r>
      <w:r>
        <w:t>,</w:t>
      </w:r>
      <w:r w:rsidRPr="00FB2594">
        <w:t xml:space="preserve"> illustrates the similarities and differences evident when the results of Weinberg, </w:t>
      </w:r>
      <w:proofErr w:type="spellStart"/>
      <w:r w:rsidRPr="00FB2594">
        <w:t>Pedahzur</w:t>
      </w:r>
      <w:proofErr w:type="spellEnd"/>
      <w:r w:rsidRPr="00FB2594">
        <w:t xml:space="preserve"> and Hirsch-</w:t>
      </w:r>
      <w:proofErr w:type="spellStart"/>
      <w:r w:rsidRPr="00FB2594">
        <w:t>Hoefler’s</w:t>
      </w:r>
      <w:proofErr w:type="spellEnd"/>
      <w:r w:rsidRPr="00FB2594">
        <w:t xml:space="preserve"> 2004 study are compared to Schmid and Jongman’s original 1988 research</w:t>
      </w:r>
      <w:r>
        <w:t>.</w:t>
      </w:r>
    </w:p>
    <w:p w14:paraId="72A49228" w14:textId="77777777" w:rsidR="007B741B" w:rsidRPr="00FB2594" w:rsidRDefault="007B741B" w:rsidP="007B741B">
      <w:pPr>
        <w:rPr>
          <w:rFonts w:cs="Times New Roman"/>
          <w:sz w:val="24"/>
        </w:rPr>
      </w:pPr>
      <w:r w:rsidRPr="00FB2594">
        <w:rPr>
          <w:rFonts w:cs="Times New Roman"/>
          <w:noProof/>
          <w:sz w:val="24"/>
        </w:rPr>
        <w:drawing>
          <wp:anchor distT="0" distB="0" distL="114300" distR="114300" simplePos="0" relativeHeight="251685888" behindDoc="0" locked="0" layoutInCell="1" allowOverlap="1" wp14:anchorId="0FA70C4B" wp14:editId="24F365AC">
            <wp:simplePos x="0" y="0"/>
            <wp:positionH relativeFrom="margin">
              <wp:posOffset>3810</wp:posOffset>
            </wp:positionH>
            <wp:positionV relativeFrom="paragraph">
              <wp:posOffset>5715</wp:posOffset>
            </wp:positionV>
            <wp:extent cx="5969635" cy="38481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2E87F0AF" w14:textId="77777777" w:rsidR="007B741B" w:rsidRPr="00FB2594" w:rsidRDefault="007B741B" w:rsidP="007B741B">
      <w:pPr>
        <w:rPr>
          <w:rFonts w:cs="Times New Roman"/>
          <w:sz w:val="24"/>
        </w:rPr>
      </w:pPr>
    </w:p>
    <w:p w14:paraId="30292FA2" w14:textId="77777777" w:rsidR="007B741B" w:rsidRPr="00FB2594" w:rsidRDefault="007B741B" w:rsidP="007B741B">
      <w:pPr>
        <w:rPr>
          <w:rFonts w:cs="Times New Roman"/>
          <w:sz w:val="24"/>
        </w:rPr>
      </w:pPr>
    </w:p>
    <w:p w14:paraId="37152D53" w14:textId="77777777" w:rsidR="007B741B" w:rsidRPr="00FB2594" w:rsidRDefault="007B741B" w:rsidP="007B741B">
      <w:pPr>
        <w:rPr>
          <w:rFonts w:cs="Times New Roman"/>
          <w:sz w:val="24"/>
        </w:rPr>
      </w:pPr>
    </w:p>
    <w:p w14:paraId="427889F7" w14:textId="77777777" w:rsidR="007B741B" w:rsidRPr="00FB2594" w:rsidRDefault="007B741B" w:rsidP="007B741B">
      <w:pPr>
        <w:rPr>
          <w:rFonts w:cs="Times New Roman"/>
          <w:sz w:val="24"/>
        </w:rPr>
      </w:pPr>
    </w:p>
    <w:p w14:paraId="2551A724" w14:textId="77777777" w:rsidR="007B741B" w:rsidRPr="00FB2594" w:rsidRDefault="007B741B" w:rsidP="007B741B">
      <w:pPr>
        <w:rPr>
          <w:rFonts w:cs="Times New Roman"/>
          <w:sz w:val="24"/>
        </w:rPr>
      </w:pPr>
    </w:p>
    <w:p w14:paraId="4885E4D2" w14:textId="77777777" w:rsidR="007B741B" w:rsidRPr="00FB2594" w:rsidRDefault="007B741B" w:rsidP="007B741B">
      <w:pPr>
        <w:rPr>
          <w:rFonts w:cs="Times New Roman"/>
          <w:sz w:val="24"/>
        </w:rPr>
      </w:pPr>
    </w:p>
    <w:p w14:paraId="53A836D6" w14:textId="77777777" w:rsidR="007B741B" w:rsidRPr="00FB2594" w:rsidRDefault="007B741B" w:rsidP="007B741B">
      <w:pPr>
        <w:rPr>
          <w:rFonts w:cs="Times New Roman"/>
          <w:sz w:val="24"/>
        </w:rPr>
      </w:pPr>
    </w:p>
    <w:p w14:paraId="774C94D1" w14:textId="77777777" w:rsidR="007B741B" w:rsidRPr="00FB2594" w:rsidRDefault="007B741B" w:rsidP="007B741B">
      <w:pPr>
        <w:rPr>
          <w:rFonts w:cs="Times New Roman"/>
          <w:sz w:val="24"/>
        </w:rPr>
      </w:pPr>
    </w:p>
    <w:p w14:paraId="4FF61767" w14:textId="77777777" w:rsidR="007B741B" w:rsidRPr="00FB2594" w:rsidRDefault="007B741B" w:rsidP="007B741B">
      <w:pPr>
        <w:rPr>
          <w:rFonts w:cs="Times New Roman"/>
          <w:sz w:val="24"/>
        </w:rPr>
      </w:pPr>
    </w:p>
    <w:p w14:paraId="2EEC9F77" w14:textId="77777777" w:rsidR="007B741B" w:rsidRPr="00FB2594" w:rsidRDefault="007B741B" w:rsidP="007B741B">
      <w:pPr>
        <w:rPr>
          <w:rFonts w:cs="Times New Roman"/>
          <w:sz w:val="24"/>
        </w:rPr>
      </w:pPr>
    </w:p>
    <w:p w14:paraId="46AE51ED" w14:textId="77777777" w:rsidR="007B741B" w:rsidRDefault="007B741B" w:rsidP="007B741B">
      <w:pPr>
        <w:rPr>
          <w:rFonts w:cs="Times New Roman"/>
          <w:sz w:val="24"/>
        </w:rPr>
      </w:pPr>
    </w:p>
    <w:p w14:paraId="2889C5B2" w14:textId="77777777" w:rsidR="007B741B" w:rsidRDefault="007B741B" w:rsidP="007B741B">
      <w:pPr>
        <w:rPr>
          <w:rFonts w:cs="Times New Roman"/>
          <w:sz w:val="24"/>
        </w:rPr>
      </w:pPr>
    </w:p>
    <w:p w14:paraId="4871F3E9" w14:textId="77777777" w:rsidR="007B741B" w:rsidRDefault="007B741B" w:rsidP="007B741B">
      <w:pPr>
        <w:rPr>
          <w:rFonts w:cs="Times New Roman"/>
          <w:sz w:val="24"/>
        </w:rPr>
      </w:pPr>
    </w:p>
    <w:p w14:paraId="56A71EF7" w14:textId="77777777" w:rsidR="007B741B" w:rsidRDefault="007B741B" w:rsidP="007B741B">
      <w:pPr>
        <w:rPr>
          <w:rFonts w:cs="Times New Roman"/>
          <w:sz w:val="24"/>
        </w:rPr>
      </w:pPr>
    </w:p>
    <w:p w14:paraId="645BC418" w14:textId="77777777" w:rsidR="007B741B" w:rsidRDefault="007B741B" w:rsidP="007B741B">
      <w:pPr>
        <w:rPr>
          <w:rFonts w:cs="Times New Roman"/>
          <w:sz w:val="24"/>
        </w:rPr>
      </w:pPr>
    </w:p>
    <w:p w14:paraId="4F103BD4" w14:textId="733498E1" w:rsidR="007B741B" w:rsidRPr="00C14930" w:rsidRDefault="007B741B" w:rsidP="00C14930">
      <w:pPr>
        <w:pStyle w:val="DissertationFigureCaption"/>
        <w:rPr>
          <w:u w:val="none"/>
        </w:rPr>
      </w:pPr>
      <w:bookmarkStart w:id="140" w:name="_Toc168415569"/>
      <w:bookmarkStart w:id="141" w:name="_Toc175413251"/>
      <w:r w:rsidRPr="00FB2594">
        <w:t>Fig</w:t>
      </w:r>
      <w:r w:rsidR="00E214D9">
        <w:t>ure</w:t>
      </w:r>
      <w:r w:rsidRPr="00FB2594">
        <w:t xml:space="preserve"> A</w:t>
      </w:r>
      <w:r>
        <w:t>4</w:t>
      </w:r>
      <w:r w:rsidRPr="00FB2594">
        <w:t>-1</w:t>
      </w:r>
      <w:r w:rsidR="008D1375">
        <w:t>:</w:t>
      </w:r>
      <w:r w:rsidRPr="00C14930">
        <w:rPr>
          <w:u w:val="none"/>
        </w:rPr>
        <w:tab/>
      </w:r>
      <w:r w:rsidRPr="00C14930">
        <w:rPr>
          <w:u w:val="none"/>
        </w:rPr>
        <w:tab/>
        <w:t>The Recurrence Frequencies of Twenty-Two (22) Definitional Elements of Terrorism, As Calculated by 1988 Schmid and Jongman and 2004 Weinberg et. al. Studies.</w:t>
      </w:r>
      <w:bookmarkEnd w:id="140"/>
      <w:bookmarkEnd w:id="141"/>
    </w:p>
    <w:p w14:paraId="459BC6AC" w14:textId="77777777" w:rsidR="007B741B" w:rsidRDefault="007B741B" w:rsidP="007B741B">
      <w:pPr>
        <w:rPr>
          <w:szCs w:val="22"/>
        </w:rPr>
      </w:pPr>
      <w:r w:rsidRPr="007B741B">
        <w:rPr>
          <w:szCs w:val="22"/>
        </w:rPr>
        <w:lastRenderedPageBreak/>
        <w:t>Corresponding with Fig. A4-1, above, Table A4-2, below, lists the specific recurrence frequencies that each study associates with these 22 definitional elements.</w:t>
      </w:r>
    </w:p>
    <w:p w14:paraId="7EA972F8" w14:textId="0A5A26FF" w:rsidR="007B741B" w:rsidRPr="007B741B" w:rsidRDefault="007B741B" w:rsidP="007B741B">
      <w:pPr>
        <w:rPr>
          <w:szCs w:val="22"/>
        </w:rPr>
      </w:pPr>
      <w:r>
        <w:rPr>
          <w:noProof/>
          <w:szCs w:val="22"/>
        </w:rPr>
        <w:drawing>
          <wp:inline distT="0" distB="0" distL="0" distR="0" wp14:anchorId="3F96B4E4" wp14:editId="5B901C95">
            <wp:extent cx="5468620" cy="4947285"/>
            <wp:effectExtent l="0" t="0" r="5080" b="5715"/>
            <wp:docPr id="12609960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96017" name="Picture 1260996017"/>
                    <pic:cNvPicPr/>
                  </pic:nvPicPr>
                  <pic:blipFill>
                    <a:blip r:embed="rId47">
                      <a:extLst>
                        <a:ext uri="{28A0092B-C50C-407E-A947-70E740481C1C}">
                          <a14:useLocalDpi xmlns:a14="http://schemas.microsoft.com/office/drawing/2010/main" val="0"/>
                        </a:ext>
                      </a:extLst>
                    </a:blip>
                    <a:stretch>
                      <a:fillRect/>
                    </a:stretch>
                  </pic:blipFill>
                  <pic:spPr>
                    <a:xfrm>
                      <a:off x="0" y="0"/>
                      <a:ext cx="5468620" cy="4947285"/>
                    </a:xfrm>
                    <a:prstGeom prst="rect">
                      <a:avLst/>
                    </a:prstGeom>
                  </pic:spPr>
                </pic:pic>
              </a:graphicData>
            </a:graphic>
          </wp:inline>
        </w:drawing>
      </w:r>
    </w:p>
    <w:p w14:paraId="11183BB6" w14:textId="77777777" w:rsidR="008D1375" w:rsidRDefault="008D1375" w:rsidP="007B741B">
      <w:pPr>
        <w:pStyle w:val="DissertationTableCaption"/>
      </w:pPr>
      <w:bookmarkStart w:id="142" w:name="_Toc168415273"/>
    </w:p>
    <w:p w14:paraId="44F25E3D" w14:textId="17C8E57A" w:rsidR="007B741B" w:rsidRPr="007B741B" w:rsidRDefault="007B741B" w:rsidP="007B741B">
      <w:pPr>
        <w:pStyle w:val="DissertationTableCaption"/>
        <w:rPr>
          <w:u w:val="none"/>
        </w:rPr>
      </w:pPr>
      <w:bookmarkStart w:id="143" w:name="_Toc175413216"/>
      <w:r w:rsidRPr="00F3056F">
        <w:t>Table A4- 2</w:t>
      </w:r>
      <w:r w:rsidR="008D1375">
        <w:t>:</w:t>
      </w:r>
      <w:r>
        <w:rPr>
          <w:u w:val="none"/>
        </w:rPr>
        <w:tab/>
      </w:r>
      <w:r w:rsidRPr="007B741B">
        <w:rPr>
          <w:u w:val="none"/>
        </w:rPr>
        <w:t xml:space="preserve"> The Recurrence Frequencies of Twenty-Two (22) Definitional Elements of Terrorism, As Calculated by 1988 Schmid and Jongman and 2004 Weinberg et. al. Studies.</w:t>
      </w:r>
      <w:bookmarkEnd w:id="142"/>
      <w:bookmarkEnd w:id="143"/>
    </w:p>
    <w:p w14:paraId="2006A61D" w14:textId="77777777" w:rsidR="007B741B" w:rsidRDefault="007B741B" w:rsidP="007B741B">
      <w:pPr>
        <w:rPr>
          <w:b/>
          <w:bCs/>
        </w:rPr>
      </w:pPr>
    </w:p>
    <w:p w14:paraId="647DFC8E" w14:textId="700C397F" w:rsidR="007B741B" w:rsidRPr="007B741B" w:rsidRDefault="007B741B" w:rsidP="007B741B">
      <w:r w:rsidRPr="00FB2594">
        <w:rPr>
          <w:rFonts w:cs="Times New Roman"/>
          <w:sz w:val="24"/>
        </w:rPr>
        <w:t xml:space="preserve">Ultimately, the conclusions of Weinberg, </w:t>
      </w:r>
      <w:proofErr w:type="spellStart"/>
      <w:r w:rsidRPr="00FB2594">
        <w:rPr>
          <w:rFonts w:cs="Times New Roman"/>
          <w:sz w:val="24"/>
        </w:rPr>
        <w:t>Pedahzur</w:t>
      </w:r>
      <w:proofErr w:type="spellEnd"/>
      <w:r w:rsidRPr="00FB2594">
        <w:rPr>
          <w:rFonts w:cs="Times New Roman"/>
          <w:sz w:val="24"/>
        </w:rPr>
        <w:t>, and Hirsch-</w:t>
      </w:r>
      <w:proofErr w:type="spellStart"/>
      <w:r w:rsidRPr="00FB2594">
        <w:rPr>
          <w:rFonts w:cs="Times New Roman"/>
          <w:sz w:val="24"/>
        </w:rPr>
        <w:t>Hoefler’s</w:t>
      </w:r>
      <w:proofErr w:type="spellEnd"/>
      <w:r w:rsidRPr="00FB2594">
        <w:rPr>
          <w:rFonts w:cs="Times New Roman"/>
          <w:sz w:val="24"/>
        </w:rPr>
        <w:t xml:space="preserve"> 2004 study suggest the continued relevance of Schmid and Jongman’s specification as to the necessity that any definition of terrorism specify</w:t>
      </w:r>
    </w:p>
    <w:p w14:paraId="504ED1C4" w14:textId="77777777" w:rsidR="007B741B" w:rsidRPr="00FB2594" w:rsidRDefault="007B741B" w:rsidP="007B741B">
      <w:pPr>
        <w:pStyle w:val="ListParagraph"/>
        <w:spacing w:after="0"/>
        <w:ind w:left="1080"/>
        <w:rPr>
          <w:rFonts w:cs="Times New Roman"/>
          <w:sz w:val="24"/>
        </w:rPr>
      </w:pPr>
      <w:r w:rsidRPr="00FB2594">
        <w:rPr>
          <w:rFonts w:cs="Times New Roman"/>
          <w:sz w:val="24"/>
        </w:rPr>
        <w:t xml:space="preserve">its (1) involving violence, the use of force; (2) the political reason(s) underlying its perpetration, and (3) its emphasis on inculcating fear and terror </w:t>
      </w:r>
    </w:p>
    <w:p w14:paraId="7AD2218B" w14:textId="4CCD3155" w:rsidR="007B741B" w:rsidRDefault="007B741B" w:rsidP="007B741B">
      <w:pPr>
        <w:spacing w:after="0"/>
        <w:rPr>
          <w:rFonts w:cs="Times New Roman"/>
          <w:sz w:val="24"/>
        </w:rPr>
      </w:pPr>
      <w:r w:rsidRPr="00FB2594">
        <w:rPr>
          <w:rFonts w:cs="Times New Roman"/>
          <w:sz w:val="24"/>
        </w:rPr>
        <w:t xml:space="preserve">as the three most frequent word categories identified by both studies. To that end, when the results of the two studies are compared, the resulting lists of definitional elements, ranked from highest to lowest frequency of recurrence, are as </w:t>
      </w:r>
      <w:r>
        <w:rPr>
          <w:rFonts w:cs="Times New Roman"/>
          <w:sz w:val="24"/>
        </w:rPr>
        <w:t>depicted in Table A4-3, below.</w:t>
      </w:r>
    </w:p>
    <w:p w14:paraId="76EA6789" w14:textId="77777777" w:rsidR="007B741B" w:rsidRDefault="007B741B">
      <w:pPr>
        <w:spacing w:before="0" w:after="0"/>
        <w:rPr>
          <w:rFonts w:cs="Times New Roman"/>
          <w:sz w:val="24"/>
        </w:rPr>
      </w:pPr>
      <w:r>
        <w:rPr>
          <w:rFonts w:cs="Times New Roman"/>
          <w:sz w:val="24"/>
        </w:rPr>
        <w:br w:type="page"/>
      </w:r>
    </w:p>
    <w:p w14:paraId="629016F2" w14:textId="77777777" w:rsidR="007B741B" w:rsidRPr="00FB2594" w:rsidRDefault="007B741B" w:rsidP="007B741B">
      <w:pPr>
        <w:spacing w:after="0"/>
        <w:rPr>
          <w:rFonts w:cs="Times New Roman"/>
          <w:sz w:val="24"/>
        </w:rPr>
      </w:pPr>
    </w:p>
    <w:tbl>
      <w:tblPr>
        <w:tblStyle w:val="GridTable4"/>
        <w:tblW w:w="0" w:type="auto"/>
        <w:tblInd w:w="-5" w:type="dxa"/>
        <w:tblLook w:val="04A0" w:firstRow="1" w:lastRow="0" w:firstColumn="1" w:lastColumn="0" w:noHBand="0" w:noVBand="1"/>
      </w:tblPr>
      <w:tblGrid>
        <w:gridCol w:w="1022"/>
        <w:gridCol w:w="3240"/>
        <w:gridCol w:w="1106"/>
        <w:gridCol w:w="3239"/>
      </w:tblGrid>
      <w:tr w:rsidR="007B741B" w:rsidRPr="00FB2594" w14:paraId="1AF43336" w14:textId="77777777" w:rsidTr="007B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5DCD6D" w14:textId="62B1BC5D" w:rsidR="007B741B" w:rsidRPr="00FB2594" w:rsidRDefault="007B741B" w:rsidP="007B741B">
            <w:pPr>
              <w:spacing w:before="0" w:after="0"/>
              <w:jc w:val="center"/>
              <w:rPr>
                <w:rFonts w:cs="Times New Roman"/>
                <w:color w:val="auto"/>
                <w:sz w:val="20"/>
                <w:szCs w:val="20"/>
              </w:rPr>
            </w:pPr>
          </w:p>
        </w:tc>
        <w:tc>
          <w:tcPr>
            <w:tcW w:w="3544" w:type="dxa"/>
          </w:tcPr>
          <w:p w14:paraId="2B9EB939" w14:textId="77777777" w:rsidR="007B741B" w:rsidRPr="00FB2594" w:rsidRDefault="007B741B" w:rsidP="007B741B">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Pr>
                <w:rFonts w:cs="Times New Roman"/>
                <w:color w:val="auto"/>
                <w:sz w:val="20"/>
                <w:szCs w:val="20"/>
              </w:rPr>
              <w:t xml:space="preserve">Description of </w:t>
            </w:r>
            <w:r w:rsidRPr="00FB2594">
              <w:rPr>
                <w:rFonts w:cs="Times New Roman"/>
                <w:color w:val="auto"/>
                <w:sz w:val="20"/>
                <w:szCs w:val="20"/>
              </w:rPr>
              <w:t>Definitional Element</w:t>
            </w:r>
          </w:p>
        </w:tc>
        <w:tc>
          <w:tcPr>
            <w:tcW w:w="1134" w:type="dxa"/>
          </w:tcPr>
          <w:p w14:paraId="03348565" w14:textId="77777777" w:rsidR="007B741B" w:rsidRPr="00F3056F" w:rsidRDefault="007B741B" w:rsidP="007B741B">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F3056F">
              <w:rPr>
                <w:rFonts w:cs="Times New Roman"/>
                <w:sz w:val="20"/>
                <w:szCs w:val="20"/>
              </w:rPr>
              <w:t>2004 Ranking</w:t>
            </w:r>
          </w:p>
        </w:tc>
        <w:tc>
          <w:tcPr>
            <w:tcW w:w="3543" w:type="dxa"/>
          </w:tcPr>
          <w:p w14:paraId="10EE2453" w14:textId="77777777" w:rsidR="007B741B" w:rsidRPr="00FB2594" w:rsidRDefault="007B741B" w:rsidP="007B741B">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Pr>
                <w:rFonts w:cs="Times New Roman"/>
                <w:color w:val="auto"/>
                <w:sz w:val="20"/>
                <w:szCs w:val="20"/>
              </w:rPr>
              <w:t xml:space="preserve">Description of </w:t>
            </w:r>
            <w:r w:rsidRPr="00FB2594">
              <w:rPr>
                <w:rFonts w:cs="Times New Roman"/>
                <w:color w:val="auto"/>
                <w:sz w:val="20"/>
                <w:szCs w:val="20"/>
              </w:rPr>
              <w:t>Definitional Element</w:t>
            </w:r>
          </w:p>
        </w:tc>
      </w:tr>
      <w:tr w:rsidR="007B741B" w:rsidRPr="00FB2594" w14:paraId="1E0C8BDC"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255D6BCC"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w:t>
            </w:r>
          </w:p>
        </w:tc>
        <w:tc>
          <w:tcPr>
            <w:tcW w:w="3544" w:type="dxa"/>
          </w:tcPr>
          <w:p w14:paraId="0BFD2809"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Use of force, violence</w:t>
            </w:r>
          </w:p>
        </w:tc>
        <w:tc>
          <w:tcPr>
            <w:tcW w:w="1134" w:type="dxa"/>
            <w:shd w:val="clear" w:color="auto" w:fill="000000" w:themeFill="text1"/>
          </w:tcPr>
          <w:p w14:paraId="09F59A38"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w:t>
            </w:r>
          </w:p>
        </w:tc>
        <w:tc>
          <w:tcPr>
            <w:tcW w:w="3543" w:type="dxa"/>
          </w:tcPr>
          <w:p w14:paraId="2E2A0B9F"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Use of force, violence</w:t>
            </w:r>
          </w:p>
        </w:tc>
      </w:tr>
      <w:tr w:rsidR="007B741B" w:rsidRPr="00FB2594" w14:paraId="51F4A176"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625E3A21"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2</w:t>
            </w:r>
          </w:p>
        </w:tc>
        <w:tc>
          <w:tcPr>
            <w:tcW w:w="3544" w:type="dxa"/>
          </w:tcPr>
          <w:p w14:paraId="53E90191"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Political</w:t>
            </w:r>
          </w:p>
        </w:tc>
        <w:tc>
          <w:tcPr>
            <w:tcW w:w="1134" w:type="dxa"/>
            <w:shd w:val="clear" w:color="auto" w:fill="000000" w:themeFill="text1"/>
          </w:tcPr>
          <w:p w14:paraId="2CEE0200"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2</w:t>
            </w:r>
          </w:p>
        </w:tc>
        <w:tc>
          <w:tcPr>
            <w:tcW w:w="3543" w:type="dxa"/>
          </w:tcPr>
          <w:p w14:paraId="41CF8A2C"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Political</w:t>
            </w:r>
          </w:p>
        </w:tc>
      </w:tr>
      <w:tr w:rsidR="007B741B" w:rsidRPr="00FB2594" w14:paraId="5E755451"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30E2FFCA"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3</w:t>
            </w:r>
          </w:p>
        </w:tc>
        <w:tc>
          <w:tcPr>
            <w:tcW w:w="3544" w:type="dxa"/>
          </w:tcPr>
          <w:p w14:paraId="0F7BACA5"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Fear, terror</w:t>
            </w:r>
          </w:p>
        </w:tc>
        <w:tc>
          <w:tcPr>
            <w:tcW w:w="1134" w:type="dxa"/>
            <w:shd w:val="clear" w:color="auto" w:fill="000000" w:themeFill="text1"/>
          </w:tcPr>
          <w:p w14:paraId="169AFBA1"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3</w:t>
            </w:r>
          </w:p>
        </w:tc>
        <w:tc>
          <w:tcPr>
            <w:tcW w:w="3543" w:type="dxa"/>
          </w:tcPr>
          <w:p w14:paraId="52B4001E"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Threat</w:t>
            </w:r>
          </w:p>
        </w:tc>
      </w:tr>
      <w:tr w:rsidR="007B741B" w:rsidRPr="00FB2594" w14:paraId="1B0E7C80"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563083F6"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4</w:t>
            </w:r>
          </w:p>
        </w:tc>
        <w:tc>
          <w:tcPr>
            <w:tcW w:w="3544" w:type="dxa"/>
          </w:tcPr>
          <w:p w14:paraId="1E435AB9"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Threat</w:t>
            </w:r>
          </w:p>
        </w:tc>
        <w:tc>
          <w:tcPr>
            <w:tcW w:w="1134" w:type="dxa"/>
            <w:shd w:val="clear" w:color="auto" w:fill="000000" w:themeFill="text1"/>
          </w:tcPr>
          <w:p w14:paraId="18FC2355"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4</w:t>
            </w:r>
          </w:p>
        </w:tc>
        <w:tc>
          <w:tcPr>
            <w:tcW w:w="3543" w:type="dxa"/>
          </w:tcPr>
          <w:p w14:paraId="1BE4293B"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Method of combat, or strategy</w:t>
            </w:r>
          </w:p>
        </w:tc>
      </w:tr>
      <w:tr w:rsidR="007B741B" w:rsidRPr="00FB2594" w14:paraId="243F58AF"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15CAF998" w14:textId="77777777" w:rsidR="007B741B" w:rsidRDefault="007B741B" w:rsidP="007B741B">
            <w:pPr>
              <w:spacing w:before="0" w:after="0"/>
              <w:jc w:val="center"/>
              <w:rPr>
                <w:rFonts w:cs="Times New Roman"/>
                <w:b w:val="0"/>
                <w:bCs w:val="0"/>
                <w:color w:val="FFFFFF" w:themeColor="background1"/>
                <w:sz w:val="20"/>
                <w:szCs w:val="20"/>
              </w:rPr>
            </w:pPr>
          </w:p>
          <w:p w14:paraId="26D5ED73" w14:textId="77777777" w:rsidR="007B741B" w:rsidRDefault="007B741B" w:rsidP="007B741B">
            <w:pPr>
              <w:spacing w:before="0" w:after="0"/>
              <w:jc w:val="center"/>
              <w:rPr>
                <w:rFonts w:cs="Times New Roman"/>
                <w:b w:val="0"/>
                <w:bCs w:val="0"/>
                <w:color w:val="FFFFFF" w:themeColor="background1"/>
                <w:sz w:val="20"/>
                <w:szCs w:val="20"/>
              </w:rPr>
            </w:pPr>
            <w:r w:rsidRPr="00F3056F">
              <w:rPr>
                <w:rFonts w:cs="Times New Roman"/>
                <w:color w:val="FFFFFF" w:themeColor="background1"/>
                <w:sz w:val="20"/>
                <w:szCs w:val="20"/>
              </w:rPr>
              <w:t>5</w:t>
            </w:r>
          </w:p>
          <w:p w14:paraId="78031536" w14:textId="77777777" w:rsidR="007B741B" w:rsidRPr="00F3056F" w:rsidRDefault="007B741B" w:rsidP="007B741B">
            <w:pPr>
              <w:spacing w:before="0" w:after="0"/>
              <w:jc w:val="center"/>
              <w:rPr>
                <w:rFonts w:cs="Times New Roman"/>
                <w:color w:val="FFFFFF" w:themeColor="background1"/>
                <w:sz w:val="20"/>
                <w:szCs w:val="20"/>
              </w:rPr>
            </w:pPr>
          </w:p>
        </w:tc>
        <w:tc>
          <w:tcPr>
            <w:tcW w:w="3544" w:type="dxa"/>
          </w:tcPr>
          <w:p w14:paraId="2951C0EA"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Psychological effects, anticipated reactions</w:t>
            </w:r>
          </w:p>
        </w:tc>
        <w:tc>
          <w:tcPr>
            <w:tcW w:w="1134" w:type="dxa"/>
            <w:shd w:val="clear" w:color="auto" w:fill="000000" w:themeFill="text1"/>
          </w:tcPr>
          <w:p w14:paraId="40629412" w14:textId="77777777" w:rsidR="007B741B"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p>
          <w:p w14:paraId="20D73FD2"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5</w:t>
            </w:r>
          </w:p>
        </w:tc>
        <w:tc>
          <w:tcPr>
            <w:tcW w:w="3543" w:type="dxa"/>
          </w:tcPr>
          <w:p w14:paraId="7CB8277D" w14:textId="77777777" w:rsidR="007B741B"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3FCFDC33"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Groups, movements</w:t>
            </w:r>
          </w:p>
        </w:tc>
      </w:tr>
      <w:tr w:rsidR="007B741B" w:rsidRPr="00FB2594" w14:paraId="69CCC81B"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2D3A0858"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6</w:t>
            </w:r>
          </w:p>
        </w:tc>
        <w:tc>
          <w:tcPr>
            <w:tcW w:w="3544" w:type="dxa"/>
          </w:tcPr>
          <w:p w14:paraId="265ED87C"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Victim-target differentiation</w:t>
            </w:r>
          </w:p>
        </w:tc>
        <w:tc>
          <w:tcPr>
            <w:tcW w:w="1134" w:type="dxa"/>
            <w:shd w:val="clear" w:color="auto" w:fill="000000" w:themeFill="text1"/>
          </w:tcPr>
          <w:p w14:paraId="1FA3CF96"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6</w:t>
            </w:r>
          </w:p>
        </w:tc>
        <w:tc>
          <w:tcPr>
            <w:tcW w:w="3543" w:type="dxa"/>
          </w:tcPr>
          <w:p w14:paraId="6A5F6C5B"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Victim-target differentiation</w:t>
            </w:r>
          </w:p>
        </w:tc>
      </w:tr>
      <w:tr w:rsidR="007B741B" w:rsidRPr="00FB2594" w14:paraId="70F09465"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7025A6F9" w14:textId="77777777" w:rsidR="007B741B" w:rsidRDefault="007B741B" w:rsidP="007B741B">
            <w:pPr>
              <w:spacing w:before="0" w:after="0"/>
              <w:jc w:val="center"/>
              <w:rPr>
                <w:rFonts w:cs="Times New Roman"/>
                <w:b w:val="0"/>
                <w:bCs w:val="0"/>
                <w:color w:val="FFFFFF" w:themeColor="background1"/>
                <w:sz w:val="20"/>
                <w:szCs w:val="20"/>
              </w:rPr>
            </w:pPr>
          </w:p>
          <w:p w14:paraId="6F837F43" w14:textId="77777777" w:rsidR="007B741B" w:rsidRDefault="007B741B" w:rsidP="007B741B">
            <w:pPr>
              <w:spacing w:before="0" w:after="0"/>
              <w:jc w:val="center"/>
              <w:rPr>
                <w:rFonts w:cs="Times New Roman"/>
                <w:b w:val="0"/>
                <w:bCs w:val="0"/>
                <w:color w:val="FFFFFF" w:themeColor="background1"/>
                <w:sz w:val="20"/>
                <w:szCs w:val="20"/>
              </w:rPr>
            </w:pPr>
            <w:r w:rsidRPr="00F3056F">
              <w:rPr>
                <w:rFonts w:cs="Times New Roman"/>
                <w:color w:val="FFFFFF" w:themeColor="background1"/>
                <w:sz w:val="20"/>
                <w:szCs w:val="20"/>
              </w:rPr>
              <w:t>7</w:t>
            </w:r>
          </w:p>
          <w:p w14:paraId="22B62142" w14:textId="77777777" w:rsidR="007B741B" w:rsidRPr="00F3056F" w:rsidRDefault="007B741B" w:rsidP="007B741B">
            <w:pPr>
              <w:spacing w:before="0" w:after="0"/>
              <w:jc w:val="center"/>
              <w:rPr>
                <w:rFonts w:cs="Times New Roman"/>
                <w:color w:val="FFFFFF" w:themeColor="background1"/>
                <w:sz w:val="20"/>
                <w:szCs w:val="20"/>
              </w:rPr>
            </w:pPr>
          </w:p>
        </w:tc>
        <w:tc>
          <w:tcPr>
            <w:tcW w:w="3544" w:type="dxa"/>
          </w:tcPr>
          <w:p w14:paraId="40269474"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Purposive, planned, systematic, organized action</w:t>
            </w:r>
          </w:p>
        </w:tc>
        <w:tc>
          <w:tcPr>
            <w:tcW w:w="1134" w:type="dxa"/>
            <w:shd w:val="clear" w:color="auto" w:fill="000000" w:themeFill="text1"/>
          </w:tcPr>
          <w:p w14:paraId="2319F7D1" w14:textId="77777777" w:rsidR="007B741B"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p>
          <w:p w14:paraId="3644BFF4"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7</w:t>
            </w:r>
          </w:p>
        </w:tc>
        <w:tc>
          <w:tcPr>
            <w:tcW w:w="3543" w:type="dxa"/>
          </w:tcPr>
          <w:p w14:paraId="0684C1DF" w14:textId="77777777" w:rsidR="007B741B"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2E0E2D67"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Civilians, non-combatants</w:t>
            </w:r>
          </w:p>
        </w:tc>
      </w:tr>
      <w:tr w:rsidR="007B741B" w:rsidRPr="00FB2594" w14:paraId="5F8C9AB1"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5879C793"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8</w:t>
            </w:r>
          </w:p>
        </w:tc>
        <w:tc>
          <w:tcPr>
            <w:tcW w:w="3544" w:type="dxa"/>
          </w:tcPr>
          <w:p w14:paraId="52EA26FF"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Method of combat, or strategy</w:t>
            </w:r>
          </w:p>
        </w:tc>
        <w:tc>
          <w:tcPr>
            <w:tcW w:w="1134" w:type="dxa"/>
            <w:shd w:val="clear" w:color="auto" w:fill="000000" w:themeFill="text1"/>
          </w:tcPr>
          <w:p w14:paraId="7BE6E13F"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8</w:t>
            </w:r>
          </w:p>
        </w:tc>
        <w:tc>
          <w:tcPr>
            <w:tcW w:w="3543" w:type="dxa"/>
          </w:tcPr>
          <w:p w14:paraId="635C1B35"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Fear, terror</w:t>
            </w:r>
          </w:p>
        </w:tc>
      </w:tr>
      <w:tr w:rsidR="007B741B" w:rsidRPr="00FB2594" w14:paraId="7FC2D69A"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30175B5B" w14:textId="77777777" w:rsidR="007B741B" w:rsidRDefault="007B741B" w:rsidP="007B741B">
            <w:pPr>
              <w:spacing w:before="0" w:after="0"/>
              <w:jc w:val="center"/>
              <w:rPr>
                <w:rFonts w:cs="Times New Roman"/>
                <w:b w:val="0"/>
                <w:bCs w:val="0"/>
                <w:color w:val="FFFFFF" w:themeColor="background1"/>
                <w:sz w:val="20"/>
                <w:szCs w:val="20"/>
              </w:rPr>
            </w:pPr>
          </w:p>
          <w:p w14:paraId="0B1890D9" w14:textId="77777777" w:rsidR="007B741B" w:rsidRDefault="007B741B" w:rsidP="007B741B">
            <w:pPr>
              <w:spacing w:before="0" w:after="0"/>
              <w:jc w:val="center"/>
              <w:rPr>
                <w:rFonts w:cs="Times New Roman"/>
                <w:b w:val="0"/>
                <w:bCs w:val="0"/>
                <w:color w:val="FFFFFF" w:themeColor="background1"/>
                <w:sz w:val="20"/>
                <w:szCs w:val="20"/>
              </w:rPr>
            </w:pPr>
            <w:r w:rsidRPr="00F3056F">
              <w:rPr>
                <w:rFonts w:cs="Times New Roman"/>
                <w:color w:val="FFFFFF" w:themeColor="background1"/>
                <w:sz w:val="20"/>
                <w:szCs w:val="20"/>
              </w:rPr>
              <w:t>9</w:t>
            </w:r>
          </w:p>
          <w:p w14:paraId="48797FB1" w14:textId="77777777" w:rsidR="007B741B" w:rsidRPr="00F3056F" w:rsidRDefault="007B741B" w:rsidP="007B741B">
            <w:pPr>
              <w:spacing w:before="0" w:after="0"/>
              <w:jc w:val="center"/>
              <w:rPr>
                <w:rFonts w:cs="Times New Roman"/>
                <w:color w:val="FFFFFF" w:themeColor="background1"/>
                <w:sz w:val="20"/>
                <w:szCs w:val="20"/>
              </w:rPr>
            </w:pPr>
          </w:p>
        </w:tc>
        <w:tc>
          <w:tcPr>
            <w:tcW w:w="3544" w:type="dxa"/>
          </w:tcPr>
          <w:p w14:paraId="78247F3E"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Extranormality in breach of accepted rules, without humanitarian constraints</w:t>
            </w:r>
          </w:p>
        </w:tc>
        <w:tc>
          <w:tcPr>
            <w:tcW w:w="1134" w:type="dxa"/>
            <w:shd w:val="clear" w:color="auto" w:fill="000000" w:themeFill="text1"/>
          </w:tcPr>
          <w:p w14:paraId="2B32547A" w14:textId="77777777" w:rsidR="007B741B"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p>
          <w:p w14:paraId="44DF95FA"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9</w:t>
            </w:r>
          </w:p>
        </w:tc>
        <w:tc>
          <w:tcPr>
            <w:tcW w:w="3543" w:type="dxa"/>
          </w:tcPr>
          <w:p w14:paraId="50896080" w14:textId="77777777" w:rsidR="007B741B"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4147EFAF"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Publicity</w:t>
            </w:r>
          </w:p>
        </w:tc>
      </w:tr>
      <w:tr w:rsidR="007B741B" w:rsidRPr="00FB2594" w14:paraId="1156B1FA"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70AFBD77"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10</w:t>
            </w:r>
          </w:p>
        </w:tc>
        <w:tc>
          <w:tcPr>
            <w:tcW w:w="3544" w:type="dxa"/>
          </w:tcPr>
          <w:p w14:paraId="2104713F"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Coercion, extortion</w:t>
            </w:r>
          </w:p>
        </w:tc>
        <w:tc>
          <w:tcPr>
            <w:tcW w:w="1134" w:type="dxa"/>
            <w:shd w:val="clear" w:color="auto" w:fill="000000" w:themeFill="text1"/>
          </w:tcPr>
          <w:p w14:paraId="427950D5"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10</w:t>
            </w:r>
          </w:p>
        </w:tc>
        <w:tc>
          <w:tcPr>
            <w:tcW w:w="3543" w:type="dxa"/>
          </w:tcPr>
          <w:p w14:paraId="431ED824"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Intimidation</w:t>
            </w:r>
          </w:p>
        </w:tc>
      </w:tr>
      <w:tr w:rsidR="007B741B" w:rsidRPr="00FB2594" w14:paraId="3105DFF0"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45F66F94" w14:textId="77777777" w:rsidR="007B741B" w:rsidRDefault="007B741B" w:rsidP="007B741B">
            <w:pPr>
              <w:spacing w:before="0" w:after="0"/>
              <w:jc w:val="center"/>
              <w:rPr>
                <w:rFonts w:cs="Times New Roman"/>
                <w:b w:val="0"/>
                <w:bCs w:val="0"/>
                <w:color w:val="FFFFFF" w:themeColor="background1"/>
                <w:sz w:val="20"/>
                <w:szCs w:val="20"/>
              </w:rPr>
            </w:pPr>
          </w:p>
          <w:p w14:paraId="1A235D9B" w14:textId="77777777" w:rsidR="007B741B" w:rsidRDefault="007B741B" w:rsidP="007B741B">
            <w:pPr>
              <w:spacing w:before="0" w:after="0"/>
              <w:jc w:val="center"/>
              <w:rPr>
                <w:rFonts w:cs="Times New Roman"/>
                <w:b w:val="0"/>
                <w:bCs w:val="0"/>
                <w:color w:val="FFFFFF" w:themeColor="background1"/>
                <w:sz w:val="20"/>
                <w:szCs w:val="20"/>
              </w:rPr>
            </w:pPr>
            <w:r w:rsidRPr="00F3056F">
              <w:rPr>
                <w:rFonts w:cs="Times New Roman"/>
                <w:color w:val="FFFFFF" w:themeColor="background1"/>
                <w:sz w:val="20"/>
                <w:szCs w:val="20"/>
              </w:rPr>
              <w:t>11</w:t>
            </w:r>
          </w:p>
          <w:p w14:paraId="59CAB8CE" w14:textId="77777777" w:rsidR="007B741B" w:rsidRPr="00F3056F" w:rsidRDefault="007B741B" w:rsidP="007B741B">
            <w:pPr>
              <w:spacing w:before="0" w:after="0"/>
              <w:jc w:val="center"/>
              <w:rPr>
                <w:rFonts w:cs="Times New Roman"/>
                <w:color w:val="FFFFFF" w:themeColor="background1"/>
                <w:sz w:val="20"/>
                <w:szCs w:val="20"/>
              </w:rPr>
            </w:pPr>
          </w:p>
        </w:tc>
        <w:tc>
          <w:tcPr>
            <w:tcW w:w="3544" w:type="dxa"/>
          </w:tcPr>
          <w:p w14:paraId="5120AB33" w14:textId="77777777" w:rsidR="007B741B"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6D54A0BC"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Publicity</w:t>
            </w:r>
          </w:p>
        </w:tc>
        <w:tc>
          <w:tcPr>
            <w:tcW w:w="1134" w:type="dxa"/>
            <w:shd w:val="clear" w:color="auto" w:fill="000000" w:themeFill="text1"/>
          </w:tcPr>
          <w:p w14:paraId="62A74B00" w14:textId="77777777" w:rsidR="007B741B"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p>
          <w:p w14:paraId="46F51ED5"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11</w:t>
            </w:r>
          </w:p>
        </w:tc>
        <w:tc>
          <w:tcPr>
            <w:tcW w:w="3543" w:type="dxa"/>
          </w:tcPr>
          <w:p w14:paraId="44ACB76E"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Purposive, planned, systematic, organized action</w:t>
            </w:r>
          </w:p>
        </w:tc>
      </w:tr>
      <w:tr w:rsidR="007B741B" w:rsidRPr="00FB2594" w14:paraId="1E2159A2"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496CC005"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12</w:t>
            </w:r>
          </w:p>
        </w:tc>
        <w:tc>
          <w:tcPr>
            <w:tcW w:w="3544" w:type="dxa"/>
          </w:tcPr>
          <w:p w14:paraId="6C0F64BE"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Arbitrariness</w:t>
            </w:r>
          </w:p>
        </w:tc>
        <w:tc>
          <w:tcPr>
            <w:tcW w:w="1134" w:type="dxa"/>
            <w:shd w:val="clear" w:color="auto" w:fill="000000" w:themeFill="text1"/>
          </w:tcPr>
          <w:p w14:paraId="2598C091"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12</w:t>
            </w:r>
          </w:p>
        </w:tc>
        <w:tc>
          <w:tcPr>
            <w:tcW w:w="3543" w:type="dxa"/>
          </w:tcPr>
          <w:p w14:paraId="702031BF"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Innocence of victims</w:t>
            </w:r>
          </w:p>
        </w:tc>
      </w:tr>
      <w:tr w:rsidR="007B741B" w:rsidRPr="00FB2594" w14:paraId="75992C50"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00786F67"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13</w:t>
            </w:r>
          </w:p>
        </w:tc>
        <w:tc>
          <w:tcPr>
            <w:tcW w:w="3544" w:type="dxa"/>
          </w:tcPr>
          <w:p w14:paraId="275663D6"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Civilians, non-combatants</w:t>
            </w:r>
          </w:p>
        </w:tc>
        <w:tc>
          <w:tcPr>
            <w:tcW w:w="1134" w:type="dxa"/>
            <w:shd w:val="clear" w:color="auto" w:fill="000000" w:themeFill="text1"/>
          </w:tcPr>
          <w:p w14:paraId="3840E308"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13</w:t>
            </w:r>
          </w:p>
        </w:tc>
        <w:tc>
          <w:tcPr>
            <w:tcW w:w="3543" w:type="dxa"/>
          </w:tcPr>
          <w:p w14:paraId="2C528A87"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Covert</w:t>
            </w:r>
          </w:p>
        </w:tc>
      </w:tr>
      <w:tr w:rsidR="007B741B" w:rsidRPr="00FB2594" w14:paraId="131732A1"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10460003"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14</w:t>
            </w:r>
          </w:p>
        </w:tc>
        <w:tc>
          <w:tcPr>
            <w:tcW w:w="3544" w:type="dxa"/>
          </w:tcPr>
          <w:p w14:paraId="687B2BCF"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Intimidation</w:t>
            </w:r>
          </w:p>
        </w:tc>
        <w:tc>
          <w:tcPr>
            <w:tcW w:w="1134" w:type="dxa"/>
            <w:shd w:val="clear" w:color="auto" w:fill="000000" w:themeFill="text1"/>
          </w:tcPr>
          <w:p w14:paraId="584C914B"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14</w:t>
            </w:r>
          </w:p>
        </w:tc>
        <w:tc>
          <w:tcPr>
            <w:tcW w:w="3543" w:type="dxa"/>
          </w:tcPr>
          <w:p w14:paraId="0C6ED612"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Coercion, extortion</w:t>
            </w:r>
          </w:p>
        </w:tc>
      </w:tr>
      <w:tr w:rsidR="007B741B" w:rsidRPr="00FB2594" w14:paraId="2CD83377"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7BFE05E7"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15</w:t>
            </w:r>
          </w:p>
        </w:tc>
        <w:tc>
          <w:tcPr>
            <w:tcW w:w="3544" w:type="dxa"/>
          </w:tcPr>
          <w:p w14:paraId="5B3570B1"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Innocence of victims</w:t>
            </w:r>
          </w:p>
        </w:tc>
        <w:tc>
          <w:tcPr>
            <w:tcW w:w="1134" w:type="dxa"/>
            <w:shd w:val="clear" w:color="auto" w:fill="000000" w:themeFill="text1"/>
          </w:tcPr>
          <w:p w14:paraId="2C312738"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15</w:t>
            </w:r>
          </w:p>
        </w:tc>
        <w:tc>
          <w:tcPr>
            <w:tcW w:w="3543" w:type="dxa"/>
          </w:tcPr>
          <w:p w14:paraId="74BA5EEA"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Criminal</w:t>
            </w:r>
          </w:p>
        </w:tc>
      </w:tr>
      <w:tr w:rsidR="007B741B" w:rsidRPr="00FB2594" w14:paraId="66FBFECE"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7D3B2AD4" w14:textId="77777777" w:rsidR="007B741B" w:rsidRDefault="007B741B" w:rsidP="007B741B">
            <w:pPr>
              <w:spacing w:before="0" w:after="0"/>
              <w:jc w:val="center"/>
              <w:rPr>
                <w:rFonts w:cs="Times New Roman"/>
                <w:b w:val="0"/>
                <w:bCs w:val="0"/>
                <w:color w:val="FFFFFF" w:themeColor="background1"/>
                <w:sz w:val="20"/>
                <w:szCs w:val="20"/>
              </w:rPr>
            </w:pPr>
          </w:p>
          <w:p w14:paraId="61E6F59C"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16</w:t>
            </w:r>
          </w:p>
        </w:tc>
        <w:tc>
          <w:tcPr>
            <w:tcW w:w="3544" w:type="dxa"/>
          </w:tcPr>
          <w:p w14:paraId="74693F67" w14:textId="77777777" w:rsidR="007B741B"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04B25B8A"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Groups, movements</w:t>
            </w:r>
          </w:p>
        </w:tc>
        <w:tc>
          <w:tcPr>
            <w:tcW w:w="1134" w:type="dxa"/>
            <w:shd w:val="clear" w:color="auto" w:fill="000000" w:themeFill="text1"/>
          </w:tcPr>
          <w:p w14:paraId="496E8032" w14:textId="77777777" w:rsidR="007B741B"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p>
          <w:p w14:paraId="2F38C772" w14:textId="77777777" w:rsidR="007B741B"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16</w:t>
            </w:r>
          </w:p>
          <w:p w14:paraId="30482C9E"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p>
        </w:tc>
        <w:tc>
          <w:tcPr>
            <w:tcW w:w="3543" w:type="dxa"/>
          </w:tcPr>
          <w:p w14:paraId="5BE478D2"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Psychological effects, anticipated reactions</w:t>
            </w:r>
          </w:p>
        </w:tc>
      </w:tr>
      <w:tr w:rsidR="007B741B" w:rsidRPr="00FB2594" w14:paraId="34787DA0"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6C6B21F7"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17</w:t>
            </w:r>
          </w:p>
        </w:tc>
        <w:tc>
          <w:tcPr>
            <w:tcW w:w="3544" w:type="dxa"/>
          </w:tcPr>
          <w:p w14:paraId="6502E79B"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Symbolism</w:t>
            </w:r>
          </w:p>
        </w:tc>
        <w:tc>
          <w:tcPr>
            <w:tcW w:w="1134" w:type="dxa"/>
            <w:shd w:val="clear" w:color="auto" w:fill="000000" w:themeFill="text1"/>
          </w:tcPr>
          <w:p w14:paraId="3B7C0E49"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17</w:t>
            </w:r>
          </w:p>
        </w:tc>
        <w:tc>
          <w:tcPr>
            <w:tcW w:w="3543" w:type="dxa"/>
          </w:tcPr>
          <w:p w14:paraId="213CCC5B"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Symbolism</w:t>
            </w:r>
          </w:p>
        </w:tc>
      </w:tr>
      <w:tr w:rsidR="007B741B" w:rsidRPr="00FB2594" w14:paraId="623747FD"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0D78304E"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18</w:t>
            </w:r>
          </w:p>
        </w:tc>
        <w:tc>
          <w:tcPr>
            <w:tcW w:w="3544" w:type="dxa"/>
          </w:tcPr>
          <w:p w14:paraId="56E1D742"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Unpredictability</w:t>
            </w:r>
          </w:p>
        </w:tc>
        <w:tc>
          <w:tcPr>
            <w:tcW w:w="1134" w:type="dxa"/>
            <w:shd w:val="clear" w:color="auto" w:fill="000000" w:themeFill="text1"/>
          </w:tcPr>
          <w:p w14:paraId="310BDE49"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18</w:t>
            </w:r>
          </w:p>
        </w:tc>
        <w:tc>
          <w:tcPr>
            <w:tcW w:w="3543" w:type="dxa"/>
          </w:tcPr>
          <w:p w14:paraId="2F5B7228"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Third party demands</w:t>
            </w:r>
          </w:p>
        </w:tc>
      </w:tr>
      <w:tr w:rsidR="007B741B" w:rsidRPr="00FB2594" w14:paraId="50CCA4CF"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7DD19E7B"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19</w:t>
            </w:r>
          </w:p>
        </w:tc>
        <w:tc>
          <w:tcPr>
            <w:tcW w:w="3544" w:type="dxa"/>
          </w:tcPr>
          <w:p w14:paraId="6DB9D243"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Covert</w:t>
            </w:r>
          </w:p>
        </w:tc>
        <w:tc>
          <w:tcPr>
            <w:tcW w:w="1134" w:type="dxa"/>
            <w:shd w:val="clear" w:color="auto" w:fill="000000" w:themeFill="text1"/>
          </w:tcPr>
          <w:p w14:paraId="0CC43EAB"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19</w:t>
            </w:r>
          </w:p>
        </w:tc>
        <w:tc>
          <w:tcPr>
            <w:tcW w:w="3543" w:type="dxa"/>
          </w:tcPr>
          <w:p w14:paraId="5FA4D001"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Unpredictability</w:t>
            </w:r>
          </w:p>
        </w:tc>
      </w:tr>
      <w:tr w:rsidR="007B741B" w:rsidRPr="00FB2594" w14:paraId="61D5846A"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55DB68FF"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20</w:t>
            </w:r>
          </w:p>
        </w:tc>
        <w:tc>
          <w:tcPr>
            <w:tcW w:w="3544" w:type="dxa"/>
          </w:tcPr>
          <w:p w14:paraId="5D57E9A2"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Repetitiveness</w:t>
            </w:r>
          </w:p>
        </w:tc>
        <w:tc>
          <w:tcPr>
            <w:tcW w:w="1134" w:type="dxa"/>
            <w:shd w:val="clear" w:color="auto" w:fill="000000" w:themeFill="text1"/>
          </w:tcPr>
          <w:p w14:paraId="10AAD461"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20</w:t>
            </w:r>
          </w:p>
        </w:tc>
        <w:tc>
          <w:tcPr>
            <w:tcW w:w="3543" w:type="dxa"/>
          </w:tcPr>
          <w:p w14:paraId="04A24FA1"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Arbitrariness</w:t>
            </w:r>
          </w:p>
        </w:tc>
      </w:tr>
      <w:tr w:rsidR="007B741B" w:rsidRPr="00FB2594" w14:paraId="03D0927E"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5745C7CC" w14:textId="77777777" w:rsidR="007B741B" w:rsidRDefault="007B741B" w:rsidP="007B741B">
            <w:pPr>
              <w:spacing w:before="0" w:after="0"/>
              <w:jc w:val="center"/>
              <w:rPr>
                <w:rFonts w:cs="Times New Roman"/>
                <w:b w:val="0"/>
                <w:bCs w:val="0"/>
                <w:color w:val="FFFFFF" w:themeColor="background1"/>
                <w:sz w:val="20"/>
                <w:szCs w:val="20"/>
              </w:rPr>
            </w:pPr>
          </w:p>
          <w:p w14:paraId="2B0ECF87" w14:textId="77777777" w:rsidR="007B741B" w:rsidRDefault="007B741B" w:rsidP="007B741B">
            <w:pPr>
              <w:spacing w:before="0" w:after="0"/>
              <w:jc w:val="center"/>
              <w:rPr>
                <w:rFonts w:cs="Times New Roman"/>
                <w:b w:val="0"/>
                <w:bCs w:val="0"/>
                <w:color w:val="FFFFFF" w:themeColor="background1"/>
                <w:sz w:val="20"/>
                <w:szCs w:val="20"/>
              </w:rPr>
            </w:pPr>
            <w:r w:rsidRPr="00F3056F">
              <w:rPr>
                <w:rFonts w:cs="Times New Roman"/>
                <w:color w:val="FFFFFF" w:themeColor="background1"/>
                <w:sz w:val="20"/>
                <w:szCs w:val="20"/>
              </w:rPr>
              <w:t>21</w:t>
            </w:r>
          </w:p>
          <w:p w14:paraId="723C2F87" w14:textId="77777777" w:rsidR="007B741B" w:rsidRPr="00F3056F" w:rsidRDefault="007B741B" w:rsidP="007B741B">
            <w:pPr>
              <w:spacing w:before="0" w:after="0"/>
              <w:jc w:val="center"/>
              <w:rPr>
                <w:rFonts w:cs="Times New Roman"/>
                <w:color w:val="FFFFFF" w:themeColor="background1"/>
                <w:sz w:val="20"/>
                <w:szCs w:val="20"/>
              </w:rPr>
            </w:pPr>
          </w:p>
        </w:tc>
        <w:tc>
          <w:tcPr>
            <w:tcW w:w="3544" w:type="dxa"/>
          </w:tcPr>
          <w:p w14:paraId="09F844CF" w14:textId="77777777" w:rsidR="007B741B"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p>
          <w:p w14:paraId="147468EE"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Criminal</w:t>
            </w:r>
          </w:p>
        </w:tc>
        <w:tc>
          <w:tcPr>
            <w:tcW w:w="1134" w:type="dxa"/>
            <w:shd w:val="clear" w:color="auto" w:fill="000000" w:themeFill="text1"/>
          </w:tcPr>
          <w:p w14:paraId="50EA40FC" w14:textId="77777777" w:rsidR="007B741B"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p>
          <w:p w14:paraId="45CBEB2C" w14:textId="77777777" w:rsidR="007B741B" w:rsidRPr="00F3056F" w:rsidRDefault="007B741B" w:rsidP="007B741B">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21</w:t>
            </w:r>
          </w:p>
        </w:tc>
        <w:tc>
          <w:tcPr>
            <w:tcW w:w="3543" w:type="dxa"/>
          </w:tcPr>
          <w:p w14:paraId="3B09D8D7" w14:textId="77777777" w:rsidR="007B741B" w:rsidRPr="00FB2594" w:rsidRDefault="007B741B" w:rsidP="007B741B">
            <w:pPr>
              <w:spacing w:before="0"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B2594">
              <w:rPr>
                <w:rFonts w:cs="Times New Roman"/>
                <w:sz w:val="20"/>
                <w:szCs w:val="20"/>
              </w:rPr>
              <w:t>Extranormality in breach of accepted rules, without humanitarian constraints</w:t>
            </w:r>
          </w:p>
        </w:tc>
      </w:tr>
      <w:tr w:rsidR="007B741B" w:rsidRPr="00FB2594" w14:paraId="508902C3" w14:textId="77777777" w:rsidTr="007B2F0F">
        <w:tc>
          <w:tcPr>
            <w:cnfStyle w:val="001000000000" w:firstRow="0" w:lastRow="0" w:firstColumn="1" w:lastColumn="0" w:oddVBand="0" w:evenVBand="0" w:oddHBand="0" w:evenHBand="0" w:firstRowFirstColumn="0" w:firstRowLastColumn="0" w:lastRowFirstColumn="0" w:lastRowLastColumn="0"/>
            <w:tcW w:w="1129" w:type="dxa"/>
            <w:shd w:val="clear" w:color="auto" w:fill="000000" w:themeFill="text1"/>
          </w:tcPr>
          <w:p w14:paraId="73908BD7" w14:textId="77777777" w:rsidR="007B741B" w:rsidRPr="00F3056F" w:rsidRDefault="007B741B" w:rsidP="007B741B">
            <w:pPr>
              <w:spacing w:before="0" w:after="0"/>
              <w:jc w:val="center"/>
              <w:rPr>
                <w:rFonts w:cs="Times New Roman"/>
                <w:color w:val="FFFFFF" w:themeColor="background1"/>
                <w:sz w:val="20"/>
                <w:szCs w:val="20"/>
              </w:rPr>
            </w:pPr>
            <w:r w:rsidRPr="00F3056F">
              <w:rPr>
                <w:rFonts w:cs="Times New Roman"/>
                <w:color w:val="FFFFFF" w:themeColor="background1"/>
                <w:sz w:val="20"/>
                <w:szCs w:val="20"/>
              </w:rPr>
              <w:t>22</w:t>
            </w:r>
          </w:p>
        </w:tc>
        <w:tc>
          <w:tcPr>
            <w:tcW w:w="3544" w:type="dxa"/>
          </w:tcPr>
          <w:p w14:paraId="0B51AD6C" w14:textId="7777777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Third party demands</w:t>
            </w:r>
          </w:p>
        </w:tc>
        <w:tc>
          <w:tcPr>
            <w:tcW w:w="1134" w:type="dxa"/>
            <w:shd w:val="clear" w:color="auto" w:fill="000000" w:themeFill="text1"/>
          </w:tcPr>
          <w:p w14:paraId="5776B484" w14:textId="77777777" w:rsidR="007B741B" w:rsidRPr="00F3056F" w:rsidRDefault="007B741B" w:rsidP="007B741B">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0"/>
                <w:szCs w:val="20"/>
              </w:rPr>
            </w:pPr>
            <w:r w:rsidRPr="00F3056F">
              <w:rPr>
                <w:rFonts w:cs="Times New Roman"/>
                <w:b/>
                <w:bCs/>
                <w:color w:val="FFFFFF" w:themeColor="background1"/>
                <w:sz w:val="20"/>
                <w:szCs w:val="20"/>
              </w:rPr>
              <w:t>22</w:t>
            </w:r>
          </w:p>
        </w:tc>
        <w:tc>
          <w:tcPr>
            <w:tcW w:w="3543" w:type="dxa"/>
          </w:tcPr>
          <w:p w14:paraId="6B059744" w14:textId="50983247" w:rsidR="007B741B" w:rsidRPr="00FB2594" w:rsidRDefault="007B741B" w:rsidP="007B741B">
            <w:pPr>
              <w:spacing w:before="0"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FB2594">
              <w:rPr>
                <w:rFonts w:cs="Times New Roman"/>
                <w:sz w:val="20"/>
                <w:szCs w:val="20"/>
              </w:rPr>
              <w:t>Repetitiveness</w:t>
            </w:r>
          </w:p>
        </w:tc>
      </w:tr>
    </w:tbl>
    <w:p w14:paraId="3BD2A54A" w14:textId="77777777" w:rsidR="008D1375" w:rsidRDefault="008D1375" w:rsidP="00F55366">
      <w:pPr>
        <w:pStyle w:val="DissertationTableCaption"/>
      </w:pPr>
      <w:bookmarkStart w:id="144" w:name="_Toc168415274"/>
    </w:p>
    <w:p w14:paraId="333BE4CF" w14:textId="1B1BD3F0" w:rsidR="007B741B" w:rsidRPr="00F55366" w:rsidRDefault="007B741B" w:rsidP="00F55366">
      <w:pPr>
        <w:pStyle w:val="DissertationTableCaption"/>
        <w:rPr>
          <w:u w:val="none"/>
        </w:rPr>
      </w:pPr>
      <w:bookmarkStart w:id="145" w:name="_Toc175413217"/>
      <w:r w:rsidRPr="00F55366">
        <w:t>Table A4-3</w:t>
      </w:r>
      <w:r w:rsidR="008D1375">
        <w:t>:</w:t>
      </w:r>
      <w:r w:rsidRPr="00F55366">
        <w:rPr>
          <w:u w:val="none"/>
        </w:rPr>
        <w:tab/>
        <w:t xml:space="preserve"> Description of Twenty-Two (22) Definitional Elements of Terrorism, Numbered in Relation to</w:t>
      </w:r>
      <w:bookmarkEnd w:id="144"/>
      <w:bookmarkEnd w:id="145"/>
      <w:r w:rsidRPr="00F55366">
        <w:rPr>
          <w:u w:val="none"/>
        </w:rPr>
        <w:t xml:space="preserve"> </w:t>
      </w:r>
    </w:p>
    <w:p w14:paraId="1BC5973E" w14:textId="77777777" w:rsidR="007B741B" w:rsidRPr="00F55366" w:rsidRDefault="007B741B" w:rsidP="00F55366">
      <w:pPr>
        <w:pStyle w:val="DissertationTableCaption"/>
        <w:rPr>
          <w:u w:val="none"/>
        </w:rPr>
      </w:pPr>
      <w:bookmarkStart w:id="146" w:name="_Toc168415275"/>
      <w:bookmarkStart w:id="147" w:name="_Toc175413218"/>
      <w:r w:rsidRPr="00F55366">
        <w:rPr>
          <w:u w:val="none"/>
        </w:rPr>
        <w:t>Recurrence Frequency Analysis.</w:t>
      </w:r>
      <w:bookmarkEnd w:id="146"/>
      <w:bookmarkEnd w:id="147"/>
    </w:p>
    <w:p w14:paraId="0E44EA9C" w14:textId="0647E84A" w:rsidR="00D64A92" w:rsidRPr="007B741B" w:rsidRDefault="00D64A92" w:rsidP="007B741B">
      <w:pPr>
        <w:rPr>
          <w:rFonts w:eastAsia="Times New Roman" w:cs="Times New Roman"/>
          <w:b/>
          <w:bCs/>
        </w:rPr>
      </w:pPr>
    </w:p>
    <w:p w14:paraId="7A5F4326" w14:textId="77777777" w:rsidR="007B741B" w:rsidRDefault="007B741B" w:rsidP="007B741B">
      <w:pPr>
        <w:spacing w:before="0" w:after="0"/>
        <w:rPr>
          <w:rFonts w:cs="Times New Roman"/>
          <w:b/>
          <w:bCs/>
        </w:rPr>
      </w:pPr>
      <w:bookmarkStart w:id="148" w:name="_Toc168411140"/>
      <w:r>
        <w:br w:type="page"/>
      </w:r>
    </w:p>
    <w:p w14:paraId="2111B6B5" w14:textId="1BF8A707" w:rsidR="00E214D9" w:rsidRPr="00E214D9" w:rsidRDefault="00D64A92" w:rsidP="00E214D9">
      <w:pPr>
        <w:pStyle w:val="DissertationSection1"/>
      </w:pPr>
      <w:bookmarkStart w:id="149" w:name="_Toc175413183"/>
      <w:r>
        <w:lastRenderedPageBreak/>
        <w:t>Appendix E</w:t>
      </w:r>
      <w:r w:rsidR="004D5397">
        <w:t xml:space="preserve"> – </w:t>
      </w:r>
      <w:r w:rsidR="004D5397" w:rsidRPr="00B218EA">
        <w:t>Recurrence</w:t>
      </w:r>
      <w:r w:rsidR="004D5397">
        <w:t xml:space="preserve"> </w:t>
      </w:r>
      <w:r w:rsidR="004D5397" w:rsidRPr="00B218EA">
        <w:t>Frequencies of the 28 Definitional Elements Implicit to International Policy Definitions of Terrorism</w:t>
      </w:r>
      <w:bookmarkEnd w:id="148"/>
      <w:bookmarkEnd w:id="149"/>
    </w:p>
    <w:p w14:paraId="40949948" w14:textId="77777777" w:rsidR="00E214D9" w:rsidRDefault="00E214D9" w:rsidP="00C14930">
      <w:pPr>
        <w:pStyle w:val="Caption"/>
        <w:framePr w:hSpace="180" w:wrap="around" w:vAnchor="text" w:hAnchor="page" w:x="1781" w:y="10715"/>
      </w:pPr>
    </w:p>
    <w:p w14:paraId="5E4E0C52" w14:textId="77777777" w:rsidR="00C14930" w:rsidRPr="00C14930" w:rsidRDefault="00C14930" w:rsidP="00C14930">
      <w:pPr>
        <w:framePr w:hSpace="180" w:wrap="around" w:vAnchor="text" w:hAnchor="page" w:x="1781" w:y="10715"/>
        <w:rPr>
          <w:sz w:val="6"/>
          <w:szCs w:val="6"/>
        </w:rPr>
      </w:pPr>
    </w:p>
    <w:tbl>
      <w:tblPr>
        <w:tblStyle w:val="GridTable4"/>
        <w:tblpPr w:leftFromText="180" w:rightFromText="180" w:vertAnchor="text" w:horzAnchor="margin" w:tblpY="401"/>
        <w:tblW w:w="0" w:type="auto"/>
        <w:tblLook w:val="04A0" w:firstRow="1" w:lastRow="0" w:firstColumn="1" w:lastColumn="0" w:noHBand="0" w:noVBand="1"/>
      </w:tblPr>
      <w:tblGrid>
        <w:gridCol w:w="1672"/>
        <w:gridCol w:w="6930"/>
      </w:tblGrid>
      <w:tr w:rsidR="00E214D9" w:rsidRPr="00600124" w14:paraId="7359D0D8" w14:textId="77777777" w:rsidTr="00E21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39FE6E34" w14:textId="77777777" w:rsidR="00E214D9" w:rsidRPr="00600124" w:rsidRDefault="00E214D9" w:rsidP="007B2F0F">
            <w:pPr>
              <w:spacing w:after="0"/>
              <w:jc w:val="center"/>
              <w:rPr>
                <w:rFonts w:cs="Times New Roman"/>
                <w:sz w:val="20"/>
                <w:szCs w:val="20"/>
              </w:rPr>
            </w:pPr>
            <w:r>
              <w:rPr>
                <w:rFonts w:cs="Times New Roman"/>
                <w:sz w:val="20"/>
                <w:szCs w:val="20"/>
              </w:rPr>
              <w:t xml:space="preserve">Definitional Element </w:t>
            </w:r>
            <w:r w:rsidRPr="00600124">
              <w:rPr>
                <w:rFonts w:cs="Times New Roman"/>
                <w:sz w:val="20"/>
                <w:szCs w:val="20"/>
              </w:rPr>
              <w:t>No.</w:t>
            </w:r>
          </w:p>
        </w:tc>
        <w:tc>
          <w:tcPr>
            <w:tcW w:w="6930" w:type="dxa"/>
          </w:tcPr>
          <w:p w14:paraId="70D69688" w14:textId="77777777" w:rsidR="00E214D9" w:rsidRPr="00600124" w:rsidRDefault="00E214D9" w:rsidP="007B2F0F">
            <w:pPr>
              <w:spacing w:after="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Definitional Element</w:t>
            </w:r>
          </w:p>
        </w:tc>
      </w:tr>
      <w:tr w:rsidR="00E214D9" w:rsidRPr="00600124" w14:paraId="3E0A755B"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57ADEEF8" w14:textId="77777777" w:rsidR="00E214D9" w:rsidRPr="00600124" w:rsidRDefault="00E214D9" w:rsidP="007B2F0F">
            <w:pPr>
              <w:spacing w:after="0"/>
              <w:jc w:val="center"/>
              <w:rPr>
                <w:rFonts w:cs="Times New Roman"/>
                <w:sz w:val="20"/>
                <w:szCs w:val="20"/>
              </w:rPr>
            </w:pPr>
            <w:r w:rsidRPr="00600124">
              <w:rPr>
                <w:rFonts w:cs="Times New Roman"/>
                <w:sz w:val="20"/>
                <w:szCs w:val="20"/>
              </w:rPr>
              <w:t>1</w:t>
            </w:r>
          </w:p>
        </w:tc>
        <w:tc>
          <w:tcPr>
            <w:tcW w:w="6930" w:type="dxa"/>
          </w:tcPr>
          <w:p w14:paraId="46B58DB7"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Use of force, violence</w:t>
            </w:r>
          </w:p>
        </w:tc>
      </w:tr>
      <w:tr w:rsidR="00E214D9" w:rsidRPr="00600124" w14:paraId="51CA1D3C"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3244EFAA" w14:textId="77777777" w:rsidR="00E214D9" w:rsidRPr="00600124" w:rsidRDefault="00E214D9" w:rsidP="007B2F0F">
            <w:pPr>
              <w:spacing w:after="0"/>
              <w:jc w:val="center"/>
              <w:rPr>
                <w:rFonts w:cs="Times New Roman"/>
                <w:sz w:val="20"/>
                <w:szCs w:val="20"/>
              </w:rPr>
            </w:pPr>
            <w:r w:rsidRPr="00600124">
              <w:rPr>
                <w:rFonts w:cs="Times New Roman"/>
                <w:sz w:val="20"/>
                <w:szCs w:val="20"/>
              </w:rPr>
              <w:t>2</w:t>
            </w:r>
          </w:p>
        </w:tc>
        <w:tc>
          <w:tcPr>
            <w:tcW w:w="6930" w:type="dxa"/>
          </w:tcPr>
          <w:p w14:paraId="19AB0ACD"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Destruction of/damage to property; Sabotage</w:t>
            </w:r>
          </w:p>
        </w:tc>
      </w:tr>
      <w:tr w:rsidR="00E214D9" w:rsidRPr="00600124" w14:paraId="4E1E42B6"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51D05A91" w14:textId="77777777" w:rsidR="00E214D9" w:rsidRPr="00600124" w:rsidRDefault="00E214D9" w:rsidP="007B2F0F">
            <w:pPr>
              <w:spacing w:after="0"/>
              <w:jc w:val="center"/>
              <w:rPr>
                <w:rFonts w:cs="Times New Roman"/>
                <w:sz w:val="20"/>
                <w:szCs w:val="20"/>
              </w:rPr>
            </w:pPr>
            <w:r w:rsidRPr="00600124">
              <w:rPr>
                <w:rFonts w:cs="Times New Roman"/>
                <w:sz w:val="20"/>
                <w:szCs w:val="20"/>
              </w:rPr>
              <w:t>3</w:t>
            </w:r>
          </w:p>
        </w:tc>
        <w:tc>
          <w:tcPr>
            <w:tcW w:w="6930" w:type="dxa"/>
          </w:tcPr>
          <w:p w14:paraId="412F495D"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Destruction of/damage to environment; Destruction of/damage to natural resources</w:t>
            </w:r>
          </w:p>
        </w:tc>
      </w:tr>
      <w:tr w:rsidR="00E214D9" w:rsidRPr="00600124" w14:paraId="4BABF4A2"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79F2165B" w14:textId="77777777" w:rsidR="00E214D9" w:rsidRPr="00600124" w:rsidRDefault="00E214D9" w:rsidP="007B2F0F">
            <w:pPr>
              <w:spacing w:after="0"/>
              <w:jc w:val="center"/>
              <w:rPr>
                <w:rFonts w:cs="Times New Roman"/>
                <w:sz w:val="20"/>
                <w:szCs w:val="20"/>
              </w:rPr>
            </w:pPr>
            <w:r w:rsidRPr="00600124">
              <w:rPr>
                <w:rFonts w:cs="Times New Roman"/>
                <w:sz w:val="20"/>
                <w:szCs w:val="20"/>
              </w:rPr>
              <w:t>4</w:t>
            </w:r>
          </w:p>
        </w:tc>
        <w:tc>
          <w:tcPr>
            <w:tcW w:w="6930" w:type="dxa"/>
          </w:tcPr>
          <w:p w14:paraId="5750A3E2"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Homicide; Physical injury</w:t>
            </w:r>
          </w:p>
        </w:tc>
      </w:tr>
      <w:tr w:rsidR="00E214D9" w:rsidRPr="00600124" w14:paraId="5A7FFDB7"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1ED4DB65" w14:textId="77777777" w:rsidR="00E214D9" w:rsidRPr="00600124" w:rsidRDefault="00E214D9" w:rsidP="007B2F0F">
            <w:pPr>
              <w:spacing w:after="0"/>
              <w:jc w:val="center"/>
              <w:rPr>
                <w:rFonts w:cs="Times New Roman"/>
                <w:sz w:val="20"/>
                <w:szCs w:val="20"/>
              </w:rPr>
            </w:pPr>
            <w:r w:rsidRPr="00600124">
              <w:rPr>
                <w:rFonts w:cs="Times New Roman"/>
                <w:sz w:val="20"/>
                <w:szCs w:val="20"/>
              </w:rPr>
              <w:t>5</w:t>
            </w:r>
          </w:p>
        </w:tc>
        <w:tc>
          <w:tcPr>
            <w:tcW w:w="6930" w:type="dxa"/>
          </w:tcPr>
          <w:p w14:paraId="66F184C9"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Fear; Terror; Anxiety</w:t>
            </w:r>
          </w:p>
        </w:tc>
      </w:tr>
      <w:tr w:rsidR="00E214D9" w:rsidRPr="00600124" w14:paraId="7B1F39AB"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7B35487E" w14:textId="77777777" w:rsidR="00E214D9" w:rsidRPr="00600124" w:rsidRDefault="00E214D9" w:rsidP="007B2F0F">
            <w:pPr>
              <w:spacing w:after="0"/>
              <w:jc w:val="center"/>
              <w:rPr>
                <w:rFonts w:cs="Times New Roman"/>
                <w:sz w:val="20"/>
                <w:szCs w:val="20"/>
              </w:rPr>
            </w:pPr>
            <w:r w:rsidRPr="00600124">
              <w:rPr>
                <w:rFonts w:cs="Times New Roman"/>
                <w:sz w:val="20"/>
                <w:szCs w:val="20"/>
              </w:rPr>
              <w:t>6</w:t>
            </w:r>
          </w:p>
        </w:tc>
        <w:tc>
          <w:tcPr>
            <w:tcW w:w="6930" w:type="dxa"/>
          </w:tcPr>
          <w:p w14:paraId="462B0302"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Intimidation</w:t>
            </w:r>
          </w:p>
        </w:tc>
      </w:tr>
      <w:tr w:rsidR="00E214D9" w:rsidRPr="00600124" w14:paraId="04EB2CB5"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77F43C12" w14:textId="77777777" w:rsidR="00E214D9" w:rsidRPr="00600124" w:rsidRDefault="00E214D9" w:rsidP="007B2F0F">
            <w:pPr>
              <w:spacing w:after="0"/>
              <w:jc w:val="center"/>
              <w:rPr>
                <w:rFonts w:cs="Times New Roman"/>
                <w:sz w:val="20"/>
                <w:szCs w:val="20"/>
              </w:rPr>
            </w:pPr>
            <w:r w:rsidRPr="00600124">
              <w:rPr>
                <w:rFonts w:cs="Times New Roman"/>
                <w:sz w:val="20"/>
                <w:szCs w:val="20"/>
              </w:rPr>
              <w:t>7</w:t>
            </w:r>
          </w:p>
        </w:tc>
        <w:tc>
          <w:tcPr>
            <w:tcW w:w="6930" w:type="dxa"/>
          </w:tcPr>
          <w:p w14:paraId="6FB16E8E"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Threatening</w:t>
            </w:r>
          </w:p>
        </w:tc>
      </w:tr>
      <w:tr w:rsidR="00E214D9" w:rsidRPr="00600124" w14:paraId="1AD83C35"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4D1EDD9E" w14:textId="77777777" w:rsidR="00E214D9" w:rsidRPr="00600124" w:rsidRDefault="00E214D9" w:rsidP="007B2F0F">
            <w:pPr>
              <w:spacing w:after="0"/>
              <w:jc w:val="center"/>
              <w:rPr>
                <w:rFonts w:cs="Times New Roman"/>
                <w:sz w:val="20"/>
                <w:szCs w:val="20"/>
              </w:rPr>
            </w:pPr>
            <w:r w:rsidRPr="00600124">
              <w:rPr>
                <w:rFonts w:cs="Times New Roman"/>
                <w:sz w:val="20"/>
                <w:szCs w:val="20"/>
              </w:rPr>
              <w:t>8</w:t>
            </w:r>
          </w:p>
        </w:tc>
        <w:tc>
          <w:tcPr>
            <w:tcW w:w="6930" w:type="dxa"/>
          </w:tcPr>
          <w:p w14:paraId="3428C347"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Extranormal</w:t>
            </w:r>
          </w:p>
        </w:tc>
      </w:tr>
      <w:tr w:rsidR="00E214D9" w:rsidRPr="00600124" w14:paraId="04DD50BE"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748A86AE" w14:textId="77777777" w:rsidR="00E214D9" w:rsidRPr="00600124" w:rsidRDefault="00E214D9" w:rsidP="007B2F0F">
            <w:pPr>
              <w:spacing w:after="0"/>
              <w:jc w:val="center"/>
              <w:rPr>
                <w:rFonts w:cs="Times New Roman"/>
                <w:sz w:val="20"/>
                <w:szCs w:val="20"/>
              </w:rPr>
            </w:pPr>
            <w:r w:rsidRPr="00600124">
              <w:rPr>
                <w:rFonts w:cs="Times New Roman"/>
                <w:sz w:val="20"/>
                <w:szCs w:val="20"/>
              </w:rPr>
              <w:t>9</w:t>
            </w:r>
          </w:p>
        </w:tc>
        <w:tc>
          <w:tcPr>
            <w:tcW w:w="6930" w:type="dxa"/>
          </w:tcPr>
          <w:p w14:paraId="015DC1B8"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Coercion; Extortion</w:t>
            </w:r>
          </w:p>
        </w:tc>
      </w:tr>
      <w:tr w:rsidR="00E214D9" w:rsidRPr="00600124" w14:paraId="68799818"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396F3289" w14:textId="77777777" w:rsidR="00E214D9" w:rsidRPr="00600124" w:rsidRDefault="00E214D9" w:rsidP="007B2F0F">
            <w:pPr>
              <w:spacing w:after="0"/>
              <w:jc w:val="center"/>
              <w:rPr>
                <w:rFonts w:cs="Times New Roman"/>
                <w:sz w:val="20"/>
                <w:szCs w:val="20"/>
              </w:rPr>
            </w:pPr>
            <w:r w:rsidRPr="00600124">
              <w:rPr>
                <w:rFonts w:cs="Times New Roman"/>
                <w:sz w:val="20"/>
                <w:szCs w:val="20"/>
              </w:rPr>
              <w:t>10</w:t>
            </w:r>
          </w:p>
        </w:tc>
        <w:tc>
          <w:tcPr>
            <w:tcW w:w="6930" w:type="dxa"/>
          </w:tcPr>
          <w:p w14:paraId="79F288DE"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Random; Arbitrary; Indiscriminate</w:t>
            </w:r>
          </w:p>
        </w:tc>
      </w:tr>
      <w:tr w:rsidR="00E214D9" w:rsidRPr="00600124" w14:paraId="6A3FF779"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1BCCBCD8" w14:textId="77777777" w:rsidR="00E214D9" w:rsidRPr="00600124" w:rsidRDefault="00E214D9" w:rsidP="007B2F0F">
            <w:pPr>
              <w:spacing w:after="0"/>
              <w:jc w:val="center"/>
              <w:rPr>
                <w:rFonts w:cs="Times New Roman"/>
                <w:sz w:val="20"/>
                <w:szCs w:val="20"/>
              </w:rPr>
            </w:pPr>
            <w:r w:rsidRPr="00600124">
              <w:rPr>
                <w:rFonts w:cs="Times New Roman"/>
                <w:sz w:val="20"/>
                <w:szCs w:val="20"/>
              </w:rPr>
              <w:t>11</w:t>
            </w:r>
          </w:p>
        </w:tc>
        <w:tc>
          <w:tcPr>
            <w:tcW w:w="6930" w:type="dxa"/>
          </w:tcPr>
          <w:p w14:paraId="18756211"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Group; Association; Collective; Organization</w:t>
            </w:r>
          </w:p>
        </w:tc>
      </w:tr>
      <w:tr w:rsidR="00E214D9" w:rsidRPr="00600124" w14:paraId="24C0A491"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3305B9DF" w14:textId="77777777" w:rsidR="00E214D9" w:rsidRPr="00600124" w:rsidRDefault="00E214D9" w:rsidP="007B2F0F">
            <w:pPr>
              <w:spacing w:after="0"/>
              <w:jc w:val="center"/>
              <w:rPr>
                <w:rFonts w:cs="Times New Roman"/>
                <w:sz w:val="20"/>
                <w:szCs w:val="20"/>
              </w:rPr>
            </w:pPr>
            <w:r w:rsidRPr="00600124">
              <w:rPr>
                <w:rFonts w:cs="Times New Roman"/>
                <w:sz w:val="20"/>
                <w:szCs w:val="20"/>
              </w:rPr>
              <w:t>12</w:t>
            </w:r>
          </w:p>
        </w:tc>
        <w:tc>
          <w:tcPr>
            <w:tcW w:w="6930" w:type="dxa"/>
          </w:tcPr>
          <w:p w14:paraId="7DB85C7A"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Preparation; Premeditation; Planning; Organizing</w:t>
            </w:r>
          </w:p>
        </w:tc>
      </w:tr>
      <w:tr w:rsidR="00E214D9" w:rsidRPr="00600124" w14:paraId="4B798ACF"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0D76060D" w14:textId="77777777" w:rsidR="00E214D9" w:rsidRPr="00600124" w:rsidRDefault="00E214D9" w:rsidP="007B2F0F">
            <w:pPr>
              <w:spacing w:after="0"/>
              <w:jc w:val="center"/>
              <w:rPr>
                <w:rFonts w:cs="Times New Roman"/>
                <w:sz w:val="20"/>
                <w:szCs w:val="20"/>
              </w:rPr>
            </w:pPr>
            <w:r w:rsidRPr="00600124">
              <w:rPr>
                <w:rFonts w:cs="Times New Roman"/>
                <w:sz w:val="20"/>
                <w:szCs w:val="20"/>
              </w:rPr>
              <w:t>13</w:t>
            </w:r>
          </w:p>
        </w:tc>
        <w:tc>
          <w:tcPr>
            <w:tcW w:w="6930" w:type="dxa"/>
          </w:tcPr>
          <w:p w14:paraId="03D2DD1E"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Conceal; Covert</w:t>
            </w:r>
          </w:p>
        </w:tc>
      </w:tr>
      <w:tr w:rsidR="00E214D9" w:rsidRPr="00600124" w14:paraId="0F782E40"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10CF08E9" w14:textId="77777777" w:rsidR="00E214D9" w:rsidRPr="00600124" w:rsidRDefault="00E214D9" w:rsidP="007B2F0F">
            <w:pPr>
              <w:spacing w:after="0"/>
              <w:jc w:val="center"/>
              <w:rPr>
                <w:rFonts w:cs="Times New Roman"/>
                <w:sz w:val="20"/>
                <w:szCs w:val="20"/>
              </w:rPr>
            </w:pPr>
            <w:r w:rsidRPr="00600124">
              <w:rPr>
                <w:rFonts w:cs="Times New Roman"/>
                <w:sz w:val="20"/>
                <w:szCs w:val="20"/>
              </w:rPr>
              <w:t>14</w:t>
            </w:r>
          </w:p>
        </w:tc>
        <w:tc>
          <w:tcPr>
            <w:tcW w:w="6930" w:type="dxa"/>
          </w:tcPr>
          <w:p w14:paraId="719580B9"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Intention; Deliberate action</w:t>
            </w:r>
          </w:p>
        </w:tc>
      </w:tr>
      <w:tr w:rsidR="00E214D9" w:rsidRPr="00600124" w14:paraId="3F0D8838"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1092F63D" w14:textId="77777777" w:rsidR="00E214D9" w:rsidRPr="00600124" w:rsidRDefault="00E214D9" w:rsidP="007B2F0F">
            <w:pPr>
              <w:spacing w:after="0"/>
              <w:jc w:val="center"/>
              <w:rPr>
                <w:rFonts w:cs="Times New Roman"/>
                <w:sz w:val="20"/>
                <w:szCs w:val="20"/>
              </w:rPr>
            </w:pPr>
            <w:r w:rsidRPr="00600124">
              <w:rPr>
                <w:rFonts w:cs="Times New Roman"/>
                <w:sz w:val="20"/>
                <w:szCs w:val="20"/>
              </w:rPr>
              <w:t>15</w:t>
            </w:r>
          </w:p>
        </w:tc>
        <w:tc>
          <w:tcPr>
            <w:tcW w:w="6930" w:type="dxa"/>
          </w:tcPr>
          <w:p w14:paraId="70FD4358"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Influence the taking of action, of lack thereof; Influence decision making</w:t>
            </w:r>
          </w:p>
        </w:tc>
      </w:tr>
      <w:tr w:rsidR="00E214D9" w:rsidRPr="00600124" w14:paraId="38C20C31"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052FB2ED" w14:textId="77777777" w:rsidR="00E214D9" w:rsidRPr="00600124" w:rsidRDefault="00E214D9" w:rsidP="007B2F0F">
            <w:pPr>
              <w:spacing w:after="0"/>
              <w:jc w:val="center"/>
              <w:rPr>
                <w:rFonts w:cs="Times New Roman"/>
                <w:sz w:val="20"/>
                <w:szCs w:val="20"/>
              </w:rPr>
            </w:pPr>
            <w:r w:rsidRPr="00600124">
              <w:rPr>
                <w:rFonts w:cs="Times New Roman"/>
                <w:sz w:val="20"/>
                <w:szCs w:val="20"/>
              </w:rPr>
              <w:t>16</w:t>
            </w:r>
          </w:p>
        </w:tc>
        <w:tc>
          <w:tcPr>
            <w:tcW w:w="6930" w:type="dxa"/>
          </w:tcPr>
          <w:p w14:paraId="11EFD4C4"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Political</w:t>
            </w:r>
          </w:p>
        </w:tc>
      </w:tr>
      <w:tr w:rsidR="00E214D9" w:rsidRPr="00600124" w14:paraId="1F5DC09D"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075A74FE" w14:textId="77777777" w:rsidR="00E214D9" w:rsidRPr="00600124" w:rsidRDefault="00E214D9" w:rsidP="007B2F0F">
            <w:pPr>
              <w:spacing w:after="0"/>
              <w:jc w:val="center"/>
              <w:rPr>
                <w:rFonts w:cs="Times New Roman"/>
                <w:sz w:val="20"/>
                <w:szCs w:val="20"/>
              </w:rPr>
            </w:pPr>
            <w:r w:rsidRPr="00600124">
              <w:rPr>
                <w:rFonts w:cs="Times New Roman"/>
                <w:sz w:val="20"/>
                <w:szCs w:val="20"/>
              </w:rPr>
              <w:t>17</w:t>
            </w:r>
          </w:p>
        </w:tc>
        <w:tc>
          <w:tcPr>
            <w:tcW w:w="6930" w:type="dxa"/>
          </w:tcPr>
          <w:p w14:paraId="3446E8CD"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Religious</w:t>
            </w:r>
          </w:p>
        </w:tc>
      </w:tr>
      <w:tr w:rsidR="00E214D9" w:rsidRPr="00600124" w14:paraId="0A41899E"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6AB30D17" w14:textId="77777777" w:rsidR="00E214D9" w:rsidRPr="00600124" w:rsidRDefault="00E214D9" w:rsidP="007B2F0F">
            <w:pPr>
              <w:spacing w:after="0"/>
              <w:jc w:val="center"/>
              <w:rPr>
                <w:rFonts w:cs="Times New Roman"/>
                <w:sz w:val="20"/>
                <w:szCs w:val="20"/>
              </w:rPr>
            </w:pPr>
            <w:r w:rsidRPr="00600124">
              <w:rPr>
                <w:rFonts w:cs="Times New Roman"/>
                <w:sz w:val="20"/>
                <w:szCs w:val="20"/>
              </w:rPr>
              <w:t>18</w:t>
            </w:r>
          </w:p>
        </w:tc>
        <w:tc>
          <w:tcPr>
            <w:tcW w:w="6930" w:type="dxa"/>
          </w:tcPr>
          <w:p w14:paraId="720A2530"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Ideological</w:t>
            </w:r>
          </w:p>
        </w:tc>
      </w:tr>
      <w:tr w:rsidR="00E214D9" w:rsidRPr="00600124" w14:paraId="2E674EF9"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0F492A86" w14:textId="77777777" w:rsidR="00E214D9" w:rsidRPr="00600124" w:rsidRDefault="00E214D9" w:rsidP="007B2F0F">
            <w:pPr>
              <w:spacing w:after="0"/>
              <w:jc w:val="center"/>
              <w:rPr>
                <w:rFonts w:cs="Times New Roman"/>
                <w:sz w:val="20"/>
                <w:szCs w:val="20"/>
              </w:rPr>
            </w:pPr>
            <w:r w:rsidRPr="00600124">
              <w:rPr>
                <w:rFonts w:cs="Times New Roman"/>
                <w:sz w:val="20"/>
                <w:szCs w:val="20"/>
              </w:rPr>
              <w:t>19</w:t>
            </w:r>
          </w:p>
        </w:tc>
        <w:tc>
          <w:tcPr>
            <w:tcW w:w="6930" w:type="dxa"/>
          </w:tcPr>
          <w:p w14:paraId="04F10C08"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Promotion; Propaganda</w:t>
            </w:r>
          </w:p>
        </w:tc>
      </w:tr>
      <w:tr w:rsidR="00E214D9" w:rsidRPr="00600124" w14:paraId="62E8B994"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4C4D658C" w14:textId="77777777" w:rsidR="00E214D9" w:rsidRPr="00600124" w:rsidRDefault="00E214D9" w:rsidP="007B2F0F">
            <w:pPr>
              <w:spacing w:after="0"/>
              <w:jc w:val="center"/>
              <w:rPr>
                <w:rFonts w:cs="Times New Roman"/>
                <w:sz w:val="20"/>
                <w:szCs w:val="20"/>
              </w:rPr>
            </w:pPr>
            <w:r w:rsidRPr="00600124">
              <w:rPr>
                <w:rFonts w:cs="Times New Roman"/>
                <w:sz w:val="20"/>
                <w:szCs w:val="20"/>
              </w:rPr>
              <w:t>20</w:t>
            </w:r>
          </w:p>
        </w:tc>
        <w:tc>
          <w:tcPr>
            <w:tcW w:w="6930" w:type="dxa"/>
          </w:tcPr>
          <w:p w14:paraId="503D8373"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Incitement; Provocation</w:t>
            </w:r>
          </w:p>
        </w:tc>
      </w:tr>
      <w:tr w:rsidR="00E214D9" w:rsidRPr="00600124" w14:paraId="74603DC3"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152444B3" w14:textId="77777777" w:rsidR="00E214D9" w:rsidRPr="00600124" w:rsidRDefault="00E214D9" w:rsidP="007B2F0F">
            <w:pPr>
              <w:spacing w:after="0"/>
              <w:jc w:val="center"/>
              <w:rPr>
                <w:rFonts w:cs="Times New Roman"/>
                <w:sz w:val="20"/>
                <w:szCs w:val="20"/>
              </w:rPr>
            </w:pPr>
            <w:r w:rsidRPr="00600124">
              <w:rPr>
                <w:rFonts w:cs="Times New Roman"/>
                <w:sz w:val="20"/>
                <w:szCs w:val="20"/>
              </w:rPr>
              <w:t>21</w:t>
            </w:r>
          </w:p>
        </w:tc>
        <w:tc>
          <w:tcPr>
            <w:tcW w:w="6930" w:type="dxa"/>
          </w:tcPr>
          <w:p w14:paraId="2B6C4A04"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Criminal; Unlawful</w:t>
            </w:r>
          </w:p>
        </w:tc>
      </w:tr>
      <w:tr w:rsidR="00E214D9" w:rsidRPr="00600124" w14:paraId="23E81E66"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2B2E5887" w14:textId="77777777" w:rsidR="00E214D9" w:rsidRPr="00600124" w:rsidRDefault="00E214D9" w:rsidP="007B2F0F">
            <w:pPr>
              <w:spacing w:after="0"/>
              <w:jc w:val="center"/>
              <w:rPr>
                <w:rFonts w:cs="Times New Roman"/>
                <w:sz w:val="20"/>
                <w:szCs w:val="20"/>
              </w:rPr>
            </w:pPr>
            <w:r w:rsidRPr="00600124">
              <w:rPr>
                <w:rFonts w:cs="Times New Roman"/>
                <w:sz w:val="20"/>
                <w:szCs w:val="20"/>
              </w:rPr>
              <w:t>22</w:t>
            </w:r>
          </w:p>
        </w:tc>
        <w:tc>
          <w:tcPr>
            <w:tcW w:w="6930" w:type="dxa"/>
          </w:tcPr>
          <w:p w14:paraId="2C070218"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Symbolism</w:t>
            </w:r>
          </w:p>
        </w:tc>
      </w:tr>
      <w:tr w:rsidR="00E214D9" w:rsidRPr="00600124" w14:paraId="6B0B9C11"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1AE2F411" w14:textId="77777777" w:rsidR="00E214D9" w:rsidRPr="00600124" w:rsidRDefault="00E214D9" w:rsidP="007B2F0F">
            <w:pPr>
              <w:spacing w:after="0"/>
              <w:jc w:val="center"/>
              <w:rPr>
                <w:rFonts w:cs="Times New Roman"/>
                <w:sz w:val="20"/>
                <w:szCs w:val="20"/>
              </w:rPr>
            </w:pPr>
            <w:r w:rsidRPr="00600124">
              <w:rPr>
                <w:rFonts w:cs="Times New Roman"/>
                <w:sz w:val="20"/>
                <w:szCs w:val="20"/>
              </w:rPr>
              <w:t>23</w:t>
            </w:r>
          </w:p>
        </w:tc>
        <w:tc>
          <w:tcPr>
            <w:tcW w:w="6930" w:type="dxa"/>
          </w:tcPr>
          <w:p w14:paraId="0FB9EED2"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Security</w:t>
            </w:r>
          </w:p>
        </w:tc>
      </w:tr>
      <w:tr w:rsidR="00E214D9" w:rsidRPr="00600124" w14:paraId="0DB274C3"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376F37B4" w14:textId="77777777" w:rsidR="00E214D9" w:rsidRPr="00600124" w:rsidRDefault="00E214D9" w:rsidP="007B2F0F">
            <w:pPr>
              <w:spacing w:after="0"/>
              <w:jc w:val="center"/>
              <w:rPr>
                <w:rFonts w:cs="Times New Roman"/>
                <w:sz w:val="20"/>
                <w:szCs w:val="20"/>
              </w:rPr>
            </w:pPr>
            <w:r w:rsidRPr="00600124">
              <w:rPr>
                <w:rFonts w:cs="Times New Roman"/>
                <w:sz w:val="20"/>
                <w:szCs w:val="20"/>
              </w:rPr>
              <w:t>24</w:t>
            </w:r>
          </w:p>
        </w:tc>
        <w:tc>
          <w:tcPr>
            <w:tcW w:w="6930" w:type="dxa"/>
          </w:tcPr>
          <w:p w14:paraId="40B8D439"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Sovereignty; Territorial integrity; National integrity</w:t>
            </w:r>
          </w:p>
        </w:tc>
      </w:tr>
      <w:tr w:rsidR="00E214D9" w:rsidRPr="00600124" w14:paraId="5151B762"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12361F74" w14:textId="77777777" w:rsidR="00E214D9" w:rsidRPr="00600124" w:rsidRDefault="00E214D9" w:rsidP="007B2F0F">
            <w:pPr>
              <w:spacing w:after="0"/>
              <w:jc w:val="center"/>
              <w:rPr>
                <w:rFonts w:cs="Times New Roman"/>
                <w:sz w:val="20"/>
                <w:szCs w:val="20"/>
              </w:rPr>
            </w:pPr>
            <w:r w:rsidRPr="00600124">
              <w:rPr>
                <w:rFonts w:cs="Times New Roman"/>
                <w:sz w:val="20"/>
                <w:szCs w:val="20"/>
              </w:rPr>
              <w:t>25</w:t>
            </w:r>
          </w:p>
        </w:tc>
        <w:tc>
          <w:tcPr>
            <w:tcW w:w="6930" w:type="dxa"/>
          </w:tcPr>
          <w:p w14:paraId="41616AF9"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Economic; Financial</w:t>
            </w:r>
          </w:p>
        </w:tc>
      </w:tr>
      <w:tr w:rsidR="00E214D9" w:rsidRPr="00600124" w14:paraId="36235718"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46F51E24" w14:textId="77777777" w:rsidR="00E214D9" w:rsidRPr="00600124" w:rsidRDefault="00E214D9" w:rsidP="007B2F0F">
            <w:pPr>
              <w:spacing w:after="0"/>
              <w:jc w:val="center"/>
              <w:rPr>
                <w:rFonts w:cs="Times New Roman"/>
                <w:sz w:val="20"/>
                <w:szCs w:val="20"/>
              </w:rPr>
            </w:pPr>
            <w:r w:rsidRPr="00600124">
              <w:rPr>
                <w:rFonts w:cs="Times New Roman"/>
                <w:sz w:val="20"/>
                <w:szCs w:val="20"/>
              </w:rPr>
              <w:t>26</w:t>
            </w:r>
          </w:p>
        </w:tc>
        <w:tc>
          <w:tcPr>
            <w:tcW w:w="6930" w:type="dxa"/>
          </w:tcPr>
          <w:p w14:paraId="4492285D"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State; National</w:t>
            </w:r>
          </w:p>
        </w:tc>
      </w:tr>
      <w:tr w:rsidR="00E214D9" w:rsidRPr="00600124" w14:paraId="3445B287" w14:textId="77777777" w:rsidTr="00E21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2" w:type="dxa"/>
          </w:tcPr>
          <w:p w14:paraId="04D10F5C" w14:textId="77777777" w:rsidR="00E214D9" w:rsidRPr="00600124" w:rsidRDefault="00E214D9" w:rsidP="007B2F0F">
            <w:pPr>
              <w:spacing w:after="0"/>
              <w:jc w:val="center"/>
              <w:rPr>
                <w:rFonts w:cs="Times New Roman"/>
                <w:sz w:val="20"/>
                <w:szCs w:val="20"/>
              </w:rPr>
            </w:pPr>
            <w:r w:rsidRPr="00600124">
              <w:rPr>
                <w:rFonts w:cs="Times New Roman"/>
                <w:sz w:val="20"/>
                <w:szCs w:val="20"/>
              </w:rPr>
              <w:t>27</w:t>
            </w:r>
          </w:p>
        </w:tc>
        <w:tc>
          <w:tcPr>
            <w:tcW w:w="6930" w:type="dxa"/>
          </w:tcPr>
          <w:p w14:paraId="6346F584"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Public; General population</w:t>
            </w:r>
          </w:p>
        </w:tc>
      </w:tr>
      <w:tr w:rsidR="00E214D9" w:rsidRPr="00600124" w14:paraId="28A2CC39" w14:textId="77777777" w:rsidTr="00E214D9">
        <w:tc>
          <w:tcPr>
            <w:cnfStyle w:val="001000000000" w:firstRow="0" w:lastRow="0" w:firstColumn="1" w:lastColumn="0" w:oddVBand="0" w:evenVBand="0" w:oddHBand="0" w:evenHBand="0" w:firstRowFirstColumn="0" w:firstRowLastColumn="0" w:lastRowFirstColumn="0" w:lastRowLastColumn="0"/>
            <w:tcW w:w="1672" w:type="dxa"/>
          </w:tcPr>
          <w:p w14:paraId="70DEBC42" w14:textId="77777777" w:rsidR="00E214D9" w:rsidRPr="00600124" w:rsidRDefault="00E214D9" w:rsidP="007B2F0F">
            <w:pPr>
              <w:spacing w:after="0"/>
              <w:jc w:val="center"/>
              <w:rPr>
                <w:rFonts w:cs="Times New Roman"/>
                <w:sz w:val="20"/>
                <w:szCs w:val="20"/>
              </w:rPr>
            </w:pPr>
            <w:r w:rsidRPr="00600124">
              <w:rPr>
                <w:rFonts w:cs="Times New Roman"/>
                <w:sz w:val="20"/>
                <w:szCs w:val="20"/>
              </w:rPr>
              <w:t>28</w:t>
            </w:r>
          </w:p>
        </w:tc>
        <w:tc>
          <w:tcPr>
            <w:tcW w:w="6930" w:type="dxa"/>
          </w:tcPr>
          <w:p w14:paraId="2BE91A4D" w14:textId="77777777" w:rsidR="00E214D9" w:rsidRPr="00600124" w:rsidRDefault="00E214D9" w:rsidP="007B2F0F">
            <w:pPr>
              <w:keepNext/>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Civilians; Non-combatants</w:t>
            </w:r>
          </w:p>
        </w:tc>
      </w:tr>
    </w:tbl>
    <w:p w14:paraId="0D6BDE14" w14:textId="77777777" w:rsidR="00E214D9" w:rsidRDefault="00E214D9" w:rsidP="00E214D9">
      <w:pPr>
        <w:pStyle w:val="DissertationTableCaption"/>
      </w:pPr>
    </w:p>
    <w:p w14:paraId="679C344D" w14:textId="159E5FAE" w:rsidR="00E214D9" w:rsidRPr="00600124" w:rsidRDefault="00E214D9" w:rsidP="00E214D9">
      <w:pPr>
        <w:pStyle w:val="DissertationTableCaption"/>
        <w:ind w:left="1440" w:hanging="1440"/>
      </w:pPr>
      <w:bookmarkStart w:id="150" w:name="_Toc168415276"/>
      <w:bookmarkStart w:id="151" w:name="_Toc175413219"/>
      <w:r w:rsidRPr="00600124">
        <w:t xml:space="preserve">Table A5- </w:t>
      </w:r>
      <w:fldSimple w:instr=" SEQ Table_A5- \* ARABIC ">
        <w:r w:rsidR="00AF1E65">
          <w:rPr>
            <w:noProof/>
          </w:rPr>
          <w:t>1</w:t>
        </w:r>
      </w:fldSimple>
      <w:r w:rsidR="008D1375">
        <w:rPr>
          <w:noProof/>
        </w:rPr>
        <w:t>:</w:t>
      </w:r>
      <w:r>
        <w:rPr>
          <w:u w:val="none"/>
        </w:rPr>
        <w:tab/>
      </w:r>
      <w:r w:rsidRPr="00E214D9">
        <w:rPr>
          <w:u w:val="none"/>
        </w:rPr>
        <w:t xml:space="preserve"> Description of Twenty-Eight (28) Definitional Elements Implicit to International Policy Definitions of Terrorism, Numerically Organized in Terms of Relation to ‘Means,’ ‘Mode,’ ‘Target,’ and ‘Objective’ of Terrorist Activity (See Appendix F)</w:t>
      </w:r>
      <w:bookmarkEnd w:id="150"/>
      <w:bookmarkEnd w:id="151"/>
    </w:p>
    <w:p w14:paraId="1FC92FDB" w14:textId="77777777" w:rsidR="00E214D9" w:rsidRPr="00600124" w:rsidRDefault="00E214D9" w:rsidP="00E214D9">
      <w:pPr>
        <w:rPr>
          <w:rFonts w:cs="Times New Roman"/>
          <w:i/>
          <w:iCs/>
          <w:sz w:val="18"/>
          <w:szCs w:val="18"/>
        </w:rPr>
      </w:pPr>
    </w:p>
    <w:p w14:paraId="043DB017" w14:textId="77777777" w:rsidR="00E214D9" w:rsidRPr="00E748FC" w:rsidRDefault="00E214D9" w:rsidP="00E214D9">
      <w:pPr>
        <w:pStyle w:val="Caption"/>
        <w:rPr>
          <w:noProof/>
          <w:sz w:val="20"/>
          <w:szCs w:val="20"/>
        </w:rPr>
      </w:pPr>
      <w:r>
        <w:rPr>
          <w:noProof/>
        </w:rPr>
        <mc:AlternateContent>
          <mc:Choice Requires="wps">
            <w:drawing>
              <wp:anchor distT="0" distB="0" distL="114300" distR="114300" simplePos="0" relativeHeight="251687936" behindDoc="0" locked="0" layoutInCell="1" allowOverlap="1" wp14:anchorId="13607263" wp14:editId="76110472">
                <wp:simplePos x="0" y="0"/>
                <wp:positionH relativeFrom="column">
                  <wp:posOffset>393065</wp:posOffset>
                </wp:positionH>
                <wp:positionV relativeFrom="paragraph">
                  <wp:posOffset>4498633</wp:posOffset>
                </wp:positionV>
                <wp:extent cx="5267325" cy="635"/>
                <wp:effectExtent l="0" t="0" r="3175" b="12065"/>
                <wp:wrapNone/>
                <wp:docPr id="236149094" name="Text Box 1"/>
                <wp:cNvGraphicFramePr/>
                <a:graphic xmlns:a="http://schemas.openxmlformats.org/drawingml/2006/main">
                  <a:graphicData uri="http://schemas.microsoft.com/office/word/2010/wordprocessingShape">
                    <wps:wsp>
                      <wps:cNvSpPr txBox="1"/>
                      <wps:spPr>
                        <a:xfrm>
                          <a:off x="0" y="0"/>
                          <a:ext cx="5267325" cy="635"/>
                        </a:xfrm>
                        <a:prstGeom prst="rect">
                          <a:avLst/>
                        </a:prstGeom>
                        <a:solidFill>
                          <a:prstClr val="white"/>
                        </a:solidFill>
                        <a:ln>
                          <a:noFill/>
                        </a:ln>
                      </wps:spPr>
                      <wps:txbx>
                        <w:txbxContent>
                          <w:p w14:paraId="3BAF4603" w14:textId="77C9403E" w:rsidR="00E214D9" w:rsidRPr="00600124" w:rsidRDefault="00E214D9" w:rsidP="00C14930">
                            <w:pPr>
                              <w:pStyle w:val="DissertationFigureCaption"/>
                            </w:pPr>
                            <w:bookmarkStart w:id="152" w:name="_Toc168415570"/>
                            <w:bookmarkStart w:id="153" w:name="_Toc175413252"/>
                            <w:r w:rsidRPr="00600124">
                              <w:t>Fig</w:t>
                            </w:r>
                            <w:r>
                              <w:t>ure</w:t>
                            </w:r>
                            <w:r w:rsidRPr="00600124">
                              <w:t xml:space="preserve"> A5- </w:t>
                            </w:r>
                            <w:fldSimple w:instr=" SEQ Fig._A5- \* ARABIC ">
                              <w:r w:rsidR="00AF1E65">
                                <w:rPr>
                                  <w:noProof/>
                                </w:rPr>
                                <w:t>1</w:t>
                              </w:r>
                            </w:fldSimple>
                            <w:r w:rsidR="008D1375">
                              <w:rPr>
                                <w:noProof/>
                              </w:rPr>
                              <w:t>:</w:t>
                            </w:r>
                            <w:r w:rsidRPr="00C14930">
                              <w:rPr>
                                <w:u w:val="none"/>
                              </w:rPr>
                              <w:tab/>
                              <w:t>Recurrence Frequencies of Twenty-Eight (28) Definitional Elements Calculated for 192 International Policy Definitions of Terrorism</w:t>
                            </w:r>
                            <w:bookmarkEnd w:id="152"/>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13607263" id="_x0000_s1035" type="#_x0000_t202" style="position:absolute;margin-left:30.95pt;margin-top:354.2pt;width:414.7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" stroked="f">
                <v:textbox style="mso-fit-shape-to-text:t" inset="0,0,0,0">
                  <w:txbxContent>
                    <w:p w14:paraId="3BAF4603" w14:textId="77C9403E" w:rsidR="00E214D9" w:rsidRPr="00600124" w:rsidRDefault="00E214D9" w:rsidP="00C14930">
                      <w:pPr>
                        <w:pStyle w:val="DissertationFigureCaption"/>
                      </w:pPr>
                      <w:bookmarkStart w:id="173" w:name="_Toc168415570"/>
                      <w:bookmarkStart w:id="174" w:name="_Toc175413252"/>
                      <w:r w:rsidRPr="00600124">
                        <w:t>Fig</w:t>
                      </w:r>
                      <w:r>
                        <w:t>ure</w:t>
                      </w:r>
                      <w:r w:rsidRPr="00600124">
                        <w:t xml:space="preserve"> A5- </w:t>
                      </w:r>
                      <w:r w:rsidR="00000000">
                        <w:fldChar w:fldCharType="begin"/>
                      </w:r>
                      <w:r w:rsidR="00000000">
                        <w:instrText xml:space="preserve"> SEQ Fig._A5- \* ARABIC </w:instrText>
                      </w:r>
                      <w:r w:rsidR="00000000">
                        <w:fldChar w:fldCharType="separate"/>
                      </w:r>
                      <w:r w:rsidR="00AF1E65">
                        <w:rPr>
                          <w:noProof/>
                        </w:rPr>
                        <w:t>1</w:t>
                      </w:r>
                      <w:r w:rsidR="00000000">
                        <w:rPr>
                          <w:noProof/>
                        </w:rPr>
                        <w:fldChar w:fldCharType="end"/>
                      </w:r>
                      <w:r w:rsidR="008D1375">
                        <w:rPr>
                          <w:noProof/>
                        </w:rPr>
                        <w:t>:</w:t>
                      </w:r>
                      <w:r w:rsidRPr="00C14930">
                        <w:rPr>
                          <w:u w:val="none"/>
                        </w:rPr>
                        <w:tab/>
                        <w:t>Recurrence Frequencies of Twenty-Eight (28) Definitional Elements Calculated for 192 International Policy Definitions of Terrorism</w:t>
                      </w:r>
                      <w:bookmarkEnd w:id="173"/>
                      <w:bookmarkEnd w:id="174"/>
                    </w:p>
                  </w:txbxContent>
                </v:textbox>
              </v:shape>
            </w:pict>
          </mc:Fallback>
        </mc:AlternateContent>
      </w:r>
      <w:r>
        <w:rPr>
          <w:noProof/>
          <w:sz w:val="20"/>
          <w:szCs w:val="20"/>
        </w:rPr>
        <w:drawing>
          <wp:inline distT="0" distB="0" distL="0" distR="0" wp14:anchorId="05E48A5F" wp14:editId="2B9D02DB">
            <wp:extent cx="6198577" cy="4404946"/>
            <wp:effectExtent l="0" t="0" r="0" b="2540"/>
            <wp:docPr id="15281499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D99196D" w14:textId="77777777" w:rsidR="00E214D9" w:rsidRDefault="00E214D9" w:rsidP="00E214D9">
      <w:pPr>
        <w:spacing w:after="0"/>
        <w:rPr>
          <w:rFonts w:cs="Times New Roman"/>
          <w:sz w:val="24"/>
        </w:rPr>
      </w:pPr>
      <w:r>
        <w:rPr>
          <w:rFonts w:cs="Times New Roman"/>
          <w:sz w:val="24"/>
        </w:rPr>
        <w:br w:type="page"/>
      </w:r>
    </w:p>
    <w:p w14:paraId="057157D9" w14:textId="77777777" w:rsidR="00E214D9" w:rsidRDefault="00E214D9" w:rsidP="00E214D9">
      <w:pPr>
        <w:rPr>
          <w:rFonts w:cs="Times New Roman"/>
          <w:sz w:val="24"/>
        </w:rPr>
      </w:pPr>
    </w:p>
    <w:tbl>
      <w:tblPr>
        <w:tblStyle w:val="GridTable4"/>
        <w:tblpPr w:leftFromText="180" w:rightFromText="180" w:vertAnchor="text" w:horzAnchor="margin" w:tblpY="401"/>
        <w:tblW w:w="0" w:type="auto"/>
        <w:tblLook w:val="04A0" w:firstRow="1" w:lastRow="0" w:firstColumn="1" w:lastColumn="0" w:noHBand="0" w:noVBand="1"/>
      </w:tblPr>
      <w:tblGrid>
        <w:gridCol w:w="1412"/>
        <w:gridCol w:w="5050"/>
        <w:gridCol w:w="2140"/>
      </w:tblGrid>
      <w:tr w:rsidR="00E214D9" w:rsidRPr="00600124" w14:paraId="4910419C" w14:textId="77777777" w:rsidTr="007B2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6843CCDD" w14:textId="77777777" w:rsidR="00E214D9" w:rsidRPr="00600124" w:rsidRDefault="00E214D9" w:rsidP="007B2F0F">
            <w:pPr>
              <w:spacing w:after="0"/>
              <w:jc w:val="center"/>
              <w:rPr>
                <w:rFonts w:cs="Times New Roman"/>
                <w:sz w:val="20"/>
                <w:szCs w:val="20"/>
              </w:rPr>
            </w:pPr>
            <w:r w:rsidRPr="00600124">
              <w:rPr>
                <w:rFonts w:cs="Times New Roman"/>
                <w:sz w:val="20"/>
                <w:szCs w:val="20"/>
              </w:rPr>
              <w:t>No.</w:t>
            </w:r>
          </w:p>
        </w:tc>
        <w:tc>
          <w:tcPr>
            <w:tcW w:w="5548" w:type="dxa"/>
          </w:tcPr>
          <w:p w14:paraId="0C171A7F" w14:textId="77777777" w:rsidR="00E214D9" w:rsidRPr="00600124" w:rsidRDefault="00E214D9" w:rsidP="007B2F0F">
            <w:pPr>
              <w:spacing w:after="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Definitional Element</w:t>
            </w:r>
          </w:p>
        </w:tc>
        <w:tc>
          <w:tcPr>
            <w:tcW w:w="2267" w:type="dxa"/>
          </w:tcPr>
          <w:p w14:paraId="6D60364D" w14:textId="77777777" w:rsidR="00E214D9" w:rsidRDefault="00E214D9" w:rsidP="007B2F0F">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Pr>
                <w:rFonts w:cs="Times New Roman"/>
                <w:sz w:val="20"/>
                <w:szCs w:val="20"/>
              </w:rPr>
              <w:t>Recurrence Frequency</w:t>
            </w:r>
          </w:p>
          <w:p w14:paraId="1F1022B5" w14:textId="77777777" w:rsidR="00E214D9" w:rsidRPr="00600124" w:rsidRDefault="00E214D9" w:rsidP="007B2F0F">
            <w:pPr>
              <w:spacing w:after="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(Glogauer, 2023)</w:t>
            </w:r>
          </w:p>
        </w:tc>
      </w:tr>
      <w:tr w:rsidR="00E214D9" w:rsidRPr="00600124" w14:paraId="2080CD3C"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0FB1DEEF" w14:textId="77777777" w:rsidR="00E214D9" w:rsidRPr="00600124" w:rsidRDefault="00E214D9" w:rsidP="007B2F0F">
            <w:pPr>
              <w:spacing w:after="0"/>
              <w:jc w:val="center"/>
              <w:rPr>
                <w:rFonts w:cs="Times New Roman"/>
                <w:sz w:val="20"/>
                <w:szCs w:val="20"/>
              </w:rPr>
            </w:pPr>
            <w:r w:rsidRPr="00600124">
              <w:rPr>
                <w:rFonts w:cs="Times New Roman"/>
                <w:sz w:val="20"/>
                <w:szCs w:val="20"/>
              </w:rPr>
              <w:t>1</w:t>
            </w:r>
          </w:p>
        </w:tc>
        <w:tc>
          <w:tcPr>
            <w:tcW w:w="5548" w:type="dxa"/>
          </w:tcPr>
          <w:p w14:paraId="35C22176"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Use of force, violence</w:t>
            </w:r>
          </w:p>
        </w:tc>
        <w:tc>
          <w:tcPr>
            <w:tcW w:w="2267" w:type="dxa"/>
          </w:tcPr>
          <w:p w14:paraId="738A6CE7"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27%</w:t>
            </w:r>
          </w:p>
        </w:tc>
      </w:tr>
      <w:tr w:rsidR="00E214D9" w:rsidRPr="00600124" w14:paraId="4BE477BE"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084E3F42" w14:textId="77777777" w:rsidR="00E214D9" w:rsidRPr="00600124" w:rsidRDefault="00E214D9" w:rsidP="007B2F0F">
            <w:pPr>
              <w:spacing w:after="0"/>
              <w:jc w:val="center"/>
              <w:rPr>
                <w:rFonts w:cs="Times New Roman"/>
                <w:sz w:val="20"/>
                <w:szCs w:val="20"/>
              </w:rPr>
            </w:pPr>
            <w:r w:rsidRPr="00600124">
              <w:rPr>
                <w:rFonts w:cs="Times New Roman"/>
                <w:sz w:val="20"/>
                <w:szCs w:val="20"/>
              </w:rPr>
              <w:t>2</w:t>
            </w:r>
          </w:p>
        </w:tc>
        <w:tc>
          <w:tcPr>
            <w:tcW w:w="5548" w:type="dxa"/>
          </w:tcPr>
          <w:p w14:paraId="3CDD6CE4"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Destruction of/damage to property; Sabotage</w:t>
            </w:r>
          </w:p>
        </w:tc>
        <w:tc>
          <w:tcPr>
            <w:tcW w:w="2267" w:type="dxa"/>
          </w:tcPr>
          <w:p w14:paraId="15A73D39"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68%</w:t>
            </w:r>
          </w:p>
        </w:tc>
      </w:tr>
      <w:tr w:rsidR="00E214D9" w:rsidRPr="00600124" w14:paraId="198A619F"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16D28B2B" w14:textId="77777777" w:rsidR="00E214D9" w:rsidRPr="00600124" w:rsidRDefault="00E214D9" w:rsidP="007B2F0F">
            <w:pPr>
              <w:spacing w:before="100" w:after="100"/>
              <w:jc w:val="center"/>
              <w:rPr>
                <w:rFonts w:cs="Times New Roman"/>
                <w:sz w:val="20"/>
                <w:szCs w:val="20"/>
              </w:rPr>
            </w:pPr>
            <w:r w:rsidRPr="00600124">
              <w:rPr>
                <w:rFonts w:cs="Times New Roman"/>
                <w:sz w:val="20"/>
                <w:szCs w:val="20"/>
              </w:rPr>
              <w:t>3</w:t>
            </w:r>
          </w:p>
        </w:tc>
        <w:tc>
          <w:tcPr>
            <w:tcW w:w="5548" w:type="dxa"/>
          </w:tcPr>
          <w:p w14:paraId="2631AD9D"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Destruction of/damage to environment; Destruction of/damage to natural resources</w:t>
            </w:r>
          </w:p>
        </w:tc>
        <w:tc>
          <w:tcPr>
            <w:tcW w:w="2267" w:type="dxa"/>
          </w:tcPr>
          <w:p w14:paraId="5ADE3454" w14:textId="77777777" w:rsidR="00E214D9" w:rsidRPr="00600124" w:rsidRDefault="00E214D9" w:rsidP="007B2F0F">
            <w:pPr>
              <w:spacing w:before="100" w:after="10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32%</w:t>
            </w:r>
          </w:p>
        </w:tc>
      </w:tr>
      <w:tr w:rsidR="00E214D9" w:rsidRPr="00600124" w14:paraId="784E721E"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6CCFC1D6" w14:textId="77777777" w:rsidR="00E214D9" w:rsidRPr="00600124" w:rsidRDefault="00E214D9" w:rsidP="007B2F0F">
            <w:pPr>
              <w:spacing w:after="0"/>
              <w:jc w:val="center"/>
              <w:rPr>
                <w:rFonts w:cs="Times New Roman"/>
                <w:sz w:val="20"/>
                <w:szCs w:val="20"/>
              </w:rPr>
            </w:pPr>
            <w:r w:rsidRPr="00600124">
              <w:rPr>
                <w:rFonts w:cs="Times New Roman"/>
                <w:sz w:val="20"/>
                <w:szCs w:val="20"/>
              </w:rPr>
              <w:t>4</w:t>
            </w:r>
          </w:p>
        </w:tc>
        <w:tc>
          <w:tcPr>
            <w:tcW w:w="5548" w:type="dxa"/>
          </w:tcPr>
          <w:p w14:paraId="794C2DF8"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Homicide; Physical injury</w:t>
            </w:r>
          </w:p>
        </w:tc>
        <w:tc>
          <w:tcPr>
            <w:tcW w:w="2267" w:type="dxa"/>
          </w:tcPr>
          <w:p w14:paraId="7A8C6D6A"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78%</w:t>
            </w:r>
          </w:p>
        </w:tc>
      </w:tr>
      <w:tr w:rsidR="00E214D9" w:rsidRPr="00600124" w14:paraId="6F177317"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747CD76A" w14:textId="77777777" w:rsidR="00E214D9" w:rsidRPr="00600124" w:rsidRDefault="00E214D9" w:rsidP="007B2F0F">
            <w:pPr>
              <w:spacing w:after="0"/>
              <w:jc w:val="center"/>
              <w:rPr>
                <w:rFonts w:cs="Times New Roman"/>
                <w:sz w:val="20"/>
                <w:szCs w:val="20"/>
              </w:rPr>
            </w:pPr>
            <w:r w:rsidRPr="00600124">
              <w:rPr>
                <w:rFonts w:cs="Times New Roman"/>
                <w:sz w:val="20"/>
                <w:szCs w:val="20"/>
              </w:rPr>
              <w:t>5</w:t>
            </w:r>
          </w:p>
        </w:tc>
        <w:tc>
          <w:tcPr>
            <w:tcW w:w="5548" w:type="dxa"/>
          </w:tcPr>
          <w:p w14:paraId="7460FAB6"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Fear; Terror; Anxiety</w:t>
            </w:r>
          </w:p>
        </w:tc>
        <w:tc>
          <w:tcPr>
            <w:tcW w:w="2267" w:type="dxa"/>
          </w:tcPr>
          <w:p w14:paraId="477F0609"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42%</w:t>
            </w:r>
          </w:p>
        </w:tc>
      </w:tr>
      <w:tr w:rsidR="00E214D9" w:rsidRPr="00600124" w14:paraId="1F5676C5"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71A721CE" w14:textId="77777777" w:rsidR="00E214D9" w:rsidRPr="00600124" w:rsidRDefault="00E214D9" w:rsidP="007B2F0F">
            <w:pPr>
              <w:spacing w:after="0"/>
              <w:jc w:val="center"/>
              <w:rPr>
                <w:rFonts w:cs="Times New Roman"/>
                <w:sz w:val="20"/>
                <w:szCs w:val="20"/>
              </w:rPr>
            </w:pPr>
            <w:r w:rsidRPr="00600124">
              <w:rPr>
                <w:rFonts w:cs="Times New Roman"/>
                <w:sz w:val="20"/>
                <w:szCs w:val="20"/>
              </w:rPr>
              <w:t>6</w:t>
            </w:r>
          </w:p>
        </w:tc>
        <w:tc>
          <w:tcPr>
            <w:tcW w:w="5548" w:type="dxa"/>
          </w:tcPr>
          <w:p w14:paraId="33C8BDC5"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Intimidation</w:t>
            </w:r>
          </w:p>
        </w:tc>
        <w:tc>
          <w:tcPr>
            <w:tcW w:w="2267" w:type="dxa"/>
          </w:tcPr>
          <w:p w14:paraId="3724F1A1"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61%</w:t>
            </w:r>
          </w:p>
        </w:tc>
      </w:tr>
      <w:tr w:rsidR="00E214D9" w:rsidRPr="00600124" w14:paraId="4211A9BA"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3172FC5" w14:textId="77777777" w:rsidR="00E214D9" w:rsidRPr="00600124" w:rsidRDefault="00E214D9" w:rsidP="007B2F0F">
            <w:pPr>
              <w:spacing w:after="0"/>
              <w:jc w:val="center"/>
              <w:rPr>
                <w:rFonts w:cs="Times New Roman"/>
                <w:sz w:val="20"/>
                <w:szCs w:val="20"/>
              </w:rPr>
            </w:pPr>
            <w:r w:rsidRPr="00600124">
              <w:rPr>
                <w:rFonts w:cs="Times New Roman"/>
                <w:sz w:val="20"/>
                <w:szCs w:val="20"/>
              </w:rPr>
              <w:t>7</w:t>
            </w:r>
          </w:p>
        </w:tc>
        <w:tc>
          <w:tcPr>
            <w:tcW w:w="5548" w:type="dxa"/>
          </w:tcPr>
          <w:p w14:paraId="3B9067FE"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Threatening</w:t>
            </w:r>
          </w:p>
        </w:tc>
        <w:tc>
          <w:tcPr>
            <w:tcW w:w="2267" w:type="dxa"/>
          </w:tcPr>
          <w:p w14:paraId="2DF2436E"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53%</w:t>
            </w:r>
          </w:p>
        </w:tc>
      </w:tr>
      <w:tr w:rsidR="00E214D9" w:rsidRPr="00600124" w14:paraId="55A65EEE"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3AA92B73" w14:textId="77777777" w:rsidR="00E214D9" w:rsidRPr="00600124" w:rsidRDefault="00E214D9" w:rsidP="007B2F0F">
            <w:pPr>
              <w:spacing w:after="0"/>
              <w:jc w:val="center"/>
              <w:rPr>
                <w:rFonts w:cs="Times New Roman"/>
                <w:sz w:val="20"/>
                <w:szCs w:val="20"/>
              </w:rPr>
            </w:pPr>
            <w:r w:rsidRPr="00600124">
              <w:rPr>
                <w:rFonts w:cs="Times New Roman"/>
                <w:sz w:val="20"/>
                <w:szCs w:val="20"/>
              </w:rPr>
              <w:t>8</w:t>
            </w:r>
          </w:p>
        </w:tc>
        <w:tc>
          <w:tcPr>
            <w:tcW w:w="5548" w:type="dxa"/>
          </w:tcPr>
          <w:p w14:paraId="06F49D51"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Extranormal</w:t>
            </w:r>
          </w:p>
        </w:tc>
        <w:tc>
          <w:tcPr>
            <w:tcW w:w="2267" w:type="dxa"/>
          </w:tcPr>
          <w:p w14:paraId="7143EB4A"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66%</w:t>
            </w:r>
          </w:p>
        </w:tc>
      </w:tr>
      <w:tr w:rsidR="00E214D9" w:rsidRPr="00600124" w14:paraId="6AF23C0B"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6A94C3C6" w14:textId="77777777" w:rsidR="00E214D9" w:rsidRPr="00600124" w:rsidRDefault="00E214D9" w:rsidP="007B2F0F">
            <w:pPr>
              <w:spacing w:after="0"/>
              <w:jc w:val="center"/>
              <w:rPr>
                <w:rFonts w:cs="Times New Roman"/>
                <w:sz w:val="20"/>
                <w:szCs w:val="20"/>
              </w:rPr>
            </w:pPr>
            <w:r w:rsidRPr="00600124">
              <w:rPr>
                <w:rFonts w:cs="Times New Roman"/>
                <w:sz w:val="20"/>
                <w:szCs w:val="20"/>
              </w:rPr>
              <w:t>9</w:t>
            </w:r>
          </w:p>
        </w:tc>
        <w:tc>
          <w:tcPr>
            <w:tcW w:w="5548" w:type="dxa"/>
          </w:tcPr>
          <w:p w14:paraId="682771AC"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Coercion; Extortion</w:t>
            </w:r>
          </w:p>
        </w:tc>
        <w:tc>
          <w:tcPr>
            <w:tcW w:w="2267" w:type="dxa"/>
          </w:tcPr>
          <w:p w14:paraId="4C40BF28"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21%</w:t>
            </w:r>
          </w:p>
        </w:tc>
      </w:tr>
      <w:tr w:rsidR="00E214D9" w:rsidRPr="00600124" w14:paraId="1347FC79"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69F65C04" w14:textId="77777777" w:rsidR="00E214D9" w:rsidRPr="00600124" w:rsidRDefault="00E214D9" w:rsidP="007B2F0F">
            <w:pPr>
              <w:spacing w:after="0"/>
              <w:jc w:val="center"/>
              <w:rPr>
                <w:rFonts w:cs="Times New Roman"/>
                <w:sz w:val="20"/>
                <w:szCs w:val="20"/>
              </w:rPr>
            </w:pPr>
            <w:r w:rsidRPr="00600124">
              <w:rPr>
                <w:rFonts w:cs="Times New Roman"/>
                <w:sz w:val="20"/>
                <w:szCs w:val="20"/>
              </w:rPr>
              <w:t>10</w:t>
            </w:r>
          </w:p>
        </w:tc>
        <w:tc>
          <w:tcPr>
            <w:tcW w:w="5548" w:type="dxa"/>
          </w:tcPr>
          <w:p w14:paraId="2B35068E"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Random; Arbitrary; Indiscriminate</w:t>
            </w:r>
          </w:p>
        </w:tc>
        <w:tc>
          <w:tcPr>
            <w:tcW w:w="2267" w:type="dxa"/>
          </w:tcPr>
          <w:p w14:paraId="2C494E27"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w:t>
            </w:r>
          </w:p>
        </w:tc>
      </w:tr>
      <w:tr w:rsidR="00E214D9" w:rsidRPr="00600124" w14:paraId="0DDA1782"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4BAD5A50" w14:textId="77777777" w:rsidR="00E214D9" w:rsidRPr="00600124" w:rsidRDefault="00E214D9" w:rsidP="007B2F0F">
            <w:pPr>
              <w:spacing w:after="0"/>
              <w:jc w:val="center"/>
              <w:rPr>
                <w:rFonts w:cs="Times New Roman"/>
                <w:sz w:val="20"/>
                <w:szCs w:val="20"/>
              </w:rPr>
            </w:pPr>
            <w:r w:rsidRPr="00600124">
              <w:rPr>
                <w:rFonts w:cs="Times New Roman"/>
                <w:sz w:val="20"/>
                <w:szCs w:val="20"/>
              </w:rPr>
              <w:t>11</w:t>
            </w:r>
          </w:p>
        </w:tc>
        <w:tc>
          <w:tcPr>
            <w:tcW w:w="5548" w:type="dxa"/>
          </w:tcPr>
          <w:p w14:paraId="546E9D48"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Group; Association; Collective; Organization</w:t>
            </w:r>
          </w:p>
        </w:tc>
        <w:tc>
          <w:tcPr>
            <w:tcW w:w="2267" w:type="dxa"/>
          </w:tcPr>
          <w:p w14:paraId="3294B46A"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47%</w:t>
            </w:r>
          </w:p>
        </w:tc>
      </w:tr>
      <w:tr w:rsidR="00E214D9" w:rsidRPr="00600124" w14:paraId="33E957D2"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02C49745" w14:textId="77777777" w:rsidR="00E214D9" w:rsidRPr="00600124" w:rsidRDefault="00E214D9" w:rsidP="007B2F0F">
            <w:pPr>
              <w:spacing w:after="0"/>
              <w:jc w:val="center"/>
              <w:rPr>
                <w:rFonts w:cs="Times New Roman"/>
                <w:sz w:val="20"/>
                <w:szCs w:val="20"/>
              </w:rPr>
            </w:pPr>
            <w:r w:rsidRPr="00600124">
              <w:rPr>
                <w:rFonts w:cs="Times New Roman"/>
                <w:sz w:val="20"/>
                <w:szCs w:val="20"/>
              </w:rPr>
              <w:t>12</w:t>
            </w:r>
          </w:p>
        </w:tc>
        <w:tc>
          <w:tcPr>
            <w:tcW w:w="5548" w:type="dxa"/>
          </w:tcPr>
          <w:p w14:paraId="4AEBD8A7"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Preparation; Premeditation; Planning; Organizing</w:t>
            </w:r>
          </w:p>
        </w:tc>
        <w:tc>
          <w:tcPr>
            <w:tcW w:w="2267" w:type="dxa"/>
          </w:tcPr>
          <w:p w14:paraId="54E36D6A"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31%</w:t>
            </w:r>
          </w:p>
        </w:tc>
      </w:tr>
      <w:tr w:rsidR="00E214D9" w:rsidRPr="00600124" w14:paraId="6D858E9B"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19DAE4BD" w14:textId="77777777" w:rsidR="00E214D9" w:rsidRPr="00600124" w:rsidRDefault="00E214D9" w:rsidP="007B2F0F">
            <w:pPr>
              <w:spacing w:after="0"/>
              <w:jc w:val="center"/>
              <w:rPr>
                <w:rFonts w:cs="Times New Roman"/>
                <w:sz w:val="20"/>
                <w:szCs w:val="20"/>
              </w:rPr>
            </w:pPr>
            <w:r w:rsidRPr="00600124">
              <w:rPr>
                <w:rFonts w:cs="Times New Roman"/>
                <w:sz w:val="20"/>
                <w:szCs w:val="20"/>
              </w:rPr>
              <w:t>13</w:t>
            </w:r>
          </w:p>
        </w:tc>
        <w:tc>
          <w:tcPr>
            <w:tcW w:w="5548" w:type="dxa"/>
          </w:tcPr>
          <w:p w14:paraId="7D85EB24"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Conceal; Covert</w:t>
            </w:r>
          </w:p>
        </w:tc>
        <w:tc>
          <w:tcPr>
            <w:tcW w:w="2267" w:type="dxa"/>
          </w:tcPr>
          <w:p w14:paraId="159AC508"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w:t>
            </w:r>
          </w:p>
        </w:tc>
      </w:tr>
      <w:tr w:rsidR="00E214D9" w:rsidRPr="00600124" w14:paraId="11580019"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37BCD42F" w14:textId="77777777" w:rsidR="00E214D9" w:rsidRPr="00600124" w:rsidRDefault="00E214D9" w:rsidP="007B2F0F">
            <w:pPr>
              <w:spacing w:after="0"/>
              <w:jc w:val="center"/>
              <w:rPr>
                <w:rFonts w:cs="Times New Roman"/>
                <w:sz w:val="20"/>
                <w:szCs w:val="20"/>
              </w:rPr>
            </w:pPr>
            <w:r w:rsidRPr="00600124">
              <w:rPr>
                <w:rFonts w:cs="Times New Roman"/>
                <w:sz w:val="20"/>
                <w:szCs w:val="20"/>
              </w:rPr>
              <w:t>14</w:t>
            </w:r>
          </w:p>
        </w:tc>
        <w:tc>
          <w:tcPr>
            <w:tcW w:w="5548" w:type="dxa"/>
          </w:tcPr>
          <w:p w14:paraId="6224DCEC"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Intention; Deliberate action</w:t>
            </w:r>
          </w:p>
        </w:tc>
        <w:tc>
          <w:tcPr>
            <w:tcW w:w="2267" w:type="dxa"/>
          </w:tcPr>
          <w:p w14:paraId="3B3C3F5F"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74%</w:t>
            </w:r>
          </w:p>
        </w:tc>
      </w:tr>
      <w:tr w:rsidR="00E214D9" w:rsidRPr="00600124" w14:paraId="4B48AE54"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780877BA" w14:textId="77777777" w:rsidR="00E214D9" w:rsidRPr="00600124" w:rsidRDefault="00E214D9" w:rsidP="007B2F0F">
            <w:pPr>
              <w:spacing w:before="100" w:after="100"/>
              <w:jc w:val="center"/>
              <w:rPr>
                <w:rFonts w:cs="Times New Roman"/>
                <w:sz w:val="20"/>
                <w:szCs w:val="20"/>
              </w:rPr>
            </w:pPr>
            <w:r w:rsidRPr="00600124">
              <w:rPr>
                <w:rFonts w:cs="Times New Roman"/>
                <w:sz w:val="20"/>
                <w:szCs w:val="20"/>
              </w:rPr>
              <w:t>15</w:t>
            </w:r>
          </w:p>
        </w:tc>
        <w:tc>
          <w:tcPr>
            <w:tcW w:w="5548" w:type="dxa"/>
          </w:tcPr>
          <w:p w14:paraId="77E600B2"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Influence the taking of action, of lack thereof; Influence decision making</w:t>
            </w:r>
          </w:p>
        </w:tc>
        <w:tc>
          <w:tcPr>
            <w:tcW w:w="2267" w:type="dxa"/>
          </w:tcPr>
          <w:p w14:paraId="4DB59CAE" w14:textId="77777777" w:rsidR="00E214D9" w:rsidRPr="00600124" w:rsidRDefault="00E214D9" w:rsidP="007B2F0F">
            <w:pPr>
              <w:spacing w:before="100" w:after="10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66%</w:t>
            </w:r>
          </w:p>
        </w:tc>
      </w:tr>
      <w:tr w:rsidR="00E214D9" w:rsidRPr="00600124" w14:paraId="06BC6A1C"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3E54B4AB" w14:textId="77777777" w:rsidR="00E214D9" w:rsidRPr="00600124" w:rsidRDefault="00E214D9" w:rsidP="007B2F0F">
            <w:pPr>
              <w:spacing w:after="0"/>
              <w:jc w:val="center"/>
              <w:rPr>
                <w:rFonts w:cs="Times New Roman"/>
                <w:sz w:val="20"/>
                <w:szCs w:val="20"/>
              </w:rPr>
            </w:pPr>
            <w:r w:rsidRPr="00600124">
              <w:rPr>
                <w:rFonts w:cs="Times New Roman"/>
                <w:sz w:val="20"/>
                <w:szCs w:val="20"/>
              </w:rPr>
              <w:t>16</w:t>
            </w:r>
          </w:p>
        </w:tc>
        <w:tc>
          <w:tcPr>
            <w:tcW w:w="5548" w:type="dxa"/>
          </w:tcPr>
          <w:p w14:paraId="52A3CA07"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Political</w:t>
            </w:r>
          </w:p>
        </w:tc>
        <w:tc>
          <w:tcPr>
            <w:tcW w:w="2267" w:type="dxa"/>
          </w:tcPr>
          <w:p w14:paraId="708A5A70"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47%</w:t>
            </w:r>
          </w:p>
        </w:tc>
      </w:tr>
      <w:tr w:rsidR="00E214D9" w:rsidRPr="00600124" w14:paraId="5AB63C76"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053F6B8C" w14:textId="77777777" w:rsidR="00E214D9" w:rsidRPr="00600124" w:rsidRDefault="00E214D9" w:rsidP="007B2F0F">
            <w:pPr>
              <w:spacing w:after="0"/>
              <w:jc w:val="center"/>
              <w:rPr>
                <w:rFonts w:cs="Times New Roman"/>
                <w:sz w:val="20"/>
                <w:szCs w:val="20"/>
              </w:rPr>
            </w:pPr>
            <w:r w:rsidRPr="00600124">
              <w:rPr>
                <w:rFonts w:cs="Times New Roman"/>
                <w:sz w:val="20"/>
                <w:szCs w:val="20"/>
              </w:rPr>
              <w:t>17</w:t>
            </w:r>
          </w:p>
        </w:tc>
        <w:tc>
          <w:tcPr>
            <w:tcW w:w="5548" w:type="dxa"/>
          </w:tcPr>
          <w:p w14:paraId="6D0D9640"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Religious</w:t>
            </w:r>
          </w:p>
        </w:tc>
        <w:tc>
          <w:tcPr>
            <w:tcW w:w="2267" w:type="dxa"/>
          </w:tcPr>
          <w:p w14:paraId="3D49FE86"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22%</w:t>
            </w:r>
          </w:p>
        </w:tc>
      </w:tr>
      <w:tr w:rsidR="00E214D9" w:rsidRPr="00600124" w14:paraId="07EFDF66"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1C3A5648" w14:textId="77777777" w:rsidR="00E214D9" w:rsidRPr="00600124" w:rsidRDefault="00E214D9" w:rsidP="007B2F0F">
            <w:pPr>
              <w:spacing w:after="0"/>
              <w:jc w:val="center"/>
              <w:rPr>
                <w:rFonts w:cs="Times New Roman"/>
                <w:sz w:val="20"/>
                <w:szCs w:val="20"/>
              </w:rPr>
            </w:pPr>
            <w:r w:rsidRPr="00600124">
              <w:rPr>
                <w:rFonts w:cs="Times New Roman"/>
                <w:sz w:val="20"/>
                <w:szCs w:val="20"/>
              </w:rPr>
              <w:t>18</w:t>
            </w:r>
          </w:p>
        </w:tc>
        <w:tc>
          <w:tcPr>
            <w:tcW w:w="5548" w:type="dxa"/>
          </w:tcPr>
          <w:p w14:paraId="050CD2B7"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Ideological</w:t>
            </w:r>
          </w:p>
        </w:tc>
        <w:tc>
          <w:tcPr>
            <w:tcW w:w="2267" w:type="dxa"/>
          </w:tcPr>
          <w:p w14:paraId="57FC5FB1"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18%</w:t>
            </w:r>
          </w:p>
        </w:tc>
      </w:tr>
      <w:tr w:rsidR="00E214D9" w:rsidRPr="00600124" w14:paraId="2AA62AA4"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1859F438" w14:textId="77777777" w:rsidR="00E214D9" w:rsidRPr="00600124" w:rsidRDefault="00E214D9" w:rsidP="007B2F0F">
            <w:pPr>
              <w:spacing w:after="0"/>
              <w:jc w:val="center"/>
              <w:rPr>
                <w:rFonts w:cs="Times New Roman"/>
                <w:sz w:val="20"/>
                <w:szCs w:val="20"/>
              </w:rPr>
            </w:pPr>
            <w:r w:rsidRPr="00600124">
              <w:rPr>
                <w:rFonts w:cs="Times New Roman"/>
                <w:sz w:val="20"/>
                <w:szCs w:val="20"/>
              </w:rPr>
              <w:t>19</w:t>
            </w:r>
          </w:p>
        </w:tc>
        <w:tc>
          <w:tcPr>
            <w:tcW w:w="5548" w:type="dxa"/>
          </w:tcPr>
          <w:p w14:paraId="4DFAC99B"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Promotion; Propaganda</w:t>
            </w:r>
          </w:p>
        </w:tc>
        <w:tc>
          <w:tcPr>
            <w:tcW w:w="2267" w:type="dxa"/>
          </w:tcPr>
          <w:p w14:paraId="2915212B"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19%</w:t>
            </w:r>
          </w:p>
        </w:tc>
      </w:tr>
      <w:tr w:rsidR="00E214D9" w:rsidRPr="00600124" w14:paraId="64EE1C2D"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43BE9C03" w14:textId="77777777" w:rsidR="00E214D9" w:rsidRPr="00600124" w:rsidRDefault="00E214D9" w:rsidP="007B2F0F">
            <w:pPr>
              <w:spacing w:after="0"/>
              <w:jc w:val="center"/>
              <w:rPr>
                <w:rFonts w:cs="Times New Roman"/>
                <w:sz w:val="20"/>
                <w:szCs w:val="20"/>
              </w:rPr>
            </w:pPr>
            <w:r w:rsidRPr="00600124">
              <w:rPr>
                <w:rFonts w:cs="Times New Roman"/>
                <w:sz w:val="20"/>
                <w:szCs w:val="20"/>
              </w:rPr>
              <w:t>20</w:t>
            </w:r>
          </w:p>
        </w:tc>
        <w:tc>
          <w:tcPr>
            <w:tcW w:w="5548" w:type="dxa"/>
          </w:tcPr>
          <w:p w14:paraId="0273EF0B" w14:textId="35776F90"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Incitement; Provocation</w:t>
            </w:r>
          </w:p>
        </w:tc>
        <w:tc>
          <w:tcPr>
            <w:tcW w:w="2267" w:type="dxa"/>
          </w:tcPr>
          <w:p w14:paraId="34A62534"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26%</w:t>
            </w:r>
          </w:p>
        </w:tc>
      </w:tr>
      <w:tr w:rsidR="00E214D9" w:rsidRPr="00600124" w14:paraId="1CDED15A"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1DBBC47D" w14:textId="77777777" w:rsidR="00E214D9" w:rsidRPr="00600124" w:rsidRDefault="00E214D9" w:rsidP="007B2F0F">
            <w:pPr>
              <w:spacing w:after="0"/>
              <w:jc w:val="center"/>
              <w:rPr>
                <w:rFonts w:cs="Times New Roman"/>
                <w:sz w:val="20"/>
                <w:szCs w:val="20"/>
              </w:rPr>
            </w:pPr>
            <w:r w:rsidRPr="00600124">
              <w:rPr>
                <w:rFonts w:cs="Times New Roman"/>
                <w:sz w:val="20"/>
                <w:szCs w:val="20"/>
              </w:rPr>
              <w:t>21</w:t>
            </w:r>
          </w:p>
        </w:tc>
        <w:tc>
          <w:tcPr>
            <w:tcW w:w="5548" w:type="dxa"/>
          </w:tcPr>
          <w:p w14:paraId="476DB698"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Criminal; Unlawful</w:t>
            </w:r>
          </w:p>
        </w:tc>
        <w:tc>
          <w:tcPr>
            <w:tcW w:w="2267" w:type="dxa"/>
          </w:tcPr>
          <w:p w14:paraId="5702AE1F"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55%</w:t>
            </w:r>
          </w:p>
        </w:tc>
      </w:tr>
      <w:tr w:rsidR="00E214D9" w:rsidRPr="00600124" w14:paraId="3020C91D"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2B12275D" w14:textId="77777777" w:rsidR="00E214D9" w:rsidRPr="00600124" w:rsidRDefault="00E214D9" w:rsidP="007B2F0F">
            <w:pPr>
              <w:spacing w:after="0"/>
              <w:jc w:val="center"/>
              <w:rPr>
                <w:rFonts w:cs="Times New Roman"/>
                <w:sz w:val="20"/>
                <w:szCs w:val="20"/>
              </w:rPr>
            </w:pPr>
            <w:r w:rsidRPr="00600124">
              <w:rPr>
                <w:rFonts w:cs="Times New Roman"/>
                <w:sz w:val="20"/>
                <w:szCs w:val="20"/>
              </w:rPr>
              <w:t>22</w:t>
            </w:r>
          </w:p>
        </w:tc>
        <w:tc>
          <w:tcPr>
            <w:tcW w:w="5548" w:type="dxa"/>
          </w:tcPr>
          <w:p w14:paraId="727CE111"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Symbolism</w:t>
            </w:r>
          </w:p>
        </w:tc>
        <w:tc>
          <w:tcPr>
            <w:tcW w:w="2267" w:type="dxa"/>
          </w:tcPr>
          <w:p w14:paraId="3BD3318D"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3%</w:t>
            </w:r>
          </w:p>
        </w:tc>
      </w:tr>
      <w:tr w:rsidR="00E214D9" w:rsidRPr="00600124" w14:paraId="0264BAE0"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74D01DAC" w14:textId="77777777" w:rsidR="00E214D9" w:rsidRPr="00600124" w:rsidRDefault="00E214D9" w:rsidP="007B2F0F">
            <w:pPr>
              <w:spacing w:after="0"/>
              <w:jc w:val="center"/>
              <w:rPr>
                <w:rFonts w:cs="Times New Roman"/>
                <w:sz w:val="20"/>
                <w:szCs w:val="20"/>
              </w:rPr>
            </w:pPr>
            <w:r w:rsidRPr="00600124">
              <w:rPr>
                <w:rFonts w:cs="Times New Roman"/>
                <w:sz w:val="20"/>
                <w:szCs w:val="20"/>
              </w:rPr>
              <w:t>23</w:t>
            </w:r>
          </w:p>
        </w:tc>
        <w:tc>
          <w:tcPr>
            <w:tcW w:w="5548" w:type="dxa"/>
          </w:tcPr>
          <w:p w14:paraId="6F0F3BE7"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Security</w:t>
            </w:r>
          </w:p>
        </w:tc>
        <w:tc>
          <w:tcPr>
            <w:tcW w:w="2267" w:type="dxa"/>
          </w:tcPr>
          <w:p w14:paraId="367A06D4"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37%</w:t>
            </w:r>
          </w:p>
        </w:tc>
      </w:tr>
      <w:tr w:rsidR="00E214D9" w:rsidRPr="00600124" w14:paraId="00943A3C"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6D61DE44" w14:textId="77777777" w:rsidR="00E214D9" w:rsidRPr="00600124" w:rsidRDefault="00E214D9" w:rsidP="007B2F0F">
            <w:pPr>
              <w:spacing w:after="0"/>
              <w:jc w:val="center"/>
              <w:rPr>
                <w:rFonts w:cs="Times New Roman"/>
                <w:sz w:val="20"/>
                <w:szCs w:val="20"/>
              </w:rPr>
            </w:pPr>
            <w:r w:rsidRPr="00600124">
              <w:rPr>
                <w:rFonts w:cs="Times New Roman"/>
                <w:sz w:val="20"/>
                <w:szCs w:val="20"/>
              </w:rPr>
              <w:t>24</w:t>
            </w:r>
          </w:p>
        </w:tc>
        <w:tc>
          <w:tcPr>
            <w:tcW w:w="5548" w:type="dxa"/>
          </w:tcPr>
          <w:p w14:paraId="5E98CE11"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Sovereignty; Territorial integrity; National integrity</w:t>
            </w:r>
          </w:p>
        </w:tc>
        <w:tc>
          <w:tcPr>
            <w:tcW w:w="2267" w:type="dxa"/>
          </w:tcPr>
          <w:p w14:paraId="27263A38"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8%</w:t>
            </w:r>
          </w:p>
        </w:tc>
      </w:tr>
      <w:tr w:rsidR="00E214D9" w:rsidRPr="00600124" w14:paraId="36ADFB2B"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18AB2A3" w14:textId="77777777" w:rsidR="00E214D9" w:rsidRPr="00600124" w:rsidRDefault="00E214D9" w:rsidP="007B2F0F">
            <w:pPr>
              <w:spacing w:after="0"/>
              <w:jc w:val="center"/>
              <w:rPr>
                <w:rFonts w:cs="Times New Roman"/>
                <w:sz w:val="20"/>
                <w:szCs w:val="20"/>
              </w:rPr>
            </w:pPr>
            <w:r w:rsidRPr="00600124">
              <w:rPr>
                <w:rFonts w:cs="Times New Roman"/>
                <w:sz w:val="20"/>
                <w:szCs w:val="20"/>
              </w:rPr>
              <w:t>25</w:t>
            </w:r>
          </w:p>
        </w:tc>
        <w:tc>
          <w:tcPr>
            <w:tcW w:w="5548" w:type="dxa"/>
          </w:tcPr>
          <w:p w14:paraId="50F402D0"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Economic; Financial</w:t>
            </w:r>
          </w:p>
        </w:tc>
        <w:tc>
          <w:tcPr>
            <w:tcW w:w="2267" w:type="dxa"/>
          </w:tcPr>
          <w:p w14:paraId="3C1CC492"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31%</w:t>
            </w:r>
          </w:p>
        </w:tc>
      </w:tr>
      <w:tr w:rsidR="00E214D9" w:rsidRPr="00600124" w14:paraId="631AD3E7"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4B896A33" w14:textId="77777777" w:rsidR="00E214D9" w:rsidRPr="00600124" w:rsidRDefault="00E214D9" w:rsidP="007B2F0F">
            <w:pPr>
              <w:spacing w:after="0"/>
              <w:jc w:val="center"/>
              <w:rPr>
                <w:rFonts w:cs="Times New Roman"/>
                <w:sz w:val="20"/>
                <w:szCs w:val="20"/>
              </w:rPr>
            </w:pPr>
            <w:r w:rsidRPr="00600124">
              <w:rPr>
                <w:rFonts w:cs="Times New Roman"/>
                <w:sz w:val="20"/>
                <w:szCs w:val="20"/>
              </w:rPr>
              <w:t>26</w:t>
            </w:r>
          </w:p>
        </w:tc>
        <w:tc>
          <w:tcPr>
            <w:tcW w:w="5548" w:type="dxa"/>
          </w:tcPr>
          <w:p w14:paraId="71BC0E9A"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State; National</w:t>
            </w:r>
          </w:p>
        </w:tc>
        <w:tc>
          <w:tcPr>
            <w:tcW w:w="2267" w:type="dxa"/>
          </w:tcPr>
          <w:p w14:paraId="56890F3F" w14:textId="77777777" w:rsidR="00E214D9" w:rsidRPr="00600124" w:rsidRDefault="00E214D9" w:rsidP="007B2F0F">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68%</w:t>
            </w:r>
          </w:p>
        </w:tc>
      </w:tr>
      <w:tr w:rsidR="00E214D9" w:rsidRPr="00600124" w14:paraId="79B80EC5" w14:textId="77777777" w:rsidTr="007B2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174033F7" w14:textId="77777777" w:rsidR="00E214D9" w:rsidRPr="00600124" w:rsidRDefault="00E214D9" w:rsidP="007B2F0F">
            <w:pPr>
              <w:spacing w:after="0"/>
              <w:jc w:val="center"/>
              <w:rPr>
                <w:rFonts w:cs="Times New Roman"/>
                <w:sz w:val="20"/>
                <w:szCs w:val="20"/>
              </w:rPr>
            </w:pPr>
            <w:r w:rsidRPr="00600124">
              <w:rPr>
                <w:rFonts w:cs="Times New Roman"/>
                <w:sz w:val="20"/>
                <w:szCs w:val="20"/>
              </w:rPr>
              <w:t>27</w:t>
            </w:r>
          </w:p>
        </w:tc>
        <w:tc>
          <w:tcPr>
            <w:tcW w:w="5548" w:type="dxa"/>
          </w:tcPr>
          <w:p w14:paraId="1516458D"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600124">
              <w:rPr>
                <w:rFonts w:cs="Times New Roman"/>
                <w:sz w:val="20"/>
                <w:szCs w:val="20"/>
              </w:rPr>
              <w:t>Public; General population</w:t>
            </w:r>
          </w:p>
        </w:tc>
        <w:tc>
          <w:tcPr>
            <w:tcW w:w="2267" w:type="dxa"/>
          </w:tcPr>
          <w:p w14:paraId="1276FC41" w14:textId="77777777" w:rsidR="00E214D9" w:rsidRPr="00600124" w:rsidRDefault="00E214D9" w:rsidP="007B2F0F">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90%</w:t>
            </w:r>
          </w:p>
        </w:tc>
      </w:tr>
      <w:tr w:rsidR="00E214D9" w:rsidRPr="00600124" w14:paraId="55918E57" w14:textId="77777777" w:rsidTr="007B2F0F">
        <w:tc>
          <w:tcPr>
            <w:cnfStyle w:val="001000000000" w:firstRow="0" w:lastRow="0" w:firstColumn="1" w:lastColumn="0" w:oddVBand="0" w:evenVBand="0" w:oddHBand="0" w:evenHBand="0" w:firstRowFirstColumn="0" w:firstRowLastColumn="0" w:lastRowFirstColumn="0" w:lastRowLastColumn="0"/>
            <w:tcW w:w="1535" w:type="dxa"/>
          </w:tcPr>
          <w:p w14:paraId="251B8E82" w14:textId="77777777" w:rsidR="00E214D9" w:rsidRPr="00600124" w:rsidRDefault="00E214D9" w:rsidP="007B2F0F">
            <w:pPr>
              <w:spacing w:after="100"/>
              <w:jc w:val="center"/>
              <w:rPr>
                <w:rFonts w:cs="Times New Roman"/>
                <w:sz w:val="20"/>
                <w:szCs w:val="20"/>
              </w:rPr>
            </w:pPr>
            <w:r w:rsidRPr="00600124">
              <w:rPr>
                <w:rFonts w:cs="Times New Roman"/>
                <w:sz w:val="20"/>
                <w:szCs w:val="20"/>
              </w:rPr>
              <w:t>28</w:t>
            </w:r>
          </w:p>
        </w:tc>
        <w:tc>
          <w:tcPr>
            <w:tcW w:w="5548" w:type="dxa"/>
          </w:tcPr>
          <w:p w14:paraId="2D36DD48" w14:textId="26DDD2D2" w:rsidR="00E214D9" w:rsidRPr="00600124" w:rsidRDefault="00E214D9" w:rsidP="007B2F0F">
            <w:pPr>
              <w:keepNext/>
              <w:spacing w:after="100"/>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600124">
              <w:rPr>
                <w:rFonts w:cs="Times New Roman"/>
                <w:sz w:val="20"/>
                <w:szCs w:val="20"/>
              </w:rPr>
              <w:t>Civilians; Non-combatants</w:t>
            </w:r>
          </w:p>
        </w:tc>
        <w:tc>
          <w:tcPr>
            <w:tcW w:w="2267" w:type="dxa"/>
          </w:tcPr>
          <w:p w14:paraId="2CD3D4A5" w14:textId="77777777" w:rsidR="00E214D9" w:rsidRPr="00600124" w:rsidRDefault="00E214D9" w:rsidP="007B2F0F">
            <w:pPr>
              <w:keepNext/>
              <w:spacing w:after="100"/>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14%</w:t>
            </w:r>
          </w:p>
        </w:tc>
      </w:tr>
    </w:tbl>
    <w:p w14:paraId="4C0E759F" w14:textId="77777777" w:rsidR="00E214D9" w:rsidRDefault="00E214D9" w:rsidP="00E214D9">
      <w:pPr>
        <w:rPr>
          <w:rFonts w:cs="Times New Roman"/>
          <w:sz w:val="24"/>
        </w:rPr>
      </w:pPr>
    </w:p>
    <w:p w14:paraId="61C342AE" w14:textId="26ED7A7D" w:rsidR="00E214D9" w:rsidRDefault="00E214D9" w:rsidP="00E214D9">
      <w:pPr>
        <w:rPr>
          <w:rFonts w:cs="Times New Roman"/>
          <w:sz w:val="24"/>
        </w:rPr>
      </w:pPr>
      <w:r>
        <w:rPr>
          <w:noProof/>
        </w:rPr>
        <mc:AlternateContent>
          <mc:Choice Requires="wps">
            <w:drawing>
              <wp:anchor distT="0" distB="0" distL="114300" distR="114300" simplePos="0" relativeHeight="251688960" behindDoc="0" locked="0" layoutInCell="1" allowOverlap="1" wp14:anchorId="418342B5" wp14:editId="4E6120F1">
                <wp:simplePos x="0" y="0"/>
                <wp:positionH relativeFrom="column">
                  <wp:posOffset>11430</wp:posOffset>
                </wp:positionH>
                <wp:positionV relativeFrom="paragraph">
                  <wp:posOffset>7316470</wp:posOffset>
                </wp:positionV>
                <wp:extent cx="5408002" cy="635"/>
                <wp:effectExtent l="0" t="0" r="2540" b="3810"/>
                <wp:wrapNone/>
                <wp:docPr id="234867255" name="Text Box 1"/>
                <wp:cNvGraphicFramePr/>
                <a:graphic xmlns:a="http://schemas.openxmlformats.org/drawingml/2006/main">
                  <a:graphicData uri="http://schemas.microsoft.com/office/word/2010/wordprocessingShape">
                    <wps:wsp>
                      <wps:cNvSpPr txBox="1"/>
                      <wps:spPr>
                        <a:xfrm>
                          <a:off x="0" y="0"/>
                          <a:ext cx="5408002" cy="635"/>
                        </a:xfrm>
                        <a:prstGeom prst="rect">
                          <a:avLst/>
                        </a:prstGeom>
                        <a:solidFill>
                          <a:prstClr val="white"/>
                        </a:solidFill>
                        <a:ln>
                          <a:noFill/>
                        </a:ln>
                      </wps:spPr>
                      <wps:txbx>
                        <w:txbxContent>
                          <w:p w14:paraId="4E1DC2A5" w14:textId="7EB286E7" w:rsidR="00E214D9" w:rsidRPr="00600124" w:rsidRDefault="00E214D9" w:rsidP="00E214D9">
                            <w:pPr>
                              <w:pStyle w:val="DissertationTableCaption"/>
                            </w:pPr>
                            <w:bookmarkStart w:id="154" w:name="_Toc168415277"/>
                            <w:bookmarkStart w:id="155" w:name="_Toc175413220"/>
                            <w:r>
                              <w:t>Table</w:t>
                            </w:r>
                            <w:r w:rsidRPr="00600124">
                              <w:t xml:space="preserve"> A5- </w:t>
                            </w:r>
                            <w:r>
                              <w:t>2</w:t>
                            </w:r>
                            <w:r w:rsidR="008D1375">
                              <w:t>:</w:t>
                            </w:r>
                            <w:r>
                              <w:rPr>
                                <w:u w:val="none"/>
                              </w:rPr>
                              <w:tab/>
                            </w:r>
                            <w:r w:rsidRPr="00E214D9">
                              <w:rPr>
                                <w:u w:val="none"/>
                              </w:rPr>
                              <w:t xml:space="preserve"> Recurrence Frequencies of Twenty-Eight (28) Definitional Elements Calculated for 192 International Policy Definitions of Terrorism</w:t>
                            </w:r>
                            <w:bookmarkEnd w:id="154"/>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 w14:anchorId="418342B5" id="_x0000_s1036" type="#_x0000_t202" style="position:absolute;margin-left:.9pt;margin-top:576.1pt;width:425.8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" stroked="f">
                <v:textbox style="mso-fit-shape-to-text:t" inset="0,0,0,0">
                  <w:txbxContent>
                    <w:p w14:paraId="4E1DC2A5" w14:textId="7EB286E7" w:rsidR="00E214D9" w:rsidRPr="00600124" w:rsidRDefault="00E214D9" w:rsidP="00E214D9">
                      <w:pPr>
                        <w:pStyle w:val="DissertationTableCaption"/>
                      </w:pPr>
                      <w:bookmarkStart w:id="177" w:name="_Toc168415277"/>
                      <w:bookmarkStart w:id="178" w:name="_Toc175413220"/>
                      <w:r>
                        <w:t>Table</w:t>
                      </w:r>
                      <w:r w:rsidRPr="00600124">
                        <w:t xml:space="preserve"> A5- </w:t>
                      </w:r>
                      <w:r>
                        <w:t>2</w:t>
                      </w:r>
                      <w:r w:rsidR="008D1375">
                        <w:t>:</w:t>
                      </w:r>
                      <w:r>
                        <w:rPr>
                          <w:u w:val="none"/>
                        </w:rPr>
                        <w:tab/>
                      </w:r>
                      <w:r w:rsidRPr="00E214D9">
                        <w:rPr>
                          <w:u w:val="none"/>
                        </w:rPr>
                        <w:t xml:space="preserve"> Recurrence Frequencies of Twenty-Eight (28) Definitional Elements Calculated for 192 International Policy Definitions of Terrorism</w:t>
                      </w:r>
                      <w:bookmarkEnd w:id="177"/>
                      <w:bookmarkEnd w:id="178"/>
                    </w:p>
                  </w:txbxContent>
                </v:textbox>
              </v:shape>
            </w:pict>
          </mc:Fallback>
        </mc:AlternateContent>
      </w:r>
    </w:p>
    <w:p w14:paraId="5CA8E2E4" w14:textId="13A1EA7A" w:rsidR="00D64A92" w:rsidRDefault="00D64A92" w:rsidP="00E214D9">
      <w:pPr>
        <w:pStyle w:val="DissertationSection1"/>
      </w:pPr>
      <w:bookmarkStart w:id="156" w:name="_Toc168411141"/>
      <w:bookmarkStart w:id="157" w:name="_Toc175413184"/>
      <w:r>
        <w:lastRenderedPageBreak/>
        <w:t>Appendix F</w:t>
      </w:r>
      <w:r w:rsidR="00AA657C">
        <w:t xml:space="preserve"> – </w:t>
      </w:r>
      <w:r w:rsidR="00AA657C" w:rsidRPr="00B218EA">
        <w:t>Visual Depiction of the Overlapping Classification of the 28 Identified Definitional Elements of Terrorism</w:t>
      </w:r>
      <w:bookmarkEnd w:id="156"/>
      <w:bookmarkEnd w:id="157"/>
    </w:p>
    <w:p w14:paraId="22EC30A0" w14:textId="05E1FB80" w:rsidR="00FB1F71" w:rsidRDefault="00FB1F71" w:rsidP="00E214D9">
      <w:pPr>
        <w:pStyle w:val="DissertationSection1"/>
      </w:pPr>
    </w:p>
    <w:p w14:paraId="683557A8" w14:textId="77777777" w:rsidR="00FB1F71" w:rsidRPr="00E214D9" w:rsidRDefault="00FB1F71" w:rsidP="00E214D9">
      <w:pPr>
        <w:pStyle w:val="DissertationSection1"/>
        <w:rPr>
          <w:rFonts w:eastAsia="Times New Roman"/>
        </w:rPr>
      </w:pPr>
    </w:p>
    <w:p w14:paraId="26C20128" w14:textId="34C222A4" w:rsidR="00D64A92" w:rsidRDefault="00FB1F71" w:rsidP="007B741B">
      <w:pPr>
        <w:rPr>
          <w:rFonts w:eastAsia="Times New Roman" w:cs="Times New Roman"/>
          <w:b/>
          <w:bCs/>
        </w:rPr>
      </w:pPr>
      <w:r>
        <w:rPr>
          <w:rFonts w:cs="Times New Roman"/>
          <w:b/>
          <w:bCs/>
          <w:noProof/>
          <w:sz w:val="24"/>
        </w:rPr>
        <mc:AlternateContent>
          <mc:Choice Requires="wps">
            <w:drawing>
              <wp:anchor distT="0" distB="0" distL="114300" distR="114300" simplePos="0" relativeHeight="251691008" behindDoc="0" locked="0" layoutInCell="1" allowOverlap="1" wp14:anchorId="4AC45305" wp14:editId="40EAC4E5">
                <wp:simplePos x="0" y="0"/>
                <wp:positionH relativeFrom="column">
                  <wp:posOffset>3810</wp:posOffset>
                </wp:positionH>
                <wp:positionV relativeFrom="paragraph">
                  <wp:posOffset>4501515</wp:posOffset>
                </wp:positionV>
                <wp:extent cx="5432425" cy="2044700"/>
                <wp:effectExtent l="0" t="0" r="3175" b="0"/>
                <wp:wrapNone/>
                <wp:docPr id="1586706561" name="Text Box 1586706561"/>
                <wp:cNvGraphicFramePr/>
                <a:graphic xmlns:a="http://schemas.openxmlformats.org/drawingml/2006/main">
                  <a:graphicData uri="http://schemas.microsoft.com/office/word/2010/wordprocessingShape">
                    <wps:wsp>
                      <wps:cNvSpPr txBox="1"/>
                      <wps:spPr>
                        <a:xfrm>
                          <a:off x="0" y="0"/>
                          <a:ext cx="5432425" cy="2044700"/>
                        </a:xfrm>
                        <a:prstGeom prst="rect">
                          <a:avLst/>
                        </a:prstGeom>
                        <a:solidFill>
                          <a:schemeClr val="lt1"/>
                        </a:solidFill>
                        <a:ln w="6350">
                          <a:noFill/>
                        </a:ln>
                      </wps:spPr>
                      <wps:txbx>
                        <w:txbxContent>
                          <w:p w14:paraId="3056D940" w14:textId="21EE39D7" w:rsidR="00FB1F71" w:rsidRPr="00FB1F71" w:rsidRDefault="00FB1F71" w:rsidP="00FB1F71">
                            <w:pPr>
                              <w:pStyle w:val="DissertationFigureCaption"/>
                              <w:rPr>
                                <w:u w:val="none"/>
                              </w:rPr>
                            </w:pPr>
                            <w:bookmarkStart w:id="158" w:name="_Toc168415571"/>
                            <w:bookmarkStart w:id="159" w:name="_Toc175413253"/>
                            <w:r w:rsidRPr="00F05390">
                              <w:t>Fig</w:t>
                            </w:r>
                            <w:r>
                              <w:t>ure</w:t>
                            </w:r>
                            <w:r w:rsidRPr="00F05390">
                              <w:t xml:space="preserve"> A6-</w:t>
                            </w:r>
                            <w:r>
                              <w:t xml:space="preserve"> </w:t>
                            </w:r>
                            <w:r w:rsidRPr="00F05390">
                              <w:t>1</w:t>
                            </w:r>
                            <w:r w:rsidR="008D1375">
                              <w:t>:</w:t>
                            </w:r>
                            <w:r>
                              <w:rPr>
                                <w:u w:val="none"/>
                              </w:rPr>
                              <w:tab/>
                            </w:r>
                            <w:r w:rsidRPr="00FB1F71">
                              <w:rPr>
                                <w:u w:val="none"/>
                              </w:rPr>
                              <w:t xml:space="preserve"> Venn Diagram Visually Depicting How Twenty-Eight (28) Definitional Elements of Terrorism Manifest in the Context of Perpetrated Terrorist Activity</w:t>
                            </w:r>
                            <w:bookmarkEnd w:id="158"/>
                            <w:bookmarkEnd w:id="159"/>
                          </w:p>
                          <w:p w14:paraId="0ED93742" w14:textId="77777777" w:rsidR="00FB1F71" w:rsidRPr="00FB1F71" w:rsidRDefault="00FB1F71" w:rsidP="00FB1F71">
                            <w:pPr>
                              <w:jc w:val="center"/>
                              <w:rPr>
                                <w:rFonts w:cs="Times New Roman"/>
                                <w:b/>
                                <w:bCs/>
                                <w:sz w:val="18"/>
                                <w:szCs w:val="18"/>
                              </w:rPr>
                            </w:pPr>
                          </w:p>
                          <w:p w14:paraId="3E298BA2" w14:textId="77777777" w:rsidR="00FB1F71" w:rsidRPr="00FB1F71" w:rsidRDefault="00FB1F71" w:rsidP="00FB1F71">
                            <w:pPr>
                              <w:jc w:val="center"/>
                              <w:rPr>
                                <w:rFonts w:cs="Times New Roman"/>
                                <w:b/>
                                <w:bCs/>
                                <w:sz w:val="18"/>
                                <w:szCs w:val="18"/>
                              </w:rPr>
                            </w:pPr>
                          </w:p>
                          <w:p w14:paraId="5ADEA994" w14:textId="77777777" w:rsidR="00FB1F71" w:rsidRPr="00A97EE4" w:rsidRDefault="00FB1F71" w:rsidP="00FB1F71">
                            <w:pPr>
                              <w:jc w:val="center"/>
                              <w:rPr>
                                <w:rFonts w:cs="Times New Roman"/>
                                <w:b/>
                                <w:bCs/>
                                <w:sz w:val="18"/>
                                <w:szCs w:val="18"/>
                              </w:rPr>
                            </w:pPr>
                          </w:p>
                          <w:p w14:paraId="00E3356B" w14:textId="760BFB22" w:rsidR="00FB1F71" w:rsidRPr="00A97EE4" w:rsidRDefault="00FB1F71" w:rsidP="00FB1F71">
                            <w:pPr>
                              <w:jc w:val="center"/>
                              <w:rPr>
                                <w:rFonts w:cs="Times New Roman"/>
                                <w:sz w:val="24"/>
                              </w:rPr>
                            </w:pPr>
                            <w:r w:rsidRPr="00A97EE4">
                              <w:rPr>
                                <w:rFonts w:cs="Times New Roman"/>
                                <w:sz w:val="24"/>
                              </w:rPr>
                              <w:t xml:space="preserve">All definitional elements are labelled according to their numeric identifier set out in Appendix </w:t>
                            </w:r>
                            <w:r>
                              <w:rPr>
                                <w:rFonts w:cs="Times New Roman"/>
                                <w:sz w:val="24"/>
                              </w:rPr>
                              <w:t>B</w:t>
                            </w:r>
                            <w:r w:rsidRPr="00A97EE4">
                              <w:rPr>
                                <w:rFonts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C45305" id="Text Box 1586706561" o:spid="_x0000_s1037" type="#_x0000_t202" style="position:absolute;margin-left:.3pt;margin-top:354.45pt;width:427.75pt;height:1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" fillcolor="white [3201]" stroked="f" strokeweight=".5pt">
                <v:textbox>
                  <w:txbxContent>
                    <w:p w14:paraId="3056D940" w14:textId="21EE39D7" w:rsidR="00FB1F71" w:rsidRPr="00FB1F71" w:rsidRDefault="00FB1F71" w:rsidP="00FB1F71">
                      <w:pPr>
                        <w:pStyle w:val="DissertationFigureCaption"/>
                        <w:rPr>
                          <w:u w:val="none"/>
                        </w:rPr>
                      </w:pPr>
                      <w:bookmarkStart w:id="183" w:name="_Toc168415571"/>
                      <w:bookmarkStart w:id="184" w:name="_Toc175413253"/>
                      <w:r w:rsidRPr="00F05390">
                        <w:t>Fig</w:t>
                      </w:r>
                      <w:r>
                        <w:t>ure</w:t>
                      </w:r>
                      <w:r w:rsidRPr="00F05390">
                        <w:t xml:space="preserve"> A6-</w:t>
                      </w:r>
                      <w:r>
                        <w:t xml:space="preserve"> </w:t>
                      </w:r>
                      <w:r w:rsidRPr="00F05390">
                        <w:t>1</w:t>
                      </w:r>
                      <w:r w:rsidR="008D1375">
                        <w:t>:</w:t>
                      </w:r>
                      <w:r>
                        <w:rPr>
                          <w:u w:val="none"/>
                        </w:rPr>
                        <w:tab/>
                      </w:r>
                      <w:r w:rsidRPr="00FB1F71">
                        <w:rPr>
                          <w:u w:val="none"/>
                        </w:rPr>
                        <w:t xml:space="preserve"> Venn Diagram Visually Depicting How Twenty-Eight (28) Definitional Elements of Terrorism Manifest in the Context of Perpetrated Terrorist Activity</w:t>
                      </w:r>
                      <w:bookmarkEnd w:id="183"/>
                      <w:bookmarkEnd w:id="184"/>
                    </w:p>
                    <w:p w14:paraId="0ED93742" w14:textId="77777777" w:rsidR="00FB1F71" w:rsidRPr="00FB1F71" w:rsidRDefault="00FB1F71" w:rsidP="00FB1F71">
                      <w:pPr>
                        <w:jc w:val="center"/>
                        <w:rPr>
                          <w:rFonts w:cs="Times New Roman"/>
                          <w:b/>
                          <w:bCs/>
                          <w:sz w:val="18"/>
                          <w:szCs w:val="18"/>
                        </w:rPr>
                      </w:pPr>
                    </w:p>
                    <w:p w14:paraId="3E298BA2" w14:textId="77777777" w:rsidR="00FB1F71" w:rsidRPr="00FB1F71" w:rsidRDefault="00FB1F71" w:rsidP="00FB1F71">
                      <w:pPr>
                        <w:jc w:val="center"/>
                        <w:rPr>
                          <w:rFonts w:cs="Times New Roman"/>
                          <w:b/>
                          <w:bCs/>
                          <w:sz w:val="18"/>
                          <w:szCs w:val="18"/>
                        </w:rPr>
                      </w:pPr>
                    </w:p>
                    <w:p w14:paraId="5ADEA994" w14:textId="77777777" w:rsidR="00FB1F71" w:rsidRPr="00A97EE4" w:rsidRDefault="00FB1F71" w:rsidP="00FB1F71">
                      <w:pPr>
                        <w:jc w:val="center"/>
                        <w:rPr>
                          <w:rFonts w:cs="Times New Roman"/>
                          <w:b/>
                          <w:bCs/>
                          <w:sz w:val="18"/>
                          <w:szCs w:val="18"/>
                        </w:rPr>
                      </w:pPr>
                    </w:p>
                    <w:p w14:paraId="00E3356B" w14:textId="760BFB22" w:rsidR="00FB1F71" w:rsidRPr="00A97EE4" w:rsidRDefault="00FB1F71" w:rsidP="00FB1F71">
                      <w:pPr>
                        <w:jc w:val="center"/>
                        <w:rPr>
                          <w:rFonts w:cs="Times New Roman"/>
                          <w:sz w:val="24"/>
                        </w:rPr>
                      </w:pPr>
                      <w:r w:rsidRPr="00A97EE4">
                        <w:rPr>
                          <w:rFonts w:cs="Times New Roman"/>
                          <w:sz w:val="24"/>
                        </w:rPr>
                        <w:t xml:space="preserve">All definitional elements are labelled according to their numeric identifier set out in Appendix </w:t>
                      </w:r>
                      <w:r>
                        <w:rPr>
                          <w:rFonts w:cs="Times New Roman"/>
                          <w:sz w:val="24"/>
                        </w:rPr>
                        <w:t>B</w:t>
                      </w:r>
                      <w:r w:rsidRPr="00A97EE4">
                        <w:rPr>
                          <w:rFonts w:cs="Times New Roman"/>
                          <w:sz w:val="24"/>
                        </w:rPr>
                        <w:t>.</w:t>
                      </w:r>
                    </w:p>
                  </w:txbxContent>
                </v:textbox>
              </v:shape>
            </w:pict>
          </mc:Fallback>
        </mc:AlternateContent>
      </w:r>
      <w:r>
        <w:rPr>
          <w:rFonts w:cs="Times New Roman"/>
          <w:b/>
          <w:bCs/>
          <w:noProof/>
          <w:sz w:val="24"/>
        </w:rPr>
        <w:drawing>
          <wp:inline distT="0" distB="0" distL="0" distR="0" wp14:anchorId="5DBB202C" wp14:editId="7D3D5133">
            <wp:extent cx="5468620" cy="4302125"/>
            <wp:effectExtent l="0" t="0" r="5080" b="3175"/>
            <wp:docPr id="971063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63822" name="Picture 97106382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68620" cy="4302125"/>
                    </a:xfrm>
                    <a:prstGeom prst="rect">
                      <a:avLst/>
                    </a:prstGeom>
                  </pic:spPr>
                </pic:pic>
              </a:graphicData>
            </a:graphic>
          </wp:inline>
        </w:drawing>
      </w:r>
      <w:r w:rsidR="00D64A92">
        <w:br w:type="page"/>
      </w:r>
    </w:p>
    <w:p w14:paraId="36E95E39" w14:textId="5E3D5A3C" w:rsidR="00D64A92" w:rsidRDefault="00D64A92" w:rsidP="007B741B">
      <w:pPr>
        <w:pStyle w:val="DissertationSection1"/>
      </w:pPr>
      <w:bookmarkStart w:id="160" w:name="_Toc168411142"/>
      <w:bookmarkStart w:id="161" w:name="_Toc175413185"/>
      <w:r>
        <w:lastRenderedPageBreak/>
        <w:t>Appendix G</w:t>
      </w:r>
      <w:r w:rsidR="00AA657C">
        <w:t xml:space="preserve"> – </w:t>
      </w:r>
      <w:r w:rsidR="00AA657C" w:rsidRPr="00B218EA">
        <w:t>Comparison of Thirty-Four (34) State Practice Definitions of Terrorism with their Counterparts in States’ Domestic Legislation</w:t>
      </w:r>
      <w:bookmarkEnd w:id="160"/>
      <w:bookmarkEnd w:id="161"/>
    </w:p>
    <w:p w14:paraId="64D1CBEB" w14:textId="77777777" w:rsidR="00D912FC" w:rsidRPr="00AA657C" w:rsidRDefault="00D912FC" w:rsidP="007B741B">
      <w:pPr>
        <w:pStyle w:val="DissertationSection1"/>
      </w:pPr>
    </w:p>
    <w:tbl>
      <w:tblPr>
        <w:tblStyle w:val="GridTable5Dark"/>
        <w:tblW w:w="9375" w:type="dxa"/>
        <w:tblInd w:w="-389" w:type="dxa"/>
        <w:tblLook w:val="04A0" w:firstRow="1" w:lastRow="0" w:firstColumn="1" w:lastColumn="0" w:noHBand="0" w:noVBand="1"/>
      </w:tblPr>
      <w:tblGrid>
        <w:gridCol w:w="1898"/>
        <w:gridCol w:w="2135"/>
        <w:gridCol w:w="5342"/>
      </w:tblGrid>
      <w:tr w:rsidR="00D912FC" w:rsidRPr="00A202FE" w14:paraId="54A059DF" w14:textId="77777777" w:rsidTr="00D912FC">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898" w:type="dxa"/>
            <w:noWrap/>
            <w:hideMark/>
          </w:tcPr>
          <w:p w14:paraId="35836BEE" w14:textId="77777777" w:rsidR="00D912FC" w:rsidRPr="00A202FE" w:rsidRDefault="00D912FC" w:rsidP="00D912FC">
            <w:pPr>
              <w:spacing w:before="0" w:after="0"/>
              <w:jc w:val="center"/>
              <w:rPr>
                <w:rFonts w:eastAsia="Times New Roman" w:cs="Times New Roman"/>
                <w:sz w:val="20"/>
                <w:szCs w:val="20"/>
                <w:u w:val="single"/>
              </w:rPr>
            </w:pPr>
            <w:r w:rsidRPr="00A202FE">
              <w:rPr>
                <w:rFonts w:eastAsia="Times New Roman" w:cs="Times New Roman"/>
                <w:sz w:val="20"/>
                <w:szCs w:val="20"/>
                <w:u w:val="single"/>
              </w:rPr>
              <w:t>Original Element Code</w:t>
            </w:r>
          </w:p>
        </w:tc>
        <w:tc>
          <w:tcPr>
            <w:tcW w:w="2135" w:type="dxa"/>
            <w:noWrap/>
            <w:hideMark/>
          </w:tcPr>
          <w:p w14:paraId="0DD05956" w14:textId="77777777" w:rsidR="00D912FC" w:rsidRPr="00A202FE" w:rsidRDefault="00D912FC" w:rsidP="00D912F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u w:val="single"/>
              </w:rPr>
            </w:pPr>
            <w:r w:rsidRPr="00A202FE">
              <w:rPr>
                <w:rFonts w:eastAsia="Times New Roman" w:cs="Times New Roman"/>
                <w:sz w:val="20"/>
                <w:szCs w:val="20"/>
                <w:u w:val="single"/>
              </w:rPr>
              <w:t>Definitional Element Code</w:t>
            </w:r>
          </w:p>
        </w:tc>
        <w:tc>
          <w:tcPr>
            <w:tcW w:w="5342" w:type="dxa"/>
            <w:noWrap/>
            <w:hideMark/>
          </w:tcPr>
          <w:p w14:paraId="0D0003D9" w14:textId="77777777" w:rsidR="00D912FC" w:rsidRPr="00A202FE" w:rsidRDefault="00D912FC" w:rsidP="00D912FC">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u w:val="single"/>
              </w:rPr>
            </w:pPr>
            <w:r w:rsidRPr="00A202FE">
              <w:rPr>
                <w:rFonts w:eastAsia="Times New Roman" w:cs="Times New Roman"/>
                <w:sz w:val="20"/>
                <w:szCs w:val="20"/>
                <w:u w:val="single"/>
              </w:rPr>
              <w:t>Definitional Element Description</w:t>
            </w:r>
          </w:p>
        </w:tc>
      </w:tr>
      <w:tr w:rsidR="00D912FC" w:rsidRPr="00A202FE" w14:paraId="57147639"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26A4A923"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A</w:t>
            </w:r>
          </w:p>
        </w:tc>
        <w:tc>
          <w:tcPr>
            <w:tcW w:w="2135" w:type="dxa"/>
            <w:shd w:val="clear" w:color="auto" w:fill="000000" w:themeFill="text1"/>
            <w:noWrap/>
            <w:hideMark/>
          </w:tcPr>
          <w:p w14:paraId="15F9777D"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w:t>
            </w:r>
          </w:p>
        </w:tc>
        <w:tc>
          <w:tcPr>
            <w:tcW w:w="5342" w:type="dxa"/>
            <w:hideMark/>
          </w:tcPr>
          <w:p w14:paraId="1E69ACBC"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Use of force, violence</w:t>
            </w:r>
          </w:p>
        </w:tc>
      </w:tr>
      <w:tr w:rsidR="00D912FC" w:rsidRPr="00A202FE" w14:paraId="7868DE99"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47083EF3"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2263CCBE"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w:t>
            </w:r>
          </w:p>
        </w:tc>
        <w:tc>
          <w:tcPr>
            <w:tcW w:w="5342" w:type="dxa"/>
            <w:hideMark/>
          </w:tcPr>
          <w:p w14:paraId="69B24E0B"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Destruction of property, damage to property</w:t>
            </w:r>
          </w:p>
        </w:tc>
      </w:tr>
      <w:tr w:rsidR="00D912FC" w:rsidRPr="00A202FE" w14:paraId="477CD479"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6A309548"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64DBD52E"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3</w:t>
            </w:r>
          </w:p>
        </w:tc>
        <w:tc>
          <w:tcPr>
            <w:tcW w:w="5342" w:type="dxa"/>
            <w:hideMark/>
          </w:tcPr>
          <w:p w14:paraId="608E205F"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Destruction of the environment/natural resources, damage to the environment/natural resources</w:t>
            </w:r>
          </w:p>
        </w:tc>
      </w:tr>
      <w:tr w:rsidR="00D912FC" w:rsidRPr="00A202FE" w14:paraId="7B559682"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1AEFF861"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03187397"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4</w:t>
            </w:r>
          </w:p>
        </w:tc>
        <w:tc>
          <w:tcPr>
            <w:tcW w:w="5342" w:type="dxa"/>
            <w:hideMark/>
          </w:tcPr>
          <w:p w14:paraId="5C170CDE"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Physical injury, death, homicide</w:t>
            </w:r>
          </w:p>
        </w:tc>
      </w:tr>
      <w:tr w:rsidR="00D912FC" w:rsidRPr="00A202FE" w14:paraId="0D4AD5E5"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1D7C05B8"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H</w:t>
            </w:r>
          </w:p>
        </w:tc>
        <w:tc>
          <w:tcPr>
            <w:tcW w:w="2135" w:type="dxa"/>
            <w:shd w:val="clear" w:color="auto" w:fill="000000" w:themeFill="text1"/>
            <w:noWrap/>
            <w:hideMark/>
          </w:tcPr>
          <w:p w14:paraId="39F42D80"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5</w:t>
            </w:r>
          </w:p>
        </w:tc>
        <w:tc>
          <w:tcPr>
            <w:tcW w:w="5342" w:type="dxa"/>
            <w:hideMark/>
          </w:tcPr>
          <w:p w14:paraId="6782502E"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Fear, terror</w:t>
            </w:r>
          </w:p>
        </w:tc>
      </w:tr>
      <w:tr w:rsidR="00D912FC" w:rsidRPr="00A202FE" w14:paraId="6D341CF8"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0AFC7C39"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J</w:t>
            </w:r>
          </w:p>
        </w:tc>
        <w:tc>
          <w:tcPr>
            <w:tcW w:w="2135" w:type="dxa"/>
            <w:shd w:val="clear" w:color="auto" w:fill="000000" w:themeFill="text1"/>
            <w:noWrap/>
            <w:hideMark/>
          </w:tcPr>
          <w:p w14:paraId="13365BDE"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6</w:t>
            </w:r>
          </w:p>
        </w:tc>
        <w:tc>
          <w:tcPr>
            <w:tcW w:w="5342" w:type="dxa"/>
            <w:hideMark/>
          </w:tcPr>
          <w:p w14:paraId="276F203A"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Intimidation</w:t>
            </w:r>
          </w:p>
        </w:tc>
      </w:tr>
      <w:tr w:rsidR="00D912FC" w:rsidRPr="00A202FE" w14:paraId="1DF2B249"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03485660"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C</w:t>
            </w:r>
          </w:p>
        </w:tc>
        <w:tc>
          <w:tcPr>
            <w:tcW w:w="2135" w:type="dxa"/>
            <w:shd w:val="clear" w:color="auto" w:fill="000000" w:themeFill="text1"/>
            <w:noWrap/>
            <w:hideMark/>
          </w:tcPr>
          <w:p w14:paraId="09265328"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7</w:t>
            </w:r>
          </w:p>
        </w:tc>
        <w:tc>
          <w:tcPr>
            <w:tcW w:w="5342" w:type="dxa"/>
            <w:hideMark/>
          </w:tcPr>
          <w:p w14:paraId="1E50D471"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Threat</w:t>
            </w:r>
          </w:p>
        </w:tc>
      </w:tr>
      <w:tr w:rsidR="00D912FC" w:rsidRPr="00A202FE" w14:paraId="71082F10"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02AE4A71"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U</w:t>
            </w:r>
          </w:p>
        </w:tc>
        <w:tc>
          <w:tcPr>
            <w:tcW w:w="2135" w:type="dxa"/>
            <w:shd w:val="clear" w:color="auto" w:fill="000000" w:themeFill="text1"/>
            <w:noWrap/>
            <w:hideMark/>
          </w:tcPr>
          <w:p w14:paraId="736A7773"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8</w:t>
            </w:r>
          </w:p>
        </w:tc>
        <w:tc>
          <w:tcPr>
            <w:tcW w:w="5342" w:type="dxa"/>
            <w:hideMark/>
          </w:tcPr>
          <w:p w14:paraId="56756749"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Extranormality in breach of accepted rules, without humanitarian constraints</w:t>
            </w:r>
          </w:p>
        </w:tc>
      </w:tr>
      <w:tr w:rsidR="00D912FC" w:rsidRPr="00A202FE" w14:paraId="5EC60B97"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620266F5"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N</w:t>
            </w:r>
          </w:p>
        </w:tc>
        <w:tc>
          <w:tcPr>
            <w:tcW w:w="2135" w:type="dxa"/>
            <w:shd w:val="clear" w:color="auto" w:fill="000000" w:themeFill="text1"/>
            <w:noWrap/>
            <w:hideMark/>
          </w:tcPr>
          <w:p w14:paraId="11349F72"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9</w:t>
            </w:r>
          </w:p>
        </w:tc>
        <w:tc>
          <w:tcPr>
            <w:tcW w:w="5342" w:type="dxa"/>
            <w:hideMark/>
          </w:tcPr>
          <w:p w14:paraId="2AD5951C"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Coercion, extortion</w:t>
            </w:r>
          </w:p>
        </w:tc>
      </w:tr>
      <w:tr w:rsidR="00D912FC" w:rsidRPr="00A202FE" w14:paraId="19E6EC73"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6EB79770"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T</w:t>
            </w:r>
          </w:p>
        </w:tc>
        <w:tc>
          <w:tcPr>
            <w:tcW w:w="2135" w:type="dxa"/>
            <w:shd w:val="clear" w:color="auto" w:fill="000000" w:themeFill="text1"/>
            <w:noWrap/>
            <w:hideMark/>
          </w:tcPr>
          <w:p w14:paraId="14399FFF"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10(a)</w:t>
            </w:r>
          </w:p>
        </w:tc>
        <w:tc>
          <w:tcPr>
            <w:tcW w:w="5342" w:type="dxa"/>
            <w:hideMark/>
          </w:tcPr>
          <w:p w14:paraId="01BBBA4E"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Arbitrariness</w:t>
            </w:r>
          </w:p>
        </w:tc>
      </w:tr>
      <w:tr w:rsidR="00D912FC" w:rsidRPr="00A202FE" w14:paraId="56B180D2"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4B09AE67"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S</w:t>
            </w:r>
          </w:p>
        </w:tc>
        <w:tc>
          <w:tcPr>
            <w:tcW w:w="2135" w:type="dxa"/>
            <w:shd w:val="clear" w:color="auto" w:fill="000000" w:themeFill="text1"/>
            <w:noWrap/>
            <w:hideMark/>
          </w:tcPr>
          <w:p w14:paraId="4D747FDB"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10(b)</w:t>
            </w:r>
          </w:p>
        </w:tc>
        <w:tc>
          <w:tcPr>
            <w:tcW w:w="5342" w:type="dxa"/>
            <w:hideMark/>
          </w:tcPr>
          <w:p w14:paraId="0959D79E"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Unpredictability</w:t>
            </w:r>
          </w:p>
        </w:tc>
      </w:tr>
      <w:tr w:rsidR="00D912FC" w:rsidRPr="00A202FE" w14:paraId="718BF6CB"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72A7C982"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E</w:t>
            </w:r>
          </w:p>
        </w:tc>
        <w:tc>
          <w:tcPr>
            <w:tcW w:w="2135" w:type="dxa"/>
            <w:shd w:val="clear" w:color="auto" w:fill="000000" w:themeFill="text1"/>
            <w:noWrap/>
            <w:hideMark/>
          </w:tcPr>
          <w:p w14:paraId="29EA7C89"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11</w:t>
            </w:r>
          </w:p>
        </w:tc>
        <w:tc>
          <w:tcPr>
            <w:tcW w:w="5342" w:type="dxa"/>
            <w:hideMark/>
          </w:tcPr>
          <w:p w14:paraId="23B8546F"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Groups, movements</w:t>
            </w:r>
          </w:p>
        </w:tc>
      </w:tr>
      <w:tr w:rsidR="00D912FC" w:rsidRPr="00A202FE" w14:paraId="63AE97C0"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2187CD19"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K</w:t>
            </w:r>
          </w:p>
        </w:tc>
        <w:tc>
          <w:tcPr>
            <w:tcW w:w="2135" w:type="dxa"/>
            <w:shd w:val="clear" w:color="auto" w:fill="000000" w:themeFill="text1"/>
            <w:noWrap/>
            <w:hideMark/>
          </w:tcPr>
          <w:p w14:paraId="71D3FB97"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12</w:t>
            </w:r>
          </w:p>
        </w:tc>
        <w:tc>
          <w:tcPr>
            <w:tcW w:w="5342" w:type="dxa"/>
            <w:hideMark/>
          </w:tcPr>
          <w:p w14:paraId="6C67C2F1"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Purposive, planned, systematic, organized action</w:t>
            </w:r>
          </w:p>
        </w:tc>
      </w:tr>
      <w:tr w:rsidR="00D912FC" w:rsidRPr="00A202FE" w14:paraId="34D92A8B"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3C0098DC"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M</w:t>
            </w:r>
          </w:p>
        </w:tc>
        <w:tc>
          <w:tcPr>
            <w:tcW w:w="2135" w:type="dxa"/>
            <w:shd w:val="clear" w:color="auto" w:fill="000000" w:themeFill="text1"/>
            <w:noWrap/>
            <w:hideMark/>
          </w:tcPr>
          <w:p w14:paraId="7DF51047"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13</w:t>
            </w:r>
          </w:p>
        </w:tc>
        <w:tc>
          <w:tcPr>
            <w:tcW w:w="5342" w:type="dxa"/>
            <w:hideMark/>
          </w:tcPr>
          <w:p w14:paraId="3D7E6443"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Covert</w:t>
            </w:r>
          </w:p>
        </w:tc>
      </w:tr>
      <w:tr w:rsidR="00D912FC" w:rsidRPr="00A202FE" w14:paraId="61AC9118"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0A41E5EC"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1D1E56E5"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14</w:t>
            </w:r>
          </w:p>
        </w:tc>
        <w:tc>
          <w:tcPr>
            <w:tcW w:w="5342" w:type="dxa"/>
            <w:hideMark/>
          </w:tcPr>
          <w:p w14:paraId="2FF83F99"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Intent, intentional, deliberate</w:t>
            </w:r>
          </w:p>
        </w:tc>
      </w:tr>
      <w:tr w:rsidR="00D912FC" w:rsidRPr="00A202FE" w14:paraId="3A008A26"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34472E9F"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R</w:t>
            </w:r>
          </w:p>
        </w:tc>
        <w:tc>
          <w:tcPr>
            <w:tcW w:w="2135" w:type="dxa"/>
            <w:shd w:val="clear" w:color="auto" w:fill="000000" w:themeFill="text1"/>
            <w:noWrap/>
            <w:hideMark/>
          </w:tcPr>
          <w:p w14:paraId="29D448A1"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15</w:t>
            </w:r>
          </w:p>
        </w:tc>
        <w:tc>
          <w:tcPr>
            <w:tcW w:w="5342" w:type="dxa"/>
            <w:hideMark/>
          </w:tcPr>
          <w:p w14:paraId="4FF30B2C"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Third party demands</w:t>
            </w:r>
          </w:p>
        </w:tc>
      </w:tr>
      <w:tr w:rsidR="00D912FC" w:rsidRPr="00A202FE" w14:paraId="3451AAAE"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41C0B49D"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B</w:t>
            </w:r>
          </w:p>
        </w:tc>
        <w:tc>
          <w:tcPr>
            <w:tcW w:w="2135" w:type="dxa"/>
            <w:shd w:val="clear" w:color="auto" w:fill="000000" w:themeFill="text1"/>
            <w:noWrap/>
            <w:hideMark/>
          </w:tcPr>
          <w:p w14:paraId="18DDB897"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16</w:t>
            </w:r>
          </w:p>
        </w:tc>
        <w:tc>
          <w:tcPr>
            <w:tcW w:w="5342" w:type="dxa"/>
            <w:hideMark/>
          </w:tcPr>
          <w:p w14:paraId="0CFF2C42"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Political</w:t>
            </w:r>
          </w:p>
        </w:tc>
      </w:tr>
      <w:tr w:rsidR="00D912FC" w:rsidRPr="00A202FE" w14:paraId="388628F1"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3C0DB2B9"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748E310E"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17</w:t>
            </w:r>
          </w:p>
        </w:tc>
        <w:tc>
          <w:tcPr>
            <w:tcW w:w="5342" w:type="dxa"/>
            <w:hideMark/>
          </w:tcPr>
          <w:p w14:paraId="0DFCDBBA"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Religious</w:t>
            </w:r>
          </w:p>
        </w:tc>
      </w:tr>
      <w:tr w:rsidR="00D912FC" w:rsidRPr="00A202FE" w14:paraId="06D65473"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0DDD6C23"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028A323E"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18</w:t>
            </w:r>
          </w:p>
        </w:tc>
        <w:tc>
          <w:tcPr>
            <w:tcW w:w="5342" w:type="dxa"/>
            <w:hideMark/>
          </w:tcPr>
          <w:p w14:paraId="0AB6187E"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Ideological</w:t>
            </w:r>
          </w:p>
        </w:tc>
      </w:tr>
      <w:tr w:rsidR="00D912FC" w:rsidRPr="00A202FE" w14:paraId="56C9E394"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67726C80"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I</w:t>
            </w:r>
          </w:p>
        </w:tc>
        <w:tc>
          <w:tcPr>
            <w:tcW w:w="2135" w:type="dxa"/>
            <w:shd w:val="clear" w:color="auto" w:fill="000000" w:themeFill="text1"/>
            <w:noWrap/>
            <w:hideMark/>
          </w:tcPr>
          <w:p w14:paraId="2BB945F1"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19</w:t>
            </w:r>
          </w:p>
        </w:tc>
        <w:tc>
          <w:tcPr>
            <w:tcW w:w="5342" w:type="dxa"/>
            <w:hideMark/>
          </w:tcPr>
          <w:p w14:paraId="7DBD0085"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Publicity</w:t>
            </w:r>
          </w:p>
        </w:tc>
      </w:tr>
      <w:tr w:rsidR="00D912FC" w:rsidRPr="00A202FE" w14:paraId="00D9089D"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1A2C88F3"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398E8022"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20</w:t>
            </w:r>
          </w:p>
        </w:tc>
        <w:tc>
          <w:tcPr>
            <w:tcW w:w="5342" w:type="dxa"/>
            <w:hideMark/>
          </w:tcPr>
          <w:p w14:paraId="2AD6787C"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Incitement</w:t>
            </w:r>
          </w:p>
        </w:tc>
      </w:tr>
      <w:tr w:rsidR="00D912FC" w:rsidRPr="00A202FE" w14:paraId="5354D8A8"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212C212A"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O</w:t>
            </w:r>
          </w:p>
        </w:tc>
        <w:tc>
          <w:tcPr>
            <w:tcW w:w="2135" w:type="dxa"/>
            <w:shd w:val="clear" w:color="auto" w:fill="000000" w:themeFill="text1"/>
            <w:noWrap/>
            <w:hideMark/>
          </w:tcPr>
          <w:p w14:paraId="35010F97"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21</w:t>
            </w:r>
          </w:p>
        </w:tc>
        <w:tc>
          <w:tcPr>
            <w:tcW w:w="5342" w:type="dxa"/>
            <w:hideMark/>
          </w:tcPr>
          <w:p w14:paraId="04BFF634"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Criminal</w:t>
            </w:r>
          </w:p>
        </w:tc>
      </w:tr>
      <w:tr w:rsidR="00D912FC" w:rsidRPr="00A202FE" w14:paraId="470F999F"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79088A38"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Q</w:t>
            </w:r>
          </w:p>
        </w:tc>
        <w:tc>
          <w:tcPr>
            <w:tcW w:w="2135" w:type="dxa"/>
            <w:shd w:val="clear" w:color="auto" w:fill="000000" w:themeFill="text1"/>
            <w:noWrap/>
            <w:hideMark/>
          </w:tcPr>
          <w:p w14:paraId="57AB7F21"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22</w:t>
            </w:r>
          </w:p>
        </w:tc>
        <w:tc>
          <w:tcPr>
            <w:tcW w:w="5342" w:type="dxa"/>
            <w:hideMark/>
          </w:tcPr>
          <w:p w14:paraId="6938E755"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Symbolism</w:t>
            </w:r>
          </w:p>
        </w:tc>
      </w:tr>
      <w:tr w:rsidR="00D912FC" w:rsidRPr="00A202FE" w14:paraId="769A9CA0"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3C853843"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5DCC3176"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23</w:t>
            </w:r>
          </w:p>
        </w:tc>
        <w:tc>
          <w:tcPr>
            <w:tcW w:w="5342" w:type="dxa"/>
            <w:hideMark/>
          </w:tcPr>
          <w:p w14:paraId="7D9274DF"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Security</w:t>
            </w:r>
          </w:p>
        </w:tc>
      </w:tr>
      <w:tr w:rsidR="00D912FC" w:rsidRPr="00A202FE" w14:paraId="65D7FCF2"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24778BA8"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1935644E"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24</w:t>
            </w:r>
          </w:p>
        </w:tc>
        <w:tc>
          <w:tcPr>
            <w:tcW w:w="5342" w:type="dxa"/>
            <w:hideMark/>
          </w:tcPr>
          <w:p w14:paraId="3055C79F"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Sovereignty</w:t>
            </w:r>
          </w:p>
        </w:tc>
      </w:tr>
      <w:tr w:rsidR="00D912FC" w:rsidRPr="00A202FE" w14:paraId="7B5D05D3"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2A0FB61E"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37CA6D72"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25</w:t>
            </w:r>
          </w:p>
        </w:tc>
        <w:tc>
          <w:tcPr>
            <w:tcW w:w="5342" w:type="dxa"/>
            <w:hideMark/>
          </w:tcPr>
          <w:p w14:paraId="6BD5925E"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Economy, economic repercussions</w:t>
            </w:r>
          </w:p>
        </w:tc>
      </w:tr>
      <w:tr w:rsidR="00D912FC" w:rsidRPr="00A202FE" w14:paraId="3EC8D7A5"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3AB55C39"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w:t>
            </w:r>
          </w:p>
        </w:tc>
        <w:tc>
          <w:tcPr>
            <w:tcW w:w="2135" w:type="dxa"/>
            <w:shd w:val="clear" w:color="auto" w:fill="000000" w:themeFill="text1"/>
            <w:noWrap/>
            <w:hideMark/>
          </w:tcPr>
          <w:p w14:paraId="5A9FD830"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26</w:t>
            </w:r>
          </w:p>
        </w:tc>
        <w:tc>
          <w:tcPr>
            <w:tcW w:w="5342" w:type="dxa"/>
            <w:hideMark/>
          </w:tcPr>
          <w:p w14:paraId="41358F57"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State as a target</w:t>
            </w:r>
          </w:p>
        </w:tc>
      </w:tr>
      <w:tr w:rsidR="00D912FC" w:rsidRPr="00A202FE" w14:paraId="51E0B5AC"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3A05A304"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G</w:t>
            </w:r>
          </w:p>
        </w:tc>
        <w:tc>
          <w:tcPr>
            <w:tcW w:w="2135" w:type="dxa"/>
            <w:shd w:val="clear" w:color="auto" w:fill="000000" w:themeFill="text1"/>
            <w:noWrap/>
            <w:hideMark/>
          </w:tcPr>
          <w:p w14:paraId="054BB4A3"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27</w:t>
            </w:r>
          </w:p>
        </w:tc>
        <w:tc>
          <w:tcPr>
            <w:tcW w:w="5342" w:type="dxa"/>
            <w:hideMark/>
          </w:tcPr>
          <w:p w14:paraId="445D7F12"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Civilians, non-combatants</w:t>
            </w:r>
          </w:p>
        </w:tc>
      </w:tr>
      <w:tr w:rsidR="00D912FC" w:rsidRPr="00A202FE" w14:paraId="40BA2EE3"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34A6630C"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L</w:t>
            </w:r>
          </w:p>
        </w:tc>
        <w:tc>
          <w:tcPr>
            <w:tcW w:w="2135" w:type="dxa"/>
            <w:shd w:val="clear" w:color="auto" w:fill="000000" w:themeFill="text1"/>
            <w:noWrap/>
            <w:hideMark/>
          </w:tcPr>
          <w:p w14:paraId="6E329BD9"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28</w:t>
            </w:r>
          </w:p>
        </w:tc>
        <w:tc>
          <w:tcPr>
            <w:tcW w:w="5342" w:type="dxa"/>
            <w:hideMark/>
          </w:tcPr>
          <w:p w14:paraId="2691C187"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Innocence of victims</w:t>
            </w:r>
          </w:p>
        </w:tc>
      </w:tr>
      <w:tr w:rsidR="00D912FC" w:rsidRPr="00A202FE" w14:paraId="36874F72"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41A581F2"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D</w:t>
            </w:r>
          </w:p>
        </w:tc>
        <w:tc>
          <w:tcPr>
            <w:tcW w:w="2135" w:type="dxa"/>
            <w:shd w:val="clear" w:color="auto" w:fill="000000" w:themeFill="text1"/>
            <w:noWrap/>
            <w:hideMark/>
          </w:tcPr>
          <w:p w14:paraId="057705B2"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D</w:t>
            </w:r>
          </w:p>
        </w:tc>
        <w:tc>
          <w:tcPr>
            <w:tcW w:w="5342" w:type="dxa"/>
            <w:hideMark/>
          </w:tcPr>
          <w:p w14:paraId="42223CE7"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Method of combat, or strategy</w:t>
            </w:r>
          </w:p>
        </w:tc>
      </w:tr>
      <w:tr w:rsidR="00D912FC" w:rsidRPr="00A202FE" w14:paraId="244BCB84"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7FFFA6F8"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F</w:t>
            </w:r>
          </w:p>
        </w:tc>
        <w:tc>
          <w:tcPr>
            <w:tcW w:w="2135" w:type="dxa"/>
            <w:shd w:val="clear" w:color="auto" w:fill="000000" w:themeFill="text1"/>
            <w:noWrap/>
            <w:hideMark/>
          </w:tcPr>
          <w:p w14:paraId="0DB58124"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F</w:t>
            </w:r>
          </w:p>
        </w:tc>
        <w:tc>
          <w:tcPr>
            <w:tcW w:w="5342" w:type="dxa"/>
            <w:hideMark/>
          </w:tcPr>
          <w:p w14:paraId="0727FE19" w14:textId="77777777" w:rsidR="00D912FC" w:rsidRPr="00A202FE" w:rsidRDefault="00D912FC" w:rsidP="00D912FC">
            <w:pPr>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Victim-target differentiation</w:t>
            </w:r>
          </w:p>
        </w:tc>
      </w:tr>
      <w:tr w:rsidR="00D912FC" w:rsidRPr="00A202FE" w14:paraId="07BC5CCE" w14:textId="77777777" w:rsidTr="00D912FC">
        <w:trPr>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0ACB56E8"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P</w:t>
            </w:r>
          </w:p>
        </w:tc>
        <w:tc>
          <w:tcPr>
            <w:tcW w:w="2135" w:type="dxa"/>
            <w:shd w:val="clear" w:color="auto" w:fill="000000" w:themeFill="text1"/>
            <w:noWrap/>
            <w:hideMark/>
          </w:tcPr>
          <w:p w14:paraId="35D1AE7D" w14:textId="77777777" w:rsidR="00D912FC" w:rsidRPr="00A202FE"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P</w:t>
            </w:r>
          </w:p>
        </w:tc>
        <w:tc>
          <w:tcPr>
            <w:tcW w:w="5342" w:type="dxa"/>
            <w:hideMark/>
          </w:tcPr>
          <w:p w14:paraId="481FD1B1" w14:textId="77777777" w:rsidR="00D912FC" w:rsidRPr="00A202FE" w:rsidRDefault="00D912FC" w:rsidP="00D912FC">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Psychological effects, anticipated reactions</w:t>
            </w:r>
          </w:p>
        </w:tc>
      </w:tr>
      <w:tr w:rsidR="00D912FC" w:rsidRPr="00A202FE" w14:paraId="33E89936" w14:textId="77777777" w:rsidTr="00D912F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98" w:type="dxa"/>
            <w:noWrap/>
            <w:hideMark/>
          </w:tcPr>
          <w:p w14:paraId="6040F4B8" w14:textId="77777777" w:rsidR="00D912FC" w:rsidRPr="00A202FE" w:rsidRDefault="00D912FC" w:rsidP="00D912FC">
            <w:pPr>
              <w:spacing w:before="0" w:after="0"/>
              <w:jc w:val="center"/>
              <w:rPr>
                <w:rFonts w:eastAsia="Times New Roman" w:cs="Times New Roman"/>
                <w:sz w:val="20"/>
                <w:szCs w:val="20"/>
              </w:rPr>
            </w:pPr>
            <w:r w:rsidRPr="00A202FE">
              <w:rPr>
                <w:rFonts w:eastAsia="Times New Roman" w:cs="Times New Roman"/>
                <w:sz w:val="20"/>
                <w:szCs w:val="20"/>
              </w:rPr>
              <w:t>V</w:t>
            </w:r>
          </w:p>
        </w:tc>
        <w:tc>
          <w:tcPr>
            <w:tcW w:w="2135" w:type="dxa"/>
            <w:shd w:val="clear" w:color="auto" w:fill="000000" w:themeFill="text1"/>
            <w:noWrap/>
            <w:hideMark/>
          </w:tcPr>
          <w:p w14:paraId="36F9254A" w14:textId="77777777" w:rsidR="00D912FC" w:rsidRPr="00A202FE"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0"/>
                <w:szCs w:val="20"/>
              </w:rPr>
            </w:pPr>
            <w:r w:rsidRPr="00A202FE">
              <w:rPr>
                <w:rFonts w:eastAsia="Times New Roman" w:cs="Times New Roman"/>
                <w:b/>
                <w:bCs/>
                <w:color w:val="FFFFFF" w:themeColor="background1"/>
                <w:sz w:val="20"/>
                <w:szCs w:val="20"/>
              </w:rPr>
              <w:t>V</w:t>
            </w:r>
          </w:p>
        </w:tc>
        <w:tc>
          <w:tcPr>
            <w:tcW w:w="5342" w:type="dxa"/>
            <w:hideMark/>
          </w:tcPr>
          <w:p w14:paraId="0F1857AF" w14:textId="77777777" w:rsidR="00D912FC" w:rsidRPr="00A202FE" w:rsidRDefault="00D912FC" w:rsidP="00D912FC">
            <w:pPr>
              <w:keepNext/>
              <w:spacing w:before="0"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szCs w:val="20"/>
              </w:rPr>
            </w:pPr>
            <w:r w:rsidRPr="00A202FE">
              <w:rPr>
                <w:rFonts w:eastAsia="Times New Roman" w:cs="Times New Roman"/>
                <w:color w:val="000000" w:themeColor="text1"/>
                <w:sz w:val="20"/>
                <w:szCs w:val="20"/>
              </w:rPr>
              <w:t>Repetitiveness</w:t>
            </w:r>
          </w:p>
        </w:tc>
      </w:tr>
    </w:tbl>
    <w:p w14:paraId="1ED3975A" w14:textId="4B2DB290" w:rsidR="00D912FC" w:rsidRDefault="00D912FC" w:rsidP="00D912FC">
      <w:pPr>
        <w:pStyle w:val="DissertationTableCaption"/>
      </w:pPr>
      <w:bookmarkStart w:id="162" w:name="_Toc168415278"/>
      <w:bookmarkStart w:id="163" w:name="_Toc175413221"/>
      <w:r w:rsidRPr="00D80B53">
        <w:t xml:space="preserve">Table A7- </w:t>
      </w:r>
      <w:fldSimple w:instr=" SEQ Table_A7- \* ARABIC ">
        <w:r w:rsidR="00AF1E65">
          <w:rPr>
            <w:noProof/>
          </w:rPr>
          <w:t>1</w:t>
        </w:r>
      </w:fldSimple>
      <w:r w:rsidR="008D1375">
        <w:rPr>
          <w:noProof/>
        </w:rPr>
        <w:t>:</w:t>
      </w:r>
      <w:r w:rsidRPr="00D912FC">
        <w:rPr>
          <w:u w:val="none"/>
        </w:rPr>
        <w:tab/>
        <w:t xml:space="preserve"> Amalgamated Legend of Definitional Element Codes</w:t>
      </w:r>
      <w:bookmarkEnd w:id="162"/>
      <w:bookmarkEnd w:id="163"/>
    </w:p>
    <w:p w14:paraId="75148130" w14:textId="2B806D97" w:rsidR="00D912FC" w:rsidRDefault="00D912FC" w:rsidP="007B741B">
      <w:pPr>
        <w:rPr>
          <w:rFonts w:eastAsia="Times New Roman" w:cs="Times New Roman"/>
          <w:b/>
          <w:bCs/>
        </w:rPr>
      </w:pPr>
      <w:r>
        <w:rPr>
          <w:noProof/>
        </w:rPr>
        <w:lastRenderedPageBreak/>
        <w:drawing>
          <wp:anchor distT="0" distB="0" distL="114300" distR="114300" simplePos="0" relativeHeight="251693056" behindDoc="0" locked="0" layoutInCell="1" allowOverlap="1" wp14:anchorId="7EF58EA9" wp14:editId="51A2C671">
            <wp:simplePos x="0" y="0"/>
            <wp:positionH relativeFrom="column">
              <wp:posOffset>-363855</wp:posOffset>
            </wp:positionH>
            <wp:positionV relativeFrom="paragraph">
              <wp:posOffset>-1187450</wp:posOffset>
            </wp:positionV>
            <wp:extent cx="6340956" cy="5575300"/>
            <wp:effectExtent l="0" t="0" r="0" b="0"/>
            <wp:wrapNone/>
            <wp:docPr id="1388380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80626" name="Picture 1388380626"/>
                    <pic:cNvPicPr/>
                  </pic:nvPicPr>
                  <pic:blipFill rotWithShape="1">
                    <a:blip r:embed="rId50">
                      <a:extLst>
                        <a:ext uri="{28A0092B-C50C-407E-A947-70E740481C1C}">
                          <a14:useLocalDpi xmlns:a14="http://schemas.microsoft.com/office/drawing/2010/main" val="0"/>
                        </a:ext>
                      </a:extLst>
                    </a:blip>
                    <a:srcRect l="16239" t="-6187" r="11325" b="23787"/>
                    <a:stretch/>
                  </pic:blipFill>
                  <pic:spPr bwMode="auto">
                    <a:xfrm>
                      <a:off x="0" y="0"/>
                      <a:ext cx="6340956" cy="557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42C4E5" w14:textId="77777777" w:rsidR="00D912FC" w:rsidRDefault="00D912FC" w:rsidP="007B741B">
      <w:pPr>
        <w:rPr>
          <w:rFonts w:eastAsia="Times New Roman" w:cs="Times New Roman"/>
          <w:b/>
          <w:bCs/>
        </w:rPr>
      </w:pPr>
    </w:p>
    <w:p w14:paraId="2E61DFB1" w14:textId="59A83086" w:rsidR="00D912FC" w:rsidRDefault="00D912FC" w:rsidP="007B741B">
      <w:pPr>
        <w:rPr>
          <w:rFonts w:eastAsia="Times New Roman" w:cs="Times New Roman"/>
          <w:b/>
          <w:bCs/>
        </w:rPr>
      </w:pPr>
    </w:p>
    <w:p w14:paraId="5ADF52FF" w14:textId="77777777" w:rsidR="00D912FC" w:rsidRDefault="00D912FC" w:rsidP="007B741B">
      <w:pPr>
        <w:rPr>
          <w:rFonts w:eastAsia="Times New Roman" w:cs="Times New Roman"/>
          <w:b/>
          <w:bCs/>
        </w:rPr>
      </w:pPr>
    </w:p>
    <w:p w14:paraId="7785D0A5" w14:textId="77777777" w:rsidR="00D912FC" w:rsidRDefault="00D912FC" w:rsidP="007B741B">
      <w:pPr>
        <w:rPr>
          <w:rFonts w:eastAsia="Times New Roman" w:cs="Times New Roman"/>
          <w:b/>
          <w:bCs/>
        </w:rPr>
      </w:pPr>
    </w:p>
    <w:p w14:paraId="632E88C2" w14:textId="77777777" w:rsidR="00D912FC" w:rsidRDefault="00D912FC" w:rsidP="007B741B">
      <w:pPr>
        <w:rPr>
          <w:rFonts w:eastAsia="Times New Roman" w:cs="Times New Roman"/>
          <w:b/>
          <w:bCs/>
        </w:rPr>
      </w:pPr>
    </w:p>
    <w:p w14:paraId="64FBD135" w14:textId="77777777" w:rsidR="00D912FC" w:rsidRDefault="00D912FC" w:rsidP="007B741B">
      <w:pPr>
        <w:rPr>
          <w:rFonts w:eastAsia="Times New Roman" w:cs="Times New Roman"/>
          <w:b/>
          <w:bCs/>
        </w:rPr>
      </w:pPr>
    </w:p>
    <w:p w14:paraId="2C45458D" w14:textId="77777777" w:rsidR="00D912FC" w:rsidRDefault="00D912FC" w:rsidP="007B741B">
      <w:pPr>
        <w:rPr>
          <w:rFonts w:eastAsia="Times New Roman" w:cs="Times New Roman"/>
          <w:b/>
          <w:bCs/>
        </w:rPr>
      </w:pPr>
    </w:p>
    <w:p w14:paraId="632E7149" w14:textId="77777777" w:rsidR="00D912FC" w:rsidRDefault="00D912FC" w:rsidP="007B741B">
      <w:pPr>
        <w:rPr>
          <w:rFonts w:eastAsia="Times New Roman" w:cs="Times New Roman"/>
          <w:b/>
          <w:bCs/>
        </w:rPr>
      </w:pPr>
    </w:p>
    <w:p w14:paraId="73902B3A" w14:textId="77777777" w:rsidR="00D912FC" w:rsidRDefault="00D912FC" w:rsidP="007B741B">
      <w:pPr>
        <w:rPr>
          <w:rFonts w:eastAsia="Times New Roman" w:cs="Times New Roman"/>
          <w:b/>
          <w:bCs/>
        </w:rPr>
      </w:pPr>
    </w:p>
    <w:p w14:paraId="1773D8E2" w14:textId="0655FABA" w:rsidR="00B34D8A" w:rsidRDefault="00B34D8A" w:rsidP="007B741B">
      <w:pPr>
        <w:rPr>
          <w:rFonts w:eastAsia="Times New Roman" w:cs="Times New Roman"/>
          <w:b/>
          <w:bCs/>
        </w:rPr>
      </w:pPr>
    </w:p>
    <w:p w14:paraId="038CE6D6" w14:textId="77777777" w:rsidR="00D912FC" w:rsidRDefault="00D912FC" w:rsidP="007B741B">
      <w:pPr>
        <w:rPr>
          <w:rFonts w:eastAsia="Times New Roman" w:cs="Times New Roman"/>
          <w:b/>
          <w:bCs/>
        </w:rPr>
      </w:pPr>
    </w:p>
    <w:p w14:paraId="55FD08D4" w14:textId="77777777" w:rsidR="00D912FC" w:rsidRDefault="00D912FC" w:rsidP="007B741B">
      <w:pPr>
        <w:rPr>
          <w:rFonts w:eastAsia="Times New Roman" w:cs="Times New Roman"/>
          <w:b/>
          <w:bCs/>
        </w:rPr>
      </w:pPr>
    </w:p>
    <w:p w14:paraId="674A301F" w14:textId="77777777" w:rsidR="00D912FC" w:rsidRDefault="00D912FC" w:rsidP="007B741B">
      <w:pPr>
        <w:rPr>
          <w:rFonts w:eastAsia="Times New Roman" w:cs="Times New Roman"/>
          <w:b/>
          <w:bCs/>
        </w:rPr>
      </w:pPr>
    </w:p>
    <w:p w14:paraId="3AC429C9" w14:textId="77777777" w:rsidR="00D912FC" w:rsidRDefault="00D912FC" w:rsidP="007B741B">
      <w:pPr>
        <w:rPr>
          <w:rFonts w:eastAsia="Times New Roman" w:cs="Times New Roman"/>
          <w:b/>
          <w:bCs/>
        </w:rPr>
      </w:pPr>
    </w:p>
    <w:p w14:paraId="68A689CC" w14:textId="77777777" w:rsidR="00D912FC" w:rsidRDefault="00D912FC" w:rsidP="007B741B">
      <w:pPr>
        <w:rPr>
          <w:rFonts w:eastAsia="Times New Roman" w:cs="Times New Roman"/>
          <w:b/>
          <w:bCs/>
        </w:rPr>
      </w:pPr>
    </w:p>
    <w:p w14:paraId="44ADBEAF" w14:textId="77777777" w:rsidR="00D912FC" w:rsidRDefault="00D912FC" w:rsidP="007B741B">
      <w:pPr>
        <w:rPr>
          <w:rFonts w:eastAsia="Times New Roman" w:cs="Times New Roman"/>
          <w:b/>
          <w:bCs/>
        </w:rPr>
      </w:pPr>
    </w:p>
    <w:p w14:paraId="3B0FAF51" w14:textId="77777777" w:rsidR="00D912FC" w:rsidRDefault="00D912FC" w:rsidP="007B741B">
      <w:pPr>
        <w:rPr>
          <w:rFonts w:eastAsia="Times New Roman" w:cs="Times New Roman"/>
          <w:b/>
          <w:bCs/>
        </w:rPr>
      </w:pPr>
    </w:p>
    <w:p w14:paraId="2A62333A" w14:textId="5293B1D8" w:rsidR="00D912FC" w:rsidRDefault="00D912FC" w:rsidP="007B741B">
      <w:pPr>
        <w:rPr>
          <w:rFonts w:eastAsia="Times New Roman" w:cs="Times New Roman"/>
          <w:b/>
          <w:bCs/>
        </w:rPr>
      </w:pPr>
      <w:r>
        <w:rPr>
          <w:noProof/>
        </w:rPr>
        <mc:AlternateContent>
          <mc:Choice Requires="wps">
            <w:drawing>
              <wp:anchor distT="0" distB="0" distL="114300" distR="114300" simplePos="0" relativeHeight="251695104" behindDoc="0" locked="0" layoutInCell="1" allowOverlap="1" wp14:anchorId="198F9649" wp14:editId="46A688E6">
                <wp:simplePos x="0" y="0"/>
                <wp:positionH relativeFrom="column">
                  <wp:posOffset>-631825</wp:posOffset>
                </wp:positionH>
                <wp:positionV relativeFrom="paragraph">
                  <wp:posOffset>139065</wp:posOffset>
                </wp:positionV>
                <wp:extent cx="6794500" cy="635"/>
                <wp:effectExtent l="0" t="0" r="0" b="12065"/>
                <wp:wrapNone/>
                <wp:docPr id="651305899" name="Text Box 1"/>
                <wp:cNvGraphicFramePr/>
                <a:graphic xmlns:a="http://schemas.openxmlformats.org/drawingml/2006/main">
                  <a:graphicData uri="http://schemas.microsoft.com/office/word/2010/wordprocessingShape">
                    <wps:wsp>
                      <wps:cNvSpPr txBox="1"/>
                      <wps:spPr>
                        <a:xfrm>
                          <a:off x="0" y="0"/>
                          <a:ext cx="6794500" cy="635"/>
                        </a:xfrm>
                        <a:prstGeom prst="rect">
                          <a:avLst/>
                        </a:prstGeom>
                        <a:solidFill>
                          <a:prstClr val="white"/>
                        </a:solidFill>
                        <a:ln>
                          <a:noFill/>
                        </a:ln>
                      </wps:spPr>
                      <wps:txbx>
                        <w:txbxContent>
                          <w:p w14:paraId="7992A71B" w14:textId="332826C3" w:rsidR="00D912FC" w:rsidRPr="00D912FC" w:rsidRDefault="00D912FC" w:rsidP="00D912FC">
                            <w:pPr>
                              <w:pStyle w:val="DissertationTableCaption"/>
                            </w:pPr>
                            <w:bookmarkStart w:id="164" w:name="_Toc168415279"/>
                            <w:bookmarkStart w:id="165" w:name="_Toc175413222"/>
                            <w:r w:rsidRPr="00D912FC">
                              <w:t xml:space="preserve">Table A7- </w:t>
                            </w:r>
                            <w:fldSimple w:instr=" SEQ Table_A7- \* ARABIC ">
                              <w:r w:rsidR="00AF1E65">
                                <w:rPr>
                                  <w:noProof/>
                                </w:rPr>
                                <w:t>2</w:t>
                              </w:r>
                            </w:fldSimple>
                            <w:r w:rsidR="008D1375">
                              <w:rPr>
                                <w:noProof/>
                              </w:rPr>
                              <w:t>:</w:t>
                            </w:r>
                            <w:r w:rsidRPr="00D912FC">
                              <w:rPr>
                                <w:u w:val="none"/>
                              </w:rPr>
                              <w:tab/>
                              <w:t xml:space="preserve"> Thirty-Four (34) Definitions of Terrorism Implicit to State Conduct Deconstructed on the Basis of the Twenty-Eight (28) Definitional Elements of Terrorism</w:t>
                            </w:r>
                            <w:bookmarkEnd w:id="164"/>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198F9649" id="_x0000_s1038" type="#_x0000_t202" style="position:absolute;margin-left:-49.75pt;margin-top:10.95pt;width:53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" stroked="f">
                <v:textbox style="mso-fit-shape-to-text:t" inset="0,0,0,0">
                  <w:txbxContent>
                    <w:p w14:paraId="7992A71B" w14:textId="332826C3" w:rsidR="00D912FC" w:rsidRPr="00D912FC" w:rsidRDefault="00D912FC" w:rsidP="00D912FC">
                      <w:pPr>
                        <w:pStyle w:val="DissertationTableCaption"/>
                      </w:pPr>
                      <w:bookmarkStart w:id="191" w:name="_Toc168415279"/>
                      <w:bookmarkStart w:id="192" w:name="_Toc175413222"/>
                      <w:r w:rsidRPr="00D912FC">
                        <w:t xml:space="preserve">Table A7- </w:t>
                      </w:r>
                      <w:r w:rsidR="00000000">
                        <w:fldChar w:fldCharType="begin"/>
                      </w:r>
                      <w:r w:rsidR="00000000">
                        <w:instrText xml:space="preserve"> SEQ Table_A7- \* ARABIC </w:instrText>
                      </w:r>
                      <w:r w:rsidR="00000000">
                        <w:fldChar w:fldCharType="separate"/>
                      </w:r>
                      <w:r w:rsidR="00AF1E65">
                        <w:rPr>
                          <w:noProof/>
                        </w:rPr>
                        <w:t>2</w:t>
                      </w:r>
                      <w:r w:rsidR="00000000">
                        <w:rPr>
                          <w:noProof/>
                        </w:rPr>
                        <w:fldChar w:fldCharType="end"/>
                      </w:r>
                      <w:r w:rsidR="008D1375">
                        <w:rPr>
                          <w:noProof/>
                        </w:rPr>
                        <w:t>:</w:t>
                      </w:r>
                      <w:r w:rsidRPr="00D912FC">
                        <w:rPr>
                          <w:u w:val="none"/>
                        </w:rPr>
                        <w:tab/>
                        <w:t xml:space="preserve"> Thirty-Four (34) Definitions of Terrorism Implicit to State Conduct Deconstructed on the Basis of the Twenty-Eight (28) Definitional Elements of Terrorism</w:t>
                      </w:r>
                      <w:bookmarkEnd w:id="191"/>
                      <w:bookmarkEnd w:id="192"/>
                    </w:p>
                  </w:txbxContent>
                </v:textbox>
              </v:shape>
            </w:pict>
          </mc:Fallback>
        </mc:AlternateContent>
      </w:r>
    </w:p>
    <w:p w14:paraId="7412996C" w14:textId="28940BC1" w:rsidR="00D912FC" w:rsidRDefault="00D912FC" w:rsidP="007B741B">
      <w:pPr>
        <w:rPr>
          <w:rFonts w:eastAsia="Times New Roman" w:cs="Times New Roman"/>
          <w:b/>
          <w:bCs/>
        </w:rPr>
      </w:pPr>
    </w:p>
    <w:p w14:paraId="03396209" w14:textId="77777777" w:rsidR="00D912FC" w:rsidRDefault="00D912FC" w:rsidP="007B741B">
      <w:pPr>
        <w:rPr>
          <w:rFonts w:eastAsia="Times New Roman" w:cs="Times New Roman"/>
          <w:b/>
          <w:bCs/>
        </w:rPr>
      </w:pPr>
    </w:p>
    <w:p w14:paraId="10D24356" w14:textId="77777777" w:rsidR="00D912FC" w:rsidRDefault="00D912FC">
      <w:pPr>
        <w:spacing w:before="0" w:after="0"/>
        <w:rPr>
          <w:rFonts w:eastAsia="Times New Roman" w:cs="Times New Roman"/>
          <w:b/>
          <w:bCs/>
        </w:rPr>
      </w:pPr>
      <w:r>
        <w:rPr>
          <w:rFonts w:eastAsia="Times New Roman" w:cs="Times New Roman"/>
          <w:b/>
          <w:bCs/>
        </w:rPr>
        <w:br w:type="page"/>
      </w:r>
    </w:p>
    <w:p w14:paraId="1A1C42A9" w14:textId="132D2439" w:rsidR="00D912FC" w:rsidRDefault="00D912FC">
      <w:pPr>
        <w:spacing w:before="0" w:after="0"/>
        <w:rPr>
          <w:rFonts w:eastAsia="Times New Roman" w:cs="Times New Roman"/>
          <w:b/>
          <w:bCs/>
        </w:rPr>
      </w:pPr>
      <w:r>
        <w:rPr>
          <w:noProof/>
        </w:rPr>
        <w:lastRenderedPageBreak/>
        <mc:AlternateContent>
          <mc:Choice Requires="wps">
            <w:drawing>
              <wp:anchor distT="0" distB="0" distL="114300" distR="114300" simplePos="0" relativeHeight="251701248" behindDoc="0" locked="0" layoutInCell="1" allowOverlap="1" wp14:anchorId="0FF25A17" wp14:editId="12765C4F">
                <wp:simplePos x="0" y="0"/>
                <wp:positionH relativeFrom="column">
                  <wp:posOffset>-897890</wp:posOffset>
                </wp:positionH>
                <wp:positionV relativeFrom="paragraph">
                  <wp:posOffset>8359140</wp:posOffset>
                </wp:positionV>
                <wp:extent cx="5791200" cy="635"/>
                <wp:effectExtent l="0" t="0" r="0" b="12065"/>
                <wp:wrapNone/>
                <wp:docPr id="1482995047" name="Text Box 1"/>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wps:spPr>
                      <wps:txbx>
                        <w:txbxContent>
                          <w:p w14:paraId="1987261E" w14:textId="2663E8A0" w:rsidR="00D912FC" w:rsidRPr="00D912FC" w:rsidRDefault="00D912FC" w:rsidP="00D912FC">
                            <w:pPr>
                              <w:pStyle w:val="DissertationTableCaption"/>
                              <w:rPr>
                                <w:noProof/>
                                <w:sz w:val="20"/>
                                <w:szCs w:val="20"/>
                                <w:u w:val="none"/>
                              </w:rPr>
                            </w:pPr>
                            <w:bookmarkStart w:id="166" w:name="_Toc168415280"/>
                            <w:bookmarkStart w:id="167" w:name="_Toc175413223"/>
                            <w:r w:rsidRPr="000F4B47">
                              <w:t xml:space="preserve">Table A7- </w:t>
                            </w:r>
                            <w:fldSimple w:instr=" SEQ Table_A7- \* ARABIC ">
                              <w:r w:rsidR="00AF1E65">
                                <w:rPr>
                                  <w:noProof/>
                                </w:rPr>
                                <w:t>3</w:t>
                              </w:r>
                            </w:fldSimple>
                            <w:r w:rsidR="008D1375">
                              <w:rPr>
                                <w:noProof/>
                              </w:rPr>
                              <w:t>:</w:t>
                            </w:r>
                            <w:r w:rsidRPr="00D912FC">
                              <w:rPr>
                                <w:u w:val="none"/>
                              </w:rPr>
                              <w:tab/>
                              <w:t>Definitional Elements Employed in Official Country Statements Deconstructed by Case, by Country</w:t>
                            </w:r>
                            <w:bookmarkEnd w:id="166"/>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 w14:anchorId="0FF25A17" id="_x0000_s1039" type="#_x0000_t202" style="position:absolute;margin-left:-70.7pt;margin-top:658.2pt;width:456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" stroked="f">
                <v:textbox style="mso-fit-shape-to-text:t" inset="0,0,0,0">
                  <w:txbxContent>
                    <w:p w14:paraId="1987261E" w14:textId="2663E8A0" w:rsidR="00D912FC" w:rsidRPr="00D912FC" w:rsidRDefault="00D912FC" w:rsidP="00D912FC">
                      <w:pPr>
                        <w:pStyle w:val="DissertationTableCaption"/>
                        <w:rPr>
                          <w:noProof/>
                          <w:sz w:val="20"/>
                          <w:szCs w:val="20"/>
                          <w:u w:val="none"/>
                        </w:rPr>
                      </w:pPr>
                      <w:bookmarkStart w:id="195" w:name="_Toc168415280"/>
                      <w:bookmarkStart w:id="196" w:name="_Toc175413223"/>
                      <w:r w:rsidRPr="000F4B47">
                        <w:t xml:space="preserve">Table A7- </w:t>
                      </w:r>
                      <w:r w:rsidR="00000000">
                        <w:fldChar w:fldCharType="begin"/>
                      </w:r>
                      <w:r w:rsidR="00000000">
                        <w:instrText xml:space="preserve"> SEQ Table_A7- \* ARABIC </w:instrText>
                      </w:r>
                      <w:r w:rsidR="00000000">
                        <w:fldChar w:fldCharType="separate"/>
                      </w:r>
                      <w:r w:rsidR="00AF1E65">
                        <w:rPr>
                          <w:noProof/>
                        </w:rPr>
                        <w:t>3</w:t>
                      </w:r>
                      <w:r w:rsidR="00000000">
                        <w:rPr>
                          <w:noProof/>
                        </w:rPr>
                        <w:fldChar w:fldCharType="end"/>
                      </w:r>
                      <w:r w:rsidR="008D1375">
                        <w:rPr>
                          <w:noProof/>
                        </w:rPr>
                        <w:t>:</w:t>
                      </w:r>
                      <w:r w:rsidRPr="00D912FC">
                        <w:rPr>
                          <w:u w:val="none"/>
                        </w:rPr>
                        <w:tab/>
                        <w:t>Definitional Elements Employed in Official Country Statements Deconstructed by Case, by Country</w:t>
                      </w:r>
                      <w:bookmarkEnd w:id="195"/>
                      <w:bookmarkEnd w:id="196"/>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B85435F" wp14:editId="18166C5B">
                <wp:simplePos x="0" y="0"/>
                <wp:positionH relativeFrom="column">
                  <wp:posOffset>4766310</wp:posOffset>
                </wp:positionH>
                <wp:positionV relativeFrom="paragraph">
                  <wp:posOffset>1943100</wp:posOffset>
                </wp:positionV>
                <wp:extent cx="1257300" cy="4749800"/>
                <wp:effectExtent l="0" t="0" r="12700" b="12700"/>
                <wp:wrapNone/>
                <wp:docPr id="47788352" name="Text Box 3"/>
                <wp:cNvGraphicFramePr/>
                <a:graphic xmlns:a="http://schemas.openxmlformats.org/drawingml/2006/main">
                  <a:graphicData uri="http://schemas.microsoft.com/office/word/2010/wordprocessingShape">
                    <wps:wsp>
                      <wps:cNvSpPr txBox="1"/>
                      <wps:spPr>
                        <a:xfrm>
                          <a:off x="0" y="0"/>
                          <a:ext cx="1257300" cy="4749800"/>
                        </a:xfrm>
                        <a:prstGeom prst="rect">
                          <a:avLst/>
                        </a:prstGeom>
                        <a:solidFill>
                          <a:schemeClr val="lt1"/>
                        </a:solidFill>
                        <a:ln w="6350">
                          <a:solidFill>
                            <a:prstClr val="black"/>
                          </a:solidFill>
                        </a:ln>
                      </wps:spPr>
                      <wps:txbx>
                        <w:txbxContent>
                          <w:p w14:paraId="618C78A0" w14:textId="77777777" w:rsidR="00D912FC" w:rsidRPr="00F73F62" w:rsidRDefault="00D912FC" w:rsidP="00D912FC">
                            <w:pPr>
                              <w:pBdr>
                                <w:top w:val="single" w:sz="4" w:space="1" w:color="auto"/>
                                <w:left w:val="single" w:sz="4" w:space="4" w:color="auto"/>
                                <w:bottom w:val="single" w:sz="4" w:space="1" w:color="auto"/>
                                <w:right w:val="single" w:sz="4" w:space="4" w:color="auto"/>
                              </w:pBdr>
                              <w:jc w:val="center"/>
                              <w:rPr>
                                <w:b/>
                                <w:bCs/>
                                <w:u w:val="single"/>
                              </w:rPr>
                            </w:pPr>
                            <w:r w:rsidRPr="00F73F62">
                              <w:rPr>
                                <w:b/>
                                <w:bCs/>
                                <w:u w:val="single"/>
                              </w:rPr>
                              <w:t>LEGEND</w:t>
                            </w:r>
                          </w:p>
                          <w:p w14:paraId="64FC6BF6" w14:textId="77777777" w:rsidR="00D912FC" w:rsidRPr="00F73F62" w:rsidRDefault="00D912FC" w:rsidP="00D912FC">
                            <w:pPr>
                              <w:pBdr>
                                <w:top w:val="single" w:sz="4" w:space="1" w:color="auto"/>
                                <w:left w:val="single" w:sz="4" w:space="4" w:color="auto"/>
                                <w:bottom w:val="single" w:sz="4" w:space="1" w:color="auto"/>
                                <w:right w:val="single" w:sz="4" w:space="4" w:color="auto"/>
                              </w:pBdr>
                              <w:jc w:val="center"/>
                              <w:rPr>
                                <w:b/>
                                <w:bCs/>
                              </w:rPr>
                            </w:pPr>
                          </w:p>
                          <w:p w14:paraId="42C6B467" w14:textId="77777777" w:rsidR="00D912FC" w:rsidRDefault="00D912FC" w:rsidP="00D912FC">
                            <w:pPr>
                              <w:pBdr>
                                <w:top w:val="single" w:sz="4" w:space="1" w:color="auto"/>
                                <w:left w:val="single" w:sz="4" w:space="4" w:color="auto"/>
                                <w:bottom w:val="single" w:sz="4" w:space="1" w:color="auto"/>
                                <w:right w:val="single" w:sz="4" w:space="4" w:color="auto"/>
                              </w:pBdr>
                            </w:pPr>
                            <w:r w:rsidRPr="00F73F62">
                              <w:rPr>
                                <w:b/>
                                <w:bCs/>
                                <w:color w:val="FF0000"/>
                              </w:rPr>
                              <w:t xml:space="preserve">Red Text </w:t>
                            </w:r>
                            <w:r>
                              <w:t>– statement made by a former governmental/diplomatic official or a political opposition leader (not factored into analysis)</w:t>
                            </w:r>
                          </w:p>
                          <w:p w14:paraId="5C03ACCE" w14:textId="77777777" w:rsidR="00D912FC" w:rsidRDefault="00D912FC" w:rsidP="00D912FC">
                            <w:pPr>
                              <w:pBdr>
                                <w:top w:val="single" w:sz="4" w:space="1" w:color="auto"/>
                                <w:left w:val="single" w:sz="4" w:space="4" w:color="auto"/>
                                <w:bottom w:val="single" w:sz="4" w:space="1" w:color="auto"/>
                                <w:right w:val="single" w:sz="4" w:space="4" w:color="auto"/>
                              </w:pBdr>
                            </w:pPr>
                          </w:p>
                          <w:p w14:paraId="14094F6D" w14:textId="77777777" w:rsidR="00D912FC" w:rsidRDefault="00D912FC" w:rsidP="00D912FC">
                            <w:pPr>
                              <w:pBdr>
                                <w:top w:val="single" w:sz="4" w:space="1" w:color="auto"/>
                                <w:left w:val="single" w:sz="4" w:space="4" w:color="auto"/>
                                <w:bottom w:val="single" w:sz="4" w:space="1" w:color="auto"/>
                                <w:right w:val="single" w:sz="4" w:space="4" w:color="auto"/>
                              </w:pBdr>
                            </w:pPr>
                            <w:r w:rsidRPr="00F73F62">
                              <w:rPr>
                                <w:b/>
                                <w:bCs/>
                                <w:highlight w:val="yellow"/>
                                <w:bdr w:val="single" w:sz="4" w:space="0" w:color="auto"/>
                              </w:rPr>
                              <w:t>Yellow Highlight</w:t>
                            </w:r>
                            <w:r>
                              <w:t xml:space="preserve"> – total count of definitional elements (row/horizontal), OR total count as to how many country statements employ that specific word element (column/vertical)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85435F" id="Text Box 3" o:spid="_x0000_s1040" type="#_x0000_t202" style="position:absolute;margin-left:375.3pt;margin-top:153pt;width:99pt;height:3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" fillcolor="white [3201]" strokeweight=".5pt">
                <v:textbox>
                  <w:txbxContent>
                    <w:p w14:paraId="618C78A0" w14:textId="77777777" w:rsidR="00D912FC" w:rsidRPr="00F73F62" w:rsidRDefault="00D912FC" w:rsidP="00D912FC">
                      <w:pPr>
                        <w:pBdr>
                          <w:top w:val="single" w:sz="4" w:space="1" w:color="auto"/>
                          <w:left w:val="single" w:sz="4" w:space="4" w:color="auto"/>
                          <w:bottom w:val="single" w:sz="4" w:space="1" w:color="auto"/>
                          <w:right w:val="single" w:sz="4" w:space="4" w:color="auto"/>
                        </w:pBdr>
                        <w:jc w:val="center"/>
                        <w:rPr>
                          <w:b/>
                          <w:bCs/>
                          <w:u w:val="single"/>
                        </w:rPr>
                      </w:pPr>
                      <w:r w:rsidRPr="00F73F62">
                        <w:rPr>
                          <w:b/>
                          <w:bCs/>
                          <w:u w:val="single"/>
                        </w:rPr>
                        <w:t>LEGEND</w:t>
                      </w:r>
                    </w:p>
                    <w:p w14:paraId="64FC6BF6" w14:textId="77777777" w:rsidR="00D912FC" w:rsidRPr="00F73F62" w:rsidRDefault="00D912FC" w:rsidP="00D912FC">
                      <w:pPr>
                        <w:pBdr>
                          <w:top w:val="single" w:sz="4" w:space="1" w:color="auto"/>
                          <w:left w:val="single" w:sz="4" w:space="4" w:color="auto"/>
                          <w:bottom w:val="single" w:sz="4" w:space="1" w:color="auto"/>
                          <w:right w:val="single" w:sz="4" w:space="4" w:color="auto"/>
                        </w:pBdr>
                        <w:jc w:val="center"/>
                        <w:rPr>
                          <w:b/>
                          <w:bCs/>
                        </w:rPr>
                      </w:pPr>
                    </w:p>
                    <w:p w14:paraId="42C6B467" w14:textId="77777777" w:rsidR="00D912FC" w:rsidRDefault="00D912FC" w:rsidP="00D912FC">
                      <w:pPr>
                        <w:pBdr>
                          <w:top w:val="single" w:sz="4" w:space="1" w:color="auto"/>
                          <w:left w:val="single" w:sz="4" w:space="4" w:color="auto"/>
                          <w:bottom w:val="single" w:sz="4" w:space="1" w:color="auto"/>
                          <w:right w:val="single" w:sz="4" w:space="4" w:color="auto"/>
                        </w:pBdr>
                      </w:pPr>
                      <w:r w:rsidRPr="00F73F62">
                        <w:rPr>
                          <w:b/>
                          <w:bCs/>
                          <w:color w:val="FF0000"/>
                        </w:rPr>
                        <w:t xml:space="preserve">Red Text </w:t>
                      </w:r>
                      <w:r>
                        <w:t>– statement made by a former governmental/diplomatic official or a political opposition leader (not factored into analysis)</w:t>
                      </w:r>
                    </w:p>
                    <w:p w14:paraId="5C03ACCE" w14:textId="77777777" w:rsidR="00D912FC" w:rsidRDefault="00D912FC" w:rsidP="00D912FC">
                      <w:pPr>
                        <w:pBdr>
                          <w:top w:val="single" w:sz="4" w:space="1" w:color="auto"/>
                          <w:left w:val="single" w:sz="4" w:space="4" w:color="auto"/>
                          <w:bottom w:val="single" w:sz="4" w:space="1" w:color="auto"/>
                          <w:right w:val="single" w:sz="4" w:space="4" w:color="auto"/>
                        </w:pBdr>
                      </w:pPr>
                    </w:p>
                    <w:p w14:paraId="14094F6D" w14:textId="77777777" w:rsidR="00D912FC" w:rsidRDefault="00D912FC" w:rsidP="00D912FC">
                      <w:pPr>
                        <w:pBdr>
                          <w:top w:val="single" w:sz="4" w:space="1" w:color="auto"/>
                          <w:left w:val="single" w:sz="4" w:space="4" w:color="auto"/>
                          <w:bottom w:val="single" w:sz="4" w:space="1" w:color="auto"/>
                          <w:right w:val="single" w:sz="4" w:space="4" w:color="auto"/>
                        </w:pBdr>
                      </w:pPr>
                      <w:r w:rsidRPr="00F73F62">
                        <w:rPr>
                          <w:b/>
                          <w:bCs/>
                          <w:highlight w:val="yellow"/>
                          <w:bdr w:val="single" w:sz="4" w:space="0" w:color="auto"/>
                        </w:rPr>
                        <w:t>Yellow Highlight</w:t>
                      </w:r>
                      <w:r>
                        <w:t xml:space="preserve"> – total count of definitional elements (row/horizontal), OR total count as to how many country statements employ that specific word element (column/vertical) </w:t>
                      </w:r>
                    </w:p>
                  </w:txbxContent>
                </v:textbox>
              </v:shape>
            </w:pict>
          </mc:Fallback>
        </mc:AlternateContent>
      </w:r>
      <w:r>
        <w:rPr>
          <w:rFonts w:cs="Times New Roman"/>
          <w:noProof/>
          <w:sz w:val="20"/>
          <w:szCs w:val="20"/>
        </w:rPr>
        <w:drawing>
          <wp:anchor distT="0" distB="0" distL="114300" distR="114300" simplePos="0" relativeHeight="251697152" behindDoc="0" locked="0" layoutInCell="1" allowOverlap="1" wp14:anchorId="5B753002" wp14:editId="6DB5B8ED">
            <wp:simplePos x="0" y="0"/>
            <wp:positionH relativeFrom="column">
              <wp:posOffset>-783590</wp:posOffset>
            </wp:positionH>
            <wp:positionV relativeFrom="paragraph">
              <wp:posOffset>50800</wp:posOffset>
            </wp:positionV>
            <wp:extent cx="5346700" cy="8241153"/>
            <wp:effectExtent l="0" t="0" r="0" b="1270"/>
            <wp:wrapNone/>
            <wp:docPr id="192513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33444" name="Picture 1925133444"/>
                    <pic:cNvPicPr/>
                  </pic:nvPicPr>
                  <pic:blipFill rotWithShape="1">
                    <a:blip r:embed="rId51">
                      <a:extLst>
                        <a:ext uri="{28A0092B-C50C-407E-A947-70E740481C1C}">
                          <a14:useLocalDpi xmlns:a14="http://schemas.microsoft.com/office/drawing/2010/main" val="0"/>
                        </a:ext>
                      </a:extLst>
                    </a:blip>
                    <a:srcRect l="14199" t="7215" r="14090" b="7374"/>
                    <a:stretch/>
                  </pic:blipFill>
                  <pic:spPr bwMode="auto">
                    <a:xfrm>
                      <a:off x="0" y="0"/>
                      <a:ext cx="5346700" cy="8241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b/>
          <w:bCs/>
        </w:rPr>
        <w:br w:type="page"/>
      </w:r>
    </w:p>
    <w:p w14:paraId="7080CE73" w14:textId="54D22135" w:rsidR="00D912FC" w:rsidRPr="000F4B47" w:rsidRDefault="00D912FC" w:rsidP="00D912FC">
      <w:pPr>
        <w:pStyle w:val="DissertationTableCaption"/>
      </w:pPr>
    </w:p>
    <w:tbl>
      <w:tblPr>
        <w:tblStyle w:val="GridTable5Dark"/>
        <w:tblpPr w:leftFromText="180" w:rightFromText="180" w:vertAnchor="page" w:horzAnchor="margin" w:tblpXSpec="center" w:tblpY="1861"/>
        <w:tblW w:w="10774" w:type="dxa"/>
        <w:tblLook w:val="04A0" w:firstRow="1" w:lastRow="0" w:firstColumn="1" w:lastColumn="0" w:noHBand="0" w:noVBand="1"/>
      </w:tblPr>
      <w:tblGrid>
        <w:gridCol w:w="1329"/>
        <w:gridCol w:w="2716"/>
        <w:gridCol w:w="2389"/>
        <w:gridCol w:w="4340"/>
      </w:tblGrid>
      <w:tr w:rsidR="00D912FC" w:rsidRPr="007A45D1" w14:paraId="024E63A7" w14:textId="77777777" w:rsidTr="00D91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5FC40682" w14:textId="77777777" w:rsidR="00D912FC" w:rsidRPr="00D912FC" w:rsidRDefault="00D912FC" w:rsidP="00D912FC">
            <w:pPr>
              <w:spacing w:before="0" w:after="0"/>
              <w:jc w:val="center"/>
              <w:rPr>
                <w:rFonts w:cs="Times New Roman"/>
                <w:szCs w:val="22"/>
              </w:rPr>
            </w:pPr>
            <w:r w:rsidRPr="00D912FC">
              <w:rPr>
                <w:rFonts w:cs="Times New Roman"/>
                <w:szCs w:val="22"/>
              </w:rPr>
              <w:t>Definitional Element</w:t>
            </w:r>
          </w:p>
          <w:p w14:paraId="7E3A854F" w14:textId="77777777" w:rsidR="00D912FC" w:rsidRPr="00D912FC" w:rsidRDefault="00D912FC" w:rsidP="00D912FC">
            <w:pPr>
              <w:spacing w:before="0" w:after="0"/>
              <w:jc w:val="center"/>
              <w:rPr>
                <w:rFonts w:cs="Times New Roman"/>
                <w:szCs w:val="22"/>
              </w:rPr>
            </w:pPr>
            <w:r w:rsidRPr="00D912FC">
              <w:rPr>
                <w:rFonts w:cs="Times New Roman"/>
                <w:szCs w:val="22"/>
              </w:rPr>
              <w:t>No.</w:t>
            </w:r>
          </w:p>
        </w:tc>
        <w:tc>
          <w:tcPr>
            <w:tcW w:w="2716" w:type="dxa"/>
          </w:tcPr>
          <w:p w14:paraId="261930F8" w14:textId="77777777" w:rsidR="00D912FC" w:rsidRPr="00D912FC" w:rsidRDefault="00D912FC" w:rsidP="00D912FC">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Recurrence Frequency in Legislative Policy Definition</w:t>
            </w:r>
          </w:p>
        </w:tc>
        <w:tc>
          <w:tcPr>
            <w:tcW w:w="2389" w:type="dxa"/>
          </w:tcPr>
          <w:p w14:paraId="2F786AF1" w14:textId="7CE30E3E" w:rsidR="00D912FC" w:rsidRPr="00D912FC" w:rsidRDefault="00D912FC" w:rsidP="00D912FC">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Recurrence Frequency in State Conduct Definition</w:t>
            </w:r>
          </w:p>
        </w:tc>
        <w:tc>
          <w:tcPr>
            <w:tcW w:w="4340" w:type="dxa"/>
          </w:tcPr>
          <w:p w14:paraId="39AB7904" w14:textId="788C06A9" w:rsidR="00D912FC" w:rsidRPr="00D912FC" w:rsidRDefault="00D912FC" w:rsidP="00D912FC">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Recurrence Frequency in Relation to the Overlap between Policy and State Conduct Definition</w:t>
            </w:r>
          </w:p>
        </w:tc>
      </w:tr>
      <w:tr w:rsidR="00D912FC" w:rsidRPr="007A45D1" w14:paraId="38305EAC"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14519EF0" w14:textId="77777777" w:rsidR="00D912FC" w:rsidRPr="00D912FC" w:rsidRDefault="00D912FC" w:rsidP="00D912FC">
            <w:pPr>
              <w:spacing w:before="0" w:after="0"/>
              <w:jc w:val="center"/>
              <w:rPr>
                <w:rFonts w:cs="Times New Roman"/>
                <w:szCs w:val="22"/>
              </w:rPr>
            </w:pPr>
            <w:r w:rsidRPr="00D912FC">
              <w:rPr>
                <w:rFonts w:cs="Times New Roman"/>
                <w:szCs w:val="22"/>
              </w:rPr>
              <w:t>1</w:t>
            </w:r>
          </w:p>
        </w:tc>
        <w:tc>
          <w:tcPr>
            <w:tcW w:w="2716" w:type="dxa"/>
          </w:tcPr>
          <w:p w14:paraId="1A4B298B"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27%</w:t>
            </w:r>
          </w:p>
        </w:tc>
        <w:tc>
          <w:tcPr>
            <w:tcW w:w="2389" w:type="dxa"/>
          </w:tcPr>
          <w:p w14:paraId="5085877F"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2.94%</w:t>
            </w:r>
          </w:p>
        </w:tc>
        <w:tc>
          <w:tcPr>
            <w:tcW w:w="4340" w:type="dxa"/>
          </w:tcPr>
          <w:p w14:paraId="2DABF059" w14:textId="02F8AFB2"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2.94%</w:t>
            </w:r>
          </w:p>
        </w:tc>
      </w:tr>
      <w:tr w:rsidR="00D912FC" w:rsidRPr="007A45D1" w14:paraId="4AB0139C"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32ACCC3E" w14:textId="77777777" w:rsidR="00D912FC" w:rsidRPr="00D912FC" w:rsidRDefault="00D912FC" w:rsidP="00D912FC">
            <w:pPr>
              <w:spacing w:before="0" w:after="0"/>
              <w:jc w:val="center"/>
              <w:rPr>
                <w:rFonts w:cs="Times New Roman"/>
                <w:szCs w:val="22"/>
              </w:rPr>
            </w:pPr>
            <w:r w:rsidRPr="00D912FC">
              <w:rPr>
                <w:rFonts w:cs="Times New Roman"/>
                <w:szCs w:val="22"/>
              </w:rPr>
              <w:t>2</w:t>
            </w:r>
          </w:p>
        </w:tc>
        <w:tc>
          <w:tcPr>
            <w:tcW w:w="2716" w:type="dxa"/>
          </w:tcPr>
          <w:p w14:paraId="2A24459C"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68%</w:t>
            </w:r>
          </w:p>
        </w:tc>
        <w:tc>
          <w:tcPr>
            <w:tcW w:w="2389" w:type="dxa"/>
          </w:tcPr>
          <w:p w14:paraId="4C8F3867"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2.94%</w:t>
            </w:r>
          </w:p>
        </w:tc>
        <w:tc>
          <w:tcPr>
            <w:tcW w:w="4340" w:type="dxa"/>
          </w:tcPr>
          <w:p w14:paraId="2D73B33E" w14:textId="7473AB7E"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2.94%</w:t>
            </w:r>
          </w:p>
        </w:tc>
      </w:tr>
      <w:tr w:rsidR="00D912FC" w:rsidRPr="007A45D1" w14:paraId="51E18CE9"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5FED2974" w14:textId="77777777" w:rsidR="00D912FC" w:rsidRPr="00D912FC" w:rsidRDefault="00D912FC" w:rsidP="00D912FC">
            <w:pPr>
              <w:spacing w:before="0" w:after="0"/>
              <w:jc w:val="center"/>
              <w:rPr>
                <w:rFonts w:cs="Times New Roman"/>
                <w:szCs w:val="22"/>
              </w:rPr>
            </w:pPr>
            <w:r w:rsidRPr="00D912FC">
              <w:rPr>
                <w:rFonts w:cs="Times New Roman"/>
                <w:szCs w:val="22"/>
              </w:rPr>
              <w:t>3</w:t>
            </w:r>
          </w:p>
        </w:tc>
        <w:tc>
          <w:tcPr>
            <w:tcW w:w="2716" w:type="dxa"/>
          </w:tcPr>
          <w:p w14:paraId="285C228E"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32%</w:t>
            </w:r>
          </w:p>
        </w:tc>
        <w:tc>
          <w:tcPr>
            <w:tcW w:w="2389" w:type="dxa"/>
          </w:tcPr>
          <w:p w14:paraId="71A66C23"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188F70A8"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787DA9D8"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54E7A31B" w14:textId="77777777" w:rsidR="00D912FC" w:rsidRPr="00D912FC" w:rsidRDefault="00D912FC" w:rsidP="00D912FC">
            <w:pPr>
              <w:spacing w:before="0" w:after="0"/>
              <w:jc w:val="center"/>
              <w:rPr>
                <w:rFonts w:cs="Times New Roman"/>
                <w:szCs w:val="22"/>
              </w:rPr>
            </w:pPr>
            <w:r w:rsidRPr="00D912FC">
              <w:rPr>
                <w:rFonts w:cs="Times New Roman"/>
                <w:szCs w:val="22"/>
              </w:rPr>
              <w:t>4</w:t>
            </w:r>
          </w:p>
        </w:tc>
        <w:tc>
          <w:tcPr>
            <w:tcW w:w="2716" w:type="dxa"/>
          </w:tcPr>
          <w:p w14:paraId="55692231"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78%</w:t>
            </w:r>
          </w:p>
        </w:tc>
        <w:tc>
          <w:tcPr>
            <w:tcW w:w="2389" w:type="dxa"/>
          </w:tcPr>
          <w:p w14:paraId="3D519468"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23.53%</w:t>
            </w:r>
          </w:p>
        </w:tc>
        <w:tc>
          <w:tcPr>
            <w:tcW w:w="4340" w:type="dxa"/>
          </w:tcPr>
          <w:p w14:paraId="7DB7351E" w14:textId="0AB7BADB"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17.65%</w:t>
            </w:r>
          </w:p>
        </w:tc>
      </w:tr>
      <w:tr w:rsidR="00D912FC" w:rsidRPr="007A45D1" w14:paraId="007044CF"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07E9BDAE" w14:textId="77777777" w:rsidR="00D912FC" w:rsidRPr="00D912FC" w:rsidRDefault="00D912FC" w:rsidP="00D912FC">
            <w:pPr>
              <w:spacing w:before="0" w:after="0"/>
              <w:jc w:val="center"/>
              <w:rPr>
                <w:rFonts w:cs="Times New Roman"/>
                <w:szCs w:val="22"/>
              </w:rPr>
            </w:pPr>
            <w:r w:rsidRPr="00D912FC">
              <w:rPr>
                <w:rFonts w:cs="Times New Roman"/>
                <w:szCs w:val="22"/>
              </w:rPr>
              <w:t>5</w:t>
            </w:r>
          </w:p>
        </w:tc>
        <w:tc>
          <w:tcPr>
            <w:tcW w:w="2716" w:type="dxa"/>
          </w:tcPr>
          <w:p w14:paraId="2D1E7994"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42%</w:t>
            </w:r>
          </w:p>
        </w:tc>
        <w:tc>
          <w:tcPr>
            <w:tcW w:w="2389" w:type="dxa"/>
          </w:tcPr>
          <w:p w14:paraId="052AF38B"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5.88%</w:t>
            </w:r>
          </w:p>
        </w:tc>
        <w:tc>
          <w:tcPr>
            <w:tcW w:w="4340" w:type="dxa"/>
          </w:tcPr>
          <w:p w14:paraId="5BCDC7A1"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2.94%</w:t>
            </w:r>
          </w:p>
        </w:tc>
      </w:tr>
      <w:tr w:rsidR="00D912FC" w:rsidRPr="007A45D1" w14:paraId="06E09276"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6E0C5A17" w14:textId="77777777" w:rsidR="00D912FC" w:rsidRPr="00D912FC" w:rsidRDefault="00D912FC" w:rsidP="00D912FC">
            <w:pPr>
              <w:spacing w:before="0" w:after="0"/>
              <w:jc w:val="center"/>
              <w:rPr>
                <w:rFonts w:cs="Times New Roman"/>
                <w:szCs w:val="22"/>
              </w:rPr>
            </w:pPr>
            <w:r w:rsidRPr="00D912FC">
              <w:rPr>
                <w:rFonts w:cs="Times New Roman"/>
                <w:szCs w:val="22"/>
              </w:rPr>
              <w:t>6</w:t>
            </w:r>
          </w:p>
        </w:tc>
        <w:tc>
          <w:tcPr>
            <w:tcW w:w="2716" w:type="dxa"/>
          </w:tcPr>
          <w:p w14:paraId="6AE91A97"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61%</w:t>
            </w:r>
          </w:p>
        </w:tc>
        <w:tc>
          <w:tcPr>
            <w:tcW w:w="2389" w:type="dxa"/>
          </w:tcPr>
          <w:p w14:paraId="0BAE105D"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2..94%</w:t>
            </w:r>
          </w:p>
        </w:tc>
        <w:tc>
          <w:tcPr>
            <w:tcW w:w="4340" w:type="dxa"/>
          </w:tcPr>
          <w:p w14:paraId="2FB67CDA"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6279CD8F"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705F757B" w14:textId="77777777" w:rsidR="00D912FC" w:rsidRPr="00D912FC" w:rsidRDefault="00D912FC" w:rsidP="00D912FC">
            <w:pPr>
              <w:spacing w:before="0" w:after="0"/>
              <w:jc w:val="center"/>
              <w:rPr>
                <w:rFonts w:cs="Times New Roman"/>
                <w:szCs w:val="22"/>
              </w:rPr>
            </w:pPr>
            <w:r w:rsidRPr="00D912FC">
              <w:rPr>
                <w:rFonts w:cs="Times New Roman"/>
                <w:szCs w:val="22"/>
              </w:rPr>
              <w:t>7</w:t>
            </w:r>
          </w:p>
        </w:tc>
        <w:tc>
          <w:tcPr>
            <w:tcW w:w="2716" w:type="dxa"/>
          </w:tcPr>
          <w:p w14:paraId="192AEDDE"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53%</w:t>
            </w:r>
          </w:p>
        </w:tc>
        <w:tc>
          <w:tcPr>
            <w:tcW w:w="2389" w:type="dxa"/>
          </w:tcPr>
          <w:p w14:paraId="1EF40CA1"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11.76%</w:t>
            </w:r>
          </w:p>
        </w:tc>
        <w:tc>
          <w:tcPr>
            <w:tcW w:w="4340" w:type="dxa"/>
          </w:tcPr>
          <w:p w14:paraId="1395520F" w14:textId="534EDACF"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8.82%</w:t>
            </w:r>
          </w:p>
        </w:tc>
      </w:tr>
      <w:tr w:rsidR="00D912FC" w:rsidRPr="007A45D1" w14:paraId="3BD85789"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75CFC50E" w14:textId="77777777" w:rsidR="00D912FC" w:rsidRPr="00D912FC" w:rsidRDefault="00D912FC" w:rsidP="00D912FC">
            <w:pPr>
              <w:spacing w:before="0" w:after="0"/>
              <w:jc w:val="center"/>
              <w:rPr>
                <w:rFonts w:cs="Times New Roman"/>
                <w:szCs w:val="22"/>
              </w:rPr>
            </w:pPr>
            <w:r w:rsidRPr="00D912FC">
              <w:rPr>
                <w:rFonts w:cs="Times New Roman"/>
                <w:szCs w:val="22"/>
              </w:rPr>
              <w:t>8</w:t>
            </w:r>
          </w:p>
        </w:tc>
        <w:tc>
          <w:tcPr>
            <w:tcW w:w="2716" w:type="dxa"/>
          </w:tcPr>
          <w:p w14:paraId="3EC7AFAF"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66%</w:t>
            </w:r>
          </w:p>
        </w:tc>
        <w:tc>
          <w:tcPr>
            <w:tcW w:w="2389" w:type="dxa"/>
          </w:tcPr>
          <w:p w14:paraId="0DABA152"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47.06%</w:t>
            </w:r>
          </w:p>
        </w:tc>
        <w:tc>
          <w:tcPr>
            <w:tcW w:w="4340" w:type="dxa"/>
          </w:tcPr>
          <w:p w14:paraId="0C588AFA" w14:textId="3A197E4F"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26.47%</w:t>
            </w:r>
          </w:p>
        </w:tc>
      </w:tr>
      <w:tr w:rsidR="00D912FC" w:rsidRPr="007A45D1" w14:paraId="1E7C0539"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75A2FDE1" w14:textId="77777777" w:rsidR="00D912FC" w:rsidRPr="00D912FC" w:rsidRDefault="00D912FC" w:rsidP="00D912FC">
            <w:pPr>
              <w:spacing w:before="0" w:after="0"/>
              <w:jc w:val="center"/>
              <w:rPr>
                <w:rFonts w:cs="Times New Roman"/>
                <w:szCs w:val="22"/>
              </w:rPr>
            </w:pPr>
            <w:r w:rsidRPr="00D912FC">
              <w:rPr>
                <w:rFonts w:cs="Times New Roman"/>
                <w:szCs w:val="22"/>
              </w:rPr>
              <w:t>9</w:t>
            </w:r>
          </w:p>
        </w:tc>
        <w:tc>
          <w:tcPr>
            <w:tcW w:w="2716" w:type="dxa"/>
          </w:tcPr>
          <w:p w14:paraId="08F29C26"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21%</w:t>
            </w:r>
          </w:p>
        </w:tc>
        <w:tc>
          <w:tcPr>
            <w:tcW w:w="2389" w:type="dxa"/>
          </w:tcPr>
          <w:p w14:paraId="5E5D1793"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345E3DF7"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1D0C8DDB"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16E1230B" w14:textId="77777777" w:rsidR="00D912FC" w:rsidRPr="00D912FC" w:rsidRDefault="00D912FC" w:rsidP="00D912FC">
            <w:pPr>
              <w:spacing w:before="0" w:after="0"/>
              <w:jc w:val="center"/>
              <w:rPr>
                <w:rFonts w:cs="Times New Roman"/>
                <w:szCs w:val="22"/>
              </w:rPr>
            </w:pPr>
            <w:r w:rsidRPr="00D912FC">
              <w:rPr>
                <w:rFonts w:cs="Times New Roman"/>
                <w:szCs w:val="22"/>
              </w:rPr>
              <w:t>10</w:t>
            </w:r>
          </w:p>
        </w:tc>
        <w:tc>
          <w:tcPr>
            <w:tcW w:w="2716" w:type="dxa"/>
          </w:tcPr>
          <w:p w14:paraId="560A0D79"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3%</w:t>
            </w:r>
          </w:p>
        </w:tc>
        <w:tc>
          <w:tcPr>
            <w:tcW w:w="2389" w:type="dxa"/>
          </w:tcPr>
          <w:p w14:paraId="5AB3C8CD"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3E2B4540"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1AD2509D"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05AAC9BA" w14:textId="77777777" w:rsidR="00D912FC" w:rsidRPr="00D912FC" w:rsidRDefault="00D912FC" w:rsidP="00D912FC">
            <w:pPr>
              <w:spacing w:before="0" w:after="0"/>
              <w:jc w:val="center"/>
              <w:rPr>
                <w:rFonts w:cs="Times New Roman"/>
                <w:szCs w:val="22"/>
              </w:rPr>
            </w:pPr>
            <w:r w:rsidRPr="00D912FC">
              <w:rPr>
                <w:rFonts w:cs="Times New Roman"/>
                <w:szCs w:val="22"/>
              </w:rPr>
              <w:t>11</w:t>
            </w:r>
          </w:p>
        </w:tc>
        <w:tc>
          <w:tcPr>
            <w:tcW w:w="2716" w:type="dxa"/>
          </w:tcPr>
          <w:p w14:paraId="04099CC5"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47%</w:t>
            </w:r>
          </w:p>
        </w:tc>
        <w:tc>
          <w:tcPr>
            <w:tcW w:w="2389" w:type="dxa"/>
          </w:tcPr>
          <w:p w14:paraId="7FCFEDE1"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5.88%</w:t>
            </w:r>
          </w:p>
        </w:tc>
        <w:tc>
          <w:tcPr>
            <w:tcW w:w="4340" w:type="dxa"/>
          </w:tcPr>
          <w:p w14:paraId="66E5D968"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2.94%</w:t>
            </w:r>
          </w:p>
        </w:tc>
      </w:tr>
      <w:tr w:rsidR="00D912FC" w:rsidRPr="007A45D1" w14:paraId="5F66113C"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116B44BF" w14:textId="77777777" w:rsidR="00D912FC" w:rsidRPr="00D912FC" w:rsidRDefault="00D912FC" w:rsidP="00D912FC">
            <w:pPr>
              <w:spacing w:before="0" w:after="0"/>
              <w:jc w:val="center"/>
              <w:rPr>
                <w:rFonts w:cs="Times New Roman"/>
                <w:szCs w:val="22"/>
              </w:rPr>
            </w:pPr>
            <w:r w:rsidRPr="00D912FC">
              <w:rPr>
                <w:rFonts w:cs="Times New Roman"/>
                <w:szCs w:val="22"/>
              </w:rPr>
              <w:t>12</w:t>
            </w:r>
          </w:p>
        </w:tc>
        <w:tc>
          <w:tcPr>
            <w:tcW w:w="2716" w:type="dxa"/>
          </w:tcPr>
          <w:p w14:paraId="5B38FF38"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31%</w:t>
            </w:r>
          </w:p>
        </w:tc>
        <w:tc>
          <w:tcPr>
            <w:tcW w:w="2389" w:type="dxa"/>
          </w:tcPr>
          <w:p w14:paraId="34A3EB26"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0F80E88D"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5B83FE08"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69B0047C" w14:textId="77777777" w:rsidR="00D912FC" w:rsidRPr="00D912FC" w:rsidRDefault="00D912FC" w:rsidP="00D912FC">
            <w:pPr>
              <w:spacing w:before="0" w:after="0"/>
              <w:jc w:val="center"/>
              <w:rPr>
                <w:rFonts w:cs="Times New Roman"/>
                <w:szCs w:val="22"/>
              </w:rPr>
            </w:pPr>
            <w:r w:rsidRPr="00D912FC">
              <w:rPr>
                <w:rFonts w:cs="Times New Roman"/>
                <w:szCs w:val="22"/>
              </w:rPr>
              <w:t>13</w:t>
            </w:r>
          </w:p>
        </w:tc>
        <w:tc>
          <w:tcPr>
            <w:tcW w:w="2716" w:type="dxa"/>
          </w:tcPr>
          <w:p w14:paraId="20A8F326"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5%</w:t>
            </w:r>
          </w:p>
        </w:tc>
        <w:tc>
          <w:tcPr>
            <w:tcW w:w="2389" w:type="dxa"/>
          </w:tcPr>
          <w:p w14:paraId="0C84B414"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59FD0A60"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6AA13134"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71B56E17" w14:textId="77777777" w:rsidR="00D912FC" w:rsidRPr="00D912FC" w:rsidRDefault="00D912FC" w:rsidP="00D912FC">
            <w:pPr>
              <w:spacing w:before="0" w:after="0"/>
              <w:jc w:val="center"/>
              <w:rPr>
                <w:rFonts w:cs="Times New Roman"/>
                <w:szCs w:val="22"/>
              </w:rPr>
            </w:pPr>
            <w:r w:rsidRPr="00D912FC">
              <w:rPr>
                <w:rFonts w:cs="Times New Roman"/>
                <w:szCs w:val="22"/>
              </w:rPr>
              <w:t>14</w:t>
            </w:r>
          </w:p>
        </w:tc>
        <w:tc>
          <w:tcPr>
            <w:tcW w:w="2716" w:type="dxa"/>
          </w:tcPr>
          <w:p w14:paraId="584D6BDA"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74%</w:t>
            </w:r>
          </w:p>
        </w:tc>
        <w:tc>
          <w:tcPr>
            <w:tcW w:w="2389" w:type="dxa"/>
          </w:tcPr>
          <w:p w14:paraId="2D2F8202"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129B4B37"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6CB05A62"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44E988E2" w14:textId="77777777" w:rsidR="00D912FC" w:rsidRPr="00D912FC" w:rsidRDefault="00D912FC" w:rsidP="00D912FC">
            <w:pPr>
              <w:spacing w:before="0" w:after="0"/>
              <w:jc w:val="center"/>
              <w:rPr>
                <w:rFonts w:cs="Times New Roman"/>
                <w:szCs w:val="22"/>
              </w:rPr>
            </w:pPr>
            <w:r w:rsidRPr="00D912FC">
              <w:rPr>
                <w:rFonts w:cs="Times New Roman"/>
                <w:szCs w:val="22"/>
              </w:rPr>
              <w:t>15</w:t>
            </w:r>
          </w:p>
        </w:tc>
        <w:tc>
          <w:tcPr>
            <w:tcW w:w="2716" w:type="dxa"/>
          </w:tcPr>
          <w:p w14:paraId="4E351CA5"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66%</w:t>
            </w:r>
          </w:p>
        </w:tc>
        <w:tc>
          <w:tcPr>
            <w:tcW w:w="2389" w:type="dxa"/>
          </w:tcPr>
          <w:p w14:paraId="6698B7E9"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0BD45AE9"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0D85042B"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44885537" w14:textId="77777777" w:rsidR="00D912FC" w:rsidRPr="00D912FC" w:rsidRDefault="00D912FC" w:rsidP="00D912FC">
            <w:pPr>
              <w:spacing w:before="0" w:after="0"/>
              <w:jc w:val="center"/>
              <w:rPr>
                <w:rFonts w:cs="Times New Roman"/>
                <w:szCs w:val="22"/>
              </w:rPr>
            </w:pPr>
            <w:r w:rsidRPr="00D912FC">
              <w:rPr>
                <w:rFonts w:cs="Times New Roman"/>
                <w:szCs w:val="22"/>
              </w:rPr>
              <w:t>16</w:t>
            </w:r>
          </w:p>
        </w:tc>
        <w:tc>
          <w:tcPr>
            <w:tcW w:w="2716" w:type="dxa"/>
          </w:tcPr>
          <w:p w14:paraId="3D3A034F"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47%</w:t>
            </w:r>
          </w:p>
        </w:tc>
        <w:tc>
          <w:tcPr>
            <w:tcW w:w="2389" w:type="dxa"/>
          </w:tcPr>
          <w:p w14:paraId="759DCFDA"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423BDC73"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63A75F18"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42FD97AC" w14:textId="77777777" w:rsidR="00D912FC" w:rsidRPr="00D912FC" w:rsidRDefault="00D912FC" w:rsidP="00D912FC">
            <w:pPr>
              <w:spacing w:before="0" w:after="0"/>
              <w:jc w:val="center"/>
              <w:rPr>
                <w:rFonts w:cs="Times New Roman"/>
                <w:szCs w:val="22"/>
              </w:rPr>
            </w:pPr>
            <w:r w:rsidRPr="00D912FC">
              <w:rPr>
                <w:rFonts w:cs="Times New Roman"/>
                <w:szCs w:val="22"/>
              </w:rPr>
              <w:t>17</w:t>
            </w:r>
          </w:p>
        </w:tc>
        <w:tc>
          <w:tcPr>
            <w:tcW w:w="2716" w:type="dxa"/>
          </w:tcPr>
          <w:p w14:paraId="15B08837"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22%</w:t>
            </w:r>
          </w:p>
        </w:tc>
        <w:tc>
          <w:tcPr>
            <w:tcW w:w="2389" w:type="dxa"/>
          </w:tcPr>
          <w:p w14:paraId="30665A95"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5.88%</w:t>
            </w:r>
          </w:p>
        </w:tc>
        <w:tc>
          <w:tcPr>
            <w:tcW w:w="4340" w:type="dxa"/>
          </w:tcPr>
          <w:p w14:paraId="61ADCD3C"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2.94%</w:t>
            </w:r>
          </w:p>
        </w:tc>
      </w:tr>
      <w:tr w:rsidR="00D912FC" w:rsidRPr="007A45D1" w14:paraId="455BC0DA"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26F815EE" w14:textId="77777777" w:rsidR="00D912FC" w:rsidRPr="00D912FC" w:rsidRDefault="00D912FC" w:rsidP="00D912FC">
            <w:pPr>
              <w:spacing w:before="0" w:after="0"/>
              <w:jc w:val="center"/>
              <w:rPr>
                <w:rFonts w:cs="Times New Roman"/>
                <w:szCs w:val="22"/>
              </w:rPr>
            </w:pPr>
            <w:r w:rsidRPr="00D912FC">
              <w:rPr>
                <w:rFonts w:cs="Times New Roman"/>
                <w:szCs w:val="22"/>
              </w:rPr>
              <w:t>18</w:t>
            </w:r>
          </w:p>
        </w:tc>
        <w:tc>
          <w:tcPr>
            <w:tcW w:w="2716" w:type="dxa"/>
          </w:tcPr>
          <w:p w14:paraId="166E08C1"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18%</w:t>
            </w:r>
          </w:p>
        </w:tc>
        <w:tc>
          <w:tcPr>
            <w:tcW w:w="2389" w:type="dxa"/>
          </w:tcPr>
          <w:p w14:paraId="16529DEC" w14:textId="0E783EA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7A8116FC" w14:textId="35228DD3"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6479DC07"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6C02360C" w14:textId="77777777" w:rsidR="00D912FC" w:rsidRPr="00D912FC" w:rsidRDefault="00D912FC" w:rsidP="00D912FC">
            <w:pPr>
              <w:spacing w:before="0" w:after="0"/>
              <w:jc w:val="center"/>
              <w:rPr>
                <w:rFonts w:cs="Times New Roman"/>
                <w:szCs w:val="22"/>
              </w:rPr>
            </w:pPr>
            <w:r w:rsidRPr="00D912FC">
              <w:rPr>
                <w:rFonts w:cs="Times New Roman"/>
                <w:szCs w:val="22"/>
              </w:rPr>
              <w:t>19</w:t>
            </w:r>
          </w:p>
        </w:tc>
        <w:tc>
          <w:tcPr>
            <w:tcW w:w="2716" w:type="dxa"/>
          </w:tcPr>
          <w:p w14:paraId="2BE055CF"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19%</w:t>
            </w:r>
          </w:p>
        </w:tc>
        <w:tc>
          <w:tcPr>
            <w:tcW w:w="2389" w:type="dxa"/>
          </w:tcPr>
          <w:p w14:paraId="5848ABF5" w14:textId="119670AA"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11.76%</w:t>
            </w:r>
          </w:p>
        </w:tc>
        <w:tc>
          <w:tcPr>
            <w:tcW w:w="4340" w:type="dxa"/>
          </w:tcPr>
          <w:p w14:paraId="76F9B3F6"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1C65B414"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31FAD588" w14:textId="77777777" w:rsidR="00D912FC" w:rsidRPr="00D912FC" w:rsidRDefault="00D912FC" w:rsidP="00D912FC">
            <w:pPr>
              <w:spacing w:before="0" w:after="0"/>
              <w:jc w:val="center"/>
              <w:rPr>
                <w:rFonts w:cs="Times New Roman"/>
                <w:szCs w:val="22"/>
              </w:rPr>
            </w:pPr>
            <w:r w:rsidRPr="00D912FC">
              <w:rPr>
                <w:rFonts w:cs="Times New Roman"/>
                <w:szCs w:val="22"/>
              </w:rPr>
              <w:t>20</w:t>
            </w:r>
          </w:p>
        </w:tc>
        <w:tc>
          <w:tcPr>
            <w:tcW w:w="2716" w:type="dxa"/>
          </w:tcPr>
          <w:p w14:paraId="7EDE85D7"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26%</w:t>
            </w:r>
          </w:p>
        </w:tc>
        <w:tc>
          <w:tcPr>
            <w:tcW w:w="2389" w:type="dxa"/>
          </w:tcPr>
          <w:p w14:paraId="39C1753A"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4DBB101B"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055E6A86"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04BA15B2" w14:textId="77777777" w:rsidR="00D912FC" w:rsidRPr="00D912FC" w:rsidRDefault="00D912FC" w:rsidP="00D912FC">
            <w:pPr>
              <w:spacing w:before="0" w:after="0"/>
              <w:jc w:val="center"/>
              <w:rPr>
                <w:rFonts w:cs="Times New Roman"/>
                <w:szCs w:val="22"/>
              </w:rPr>
            </w:pPr>
            <w:r w:rsidRPr="00D912FC">
              <w:rPr>
                <w:rFonts w:cs="Times New Roman"/>
                <w:szCs w:val="22"/>
              </w:rPr>
              <w:t>21</w:t>
            </w:r>
          </w:p>
        </w:tc>
        <w:tc>
          <w:tcPr>
            <w:tcW w:w="2716" w:type="dxa"/>
          </w:tcPr>
          <w:p w14:paraId="71DF0A81"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55%</w:t>
            </w:r>
          </w:p>
        </w:tc>
        <w:tc>
          <w:tcPr>
            <w:tcW w:w="2389" w:type="dxa"/>
          </w:tcPr>
          <w:p w14:paraId="14A2E396"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17.65%</w:t>
            </w:r>
          </w:p>
        </w:tc>
        <w:tc>
          <w:tcPr>
            <w:tcW w:w="4340" w:type="dxa"/>
          </w:tcPr>
          <w:p w14:paraId="4801BA8C"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11.76%</w:t>
            </w:r>
          </w:p>
        </w:tc>
      </w:tr>
      <w:tr w:rsidR="00D912FC" w:rsidRPr="007A45D1" w14:paraId="5635D0F2"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12294C1B" w14:textId="77777777" w:rsidR="00D912FC" w:rsidRPr="00D912FC" w:rsidRDefault="00D912FC" w:rsidP="00D912FC">
            <w:pPr>
              <w:spacing w:before="0" w:after="0"/>
              <w:jc w:val="center"/>
              <w:rPr>
                <w:rFonts w:cs="Times New Roman"/>
                <w:szCs w:val="22"/>
              </w:rPr>
            </w:pPr>
            <w:r w:rsidRPr="00D912FC">
              <w:rPr>
                <w:rFonts w:cs="Times New Roman"/>
                <w:szCs w:val="22"/>
              </w:rPr>
              <w:t>22</w:t>
            </w:r>
          </w:p>
        </w:tc>
        <w:tc>
          <w:tcPr>
            <w:tcW w:w="2716" w:type="dxa"/>
          </w:tcPr>
          <w:p w14:paraId="55596ED7"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3%</w:t>
            </w:r>
          </w:p>
        </w:tc>
        <w:tc>
          <w:tcPr>
            <w:tcW w:w="2389" w:type="dxa"/>
          </w:tcPr>
          <w:p w14:paraId="62FE0F6F"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5.88%</w:t>
            </w:r>
          </w:p>
        </w:tc>
        <w:tc>
          <w:tcPr>
            <w:tcW w:w="4340" w:type="dxa"/>
          </w:tcPr>
          <w:p w14:paraId="47A313A7"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6A5A0E91"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699DC79A" w14:textId="77777777" w:rsidR="00D912FC" w:rsidRPr="00D912FC" w:rsidRDefault="00D912FC" w:rsidP="00D912FC">
            <w:pPr>
              <w:spacing w:before="0" w:after="0"/>
              <w:jc w:val="center"/>
              <w:rPr>
                <w:rFonts w:cs="Times New Roman"/>
                <w:szCs w:val="22"/>
              </w:rPr>
            </w:pPr>
            <w:r w:rsidRPr="00D912FC">
              <w:rPr>
                <w:rFonts w:cs="Times New Roman"/>
                <w:szCs w:val="22"/>
              </w:rPr>
              <w:t>23</w:t>
            </w:r>
          </w:p>
        </w:tc>
        <w:tc>
          <w:tcPr>
            <w:tcW w:w="2716" w:type="dxa"/>
          </w:tcPr>
          <w:p w14:paraId="64FF4A2A"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37%</w:t>
            </w:r>
          </w:p>
        </w:tc>
        <w:tc>
          <w:tcPr>
            <w:tcW w:w="2389" w:type="dxa"/>
          </w:tcPr>
          <w:p w14:paraId="30CD2AB0" w14:textId="012A35C6"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11.76%</w:t>
            </w:r>
          </w:p>
        </w:tc>
        <w:tc>
          <w:tcPr>
            <w:tcW w:w="4340" w:type="dxa"/>
          </w:tcPr>
          <w:p w14:paraId="49EB7E53"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5.88%</w:t>
            </w:r>
          </w:p>
        </w:tc>
      </w:tr>
      <w:tr w:rsidR="00D912FC" w:rsidRPr="007A45D1" w14:paraId="738853EE"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1BEDB768" w14:textId="77777777" w:rsidR="00D912FC" w:rsidRPr="00D912FC" w:rsidRDefault="00D912FC" w:rsidP="00D912FC">
            <w:pPr>
              <w:spacing w:before="0" w:after="0"/>
              <w:jc w:val="center"/>
              <w:rPr>
                <w:rFonts w:cs="Times New Roman"/>
                <w:szCs w:val="22"/>
              </w:rPr>
            </w:pPr>
            <w:r w:rsidRPr="00D912FC">
              <w:rPr>
                <w:rFonts w:cs="Times New Roman"/>
                <w:szCs w:val="22"/>
              </w:rPr>
              <w:t>24</w:t>
            </w:r>
          </w:p>
        </w:tc>
        <w:tc>
          <w:tcPr>
            <w:tcW w:w="2716" w:type="dxa"/>
          </w:tcPr>
          <w:p w14:paraId="09A1C562"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8%</w:t>
            </w:r>
          </w:p>
        </w:tc>
        <w:tc>
          <w:tcPr>
            <w:tcW w:w="2389" w:type="dxa"/>
          </w:tcPr>
          <w:p w14:paraId="1E1E07B6"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c>
          <w:tcPr>
            <w:tcW w:w="4340" w:type="dxa"/>
          </w:tcPr>
          <w:p w14:paraId="011A930F"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0.00%</w:t>
            </w:r>
          </w:p>
        </w:tc>
      </w:tr>
      <w:tr w:rsidR="00D912FC" w:rsidRPr="007A45D1" w14:paraId="1CB057DF"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5008B51E" w14:textId="77777777" w:rsidR="00D912FC" w:rsidRPr="00D912FC" w:rsidRDefault="00D912FC" w:rsidP="00D912FC">
            <w:pPr>
              <w:spacing w:before="0" w:after="0"/>
              <w:jc w:val="center"/>
              <w:rPr>
                <w:rFonts w:cs="Times New Roman"/>
                <w:szCs w:val="22"/>
              </w:rPr>
            </w:pPr>
            <w:r w:rsidRPr="00D912FC">
              <w:rPr>
                <w:rFonts w:cs="Times New Roman"/>
                <w:szCs w:val="22"/>
              </w:rPr>
              <w:t>25</w:t>
            </w:r>
          </w:p>
        </w:tc>
        <w:tc>
          <w:tcPr>
            <w:tcW w:w="2716" w:type="dxa"/>
          </w:tcPr>
          <w:p w14:paraId="7919153D"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31%</w:t>
            </w:r>
          </w:p>
        </w:tc>
        <w:tc>
          <w:tcPr>
            <w:tcW w:w="2389" w:type="dxa"/>
          </w:tcPr>
          <w:p w14:paraId="5250C117"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2.94%</w:t>
            </w:r>
          </w:p>
        </w:tc>
        <w:tc>
          <w:tcPr>
            <w:tcW w:w="4340" w:type="dxa"/>
          </w:tcPr>
          <w:p w14:paraId="7F0C79FA"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2.94%</w:t>
            </w:r>
          </w:p>
        </w:tc>
      </w:tr>
      <w:tr w:rsidR="00D912FC" w:rsidRPr="007A45D1" w14:paraId="67E89F69"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3427B6CB" w14:textId="77777777" w:rsidR="00D912FC" w:rsidRPr="00D912FC" w:rsidRDefault="00D912FC" w:rsidP="00D912FC">
            <w:pPr>
              <w:spacing w:before="0" w:after="0"/>
              <w:jc w:val="center"/>
              <w:rPr>
                <w:rFonts w:cs="Times New Roman"/>
                <w:szCs w:val="22"/>
              </w:rPr>
            </w:pPr>
            <w:r w:rsidRPr="00D912FC">
              <w:rPr>
                <w:rFonts w:cs="Times New Roman"/>
                <w:szCs w:val="22"/>
              </w:rPr>
              <w:t>26</w:t>
            </w:r>
          </w:p>
        </w:tc>
        <w:tc>
          <w:tcPr>
            <w:tcW w:w="2716" w:type="dxa"/>
          </w:tcPr>
          <w:p w14:paraId="729C46BC"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68%</w:t>
            </w:r>
          </w:p>
        </w:tc>
        <w:tc>
          <w:tcPr>
            <w:tcW w:w="2389" w:type="dxa"/>
          </w:tcPr>
          <w:p w14:paraId="705294F4"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35.29%</w:t>
            </w:r>
          </w:p>
        </w:tc>
        <w:tc>
          <w:tcPr>
            <w:tcW w:w="4340" w:type="dxa"/>
          </w:tcPr>
          <w:p w14:paraId="2B293BD2"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26.47%</w:t>
            </w:r>
          </w:p>
        </w:tc>
      </w:tr>
      <w:tr w:rsidR="00D912FC" w:rsidRPr="007A45D1" w14:paraId="5F5760A8" w14:textId="77777777" w:rsidTr="00D91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Pr>
          <w:p w14:paraId="62385ADB" w14:textId="77777777" w:rsidR="00D912FC" w:rsidRPr="00D912FC" w:rsidRDefault="00D912FC" w:rsidP="00D912FC">
            <w:pPr>
              <w:spacing w:before="0" w:after="0"/>
              <w:jc w:val="center"/>
              <w:rPr>
                <w:rFonts w:cs="Times New Roman"/>
                <w:szCs w:val="22"/>
              </w:rPr>
            </w:pPr>
            <w:r w:rsidRPr="00D912FC">
              <w:rPr>
                <w:rFonts w:cs="Times New Roman"/>
                <w:szCs w:val="22"/>
              </w:rPr>
              <w:t>27</w:t>
            </w:r>
          </w:p>
        </w:tc>
        <w:tc>
          <w:tcPr>
            <w:tcW w:w="2716" w:type="dxa"/>
          </w:tcPr>
          <w:p w14:paraId="270269FD"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90%</w:t>
            </w:r>
          </w:p>
        </w:tc>
        <w:tc>
          <w:tcPr>
            <w:tcW w:w="2389" w:type="dxa"/>
          </w:tcPr>
          <w:p w14:paraId="22A8CE00"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41.18%</w:t>
            </w:r>
          </w:p>
        </w:tc>
        <w:tc>
          <w:tcPr>
            <w:tcW w:w="4340" w:type="dxa"/>
          </w:tcPr>
          <w:p w14:paraId="40F3AD97" w14:textId="77777777" w:rsidR="00D912FC" w:rsidRPr="00D912FC" w:rsidRDefault="00D912FC" w:rsidP="00D912FC">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2"/>
              </w:rPr>
            </w:pPr>
            <w:r w:rsidRPr="00D912FC">
              <w:rPr>
                <w:rFonts w:cs="Times New Roman"/>
                <w:szCs w:val="22"/>
              </w:rPr>
              <w:t>35.29%</w:t>
            </w:r>
          </w:p>
        </w:tc>
      </w:tr>
      <w:tr w:rsidR="00D912FC" w:rsidRPr="007A45D1" w14:paraId="44C25F9C" w14:textId="77777777" w:rsidTr="00D912FC">
        <w:tc>
          <w:tcPr>
            <w:cnfStyle w:val="001000000000" w:firstRow="0" w:lastRow="0" w:firstColumn="1" w:lastColumn="0" w:oddVBand="0" w:evenVBand="0" w:oddHBand="0" w:evenHBand="0" w:firstRowFirstColumn="0" w:firstRowLastColumn="0" w:lastRowFirstColumn="0" w:lastRowLastColumn="0"/>
            <w:tcW w:w="1329" w:type="dxa"/>
          </w:tcPr>
          <w:p w14:paraId="3623EEF7" w14:textId="77777777" w:rsidR="00D912FC" w:rsidRPr="00D912FC" w:rsidRDefault="00D912FC" w:rsidP="00D912FC">
            <w:pPr>
              <w:spacing w:before="0" w:after="0"/>
              <w:jc w:val="center"/>
              <w:rPr>
                <w:rFonts w:cs="Times New Roman"/>
                <w:szCs w:val="22"/>
              </w:rPr>
            </w:pPr>
            <w:r w:rsidRPr="00D912FC">
              <w:rPr>
                <w:rFonts w:cs="Times New Roman"/>
                <w:szCs w:val="22"/>
              </w:rPr>
              <w:t>28</w:t>
            </w:r>
          </w:p>
        </w:tc>
        <w:tc>
          <w:tcPr>
            <w:tcW w:w="2716" w:type="dxa"/>
          </w:tcPr>
          <w:p w14:paraId="1B933CB8" w14:textId="77777777" w:rsidR="00D912FC" w:rsidRPr="00D912FC" w:rsidRDefault="00D912FC" w:rsidP="00D912FC">
            <w:pPr>
              <w:keepNext/>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14%</w:t>
            </w:r>
          </w:p>
        </w:tc>
        <w:tc>
          <w:tcPr>
            <w:tcW w:w="2389" w:type="dxa"/>
          </w:tcPr>
          <w:p w14:paraId="7A8D2127" w14:textId="77777777" w:rsidR="00D912FC" w:rsidRPr="00D912FC" w:rsidRDefault="00D912FC" w:rsidP="00D912FC">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8.82%</w:t>
            </w:r>
          </w:p>
        </w:tc>
        <w:tc>
          <w:tcPr>
            <w:tcW w:w="4340" w:type="dxa"/>
          </w:tcPr>
          <w:p w14:paraId="133DCBDC" w14:textId="77777777" w:rsidR="00D912FC" w:rsidRPr="00D912FC" w:rsidRDefault="00D912FC" w:rsidP="00D912FC">
            <w:pPr>
              <w:keepNext/>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2"/>
              </w:rPr>
            </w:pPr>
            <w:r w:rsidRPr="00D912FC">
              <w:rPr>
                <w:rFonts w:cs="Times New Roman"/>
                <w:szCs w:val="22"/>
              </w:rPr>
              <w:t>2.94%</w:t>
            </w:r>
          </w:p>
        </w:tc>
      </w:tr>
    </w:tbl>
    <w:p w14:paraId="4AD524FA" w14:textId="77777777" w:rsidR="00D912FC" w:rsidRDefault="00D912FC" w:rsidP="00D912FC">
      <w:pPr>
        <w:pStyle w:val="DissertationTableCaption"/>
      </w:pPr>
    </w:p>
    <w:p w14:paraId="39065AA4" w14:textId="61DFF72C" w:rsidR="00E909C3" w:rsidRDefault="00D912FC" w:rsidP="00E909C3">
      <w:pPr>
        <w:pStyle w:val="DissertationTableCaption"/>
        <w:rPr>
          <w:noProof/>
          <w:u w:val="none"/>
        </w:rPr>
      </w:pPr>
      <w:bookmarkStart w:id="168" w:name="_Toc168415281"/>
      <w:bookmarkStart w:id="169" w:name="_Toc175413224"/>
      <w:r w:rsidRPr="000F4B47">
        <w:t xml:space="preserve">Table A7- </w:t>
      </w:r>
      <w:fldSimple w:instr=" SEQ Table_A7- \* ARABIC ">
        <w:r w:rsidR="00AF1E65">
          <w:rPr>
            <w:noProof/>
          </w:rPr>
          <w:t>4</w:t>
        </w:r>
      </w:fldSimple>
      <w:r w:rsidR="008D1375">
        <w:rPr>
          <w:noProof/>
        </w:rPr>
        <w:t>:</w:t>
      </w:r>
      <w:r w:rsidRPr="00D912FC">
        <w:rPr>
          <w:u w:val="none"/>
        </w:rPr>
        <w:tab/>
        <w:t xml:space="preserve"> Summary Comparison of Definitional Element Recurrence Frequencies</w:t>
      </w:r>
      <w:r w:rsidRPr="00D912FC">
        <w:rPr>
          <w:noProof/>
          <w:u w:val="none"/>
        </w:rPr>
        <w:t xml:space="preserve"> Across State Conduct and Legislative Policy Definitions of Terrorism</w:t>
      </w:r>
      <w:bookmarkEnd w:id="168"/>
      <w:bookmarkEnd w:id="169"/>
    </w:p>
    <w:p w14:paraId="70010836" w14:textId="5946A4C0" w:rsidR="00E909C3" w:rsidRDefault="00E909C3">
      <w:pPr>
        <w:spacing w:before="0" w:after="0"/>
        <w:rPr>
          <w:rFonts w:cs="Times New Roman"/>
          <w:i/>
          <w:iCs/>
          <w:noProof/>
          <w:sz w:val="18"/>
          <w:szCs w:val="18"/>
        </w:rPr>
      </w:pPr>
      <w:r>
        <w:rPr>
          <w:noProof/>
        </w:rPr>
        <w:br w:type="page"/>
      </w:r>
    </w:p>
    <w:p w14:paraId="43B18AA8" w14:textId="77777777" w:rsidR="00E909C3" w:rsidRPr="00BF321C" w:rsidRDefault="00E909C3" w:rsidP="00E909C3">
      <w:pPr>
        <w:pStyle w:val="DissertationSection1"/>
        <w:rPr>
          <w:szCs w:val="22"/>
        </w:rPr>
      </w:pPr>
      <w:bookmarkStart w:id="170" w:name="_Toc175413186"/>
      <w:r w:rsidRPr="00BF321C">
        <w:rPr>
          <w:szCs w:val="22"/>
        </w:rPr>
        <w:lastRenderedPageBreak/>
        <w:t>Appendix H – Examples of Positive and Negative Bias Indicators in 2,776-Article Sampling Frame (Media Coverage of Terrorism)</w:t>
      </w:r>
      <w:bookmarkEnd w:id="170"/>
    </w:p>
    <w:p w14:paraId="0D211ADD" w14:textId="77777777" w:rsidR="00E909C3" w:rsidRPr="00BF321C" w:rsidRDefault="00E909C3" w:rsidP="00E909C3">
      <w:pPr>
        <w:jc w:val="center"/>
        <w:rPr>
          <w:rFonts w:cs="Times New Roman"/>
          <w:b/>
          <w:bCs/>
          <w:szCs w:val="22"/>
          <w:u w:val="single"/>
        </w:rPr>
      </w:pPr>
    </w:p>
    <w:p w14:paraId="4A103CDE" w14:textId="77777777" w:rsidR="00E909C3" w:rsidRPr="00E909C3" w:rsidRDefault="00E909C3" w:rsidP="00E909C3">
      <w:pPr>
        <w:pStyle w:val="DissertationSection2"/>
        <w:rPr>
          <w:u w:val="single"/>
        </w:rPr>
      </w:pPr>
      <w:bookmarkStart w:id="171" w:name="_Toc175413187"/>
      <w:r w:rsidRPr="00E909C3">
        <w:rPr>
          <w:u w:val="single"/>
        </w:rPr>
        <w:t>Positive Bias Indicators (Affirming Devices)</w:t>
      </w:r>
      <w:bookmarkEnd w:id="171"/>
    </w:p>
    <w:p w14:paraId="6BFBED68" w14:textId="77777777" w:rsidR="00E909C3" w:rsidRPr="00BF321C" w:rsidRDefault="00E909C3" w:rsidP="00E909C3">
      <w:pPr>
        <w:jc w:val="center"/>
        <w:rPr>
          <w:rFonts w:cs="Times New Roman"/>
          <w:b/>
          <w:bCs/>
          <w:szCs w:val="22"/>
          <w:u w:val="single"/>
        </w:rPr>
      </w:pPr>
    </w:p>
    <w:tbl>
      <w:tblPr>
        <w:tblStyle w:val="TableGrid"/>
        <w:tblW w:w="11057" w:type="dxa"/>
        <w:tblInd w:w="-1229" w:type="dxa"/>
        <w:tblLook w:val="04A0" w:firstRow="1" w:lastRow="0" w:firstColumn="1" w:lastColumn="0" w:noHBand="0" w:noVBand="1"/>
      </w:tblPr>
      <w:tblGrid>
        <w:gridCol w:w="3970"/>
        <w:gridCol w:w="1701"/>
        <w:gridCol w:w="1843"/>
        <w:gridCol w:w="1842"/>
        <w:gridCol w:w="1701"/>
      </w:tblGrid>
      <w:tr w:rsidR="00E909C3" w:rsidRPr="00BF321C" w14:paraId="0043F691" w14:textId="77777777" w:rsidTr="00E909C3">
        <w:tc>
          <w:tcPr>
            <w:tcW w:w="3970" w:type="dxa"/>
            <w:vMerge w:val="restart"/>
          </w:tcPr>
          <w:p w14:paraId="6E4097A4" w14:textId="77777777" w:rsidR="00E909C3" w:rsidRPr="00BF321C" w:rsidRDefault="00E909C3" w:rsidP="00D349E4">
            <w:pPr>
              <w:jc w:val="center"/>
              <w:rPr>
                <w:rFonts w:cs="Times New Roman"/>
                <w:b/>
                <w:bCs/>
                <w:szCs w:val="22"/>
              </w:rPr>
            </w:pPr>
            <w:r w:rsidRPr="00BF321C">
              <w:rPr>
                <w:rFonts w:cs="Times New Roman"/>
                <w:b/>
                <w:bCs/>
                <w:szCs w:val="22"/>
              </w:rPr>
              <w:t>Factive/Semi-Factive Verbs</w:t>
            </w:r>
          </w:p>
        </w:tc>
        <w:tc>
          <w:tcPr>
            <w:tcW w:w="1701" w:type="dxa"/>
          </w:tcPr>
          <w:p w14:paraId="3F06572E" w14:textId="77777777" w:rsidR="00E909C3" w:rsidRPr="00BF321C" w:rsidRDefault="00E909C3" w:rsidP="00D349E4">
            <w:pPr>
              <w:rPr>
                <w:rFonts w:cs="Times New Roman"/>
                <w:szCs w:val="22"/>
              </w:rPr>
            </w:pPr>
            <w:r w:rsidRPr="00BF321C">
              <w:rPr>
                <w:rFonts w:cs="Times New Roman"/>
                <w:szCs w:val="22"/>
              </w:rPr>
              <w:t>Acknowledge</w:t>
            </w:r>
          </w:p>
        </w:tc>
        <w:tc>
          <w:tcPr>
            <w:tcW w:w="1843" w:type="dxa"/>
          </w:tcPr>
          <w:p w14:paraId="714B4910" w14:textId="77777777" w:rsidR="00E909C3" w:rsidRPr="00BF321C" w:rsidRDefault="00E909C3" w:rsidP="00D349E4">
            <w:pPr>
              <w:rPr>
                <w:rFonts w:cs="Times New Roman"/>
                <w:szCs w:val="22"/>
              </w:rPr>
            </w:pPr>
            <w:r w:rsidRPr="00BF321C">
              <w:rPr>
                <w:rFonts w:cs="Times New Roman"/>
                <w:szCs w:val="22"/>
              </w:rPr>
              <w:t>Concede</w:t>
            </w:r>
          </w:p>
        </w:tc>
        <w:tc>
          <w:tcPr>
            <w:tcW w:w="1842" w:type="dxa"/>
          </w:tcPr>
          <w:p w14:paraId="703EE458" w14:textId="77777777" w:rsidR="00E909C3" w:rsidRPr="00BF321C" w:rsidRDefault="00E909C3" w:rsidP="00D349E4">
            <w:pPr>
              <w:rPr>
                <w:rFonts w:cs="Times New Roman"/>
                <w:szCs w:val="22"/>
              </w:rPr>
            </w:pPr>
            <w:r w:rsidRPr="00BF321C">
              <w:rPr>
                <w:rFonts w:cs="Times New Roman"/>
                <w:szCs w:val="22"/>
              </w:rPr>
              <w:t>Demonstrate</w:t>
            </w:r>
          </w:p>
        </w:tc>
        <w:tc>
          <w:tcPr>
            <w:tcW w:w="1701" w:type="dxa"/>
          </w:tcPr>
          <w:p w14:paraId="37CAF5C9" w14:textId="77777777" w:rsidR="00E909C3" w:rsidRPr="00BF321C" w:rsidRDefault="00E909C3" w:rsidP="00D349E4">
            <w:pPr>
              <w:rPr>
                <w:rFonts w:cs="Times New Roman"/>
                <w:dstrike/>
                <w:szCs w:val="22"/>
              </w:rPr>
            </w:pPr>
            <w:r w:rsidRPr="00BF321C">
              <w:rPr>
                <w:rFonts w:cs="Times New Roman"/>
                <w:dstrike/>
                <w:szCs w:val="22"/>
              </w:rPr>
              <w:t>Find</w:t>
            </w:r>
          </w:p>
        </w:tc>
      </w:tr>
      <w:tr w:rsidR="00E909C3" w:rsidRPr="00BF321C" w14:paraId="5E704EDD" w14:textId="77777777" w:rsidTr="00E909C3">
        <w:tc>
          <w:tcPr>
            <w:tcW w:w="3970" w:type="dxa"/>
            <w:vMerge/>
          </w:tcPr>
          <w:p w14:paraId="4A56C449" w14:textId="77777777" w:rsidR="00E909C3" w:rsidRPr="00BF321C" w:rsidRDefault="00E909C3" w:rsidP="00D349E4">
            <w:pPr>
              <w:rPr>
                <w:rFonts w:cs="Times New Roman"/>
                <w:b/>
                <w:bCs/>
                <w:szCs w:val="22"/>
              </w:rPr>
            </w:pPr>
          </w:p>
        </w:tc>
        <w:tc>
          <w:tcPr>
            <w:tcW w:w="1701" w:type="dxa"/>
          </w:tcPr>
          <w:p w14:paraId="7DB4F36B" w14:textId="77777777" w:rsidR="00E909C3" w:rsidRPr="00BF321C" w:rsidRDefault="00E909C3" w:rsidP="00D349E4">
            <w:pPr>
              <w:rPr>
                <w:rFonts w:cs="Times New Roman"/>
                <w:szCs w:val="22"/>
              </w:rPr>
            </w:pPr>
            <w:r w:rsidRPr="00BF321C">
              <w:rPr>
                <w:rFonts w:cs="Times New Roman"/>
                <w:szCs w:val="22"/>
              </w:rPr>
              <w:t>Forget</w:t>
            </w:r>
          </w:p>
        </w:tc>
        <w:tc>
          <w:tcPr>
            <w:tcW w:w="1843" w:type="dxa"/>
          </w:tcPr>
          <w:p w14:paraId="21EB425D" w14:textId="77777777" w:rsidR="00E909C3" w:rsidRPr="00BF321C" w:rsidRDefault="00E909C3" w:rsidP="00D349E4">
            <w:pPr>
              <w:rPr>
                <w:rFonts w:cs="Times New Roman"/>
                <w:szCs w:val="22"/>
              </w:rPr>
            </w:pPr>
            <w:r w:rsidRPr="00BF321C">
              <w:rPr>
                <w:rFonts w:cs="Times New Roman"/>
                <w:szCs w:val="22"/>
              </w:rPr>
              <w:t>Learn</w:t>
            </w:r>
          </w:p>
        </w:tc>
        <w:tc>
          <w:tcPr>
            <w:tcW w:w="1842" w:type="dxa"/>
          </w:tcPr>
          <w:p w14:paraId="595DB23D" w14:textId="77777777" w:rsidR="00E909C3" w:rsidRPr="00BF321C" w:rsidRDefault="00E909C3" w:rsidP="00D349E4">
            <w:pPr>
              <w:rPr>
                <w:rFonts w:cs="Times New Roman"/>
                <w:szCs w:val="22"/>
              </w:rPr>
            </w:pPr>
            <w:r w:rsidRPr="00BF321C">
              <w:rPr>
                <w:rFonts w:cs="Times New Roman"/>
                <w:szCs w:val="22"/>
              </w:rPr>
              <w:t>Realise</w:t>
            </w:r>
          </w:p>
        </w:tc>
        <w:tc>
          <w:tcPr>
            <w:tcW w:w="1701" w:type="dxa"/>
          </w:tcPr>
          <w:p w14:paraId="7A8BC0CC" w14:textId="77777777" w:rsidR="00E909C3" w:rsidRPr="00BF321C" w:rsidRDefault="00E909C3" w:rsidP="00D349E4">
            <w:pPr>
              <w:rPr>
                <w:rFonts w:cs="Times New Roman"/>
                <w:szCs w:val="22"/>
              </w:rPr>
            </w:pPr>
            <w:r w:rsidRPr="00BF321C">
              <w:rPr>
                <w:rFonts w:cs="Times New Roman"/>
                <w:szCs w:val="22"/>
              </w:rPr>
              <w:t>Realize</w:t>
            </w:r>
          </w:p>
        </w:tc>
      </w:tr>
      <w:tr w:rsidR="00E909C3" w:rsidRPr="00BF321C" w14:paraId="55E7CDDC" w14:textId="77777777" w:rsidTr="00E909C3">
        <w:tc>
          <w:tcPr>
            <w:tcW w:w="3970" w:type="dxa"/>
            <w:vMerge/>
          </w:tcPr>
          <w:p w14:paraId="158E5EC3" w14:textId="77777777" w:rsidR="00E909C3" w:rsidRPr="00BF321C" w:rsidRDefault="00E909C3" w:rsidP="00D349E4">
            <w:pPr>
              <w:rPr>
                <w:rFonts w:cs="Times New Roman"/>
                <w:b/>
                <w:bCs/>
                <w:szCs w:val="22"/>
              </w:rPr>
            </w:pPr>
          </w:p>
        </w:tc>
        <w:tc>
          <w:tcPr>
            <w:tcW w:w="1701" w:type="dxa"/>
          </w:tcPr>
          <w:p w14:paraId="11D61697" w14:textId="77777777" w:rsidR="00E909C3" w:rsidRPr="00BF321C" w:rsidRDefault="00E909C3" w:rsidP="00D349E4">
            <w:pPr>
              <w:rPr>
                <w:rFonts w:cs="Times New Roman"/>
                <w:szCs w:val="22"/>
              </w:rPr>
            </w:pPr>
            <w:r w:rsidRPr="00BF321C">
              <w:rPr>
                <w:rFonts w:cs="Times New Roman"/>
                <w:szCs w:val="22"/>
              </w:rPr>
              <w:t>Remember</w:t>
            </w:r>
          </w:p>
        </w:tc>
        <w:tc>
          <w:tcPr>
            <w:tcW w:w="1843" w:type="dxa"/>
          </w:tcPr>
          <w:p w14:paraId="5D2D57B9" w14:textId="77777777" w:rsidR="00E909C3" w:rsidRPr="00BF321C" w:rsidRDefault="00E909C3" w:rsidP="00D349E4">
            <w:pPr>
              <w:rPr>
                <w:rFonts w:cs="Times New Roman"/>
                <w:szCs w:val="22"/>
              </w:rPr>
            </w:pPr>
            <w:r w:rsidRPr="00BF321C">
              <w:rPr>
                <w:rFonts w:cs="Times New Roman"/>
                <w:szCs w:val="22"/>
              </w:rPr>
              <w:t>See</w:t>
            </w:r>
          </w:p>
        </w:tc>
        <w:tc>
          <w:tcPr>
            <w:tcW w:w="1842" w:type="dxa"/>
          </w:tcPr>
          <w:p w14:paraId="2F8B4F3E" w14:textId="77777777" w:rsidR="00E909C3" w:rsidRPr="00BF321C" w:rsidRDefault="00E909C3" w:rsidP="00D349E4">
            <w:pPr>
              <w:rPr>
                <w:rFonts w:cs="Times New Roman"/>
                <w:szCs w:val="22"/>
              </w:rPr>
            </w:pPr>
            <w:r w:rsidRPr="00BF321C">
              <w:rPr>
                <w:rFonts w:cs="Times New Roman"/>
                <w:szCs w:val="22"/>
              </w:rPr>
              <w:t>Show</w:t>
            </w:r>
          </w:p>
        </w:tc>
        <w:tc>
          <w:tcPr>
            <w:tcW w:w="1701" w:type="dxa"/>
          </w:tcPr>
          <w:p w14:paraId="0E6BBABE" w14:textId="77777777" w:rsidR="00E909C3" w:rsidRPr="00BF321C" w:rsidRDefault="00E909C3" w:rsidP="00D349E4">
            <w:pPr>
              <w:rPr>
                <w:rFonts w:cs="Times New Roman"/>
                <w:szCs w:val="22"/>
              </w:rPr>
            </w:pPr>
            <w:r w:rsidRPr="00BF321C">
              <w:rPr>
                <w:rFonts w:cs="Times New Roman"/>
                <w:szCs w:val="22"/>
              </w:rPr>
              <w:t>Uncover</w:t>
            </w:r>
          </w:p>
        </w:tc>
      </w:tr>
      <w:tr w:rsidR="00E909C3" w:rsidRPr="00BF321C" w14:paraId="625A8268" w14:textId="77777777" w:rsidTr="00E909C3">
        <w:tc>
          <w:tcPr>
            <w:tcW w:w="3970" w:type="dxa"/>
            <w:vMerge/>
          </w:tcPr>
          <w:p w14:paraId="38D14BA9" w14:textId="77777777" w:rsidR="00E909C3" w:rsidRPr="00BF321C" w:rsidRDefault="00E909C3" w:rsidP="00D349E4">
            <w:pPr>
              <w:rPr>
                <w:rFonts w:cs="Times New Roman"/>
                <w:b/>
                <w:bCs/>
                <w:szCs w:val="22"/>
              </w:rPr>
            </w:pPr>
          </w:p>
        </w:tc>
        <w:tc>
          <w:tcPr>
            <w:tcW w:w="1701" w:type="dxa"/>
          </w:tcPr>
          <w:p w14:paraId="50506AF6" w14:textId="77777777" w:rsidR="00E909C3" w:rsidRPr="00BF321C" w:rsidRDefault="00E909C3" w:rsidP="00D349E4">
            <w:pPr>
              <w:rPr>
                <w:rFonts w:cs="Times New Roman"/>
                <w:szCs w:val="22"/>
              </w:rPr>
            </w:pPr>
            <w:r w:rsidRPr="00BF321C">
              <w:rPr>
                <w:rFonts w:cs="Times New Roman"/>
                <w:szCs w:val="22"/>
              </w:rPr>
              <w:t>Understand</w:t>
            </w:r>
          </w:p>
        </w:tc>
        <w:tc>
          <w:tcPr>
            <w:tcW w:w="1843" w:type="dxa"/>
          </w:tcPr>
          <w:p w14:paraId="38242DAB" w14:textId="77777777" w:rsidR="00E909C3" w:rsidRPr="00BF321C" w:rsidRDefault="00E909C3" w:rsidP="00D349E4">
            <w:pPr>
              <w:rPr>
                <w:rFonts w:cs="Times New Roman"/>
                <w:szCs w:val="22"/>
              </w:rPr>
            </w:pPr>
          </w:p>
        </w:tc>
        <w:tc>
          <w:tcPr>
            <w:tcW w:w="1842" w:type="dxa"/>
          </w:tcPr>
          <w:p w14:paraId="5EF8CBD7" w14:textId="77777777" w:rsidR="00E909C3" w:rsidRPr="00BF321C" w:rsidRDefault="00E909C3" w:rsidP="00D349E4">
            <w:pPr>
              <w:rPr>
                <w:rFonts w:cs="Times New Roman"/>
                <w:szCs w:val="22"/>
              </w:rPr>
            </w:pPr>
          </w:p>
        </w:tc>
        <w:tc>
          <w:tcPr>
            <w:tcW w:w="1701" w:type="dxa"/>
          </w:tcPr>
          <w:p w14:paraId="09B0E554" w14:textId="77777777" w:rsidR="00E909C3" w:rsidRPr="00BF321C" w:rsidRDefault="00E909C3" w:rsidP="00D349E4">
            <w:pPr>
              <w:rPr>
                <w:rFonts w:cs="Times New Roman"/>
                <w:szCs w:val="22"/>
              </w:rPr>
            </w:pPr>
          </w:p>
        </w:tc>
      </w:tr>
      <w:tr w:rsidR="00E909C3" w:rsidRPr="00BF321C" w14:paraId="31997A16" w14:textId="77777777" w:rsidTr="00E909C3">
        <w:tc>
          <w:tcPr>
            <w:tcW w:w="3970" w:type="dxa"/>
            <w:vMerge w:val="restart"/>
          </w:tcPr>
          <w:p w14:paraId="4549C724" w14:textId="77777777" w:rsidR="00E909C3" w:rsidRPr="00BF321C" w:rsidRDefault="00E909C3" w:rsidP="00D349E4">
            <w:pPr>
              <w:jc w:val="center"/>
              <w:rPr>
                <w:rFonts w:cs="Times New Roman"/>
                <w:b/>
                <w:bCs/>
                <w:szCs w:val="22"/>
              </w:rPr>
            </w:pPr>
            <w:r w:rsidRPr="00BF321C">
              <w:rPr>
                <w:rFonts w:cs="Times New Roman"/>
                <w:b/>
                <w:bCs/>
                <w:szCs w:val="22"/>
              </w:rPr>
              <w:t>High-Commitment Verbs</w:t>
            </w:r>
          </w:p>
        </w:tc>
        <w:tc>
          <w:tcPr>
            <w:tcW w:w="1701" w:type="dxa"/>
          </w:tcPr>
          <w:p w14:paraId="3A69977B" w14:textId="77777777" w:rsidR="00E909C3" w:rsidRPr="00BF321C" w:rsidRDefault="00E909C3" w:rsidP="00D349E4">
            <w:pPr>
              <w:rPr>
                <w:rFonts w:cs="Times New Roman"/>
                <w:szCs w:val="22"/>
              </w:rPr>
            </w:pPr>
            <w:r w:rsidRPr="00BF321C">
              <w:rPr>
                <w:rFonts w:cs="Times New Roman"/>
                <w:szCs w:val="22"/>
              </w:rPr>
              <w:t>Affirm</w:t>
            </w:r>
          </w:p>
        </w:tc>
        <w:tc>
          <w:tcPr>
            <w:tcW w:w="1843" w:type="dxa"/>
          </w:tcPr>
          <w:p w14:paraId="7FE516A2" w14:textId="77777777" w:rsidR="00E909C3" w:rsidRPr="00BF321C" w:rsidRDefault="00E909C3" w:rsidP="00D349E4">
            <w:pPr>
              <w:rPr>
                <w:rFonts w:cs="Times New Roman"/>
                <w:szCs w:val="22"/>
              </w:rPr>
            </w:pPr>
            <w:r w:rsidRPr="00BF321C">
              <w:rPr>
                <w:rFonts w:cs="Times New Roman"/>
                <w:szCs w:val="22"/>
              </w:rPr>
              <w:t>Agree</w:t>
            </w:r>
          </w:p>
        </w:tc>
        <w:tc>
          <w:tcPr>
            <w:tcW w:w="1842" w:type="dxa"/>
          </w:tcPr>
          <w:p w14:paraId="12A23399" w14:textId="77777777" w:rsidR="00E909C3" w:rsidRPr="00BF321C" w:rsidRDefault="00E909C3" w:rsidP="00D349E4">
            <w:pPr>
              <w:rPr>
                <w:rFonts w:cs="Times New Roman"/>
                <w:szCs w:val="22"/>
              </w:rPr>
            </w:pPr>
            <w:r w:rsidRPr="00BF321C">
              <w:rPr>
                <w:rFonts w:cs="Times New Roman"/>
                <w:szCs w:val="22"/>
              </w:rPr>
              <w:t>Conclude</w:t>
            </w:r>
          </w:p>
        </w:tc>
        <w:tc>
          <w:tcPr>
            <w:tcW w:w="1701" w:type="dxa"/>
          </w:tcPr>
          <w:p w14:paraId="73A23A0A" w14:textId="77777777" w:rsidR="00E909C3" w:rsidRPr="00BF321C" w:rsidRDefault="00E909C3" w:rsidP="00D349E4">
            <w:pPr>
              <w:rPr>
                <w:rFonts w:cs="Times New Roman"/>
                <w:szCs w:val="22"/>
              </w:rPr>
            </w:pPr>
            <w:r w:rsidRPr="00BF321C">
              <w:rPr>
                <w:rFonts w:cs="Times New Roman"/>
                <w:szCs w:val="22"/>
              </w:rPr>
              <w:t>Confirm</w:t>
            </w:r>
          </w:p>
        </w:tc>
      </w:tr>
      <w:tr w:rsidR="00E909C3" w:rsidRPr="00BF321C" w14:paraId="3E98BB12" w14:textId="77777777" w:rsidTr="00E909C3">
        <w:tc>
          <w:tcPr>
            <w:tcW w:w="3970" w:type="dxa"/>
            <w:vMerge/>
          </w:tcPr>
          <w:p w14:paraId="67ED598F" w14:textId="77777777" w:rsidR="00E909C3" w:rsidRPr="00BF321C" w:rsidRDefault="00E909C3" w:rsidP="00D349E4">
            <w:pPr>
              <w:rPr>
                <w:rFonts w:cs="Times New Roman"/>
                <w:b/>
                <w:bCs/>
                <w:szCs w:val="22"/>
              </w:rPr>
            </w:pPr>
          </w:p>
        </w:tc>
        <w:tc>
          <w:tcPr>
            <w:tcW w:w="1701" w:type="dxa"/>
          </w:tcPr>
          <w:p w14:paraId="1791AC4D" w14:textId="77777777" w:rsidR="00E909C3" w:rsidRPr="00BF321C" w:rsidRDefault="00E909C3" w:rsidP="00D349E4">
            <w:pPr>
              <w:rPr>
                <w:rFonts w:cs="Times New Roman"/>
                <w:szCs w:val="22"/>
              </w:rPr>
            </w:pPr>
            <w:r w:rsidRPr="00BF321C">
              <w:rPr>
                <w:rFonts w:cs="Times New Roman"/>
                <w:szCs w:val="22"/>
              </w:rPr>
              <w:t>Verify</w:t>
            </w:r>
          </w:p>
        </w:tc>
        <w:tc>
          <w:tcPr>
            <w:tcW w:w="1843" w:type="dxa"/>
          </w:tcPr>
          <w:p w14:paraId="4A8BC849" w14:textId="77777777" w:rsidR="00E909C3" w:rsidRPr="00BF321C" w:rsidRDefault="00E909C3" w:rsidP="00D349E4">
            <w:pPr>
              <w:rPr>
                <w:rFonts w:cs="Times New Roman"/>
                <w:szCs w:val="22"/>
              </w:rPr>
            </w:pPr>
          </w:p>
        </w:tc>
        <w:tc>
          <w:tcPr>
            <w:tcW w:w="1842" w:type="dxa"/>
          </w:tcPr>
          <w:p w14:paraId="6F8F68D7" w14:textId="77777777" w:rsidR="00E909C3" w:rsidRPr="00BF321C" w:rsidRDefault="00E909C3" w:rsidP="00D349E4">
            <w:pPr>
              <w:rPr>
                <w:rFonts w:cs="Times New Roman"/>
                <w:szCs w:val="22"/>
              </w:rPr>
            </w:pPr>
          </w:p>
        </w:tc>
        <w:tc>
          <w:tcPr>
            <w:tcW w:w="1701" w:type="dxa"/>
          </w:tcPr>
          <w:p w14:paraId="6BB5F584" w14:textId="77777777" w:rsidR="00E909C3" w:rsidRPr="00BF321C" w:rsidRDefault="00E909C3" w:rsidP="00D349E4">
            <w:pPr>
              <w:rPr>
                <w:rFonts w:cs="Times New Roman"/>
                <w:szCs w:val="22"/>
              </w:rPr>
            </w:pPr>
          </w:p>
        </w:tc>
      </w:tr>
      <w:tr w:rsidR="00E909C3" w:rsidRPr="00BF321C" w14:paraId="33205305" w14:textId="77777777" w:rsidTr="00E909C3">
        <w:tc>
          <w:tcPr>
            <w:tcW w:w="3970" w:type="dxa"/>
          </w:tcPr>
          <w:p w14:paraId="044D6D98" w14:textId="77777777" w:rsidR="00E909C3" w:rsidRPr="00BF321C" w:rsidRDefault="00E909C3" w:rsidP="00D349E4">
            <w:pPr>
              <w:jc w:val="center"/>
              <w:rPr>
                <w:rFonts w:cs="Times New Roman"/>
                <w:b/>
                <w:bCs/>
                <w:szCs w:val="22"/>
              </w:rPr>
            </w:pPr>
            <w:r w:rsidRPr="00BF321C">
              <w:rPr>
                <w:rFonts w:cs="Times New Roman"/>
                <w:b/>
                <w:bCs/>
                <w:szCs w:val="22"/>
              </w:rPr>
              <w:t>High-Commitment Adjectives</w:t>
            </w:r>
          </w:p>
        </w:tc>
        <w:tc>
          <w:tcPr>
            <w:tcW w:w="1701" w:type="dxa"/>
          </w:tcPr>
          <w:p w14:paraId="297221B5" w14:textId="77777777" w:rsidR="00E909C3" w:rsidRPr="00BF321C" w:rsidRDefault="00E909C3" w:rsidP="00D349E4">
            <w:pPr>
              <w:rPr>
                <w:rFonts w:cs="Times New Roman"/>
                <w:szCs w:val="22"/>
              </w:rPr>
            </w:pPr>
            <w:r w:rsidRPr="00BF321C">
              <w:rPr>
                <w:rFonts w:cs="Times New Roman"/>
                <w:szCs w:val="22"/>
              </w:rPr>
              <w:t>Definitive</w:t>
            </w:r>
          </w:p>
        </w:tc>
        <w:tc>
          <w:tcPr>
            <w:tcW w:w="1843" w:type="dxa"/>
          </w:tcPr>
          <w:p w14:paraId="1A83ED28" w14:textId="77777777" w:rsidR="00E909C3" w:rsidRPr="00BF321C" w:rsidRDefault="00E909C3" w:rsidP="00D349E4">
            <w:pPr>
              <w:rPr>
                <w:rFonts w:cs="Times New Roman"/>
                <w:szCs w:val="22"/>
              </w:rPr>
            </w:pPr>
          </w:p>
        </w:tc>
        <w:tc>
          <w:tcPr>
            <w:tcW w:w="1842" w:type="dxa"/>
          </w:tcPr>
          <w:p w14:paraId="522DC72F" w14:textId="77777777" w:rsidR="00E909C3" w:rsidRPr="00BF321C" w:rsidRDefault="00E909C3" w:rsidP="00D349E4">
            <w:pPr>
              <w:rPr>
                <w:rFonts w:cs="Times New Roman"/>
                <w:szCs w:val="22"/>
              </w:rPr>
            </w:pPr>
          </w:p>
        </w:tc>
        <w:tc>
          <w:tcPr>
            <w:tcW w:w="1701" w:type="dxa"/>
          </w:tcPr>
          <w:p w14:paraId="413F43FF" w14:textId="77777777" w:rsidR="00E909C3" w:rsidRPr="00BF321C" w:rsidRDefault="00E909C3" w:rsidP="00D349E4">
            <w:pPr>
              <w:rPr>
                <w:rFonts w:cs="Times New Roman"/>
                <w:szCs w:val="22"/>
              </w:rPr>
            </w:pPr>
          </w:p>
        </w:tc>
      </w:tr>
      <w:tr w:rsidR="00E909C3" w:rsidRPr="00BF321C" w14:paraId="37515912" w14:textId="77777777" w:rsidTr="00E909C3">
        <w:tc>
          <w:tcPr>
            <w:tcW w:w="3970" w:type="dxa"/>
            <w:vMerge w:val="restart"/>
          </w:tcPr>
          <w:p w14:paraId="7A1DC84B" w14:textId="77777777" w:rsidR="00E909C3" w:rsidRPr="00BF321C" w:rsidRDefault="00E909C3" w:rsidP="00D349E4">
            <w:pPr>
              <w:jc w:val="center"/>
              <w:rPr>
                <w:rFonts w:cs="Times New Roman"/>
                <w:b/>
                <w:bCs/>
                <w:szCs w:val="22"/>
              </w:rPr>
            </w:pPr>
            <w:r w:rsidRPr="00BF321C">
              <w:rPr>
                <w:rFonts w:cs="Times New Roman"/>
                <w:b/>
                <w:bCs/>
                <w:szCs w:val="22"/>
              </w:rPr>
              <w:t>Hyping Adjectives</w:t>
            </w:r>
          </w:p>
        </w:tc>
        <w:tc>
          <w:tcPr>
            <w:tcW w:w="1701" w:type="dxa"/>
          </w:tcPr>
          <w:p w14:paraId="6399F183" w14:textId="77777777" w:rsidR="00E909C3" w:rsidRPr="00BF321C" w:rsidRDefault="00E909C3" w:rsidP="00D349E4">
            <w:pPr>
              <w:rPr>
                <w:rFonts w:cs="Times New Roman"/>
                <w:szCs w:val="22"/>
              </w:rPr>
            </w:pPr>
            <w:r w:rsidRPr="00BF321C">
              <w:rPr>
                <w:rFonts w:cs="Times New Roman"/>
                <w:szCs w:val="22"/>
              </w:rPr>
              <w:t>Breakthrough</w:t>
            </w:r>
          </w:p>
        </w:tc>
        <w:tc>
          <w:tcPr>
            <w:tcW w:w="1843" w:type="dxa"/>
          </w:tcPr>
          <w:p w14:paraId="23D309A1" w14:textId="77777777" w:rsidR="00E909C3" w:rsidRPr="00BF321C" w:rsidRDefault="00E909C3" w:rsidP="00D349E4">
            <w:pPr>
              <w:rPr>
                <w:rFonts w:cs="Times New Roman"/>
                <w:szCs w:val="22"/>
              </w:rPr>
            </w:pPr>
            <w:r w:rsidRPr="00BF321C">
              <w:rPr>
                <w:rFonts w:cs="Times New Roman"/>
                <w:szCs w:val="22"/>
              </w:rPr>
              <w:t>Evidence</w:t>
            </w:r>
          </w:p>
        </w:tc>
        <w:tc>
          <w:tcPr>
            <w:tcW w:w="1842" w:type="dxa"/>
          </w:tcPr>
          <w:p w14:paraId="72253390" w14:textId="77777777" w:rsidR="00E909C3" w:rsidRPr="00BF321C" w:rsidRDefault="00E909C3" w:rsidP="00D349E4">
            <w:pPr>
              <w:rPr>
                <w:rFonts w:cs="Times New Roman"/>
                <w:szCs w:val="22"/>
              </w:rPr>
            </w:pPr>
            <w:r w:rsidRPr="00BF321C">
              <w:rPr>
                <w:rFonts w:cs="Times New Roman"/>
                <w:szCs w:val="22"/>
              </w:rPr>
              <w:t>Expert</w:t>
            </w:r>
          </w:p>
        </w:tc>
        <w:tc>
          <w:tcPr>
            <w:tcW w:w="1701" w:type="dxa"/>
          </w:tcPr>
          <w:p w14:paraId="1837FF7F" w14:textId="77777777" w:rsidR="00E909C3" w:rsidRPr="00BF321C" w:rsidRDefault="00E909C3" w:rsidP="00D349E4">
            <w:pPr>
              <w:rPr>
                <w:rFonts w:cs="Times New Roman"/>
                <w:szCs w:val="22"/>
              </w:rPr>
            </w:pPr>
            <w:r w:rsidRPr="00BF321C">
              <w:rPr>
                <w:rFonts w:cs="Times New Roman"/>
                <w:szCs w:val="22"/>
              </w:rPr>
              <w:t>Fact</w:t>
            </w:r>
          </w:p>
        </w:tc>
      </w:tr>
      <w:tr w:rsidR="00E909C3" w:rsidRPr="00BF321C" w14:paraId="5F364A25" w14:textId="77777777" w:rsidTr="00E909C3">
        <w:tc>
          <w:tcPr>
            <w:tcW w:w="3970" w:type="dxa"/>
            <w:vMerge/>
          </w:tcPr>
          <w:p w14:paraId="46D2C847" w14:textId="77777777" w:rsidR="00E909C3" w:rsidRPr="00BF321C" w:rsidRDefault="00E909C3" w:rsidP="00D349E4">
            <w:pPr>
              <w:rPr>
                <w:rFonts w:cs="Times New Roman"/>
                <w:b/>
                <w:bCs/>
                <w:szCs w:val="22"/>
              </w:rPr>
            </w:pPr>
          </w:p>
        </w:tc>
        <w:tc>
          <w:tcPr>
            <w:tcW w:w="1701" w:type="dxa"/>
          </w:tcPr>
          <w:p w14:paraId="1F5A233D" w14:textId="77777777" w:rsidR="00E909C3" w:rsidRPr="00BF321C" w:rsidRDefault="00E909C3" w:rsidP="00D349E4">
            <w:pPr>
              <w:rPr>
                <w:rFonts w:cs="Times New Roman"/>
                <w:szCs w:val="22"/>
              </w:rPr>
            </w:pPr>
            <w:r w:rsidRPr="00BF321C">
              <w:rPr>
                <w:rFonts w:cs="Times New Roman"/>
                <w:szCs w:val="22"/>
              </w:rPr>
              <w:t>Famous</w:t>
            </w:r>
          </w:p>
        </w:tc>
        <w:tc>
          <w:tcPr>
            <w:tcW w:w="1843" w:type="dxa"/>
          </w:tcPr>
          <w:p w14:paraId="60068DA9" w14:textId="77777777" w:rsidR="00E909C3" w:rsidRPr="00BF321C" w:rsidRDefault="00E909C3" w:rsidP="00D349E4">
            <w:pPr>
              <w:rPr>
                <w:rFonts w:cs="Times New Roman"/>
                <w:szCs w:val="22"/>
              </w:rPr>
            </w:pPr>
            <w:r w:rsidRPr="00BF321C">
              <w:rPr>
                <w:rFonts w:cs="Times New Roman"/>
                <w:szCs w:val="22"/>
              </w:rPr>
              <w:t>Important</w:t>
            </w:r>
          </w:p>
        </w:tc>
        <w:tc>
          <w:tcPr>
            <w:tcW w:w="1842" w:type="dxa"/>
          </w:tcPr>
          <w:p w14:paraId="76757691" w14:textId="77777777" w:rsidR="00E909C3" w:rsidRPr="00BF321C" w:rsidRDefault="00E909C3" w:rsidP="00D349E4">
            <w:pPr>
              <w:rPr>
                <w:rFonts w:cs="Times New Roman"/>
                <w:szCs w:val="22"/>
              </w:rPr>
            </w:pPr>
            <w:r w:rsidRPr="00BF321C">
              <w:rPr>
                <w:rFonts w:cs="Times New Roman"/>
                <w:szCs w:val="22"/>
              </w:rPr>
              <w:t>Key</w:t>
            </w:r>
          </w:p>
        </w:tc>
        <w:tc>
          <w:tcPr>
            <w:tcW w:w="1701" w:type="dxa"/>
          </w:tcPr>
          <w:p w14:paraId="13528147" w14:textId="77777777" w:rsidR="00E909C3" w:rsidRPr="00BF321C" w:rsidRDefault="00E909C3" w:rsidP="00D349E4">
            <w:pPr>
              <w:rPr>
                <w:rFonts w:cs="Times New Roman"/>
                <w:szCs w:val="22"/>
              </w:rPr>
            </w:pPr>
            <w:r w:rsidRPr="00BF321C">
              <w:rPr>
                <w:rFonts w:cs="Times New Roman"/>
                <w:szCs w:val="22"/>
              </w:rPr>
              <w:t>Landmark</w:t>
            </w:r>
          </w:p>
        </w:tc>
      </w:tr>
      <w:tr w:rsidR="00E909C3" w:rsidRPr="00BF321C" w14:paraId="0A1A6017" w14:textId="77777777" w:rsidTr="00E909C3">
        <w:tc>
          <w:tcPr>
            <w:tcW w:w="3970" w:type="dxa"/>
            <w:vMerge/>
          </w:tcPr>
          <w:p w14:paraId="40C766FA" w14:textId="77777777" w:rsidR="00E909C3" w:rsidRPr="00BF321C" w:rsidRDefault="00E909C3" w:rsidP="00D349E4">
            <w:pPr>
              <w:rPr>
                <w:rFonts w:cs="Times New Roman"/>
                <w:b/>
                <w:bCs/>
                <w:szCs w:val="22"/>
              </w:rPr>
            </w:pPr>
          </w:p>
        </w:tc>
        <w:tc>
          <w:tcPr>
            <w:tcW w:w="1701" w:type="dxa"/>
          </w:tcPr>
          <w:p w14:paraId="3CC65020" w14:textId="77777777" w:rsidR="00E909C3" w:rsidRPr="00BF321C" w:rsidRDefault="00E909C3" w:rsidP="00D349E4">
            <w:pPr>
              <w:rPr>
                <w:rFonts w:cs="Times New Roman"/>
                <w:szCs w:val="22"/>
              </w:rPr>
            </w:pPr>
            <w:r w:rsidRPr="00BF321C">
              <w:rPr>
                <w:rFonts w:cs="Times New Roman"/>
                <w:szCs w:val="22"/>
              </w:rPr>
              <w:t>Leading</w:t>
            </w:r>
          </w:p>
        </w:tc>
        <w:tc>
          <w:tcPr>
            <w:tcW w:w="1843" w:type="dxa"/>
          </w:tcPr>
          <w:p w14:paraId="1EFCA428" w14:textId="77777777" w:rsidR="00E909C3" w:rsidRPr="00BF321C" w:rsidRDefault="00E909C3" w:rsidP="00D349E4">
            <w:pPr>
              <w:rPr>
                <w:rFonts w:cs="Times New Roman"/>
                <w:szCs w:val="22"/>
              </w:rPr>
            </w:pPr>
            <w:r w:rsidRPr="00BF321C">
              <w:rPr>
                <w:rFonts w:cs="Times New Roman"/>
                <w:szCs w:val="22"/>
              </w:rPr>
              <w:t>Major</w:t>
            </w:r>
          </w:p>
        </w:tc>
        <w:tc>
          <w:tcPr>
            <w:tcW w:w="1842" w:type="dxa"/>
          </w:tcPr>
          <w:p w14:paraId="5D3265C6" w14:textId="77777777" w:rsidR="00E909C3" w:rsidRPr="00BF321C" w:rsidRDefault="00E909C3" w:rsidP="00D349E4">
            <w:pPr>
              <w:rPr>
                <w:rFonts w:cs="Times New Roman"/>
                <w:dstrike/>
                <w:szCs w:val="22"/>
              </w:rPr>
            </w:pPr>
            <w:r w:rsidRPr="00BF321C">
              <w:rPr>
                <w:rFonts w:cs="Times New Roman"/>
                <w:dstrike/>
                <w:szCs w:val="22"/>
              </w:rPr>
              <w:t>Noted</w:t>
            </w:r>
          </w:p>
        </w:tc>
        <w:tc>
          <w:tcPr>
            <w:tcW w:w="1701" w:type="dxa"/>
          </w:tcPr>
          <w:p w14:paraId="71775590" w14:textId="77777777" w:rsidR="00E909C3" w:rsidRPr="00BF321C" w:rsidRDefault="00E909C3" w:rsidP="00D349E4">
            <w:pPr>
              <w:rPr>
                <w:rFonts w:cs="Times New Roman"/>
                <w:szCs w:val="22"/>
              </w:rPr>
            </w:pPr>
            <w:r w:rsidRPr="00BF321C">
              <w:rPr>
                <w:rFonts w:cs="Times New Roman"/>
                <w:szCs w:val="22"/>
              </w:rPr>
              <w:t>Recent</w:t>
            </w:r>
          </w:p>
        </w:tc>
      </w:tr>
      <w:tr w:rsidR="00E909C3" w:rsidRPr="00BF321C" w14:paraId="2CB518B0" w14:textId="77777777" w:rsidTr="00E909C3">
        <w:tc>
          <w:tcPr>
            <w:tcW w:w="3970" w:type="dxa"/>
            <w:vMerge/>
          </w:tcPr>
          <w:p w14:paraId="30E4FFB0" w14:textId="77777777" w:rsidR="00E909C3" w:rsidRPr="00BF321C" w:rsidRDefault="00E909C3" w:rsidP="00D349E4">
            <w:pPr>
              <w:rPr>
                <w:rFonts w:cs="Times New Roman"/>
                <w:b/>
                <w:bCs/>
                <w:szCs w:val="22"/>
              </w:rPr>
            </w:pPr>
          </w:p>
        </w:tc>
        <w:tc>
          <w:tcPr>
            <w:tcW w:w="1701" w:type="dxa"/>
          </w:tcPr>
          <w:p w14:paraId="5C31D8A7" w14:textId="77777777" w:rsidR="00E909C3" w:rsidRPr="00BF321C" w:rsidRDefault="00E909C3" w:rsidP="00D349E4">
            <w:pPr>
              <w:rPr>
                <w:rFonts w:cs="Times New Roman"/>
                <w:szCs w:val="22"/>
              </w:rPr>
            </w:pPr>
            <w:r w:rsidRPr="00BF321C">
              <w:rPr>
                <w:rFonts w:cs="Times New Roman"/>
                <w:szCs w:val="22"/>
              </w:rPr>
              <w:t>Significant</w:t>
            </w:r>
          </w:p>
        </w:tc>
        <w:tc>
          <w:tcPr>
            <w:tcW w:w="1843" w:type="dxa"/>
          </w:tcPr>
          <w:p w14:paraId="7F517713" w14:textId="77777777" w:rsidR="00E909C3" w:rsidRPr="00BF321C" w:rsidRDefault="00E909C3" w:rsidP="00D349E4">
            <w:pPr>
              <w:rPr>
                <w:rFonts w:cs="Times New Roman"/>
                <w:szCs w:val="22"/>
              </w:rPr>
            </w:pPr>
            <w:r w:rsidRPr="00BF321C">
              <w:rPr>
                <w:rFonts w:cs="Times New Roman"/>
                <w:szCs w:val="22"/>
              </w:rPr>
              <w:t>Strong</w:t>
            </w:r>
          </w:p>
        </w:tc>
        <w:tc>
          <w:tcPr>
            <w:tcW w:w="1842" w:type="dxa"/>
          </w:tcPr>
          <w:p w14:paraId="73521021" w14:textId="77777777" w:rsidR="00E909C3" w:rsidRPr="00BF321C" w:rsidRDefault="00E909C3" w:rsidP="00D349E4">
            <w:pPr>
              <w:rPr>
                <w:rFonts w:cs="Times New Roman"/>
                <w:szCs w:val="22"/>
              </w:rPr>
            </w:pPr>
            <w:r w:rsidRPr="00BF321C">
              <w:rPr>
                <w:rFonts w:cs="Times New Roman"/>
                <w:szCs w:val="22"/>
              </w:rPr>
              <w:t>Top</w:t>
            </w:r>
          </w:p>
        </w:tc>
        <w:tc>
          <w:tcPr>
            <w:tcW w:w="1701" w:type="dxa"/>
          </w:tcPr>
          <w:p w14:paraId="2E41C87C" w14:textId="77777777" w:rsidR="00E909C3" w:rsidRPr="00BF321C" w:rsidRDefault="00E909C3" w:rsidP="00D349E4">
            <w:pPr>
              <w:rPr>
                <w:rFonts w:cs="Times New Roman"/>
                <w:szCs w:val="22"/>
              </w:rPr>
            </w:pPr>
            <w:r w:rsidRPr="00BF321C">
              <w:rPr>
                <w:rFonts w:cs="Times New Roman"/>
                <w:szCs w:val="22"/>
              </w:rPr>
              <w:t>Truth</w:t>
            </w:r>
          </w:p>
        </w:tc>
      </w:tr>
      <w:tr w:rsidR="00E909C3" w:rsidRPr="00BF321C" w14:paraId="7DFE97FD" w14:textId="77777777" w:rsidTr="00E909C3">
        <w:tc>
          <w:tcPr>
            <w:tcW w:w="3970" w:type="dxa"/>
            <w:vMerge/>
          </w:tcPr>
          <w:p w14:paraId="3A80D109" w14:textId="77777777" w:rsidR="00E909C3" w:rsidRPr="00BF321C" w:rsidRDefault="00E909C3" w:rsidP="00D349E4">
            <w:pPr>
              <w:rPr>
                <w:rFonts w:cs="Times New Roman"/>
                <w:b/>
                <w:bCs/>
                <w:szCs w:val="22"/>
              </w:rPr>
            </w:pPr>
          </w:p>
        </w:tc>
        <w:tc>
          <w:tcPr>
            <w:tcW w:w="1701" w:type="dxa"/>
          </w:tcPr>
          <w:p w14:paraId="7AE0097A" w14:textId="77777777" w:rsidR="00E909C3" w:rsidRPr="00BF321C" w:rsidRDefault="00E909C3" w:rsidP="00D349E4">
            <w:pPr>
              <w:rPr>
                <w:rFonts w:cs="Times New Roman"/>
                <w:szCs w:val="22"/>
              </w:rPr>
            </w:pPr>
            <w:r w:rsidRPr="00BF321C">
              <w:rPr>
                <w:rFonts w:cs="Times New Roman"/>
                <w:szCs w:val="22"/>
              </w:rPr>
              <w:t>Unequivocal</w:t>
            </w:r>
          </w:p>
        </w:tc>
        <w:tc>
          <w:tcPr>
            <w:tcW w:w="1843" w:type="dxa"/>
          </w:tcPr>
          <w:p w14:paraId="7FD88AE6" w14:textId="77777777" w:rsidR="00E909C3" w:rsidRPr="00BF321C" w:rsidRDefault="00E909C3" w:rsidP="00D349E4">
            <w:pPr>
              <w:rPr>
                <w:rFonts w:cs="Times New Roman"/>
                <w:szCs w:val="22"/>
              </w:rPr>
            </w:pPr>
          </w:p>
        </w:tc>
        <w:tc>
          <w:tcPr>
            <w:tcW w:w="1842" w:type="dxa"/>
          </w:tcPr>
          <w:p w14:paraId="315583E1" w14:textId="77777777" w:rsidR="00E909C3" w:rsidRPr="00BF321C" w:rsidRDefault="00E909C3" w:rsidP="00D349E4">
            <w:pPr>
              <w:rPr>
                <w:rFonts w:cs="Times New Roman"/>
                <w:szCs w:val="22"/>
              </w:rPr>
            </w:pPr>
          </w:p>
        </w:tc>
        <w:tc>
          <w:tcPr>
            <w:tcW w:w="1701" w:type="dxa"/>
          </w:tcPr>
          <w:p w14:paraId="38B11EFD" w14:textId="77777777" w:rsidR="00E909C3" w:rsidRPr="00BF321C" w:rsidRDefault="00E909C3" w:rsidP="00D349E4">
            <w:pPr>
              <w:rPr>
                <w:rFonts w:cs="Times New Roman"/>
                <w:szCs w:val="22"/>
              </w:rPr>
            </w:pPr>
          </w:p>
        </w:tc>
      </w:tr>
      <w:tr w:rsidR="00E909C3" w:rsidRPr="00BF321C" w14:paraId="28C88EC3" w14:textId="77777777" w:rsidTr="00E909C3">
        <w:tc>
          <w:tcPr>
            <w:tcW w:w="3970" w:type="dxa"/>
          </w:tcPr>
          <w:p w14:paraId="2B19BB13" w14:textId="77777777" w:rsidR="00E909C3" w:rsidRPr="00BF321C" w:rsidRDefault="00E909C3" w:rsidP="00D349E4">
            <w:pPr>
              <w:jc w:val="center"/>
              <w:rPr>
                <w:rFonts w:cs="Times New Roman"/>
                <w:b/>
                <w:bCs/>
                <w:szCs w:val="22"/>
              </w:rPr>
            </w:pPr>
            <w:r w:rsidRPr="00BF321C">
              <w:rPr>
                <w:rFonts w:cs="Times New Roman"/>
                <w:b/>
                <w:bCs/>
                <w:szCs w:val="22"/>
              </w:rPr>
              <w:t>Consensus of Evidence Adjectives</w:t>
            </w:r>
          </w:p>
        </w:tc>
        <w:tc>
          <w:tcPr>
            <w:tcW w:w="1701" w:type="dxa"/>
          </w:tcPr>
          <w:p w14:paraId="152A8C9D" w14:textId="77777777" w:rsidR="00E909C3" w:rsidRPr="00BF321C" w:rsidRDefault="00E909C3" w:rsidP="00D349E4">
            <w:pPr>
              <w:rPr>
                <w:rFonts w:cs="Times New Roman"/>
                <w:szCs w:val="22"/>
              </w:rPr>
            </w:pPr>
            <w:r w:rsidRPr="00BF321C">
              <w:rPr>
                <w:rFonts w:cs="Times New Roman"/>
                <w:szCs w:val="22"/>
              </w:rPr>
              <w:t>Dozen</w:t>
            </w:r>
          </w:p>
        </w:tc>
        <w:tc>
          <w:tcPr>
            <w:tcW w:w="1843" w:type="dxa"/>
          </w:tcPr>
          <w:p w14:paraId="1C612C2B" w14:textId="77777777" w:rsidR="00E909C3" w:rsidRPr="00BF321C" w:rsidRDefault="00E909C3" w:rsidP="00D349E4">
            <w:pPr>
              <w:rPr>
                <w:rFonts w:cs="Times New Roman"/>
                <w:szCs w:val="22"/>
              </w:rPr>
            </w:pPr>
            <w:r w:rsidRPr="00BF321C">
              <w:rPr>
                <w:rFonts w:cs="Times New Roman"/>
                <w:szCs w:val="22"/>
              </w:rPr>
              <w:t>Multiple</w:t>
            </w:r>
          </w:p>
        </w:tc>
        <w:tc>
          <w:tcPr>
            <w:tcW w:w="1842" w:type="dxa"/>
          </w:tcPr>
          <w:p w14:paraId="56E82BE3" w14:textId="77777777" w:rsidR="00E909C3" w:rsidRPr="00BF321C" w:rsidRDefault="00E909C3" w:rsidP="00D349E4">
            <w:pPr>
              <w:rPr>
                <w:rFonts w:cs="Times New Roman"/>
                <w:szCs w:val="22"/>
              </w:rPr>
            </w:pPr>
            <w:r w:rsidRPr="00BF321C">
              <w:rPr>
                <w:rFonts w:cs="Times New Roman"/>
                <w:szCs w:val="22"/>
              </w:rPr>
              <w:t>Numerous</w:t>
            </w:r>
          </w:p>
        </w:tc>
        <w:tc>
          <w:tcPr>
            <w:tcW w:w="1701" w:type="dxa"/>
          </w:tcPr>
          <w:p w14:paraId="23E87B22" w14:textId="77777777" w:rsidR="00E909C3" w:rsidRPr="00BF321C" w:rsidRDefault="00E909C3" w:rsidP="00081AD8">
            <w:pPr>
              <w:keepNext/>
              <w:rPr>
                <w:rFonts w:cs="Times New Roman"/>
                <w:szCs w:val="22"/>
              </w:rPr>
            </w:pPr>
            <w:r w:rsidRPr="00BF321C">
              <w:rPr>
                <w:rFonts w:cs="Times New Roman"/>
                <w:szCs w:val="22"/>
              </w:rPr>
              <w:t>Substantial</w:t>
            </w:r>
          </w:p>
        </w:tc>
      </w:tr>
    </w:tbl>
    <w:p w14:paraId="000CFE2A" w14:textId="77777777" w:rsidR="00081AD8" w:rsidRDefault="00081AD8" w:rsidP="00081AD8">
      <w:pPr>
        <w:pStyle w:val="DissertationTableCaption"/>
      </w:pPr>
    </w:p>
    <w:p w14:paraId="73540E40" w14:textId="3F841DCC" w:rsidR="00E909C3" w:rsidRPr="00081AD8" w:rsidRDefault="00081AD8" w:rsidP="00081AD8">
      <w:pPr>
        <w:pStyle w:val="DissertationTableCaption"/>
        <w:rPr>
          <w:b/>
          <w:bCs/>
          <w:szCs w:val="22"/>
          <w:u w:val="none"/>
        </w:rPr>
      </w:pPr>
      <w:bookmarkStart w:id="172" w:name="_Toc175413225"/>
      <w:r>
        <w:t xml:space="preserve">Table A8- </w:t>
      </w:r>
      <w:fldSimple w:instr=" SEQ Table_A8- \* ARABIC ">
        <w:r w:rsidR="008D1375">
          <w:rPr>
            <w:noProof/>
          </w:rPr>
          <w:t>1</w:t>
        </w:r>
      </w:fldSimple>
      <w:r w:rsidR="008D1375">
        <w:t>:</w:t>
      </w:r>
      <w:r>
        <w:rPr>
          <w:u w:val="none"/>
        </w:rPr>
        <w:tab/>
        <w:t xml:space="preserve">List of Specific Words </w:t>
      </w:r>
      <w:r w:rsidR="00C007CC">
        <w:rPr>
          <w:u w:val="none"/>
        </w:rPr>
        <w:t>Operationaliz</w:t>
      </w:r>
      <w:r>
        <w:rPr>
          <w:u w:val="none"/>
        </w:rPr>
        <w:t>ed as Positive Bias Indicators, Sorted by Type</w:t>
      </w:r>
      <w:bookmarkEnd w:id="172"/>
    </w:p>
    <w:p w14:paraId="59ECAEA4" w14:textId="77777777" w:rsidR="00E909C3" w:rsidRDefault="00E909C3" w:rsidP="00081AD8">
      <w:pPr>
        <w:pStyle w:val="DissertationTableCaption"/>
      </w:pPr>
    </w:p>
    <w:p w14:paraId="4C973B72" w14:textId="14588660" w:rsidR="00E909C3" w:rsidRPr="00BF321C" w:rsidRDefault="00E909C3" w:rsidP="00E909C3">
      <w:pPr>
        <w:spacing w:before="0" w:after="0"/>
        <w:rPr>
          <w:rFonts w:cs="Times New Roman"/>
          <w:szCs w:val="22"/>
        </w:rPr>
      </w:pPr>
      <w:r w:rsidRPr="00BF321C">
        <w:rPr>
          <w:rFonts w:cs="Times New Roman"/>
          <w:szCs w:val="22"/>
        </w:rPr>
        <w:t xml:space="preserve"> </w:t>
      </w:r>
    </w:p>
    <w:p w14:paraId="19F82F24" w14:textId="77777777" w:rsidR="00E909C3" w:rsidRDefault="00E909C3">
      <w:pPr>
        <w:spacing w:before="0" w:after="0"/>
        <w:rPr>
          <w:rFonts w:cs="Times New Roman"/>
          <w:b/>
          <w:bCs/>
          <w:szCs w:val="22"/>
          <w:u w:val="single"/>
        </w:rPr>
      </w:pPr>
      <w:r>
        <w:rPr>
          <w:rFonts w:cs="Times New Roman"/>
          <w:b/>
          <w:bCs/>
          <w:szCs w:val="22"/>
          <w:u w:val="single"/>
        </w:rPr>
        <w:br w:type="page"/>
      </w:r>
    </w:p>
    <w:p w14:paraId="60D05D0D" w14:textId="5FE60140" w:rsidR="00E909C3" w:rsidRPr="00E909C3" w:rsidRDefault="00E909C3" w:rsidP="00E13D63">
      <w:pPr>
        <w:pStyle w:val="DissertationSection3"/>
      </w:pPr>
      <w:bookmarkStart w:id="173" w:name="_Toc175413188"/>
      <w:r w:rsidRPr="00E909C3">
        <w:lastRenderedPageBreak/>
        <w:t>Factive and Semi-Factive Verbs</w:t>
      </w:r>
      <w:bookmarkEnd w:id="173"/>
    </w:p>
    <w:tbl>
      <w:tblPr>
        <w:tblStyle w:val="TableGrid"/>
        <w:tblpPr w:leftFromText="180" w:rightFromText="180" w:vertAnchor="text" w:horzAnchor="margin" w:tblpXSpec="center" w:tblpY="561"/>
        <w:tblW w:w="9067" w:type="dxa"/>
        <w:tblLook w:val="04A0" w:firstRow="1" w:lastRow="0" w:firstColumn="1" w:lastColumn="0" w:noHBand="0" w:noVBand="1"/>
      </w:tblPr>
      <w:tblGrid>
        <w:gridCol w:w="2122"/>
        <w:gridCol w:w="6945"/>
      </w:tblGrid>
      <w:tr w:rsidR="00E13D63" w:rsidRPr="00BF321C" w14:paraId="16EFF2DD" w14:textId="77777777" w:rsidTr="00E13D63">
        <w:tc>
          <w:tcPr>
            <w:tcW w:w="2122" w:type="dxa"/>
          </w:tcPr>
          <w:p w14:paraId="348EB75B" w14:textId="77777777" w:rsidR="00E13D63" w:rsidRPr="00BF321C" w:rsidRDefault="00E13D63" w:rsidP="00E909C3">
            <w:pPr>
              <w:rPr>
                <w:rFonts w:cs="Times New Roman"/>
                <w:b/>
                <w:bCs/>
                <w:szCs w:val="22"/>
              </w:rPr>
            </w:pPr>
            <w:r w:rsidRPr="00BF321C">
              <w:rPr>
                <w:rFonts w:cs="Times New Roman"/>
                <w:b/>
                <w:bCs/>
                <w:szCs w:val="22"/>
              </w:rPr>
              <w:t>Word/Phrase</w:t>
            </w:r>
          </w:p>
        </w:tc>
        <w:tc>
          <w:tcPr>
            <w:tcW w:w="6945" w:type="dxa"/>
          </w:tcPr>
          <w:p w14:paraId="621CECA8"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3E67868A" w14:textId="77777777" w:rsidTr="00E13D63">
        <w:tc>
          <w:tcPr>
            <w:tcW w:w="2122" w:type="dxa"/>
          </w:tcPr>
          <w:p w14:paraId="0E44C4AE" w14:textId="77777777" w:rsidR="00E13D63" w:rsidRPr="00BF321C" w:rsidRDefault="00E13D63" w:rsidP="00D349E4">
            <w:pPr>
              <w:rPr>
                <w:rFonts w:cs="Times New Roman"/>
                <w:szCs w:val="22"/>
              </w:rPr>
            </w:pPr>
            <w:r w:rsidRPr="00BF321C">
              <w:rPr>
                <w:rFonts w:cs="Times New Roman"/>
                <w:szCs w:val="22"/>
              </w:rPr>
              <w:t>Acknowledge</w:t>
            </w:r>
          </w:p>
        </w:tc>
        <w:tc>
          <w:tcPr>
            <w:tcW w:w="6945" w:type="dxa"/>
          </w:tcPr>
          <w:p w14:paraId="7F3A0A1E" w14:textId="77777777" w:rsidR="00E13D63" w:rsidRPr="00BF321C" w:rsidRDefault="00E13D63" w:rsidP="00D349E4">
            <w:pPr>
              <w:rPr>
                <w:rFonts w:cs="Times New Roman"/>
                <w:szCs w:val="22"/>
              </w:rPr>
            </w:pPr>
            <w:r w:rsidRPr="00BF321C">
              <w:rPr>
                <w:rFonts w:cs="Times New Roman"/>
                <w:szCs w:val="22"/>
              </w:rPr>
              <w:t>“Economists acknowledge Ethiopia has done more than most in ensuring remote areas benefit from growth and in turning around the fortunes of what was almost a failed state three decades ago after years of “Red Terror” communist purges and famine.”</w:t>
            </w:r>
          </w:p>
        </w:tc>
      </w:tr>
      <w:tr w:rsidR="00E13D63" w:rsidRPr="00BF321C" w14:paraId="3F9A7374" w14:textId="77777777" w:rsidTr="00E13D63">
        <w:tc>
          <w:tcPr>
            <w:tcW w:w="2122" w:type="dxa"/>
          </w:tcPr>
          <w:p w14:paraId="24A12AE2" w14:textId="77777777" w:rsidR="00E13D63" w:rsidRPr="00BF321C" w:rsidRDefault="00E13D63" w:rsidP="00D349E4">
            <w:pPr>
              <w:rPr>
                <w:rFonts w:cs="Times New Roman"/>
                <w:szCs w:val="22"/>
              </w:rPr>
            </w:pPr>
            <w:r w:rsidRPr="00BF321C">
              <w:rPr>
                <w:rFonts w:cs="Times New Roman"/>
                <w:szCs w:val="22"/>
              </w:rPr>
              <w:t>Concede</w:t>
            </w:r>
          </w:p>
        </w:tc>
        <w:tc>
          <w:tcPr>
            <w:tcW w:w="6945" w:type="dxa"/>
          </w:tcPr>
          <w:p w14:paraId="55F6F645" w14:textId="77777777" w:rsidR="00E13D63" w:rsidRPr="00BF321C" w:rsidRDefault="00E13D63" w:rsidP="00D349E4">
            <w:pPr>
              <w:rPr>
                <w:rFonts w:cs="Times New Roman"/>
                <w:szCs w:val="22"/>
              </w:rPr>
            </w:pPr>
            <w:r w:rsidRPr="00BF321C">
              <w:rPr>
                <w:rFonts w:cs="Times New Roman"/>
                <w:szCs w:val="22"/>
              </w:rPr>
              <w:t>“It does not only concern sports but all the big events and the whole society. You cannot concede victory to the terrorists. We must be united and firm, especially with the Olympic Games.”</w:t>
            </w:r>
            <w:r w:rsidRPr="00BF321C">
              <w:rPr>
                <w:rFonts w:cs="Times New Roman"/>
                <w:szCs w:val="22"/>
              </w:rPr>
              <w:br/>
            </w:r>
          </w:p>
        </w:tc>
      </w:tr>
      <w:tr w:rsidR="00E13D63" w:rsidRPr="00BF321C" w14:paraId="13417937" w14:textId="77777777" w:rsidTr="00E13D63">
        <w:tc>
          <w:tcPr>
            <w:tcW w:w="2122" w:type="dxa"/>
          </w:tcPr>
          <w:p w14:paraId="234C0B60" w14:textId="77777777" w:rsidR="00E13D63" w:rsidRPr="00BF321C" w:rsidRDefault="00E13D63" w:rsidP="00D349E4">
            <w:pPr>
              <w:rPr>
                <w:rFonts w:cs="Times New Roman"/>
                <w:szCs w:val="22"/>
              </w:rPr>
            </w:pPr>
            <w:r w:rsidRPr="00BF321C">
              <w:rPr>
                <w:rFonts w:cs="Times New Roman"/>
                <w:szCs w:val="22"/>
              </w:rPr>
              <w:t>Demonstrate</w:t>
            </w:r>
          </w:p>
        </w:tc>
        <w:tc>
          <w:tcPr>
            <w:tcW w:w="6945" w:type="dxa"/>
          </w:tcPr>
          <w:p w14:paraId="375D1A5F" w14:textId="77777777" w:rsidR="00E13D63" w:rsidRPr="00BF321C" w:rsidRDefault="00E13D63" w:rsidP="00D349E4">
            <w:pPr>
              <w:rPr>
                <w:rFonts w:cs="Times New Roman"/>
                <w:szCs w:val="22"/>
              </w:rPr>
            </w:pPr>
            <w:r w:rsidRPr="00BF321C">
              <w:rPr>
                <w:rFonts w:cs="Times New Roman"/>
                <w:szCs w:val="22"/>
              </w:rPr>
              <w:t>“Speaking in London after attending a meeting of G20 leaders in Turkey where security issues dominated, Cameron said Britain would demonstrate the same resolve in the fight against terrorism as it showed against Nazi Germany in World War Two.”</w:t>
            </w:r>
          </w:p>
        </w:tc>
      </w:tr>
      <w:tr w:rsidR="00E13D63" w:rsidRPr="00BF321C" w14:paraId="3B738862" w14:textId="77777777" w:rsidTr="00E13D63">
        <w:tc>
          <w:tcPr>
            <w:tcW w:w="2122" w:type="dxa"/>
          </w:tcPr>
          <w:p w14:paraId="51D3F3F1" w14:textId="77777777" w:rsidR="00E13D63" w:rsidRPr="00BF321C" w:rsidRDefault="00E13D63" w:rsidP="00D349E4">
            <w:pPr>
              <w:rPr>
                <w:rFonts w:cs="Times New Roman"/>
                <w:szCs w:val="22"/>
              </w:rPr>
            </w:pPr>
            <w:r w:rsidRPr="00BF321C">
              <w:rPr>
                <w:rFonts w:cs="Times New Roman"/>
                <w:szCs w:val="22"/>
              </w:rPr>
              <w:t>Forget</w:t>
            </w:r>
          </w:p>
        </w:tc>
        <w:tc>
          <w:tcPr>
            <w:tcW w:w="6945" w:type="dxa"/>
          </w:tcPr>
          <w:p w14:paraId="4B4250E6" w14:textId="77777777" w:rsidR="00E13D63" w:rsidRPr="00BF321C" w:rsidRDefault="00E13D63" w:rsidP="00D349E4">
            <w:pPr>
              <w:rPr>
                <w:rFonts w:cs="Times New Roman"/>
                <w:szCs w:val="22"/>
              </w:rPr>
            </w:pPr>
            <w:r w:rsidRPr="00BF321C">
              <w:rPr>
                <w:rFonts w:cs="Times New Roman"/>
                <w:szCs w:val="22"/>
              </w:rPr>
              <w:t>“… were able to neutralize this terrorist. I won’t forget the look of this policewoman who intercepted the killer.”</w:t>
            </w:r>
          </w:p>
        </w:tc>
      </w:tr>
      <w:tr w:rsidR="00E13D63" w:rsidRPr="00BF321C" w14:paraId="32F5C63D" w14:textId="77777777" w:rsidTr="00E13D63">
        <w:tc>
          <w:tcPr>
            <w:tcW w:w="2122" w:type="dxa"/>
          </w:tcPr>
          <w:p w14:paraId="5A43F5A3" w14:textId="77777777" w:rsidR="00E13D63" w:rsidRPr="00BF321C" w:rsidRDefault="00E13D63" w:rsidP="00D349E4">
            <w:pPr>
              <w:rPr>
                <w:rFonts w:cs="Times New Roman"/>
                <w:szCs w:val="22"/>
              </w:rPr>
            </w:pPr>
            <w:r w:rsidRPr="00BF321C">
              <w:rPr>
                <w:rFonts w:cs="Times New Roman"/>
                <w:szCs w:val="22"/>
              </w:rPr>
              <w:t>Learn</w:t>
            </w:r>
          </w:p>
        </w:tc>
        <w:tc>
          <w:tcPr>
            <w:tcW w:w="6945" w:type="dxa"/>
          </w:tcPr>
          <w:p w14:paraId="7C33467A" w14:textId="77777777" w:rsidR="00E13D63" w:rsidRPr="00BF321C" w:rsidRDefault="00E13D63" w:rsidP="00D349E4">
            <w:pPr>
              <w:rPr>
                <w:rFonts w:cs="Times New Roman"/>
                <w:szCs w:val="22"/>
              </w:rPr>
            </w:pPr>
            <w:r w:rsidRPr="00BF321C">
              <w:rPr>
                <w:rFonts w:cs="Times New Roman"/>
                <w:szCs w:val="22"/>
              </w:rPr>
              <w:t xml:space="preserve">“Back in 2002, we learn </w:t>
            </w:r>
            <w:proofErr w:type="spellStart"/>
            <w:r w:rsidRPr="00BF321C">
              <w:rPr>
                <w:rFonts w:cs="Times New Roman"/>
                <w:szCs w:val="22"/>
              </w:rPr>
              <w:t>Marzin</w:t>
            </w:r>
            <w:proofErr w:type="spellEnd"/>
            <w:r w:rsidRPr="00BF321C">
              <w:rPr>
                <w:rFonts w:cs="Times New Roman"/>
                <w:szCs w:val="22"/>
              </w:rPr>
              <w:t xml:space="preserve"> (Joe Cole) was an undercover informant who had infiltrated a terrorist cell possibly connected to the mosque – an “in” that made him virtually untouchable where the Bureau was concerned.”</w:t>
            </w:r>
          </w:p>
        </w:tc>
      </w:tr>
      <w:tr w:rsidR="00E13D63" w:rsidRPr="00BF321C" w14:paraId="427E7C13" w14:textId="77777777" w:rsidTr="00E13D63">
        <w:tc>
          <w:tcPr>
            <w:tcW w:w="2122" w:type="dxa"/>
          </w:tcPr>
          <w:p w14:paraId="19C2DF7D" w14:textId="77777777" w:rsidR="00E13D63" w:rsidRPr="00BF321C" w:rsidRDefault="00E13D63" w:rsidP="00D349E4">
            <w:pPr>
              <w:rPr>
                <w:rFonts w:cs="Times New Roman"/>
                <w:szCs w:val="22"/>
              </w:rPr>
            </w:pPr>
            <w:r w:rsidRPr="00BF321C">
              <w:rPr>
                <w:rFonts w:cs="Times New Roman"/>
                <w:szCs w:val="22"/>
              </w:rPr>
              <w:t>Realise</w:t>
            </w:r>
          </w:p>
        </w:tc>
        <w:tc>
          <w:tcPr>
            <w:tcW w:w="6945" w:type="dxa"/>
          </w:tcPr>
          <w:p w14:paraId="64048344" w14:textId="77777777" w:rsidR="00E13D63" w:rsidRPr="00BF321C" w:rsidRDefault="00E13D63" w:rsidP="00D349E4">
            <w:pPr>
              <w:rPr>
                <w:rFonts w:cs="Times New Roman"/>
                <w:szCs w:val="22"/>
              </w:rPr>
            </w:pPr>
            <w:r w:rsidRPr="00BF321C">
              <w:rPr>
                <w:rFonts w:cs="Times New Roman"/>
                <w:szCs w:val="22"/>
              </w:rPr>
              <w:t xml:space="preserve">“… At </w:t>
            </w:r>
            <w:proofErr w:type="gramStart"/>
            <w:r w:rsidRPr="00BF321C">
              <w:rPr>
                <w:rFonts w:cs="Times New Roman"/>
                <w:szCs w:val="22"/>
              </w:rPr>
              <w:t>first</w:t>
            </w:r>
            <w:proofErr w:type="gramEnd"/>
            <w:r w:rsidRPr="00BF321C">
              <w:rPr>
                <w:rFonts w:cs="Times New Roman"/>
                <w:szCs w:val="22"/>
              </w:rPr>
              <w:t xml:space="preserve"> I thought the truck didn’t realise the road had been made pedestrian for the celebration. But when I saw people on the </w:t>
            </w:r>
            <w:proofErr w:type="gramStart"/>
            <w:r w:rsidRPr="00BF321C">
              <w:rPr>
                <w:rFonts w:cs="Times New Roman"/>
                <w:szCs w:val="22"/>
              </w:rPr>
              <w:t>ground</w:t>
            </w:r>
            <w:proofErr w:type="gramEnd"/>
            <w:r w:rsidRPr="00BF321C">
              <w:rPr>
                <w:rFonts w:cs="Times New Roman"/>
                <w:szCs w:val="22"/>
              </w:rPr>
              <w:t xml:space="preserve"> I started realising it could be a terror attack,” she told Reuters.”</w:t>
            </w:r>
          </w:p>
          <w:p w14:paraId="1C2CC523" w14:textId="77777777" w:rsidR="00E13D63" w:rsidRPr="00BF321C" w:rsidRDefault="00E13D63" w:rsidP="00D349E4">
            <w:pPr>
              <w:rPr>
                <w:rFonts w:cs="Times New Roman"/>
                <w:szCs w:val="22"/>
              </w:rPr>
            </w:pPr>
            <w:r w:rsidRPr="00BF321C">
              <w:rPr>
                <w:rFonts w:cs="Times New Roman"/>
                <w:szCs w:val="22"/>
              </w:rPr>
              <w:t>“Russia should establish more contacts with all Islamic groups and their leaders, who have started to realise the danger of the expanding threat of international terrorism…”</w:t>
            </w:r>
          </w:p>
        </w:tc>
      </w:tr>
      <w:tr w:rsidR="00E13D63" w:rsidRPr="00BF321C" w14:paraId="40274830" w14:textId="77777777" w:rsidTr="00E13D63">
        <w:tc>
          <w:tcPr>
            <w:tcW w:w="2122" w:type="dxa"/>
          </w:tcPr>
          <w:p w14:paraId="096ACBA2" w14:textId="77777777" w:rsidR="00E13D63" w:rsidRPr="00BF321C" w:rsidRDefault="00E13D63" w:rsidP="00D349E4">
            <w:pPr>
              <w:rPr>
                <w:rFonts w:cs="Times New Roman"/>
                <w:szCs w:val="22"/>
              </w:rPr>
            </w:pPr>
            <w:r w:rsidRPr="00BF321C">
              <w:rPr>
                <w:rFonts w:cs="Times New Roman"/>
                <w:szCs w:val="22"/>
              </w:rPr>
              <w:t>Realize</w:t>
            </w:r>
          </w:p>
        </w:tc>
        <w:tc>
          <w:tcPr>
            <w:tcW w:w="6945" w:type="dxa"/>
          </w:tcPr>
          <w:p w14:paraId="6112BA73" w14:textId="77777777" w:rsidR="00E13D63" w:rsidRPr="00BF321C" w:rsidRDefault="00E13D63" w:rsidP="00D349E4">
            <w:pPr>
              <w:rPr>
                <w:rFonts w:cs="Times New Roman"/>
                <w:szCs w:val="22"/>
              </w:rPr>
            </w:pPr>
            <w:r w:rsidRPr="00BF321C">
              <w:rPr>
                <w:rFonts w:cs="Times New Roman"/>
                <w:szCs w:val="22"/>
              </w:rPr>
              <w:t>“Security experts say many Brazilian officials do not realize just how big a stage the Olympics is for anyone seeking to sow terror, either through an attack on game venues, infrastructure nearby or the athletes and 500,000 tourists expected to attend.”</w:t>
            </w:r>
          </w:p>
        </w:tc>
      </w:tr>
      <w:tr w:rsidR="00E13D63" w:rsidRPr="00BF321C" w14:paraId="4C16A3C4" w14:textId="77777777" w:rsidTr="00E13D63">
        <w:tc>
          <w:tcPr>
            <w:tcW w:w="2122" w:type="dxa"/>
          </w:tcPr>
          <w:p w14:paraId="3E092D48" w14:textId="77777777" w:rsidR="00E13D63" w:rsidRPr="00BF321C" w:rsidRDefault="00E13D63" w:rsidP="00D349E4">
            <w:pPr>
              <w:rPr>
                <w:rFonts w:cs="Times New Roman"/>
                <w:szCs w:val="22"/>
              </w:rPr>
            </w:pPr>
            <w:r w:rsidRPr="00BF321C">
              <w:rPr>
                <w:rFonts w:cs="Times New Roman"/>
                <w:szCs w:val="22"/>
              </w:rPr>
              <w:t>Remember</w:t>
            </w:r>
          </w:p>
        </w:tc>
        <w:tc>
          <w:tcPr>
            <w:tcW w:w="6945" w:type="dxa"/>
          </w:tcPr>
          <w:p w14:paraId="011B06D1" w14:textId="77777777" w:rsidR="00E13D63" w:rsidRPr="00BF321C" w:rsidRDefault="00E13D63" w:rsidP="00D349E4">
            <w:pPr>
              <w:rPr>
                <w:rFonts w:cs="Times New Roman"/>
                <w:szCs w:val="22"/>
              </w:rPr>
            </w:pPr>
            <w:r w:rsidRPr="00BF321C">
              <w:rPr>
                <w:rFonts w:cs="Times New Roman"/>
                <w:szCs w:val="22"/>
              </w:rPr>
              <w:t>“Remember that the terrorists’ goal is to let fear win…”</w:t>
            </w:r>
          </w:p>
        </w:tc>
      </w:tr>
      <w:tr w:rsidR="00E13D63" w:rsidRPr="00BF321C" w14:paraId="49A19496" w14:textId="77777777" w:rsidTr="00E13D63">
        <w:tc>
          <w:tcPr>
            <w:tcW w:w="2122" w:type="dxa"/>
          </w:tcPr>
          <w:p w14:paraId="1B957AA4" w14:textId="77777777" w:rsidR="00E13D63" w:rsidRPr="00BF321C" w:rsidRDefault="00E13D63" w:rsidP="00D349E4">
            <w:pPr>
              <w:rPr>
                <w:rFonts w:cs="Times New Roman"/>
                <w:szCs w:val="22"/>
              </w:rPr>
            </w:pPr>
            <w:r w:rsidRPr="00BF321C">
              <w:rPr>
                <w:rFonts w:cs="Times New Roman"/>
                <w:szCs w:val="22"/>
              </w:rPr>
              <w:t>See</w:t>
            </w:r>
          </w:p>
        </w:tc>
        <w:tc>
          <w:tcPr>
            <w:tcW w:w="6945" w:type="dxa"/>
          </w:tcPr>
          <w:p w14:paraId="508EB766" w14:textId="77777777" w:rsidR="00E13D63" w:rsidRPr="00BF321C" w:rsidRDefault="00E13D63" w:rsidP="00D349E4">
            <w:pPr>
              <w:rPr>
                <w:rFonts w:cs="Times New Roman"/>
                <w:szCs w:val="22"/>
              </w:rPr>
            </w:pPr>
            <w:r w:rsidRPr="00BF321C">
              <w:rPr>
                <w:rFonts w:cs="Times New Roman"/>
                <w:szCs w:val="22"/>
              </w:rPr>
              <w:t>“… Last week’s Paris killings have raised fears about the 2016 Olympic Games in Brazil, a country with so little history with terrorism that the president has discounted the chance of an attack and legislators have resisted bills to make it a crime. Western governments are worried about the safety of their athletes at the games because they do not see Brazilian authorities, comfortable with the country’s historical standing as a non-aligned, multi-cultural and enemy-free state, taking the risk of a terrorist attack seriously.”</w:t>
            </w:r>
          </w:p>
        </w:tc>
      </w:tr>
      <w:tr w:rsidR="00E13D63" w:rsidRPr="00BF321C" w14:paraId="4A35592B" w14:textId="77777777" w:rsidTr="00E13D63">
        <w:tc>
          <w:tcPr>
            <w:tcW w:w="2122" w:type="dxa"/>
          </w:tcPr>
          <w:p w14:paraId="56CE0AFE" w14:textId="77777777" w:rsidR="00E13D63" w:rsidRPr="00BF321C" w:rsidRDefault="00E13D63" w:rsidP="00D349E4">
            <w:pPr>
              <w:rPr>
                <w:rFonts w:cs="Times New Roman"/>
                <w:szCs w:val="22"/>
              </w:rPr>
            </w:pPr>
            <w:r w:rsidRPr="00BF321C">
              <w:rPr>
                <w:rFonts w:cs="Times New Roman"/>
                <w:szCs w:val="22"/>
              </w:rPr>
              <w:lastRenderedPageBreak/>
              <w:t>Show</w:t>
            </w:r>
          </w:p>
        </w:tc>
        <w:tc>
          <w:tcPr>
            <w:tcW w:w="6945" w:type="dxa"/>
          </w:tcPr>
          <w:p w14:paraId="39889D92" w14:textId="77777777" w:rsidR="00E13D63" w:rsidRPr="00BF321C" w:rsidRDefault="00E13D63" w:rsidP="00D349E4">
            <w:pPr>
              <w:rPr>
                <w:rFonts w:cs="Times New Roman"/>
                <w:szCs w:val="22"/>
              </w:rPr>
            </w:pPr>
            <w:r w:rsidRPr="00BF321C">
              <w:rPr>
                <w:rFonts w:cs="Times New Roman"/>
                <w:szCs w:val="22"/>
              </w:rPr>
              <w:t>“Recent attacks in Paris, Ankara and elsewhere show the world is facing a collective security threat and world leaders meeting in Turkey will send a strong message on the fight against terrorism…”</w:t>
            </w:r>
          </w:p>
        </w:tc>
      </w:tr>
      <w:tr w:rsidR="00E13D63" w:rsidRPr="00BF321C" w14:paraId="28F42B11" w14:textId="77777777" w:rsidTr="00E13D63">
        <w:tc>
          <w:tcPr>
            <w:tcW w:w="2122" w:type="dxa"/>
          </w:tcPr>
          <w:p w14:paraId="7BAA9F68" w14:textId="77777777" w:rsidR="00E13D63" w:rsidRPr="00BF321C" w:rsidRDefault="00E13D63" w:rsidP="00D349E4">
            <w:pPr>
              <w:rPr>
                <w:rFonts w:cs="Times New Roman"/>
                <w:szCs w:val="22"/>
              </w:rPr>
            </w:pPr>
            <w:r w:rsidRPr="00BF321C">
              <w:rPr>
                <w:rFonts w:cs="Times New Roman"/>
                <w:szCs w:val="22"/>
              </w:rPr>
              <w:t>Uncover</w:t>
            </w:r>
          </w:p>
        </w:tc>
        <w:tc>
          <w:tcPr>
            <w:tcW w:w="6945" w:type="dxa"/>
          </w:tcPr>
          <w:p w14:paraId="5BB26259" w14:textId="77777777" w:rsidR="00E13D63" w:rsidRPr="00BF321C" w:rsidRDefault="00E13D63" w:rsidP="00D349E4">
            <w:pPr>
              <w:rPr>
                <w:rFonts w:cs="Times New Roman"/>
                <w:szCs w:val="22"/>
              </w:rPr>
            </w:pPr>
            <w:r w:rsidRPr="00BF321C">
              <w:rPr>
                <w:rFonts w:cs="Times New Roman"/>
                <w:szCs w:val="22"/>
              </w:rPr>
              <w:t>“… to have the insight they need to uncover” terror plots.”</w:t>
            </w:r>
          </w:p>
        </w:tc>
      </w:tr>
      <w:tr w:rsidR="00E13D63" w:rsidRPr="00BF321C" w14:paraId="2C984C2A" w14:textId="77777777" w:rsidTr="00E13D63">
        <w:tc>
          <w:tcPr>
            <w:tcW w:w="2122" w:type="dxa"/>
          </w:tcPr>
          <w:p w14:paraId="3A2501DE" w14:textId="77777777" w:rsidR="00E13D63" w:rsidRPr="00BF321C" w:rsidRDefault="00E13D63" w:rsidP="00D349E4">
            <w:pPr>
              <w:rPr>
                <w:rFonts w:cs="Times New Roman"/>
                <w:szCs w:val="22"/>
              </w:rPr>
            </w:pPr>
            <w:r w:rsidRPr="00BF321C">
              <w:rPr>
                <w:rFonts w:cs="Times New Roman"/>
                <w:szCs w:val="22"/>
              </w:rPr>
              <w:t>Understand</w:t>
            </w:r>
          </w:p>
        </w:tc>
        <w:tc>
          <w:tcPr>
            <w:tcW w:w="6945" w:type="dxa"/>
          </w:tcPr>
          <w:p w14:paraId="38C5818F" w14:textId="77777777" w:rsidR="00E13D63" w:rsidRPr="00BF321C" w:rsidRDefault="00E13D63" w:rsidP="00E55B1B">
            <w:pPr>
              <w:keepNext/>
              <w:rPr>
                <w:rFonts w:cs="Times New Roman"/>
                <w:szCs w:val="22"/>
              </w:rPr>
            </w:pPr>
            <w:r w:rsidRPr="00BF321C">
              <w:rPr>
                <w:rFonts w:cs="Times New Roman"/>
                <w:szCs w:val="22"/>
              </w:rPr>
              <w:t>“We’ve got to do more to understand that this is a war against these terrorist groups, the radical jihadist groups.”</w:t>
            </w:r>
          </w:p>
        </w:tc>
      </w:tr>
    </w:tbl>
    <w:p w14:paraId="074A41A2" w14:textId="77777777" w:rsidR="00E55B1B" w:rsidRDefault="00E55B1B" w:rsidP="00E55B1B">
      <w:pPr>
        <w:pStyle w:val="DissertationTableCaption"/>
      </w:pPr>
    </w:p>
    <w:p w14:paraId="7022D2EC" w14:textId="13FB30B3" w:rsidR="00E55B1B" w:rsidRPr="00E55B1B" w:rsidRDefault="00E55B1B" w:rsidP="00E55B1B">
      <w:pPr>
        <w:pStyle w:val="DissertationTableCaption"/>
        <w:rPr>
          <w:u w:val="none"/>
        </w:rPr>
      </w:pPr>
      <w:bookmarkStart w:id="174" w:name="_Toc175413226"/>
      <w:r>
        <w:t xml:space="preserve">Table A8- </w:t>
      </w:r>
      <w:fldSimple w:instr=" SEQ Table_A8- \* ARABIC ">
        <w:r w:rsidR="008D1375">
          <w:rPr>
            <w:noProof/>
          </w:rPr>
          <w:t>2</w:t>
        </w:r>
      </w:fldSimple>
      <w:r w:rsidR="008D1375">
        <w:t>:</w:t>
      </w:r>
      <w:r>
        <w:rPr>
          <w:u w:val="none"/>
        </w:rPr>
        <w:tab/>
        <w:t>Examples of Factive and Semi-Factive Verb Positive Bias Indicators in Context, Taken From 2,776 Article Sampling Frame (Media Coverage of Terrorism)</w:t>
      </w:r>
      <w:bookmarkEnd w:id="174"/>
    </w:p>
    <w:p w14:paraId="6D418FA3" w14:textId="77777777" w:rsidR="00E909C3" w:rsidRPr="00BF321C" w:rsidRDefault="00E909C3" w:rsidP="00E909C3">
      <w:pPr>
        <w:rPr>
          <w:rFonts w:cs="Times New Roman"/>
          <w:b/>
          <w:bCs/>
          <w:szCs w:val="22"/>
          <w:u w:val="single"/>
        </w:rPr>
      </w:pPr>
      <w:r w:rsidRPr="00BF321C">
        <w:rPr>
          <w:rFonts w:cs="Times New Roman"/>
          <w:b/>
          <w:bCs/>
          <w:szCs w:val="22"/>
          <w:u w:val="single"/>
        </w:rPr>
        <w:br w:type="page"/>
      </w:r>
    </w:p>
    <w:p w14:paraId="07303F27" w14:textId="77777777" w:rsidR="00E909C3" w:rsidRPr="00E909C3" w:rsidRDefault="00E909C3" w:rsidP="00E13D63">
      <w:pPr>
        <w:pStyle w:val="DissertationSection3"/>
      </w:pPr>
      <w:bookmarkStart w:id="175" w:name="_Toc175413189"/>
      <w:r w:rsidRPr="00E909C3">
        <w:lastRenderedPageBreak/>
        <w:t>High-Commitment Verbs</w:t>
      </w:r>
      <w:bookmarkEnd w:id="175"/>
    </w:p>
    <w:p w14:paraId="60F37409" w14:textId="77777777" w:rsidR="00E909C3" w:rsidRPr="00BF321C" w:rsidRDefault="00E909C3" w:rsidP="00E909C3">
      <w:pPr>
        <w:rPr>
          <w:rFonts w:cs="Times New Roman"/>
          <w:b/>
          <w:bCs/>
          <w:szCs w:val="22"/>
          <w:u w:val="single"/>
        </w:rPr>
      </w:pPr>
    </w:p>
    <w:tbl>
      <w:tblPr>
        <w:tblStyle w:val="TableGrid"/>
        <w:tblW w:w="9214" w:type="dxa"/>
        <w:tblInd w:w="-572" w:type="dxa"/>
        <w:tblLook w:val="04A0" w:firstRow="1" w:lastRow="0" w:firstColumn="1" w:lastColumn="0" w:noHBand="0" w:noVBand="1"/>
      </w:tblPr>
      <w:tblGrid>
        <w:gridCol w:w="2127"/>
        <w:gridCol w:w="7087"/>
      </w:tblGrid>
      <w:tr w:rsidR="00E13D63" w:rsidRPr="00BF321C" w14:paraId="34F578EB" w14:textId="77777777" w:rsidTr="00E13D63">
        <w:tc>
          <w:tcPr>
            <w:tcW w:w="2127" w:type="dxa"/>
          </w:tcPr>
          <w:p w14:paraId="76B7784C"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7087" w:type="dxa"/>
          </w:tcPr>
          <w:p w14:paraId="778F058D"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68034E10" w14:textId="77777777" w:rsidTr="00E13D63">
        <w:tc>
          <w:tcPr>
            <w:tcW w:w="2127" w:type="dxa"/>
          </w:tcPr>
          <w:p w14:paraId="482CAAC9" w14:textId="77777777" w:rsidR="00E13D63" w:rsidRPr="00BF321C" w:rsidRDefault="00E13D63" w:rsidP="00D349E4">
            <w:pPr>
              <w:jc w:val="center"/>
              <w:rPr>
                <w:rFonts w:cs="Times New Roman"/>
                <w:szCs w:val="22"/>
              </w:rPr>
            </w:pPr>
            <w:r w:rsidRPr="00BF321C">
              <w:rPr>
                <w:rFonts w:cs="Times New Roman"/>
                <w:szCs w:val="22"/>
              </w:rPr>
              <w:t>Affirm</w:t>
            </w:r>
          </w:p>
        </w:tc>
        <w:tc>
          <w:tcPr>
            <w:tcW w:w="7087" w:type="dxa"/>
          </w:tcPr>
          <w:p w14:paraId="74A0AB92" w14:textId="77777777" w:rsidR="00E13D63" w:rsidRPr="00BF321C" w:rsidRDefault="00E13D63" w:rsidP="00D349E4">
            <w:pPr>
              <w:rPr>
                <w:rFonts w:cs="Times New Roman"/>
                <w:szCs w:val="22"/>
              </w:rPr>
            </w:pPr>
            <w:r w:rsidRPr="00BF321C">
              <w:rPr>
                <w:rFonts w:cs="Times New Roman"/>
                <w:szCs w:val="22"/>
              </w:rPr>
              <w:t>“The foreign ministry said the murder of Barakat and the Sinai attacks “affirm the presence of organised terrorist…”</w:t>
            </w:r>
          </w:p>
        </w:tc>
      </w:tr>
      <w:tr w:rsidR="00E13D63" w:rsidRPr="00BF321C" w14:paraId="045C96F7" w14:textId="77777777" w:rsidTr="00E13D63">
        <w:tc>
          <w:tcPr>
            <w:tcW w:w="2127" w:type="dxa"/>
          </w:tcPr>
          <w:p w14:paraId="61D69846" w14:textId="77777777" w:rsidR="00E13D63" w:rsidRPr="00BF321C" w:rsidRDefault="00E13D63" w:rsidP="00D349E4">
            <w:pPr>
              <w:jc w:val="center"/>
              <w:rPr>
                <w:rFonts w:cs="Times New Roman"/>
                <w:szCs w:val="22"/>
              </w:rPr>
            </w:pPr>
            <w:r w:rsidRPr="00BF321C">
              <w:rPr>
                <w:rFonts w:cs="Times New Roman"/>
                <w:szCs w:val="22"/>
              </w:rPr>
              <w:t>Agree</w:t>
            </w:r>
          </w:p>
        </w:tc>
        <w:tc>
          <w:tcPr>
            <w:tcW w:w="7087" w:type="dxa"/>
          </w:tcPr>
          <w:p w14:paraId="009C94D1" w14:textId="77777777" w:rsidR="00E13D63" w:rsidRPr="00BF321C" w:rsidRDefault="00E13D63" w:rsidP="00D349E4">
            <w:pPr>
              <w:rPr>
                <w:rFonts w:cs="Times New Roman"/>
                <w:szCs w:val="22"/>
              </w:rPr>
            </w:pPr>
            <w:r w:rsidRPr="00BF321C">
              <w:rPr>
                <w:rFonts w:cs="Times New Roman"/>
                <w:szCs w:val="22"/>
              </w:rPr>
              <w:t>“… Hollande and Obama in telephone talks agree to strengthen bilateral cooperation against terrorism.”</w:t>
            </w:r>
          </w:p>
        </w:tc>
      </w:tr>
      <w:tr w:rsidR="00E13D63" w:rsidRPr="00BF321C" w14:paraId="28A40859" w14:textId="77777777" w:rsidTr="00E13D63">
        <w:tc>
          <w:tcPr>
            <w:tcW w:w="2127" w:type="dxa"/>
          </w:tcPr>
          <w:p w14:paraId="6F182A74" w14:textId="77777777" w:rsidR="00E13D63" w:rsidRPr="00BF321C" w:rsidRDefault="00E13D63" w:rsidP="00D349E4">
            <w:pPr>
              <w:jc w:val="center"/>
              <w:rPr>
                <w:rFonts w:cs="Times New Roman"/>
                <w:szCs w:val="22"/>
              </w:rPr>
            </w:pPr>
            <w:r w:rsidRPr="00BF321C">
              <w:rPr>
                <w:rFonts w:cs="Times New Roman"/>
                <w:szCs w:val="22"/>
              </w:rPr>
              <w:t>Conclude</w:t>
            </w:r>
          </w:p>
        </w:tc>
        <w:tc>
          <w:tcPr>
            <w:tcW w:w="7087" w:type="dxa"/>
          </w:tcPr>
          <w:p w14:paraId="0D21867D" w14:textId="77777777" w:rsidR="00E13D63" w:rsidRPr="00BF321C" w:rsidRDefault="00E13D63" w:rsidP="00D349E4">
            <w:pPr>
              <w:rPr>
                <w:rFonts w:cs="Times New Roman"/>
                <w:szCs w:val="22"/>
              </w:rPr>
            </w:pPr>
            <w:r w:rsidRPr="00BF321C">
              <w:rPr>
                <w:rFonts w:cs="Times New Roman"/>
                <w:szCs w:val="22"/>
              </w:rPr>
              <w:t>“Surveillance video obtained by the AP is among evidence that leads authorities to conclude two terrorists directly…”</w:t>
            </w:r>
          </w:p>
        </w:tc>
      </w:tr>
      <w:tr w:rsidR="00E13D63" w:rsidRPr="00BF321C" w14:paraId="2027DBA6" w14:textId="77777777" w:rsidTr="00E13D63">
        <w:tc>
          <w:tcPr>
            <w:tcW w:w="2127" w:type="dxa"/>
          </w:tcPr>
          <w:p w14:paraId="37E0F75A" w14:textId="77777777" w:rsidR="00E13D63" w:rsidRPr="00BF321C" w:rsidRDefault="00E13D63" w:rsidP="00D349E4">
            <w:pPr>
              <w:jc w:val="center"/>
              <w:rPr>
                <w:rFonts w:cs="Times New Roman"/>
                <w:szCs w:val="22"/>
              </w:rPr>
            </w:pPr>
            <w:r w:rsidRPr="00BF321C">
              <w:rPr>
                <w:rFonts w:cs="Times New Roman"/>
                <w:szCs w:val="22"/>
              </w:rPr>
              <w:t>Confirm</w:t>
            </w:r>
          </w:p>
        </w:tc>
        <w:tc>
          <w:tcPr>
            <w:tcW w:w="7087" w:type="dxa"/>
          </w:tcPr>
          <w:p w14:paraId="4C7E1A4D" w14:textId="77777777" w:rsidR="00E13D63" w:rsidRPr="00BF321C" w:rsidRDefault="00E13D63" w:rsidP="00D349E4">
            <w:pPr>
              <w:rPr>
                <w:rFonts w:cs="Times New Roman"/>
                <w:szCs w:val="22"/>
              </w:rPr>
            </w:pPr>
            <w:r w:rsidRPr="00BF321C">
              <w:rPr>
                <w:rFonts w:cs="Times New Roman"/>
                <w:szCs w:val="22"/>
              </w:rPr>
              <w:t>“I would firstly like to confirm these arrests are not linked to the Paris terrorist incidents…”</w:t>
            </w:r>
          </w:p>
        </w:tc>
      </w:tr>
      <w:tr w:rsidR="00E13D63" w:rsidRPr="00BF321C" w14:paraId="1B0AE0B3" w14:textId="77777777" w:rsidTr="00E13D63">
        <w:tc>
          <w:tcPr>
            <w:tcW w:w="2127" w:type="dxa"/>
          </w:tcPr>
          <w:p w14:paraId="34224300" w14:textId="77777777" w:rsidR="00E13D63" w:rsidRPr="00BF321C" w:rsidRDefault="00E13D63" w:rsidP="00D349E4">
            <w:pPr>
              <w:jc w:val="center"/>
              <w:rPr>
                <w:rFonts w:cs="Times New Roman"/>
                <w:szCs w:val="22"/>
              </w:rPr>
            </w:pPr>
            <w:r w:rsidRPr="00BF321C">
              <w:rPr>
                <w:rFonts w:cs="Times New Roman"/>
                <w:szCs w:val="22"/>
              </w:rPr>
              <w:t>Verify</w:t>
            </w:r>
          </w:p>
        </w:tc>
        <w:tc>
          <w:tcPr>
            <w:tcW w:w="7087" w:type="dxa"/>
          </w:tcPr>
          <w:p w14:paraId="21712CB8" w14:textId="77777777" w:rsidR="00E13D63" w:rsidRPr="00BF321C" w:rsidRDefault="00E13D63" w:rsidP="00E55B1B">
            <w:pPr>
              <w:keepNext/>
              <w:rPr>
                <w:rFonts w:cs="Times New Roman"/>
                <w:szCs w:val="22"/>
              </w:rPr>
            </w:pPr>
            <w:r w:rsidRPr="00BF321C">
              <w:rPr>
                <w:rFonts w:cs="Times New Roman"/>
                <w:szCs w:val="22"/>
              </w:rPr>
              <w:t>“… making it impossible to check for terrorist connections or criminal histories, to verify their backgrounds…”</w:t>
            </w:r>
          </w:p>
        </w:tc>
      </w:tr>
    </w:tbl>
    <w:p w14:paraId="5E344512" w14:textId="77777777" w:rsidR="00E55B1B" w:rsidRDefault="00E55B1B" w:rsidP="00E55B1B">
      <w:pPr>
        <w:pStyle w:val="Caption"/>
      </w:pPr>
    </w:p>
    <w:p w14:paraId="0B5AECA7" w14:textId="3AEAF639" w:rsidR="00E909C3" w:rsidRPr="00E55B1B" w:rsidRDefault="00E55B1B" w:rsidP="00E55B1B">
      <w:pPr>
        <w:pStyle w:val="DissertationTableCaption"/>
        <w:rPr>
          <w:b/>
          <w:bCs/>
          <w:sz w:val="22"/>
          <w:szCs w:val="22"/>
          <w:u w:val="none"/>
        </w:rPr>
      </w:pPr>
      <w:bookmarkStart w:id="176" w:name="_Toc175413227"/>
      <w:r>
        <w:t xml:space="preserve">Table A8- </w:t>
      </w:r>
      <w:fldSimple w:instr=" SEQ Table_A8- \* ARABIC ">
        <w:r w:rsidR="008D1375">
          <w:rPr>
            <w:noProof/>
          </w:rPr>
          <w:t>3</w:t>
        </w:r>
      </w:fldSimple>
      <w:r w:rsidR="008D1375">
        <w:t>:</w:t>
      </w:r>
      <w:r>
        <w:rPr>
          <w:u w:val="none"/>
        </w:rPr>
        <w:tab/>
        <w:t>Examples of High-Commitment Verb Positive Bias Indicators in Context, Taken From 2,776 Article Sampling Frame (Media Coverage of Terrorism)</w:t>
      </w:r>
      <w:bookmarkEnd w:id="176"/>
    </w:p>
    <w:p w14:paraId="22D4FD0F" w14:textId="77777777" w:rsidR="00E909C3" w:rsidRDefault="00E909C3">
      <w:pPr>
        <w:spacing w:before="0" w:after="0"/>
        <w:rPr>
          <w:rFonts w:cs="Times New Roman"/>
          <w:b/>
          <w:bCs/>
          <w:szCs w:val="22"/>
          <w:u w:val="single"/>
        </w:rPr>
      </w:pPr>
      <w:r>
        <w:rPr>
          <w:rFonts w:cs="Times New Roman"/>
          <w:b/>
          <w:bCs/>
          <w:szCs w:val="22"/>
          <w:u w:val="single"/>
        </w:rPr>
        <w:br w:type="page"/>
      </w:r>
    </w:p>
    <w:p w14:paraId="3A3569EE" w14:textId="15CADEE0" w:rsidR="00E909C3" w:rsidRPr="00E909C3" w:rsidRDefault="00E909C3" w:rsidP="00E13D63">
      <w:pPr>
        <w:pStyle w:val="DissertationSection3"/>
      </w:pPr>
      <w:bookmarkStart w:id="177" w:name="_Toc175413190"/>
      <w:r w:rsidRPr="00E909C3">
        <w:lastRenderedPageBreak/>
        <w:t>High Commitment Adjectives</w:t>
      </w:r>
      <w:bookmarkEnd w:id="177"/>
    </w:p>
    <w:p w14:paraId="2E2DB032" w14:textId="77777777" w:rsidR="00E909C3" w:rsidRPr="00BF321C" w:rsidRDefault="00E909C3" w:rsidP="00E909C3">
      <w:pPr>
        <w:rPr>
          <w:rFonts w:cs="Times New Roman"/>
          <w:b/>
          <w:bCs/>
          <w:szCs w:val="22"/>
          <w:u w:val="single"/>
        </w:rPr>
      </w:pPr>
    </w:p>
    <w:tbl>
      <w:tblPr>
        <w:tblStyle w:val="TableGrid"/>
        <w:tblW w:w="9214" w:type="dxa"/>
        <w:tblInd w:w="-572" w:type="dxa"/>
        <w:tblLook w:val="04A0" w:firstRow="1" w:lastRow="0" w:firstColumn="1" w:lastColumn="0" w:noHBand="0" w:noVBand="1"/>
      </w:tblPr>
      <w:tblGrid>
        <w:gridCol w:w="2127"/>
        <w:gridCol w:w="7087"/>
      </w:tblGrid>
      <w:tr w:rsidR="00E13D63" w:rsidRPr="00BF321C" w14:paraId="1CA6E783" w14:textId="77777777" w:rsidTr="00E13D63">
        <w:tc>
          <w:tcPr>
            <w:tcW w:w="2127" w:type="dxa"/>
          </w:tcPr>
          <w:p w14:paraId="29CD34C0"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7087" w:type="dxa"/>
          </w:tcPr>
          <w:p w14:paraId="406D6146"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6FC2CB3F" w14:textId="77777777" w:rsidTr="00E13D63">
        <w:tc>
          <w:tcPr>
            <w:tcW w:w="2127" w:type="dxa"/>
          </w:tcPr>
          <w:p w14:paraId="4A0C48AF" w14:textId="77777777" w:rsidR="00E13D63" w:rsidRPr="00BF321C" w:rsidRDefault="00E13D63" w:rsidP="00D349E4">
            <w:pPr>
              <w:jc w:val="center"/>
              <w:rPr>
                <w:rFonts w:cs="Times New Roman"/>
                <w:szCs w:val="22"/>
              </w:rPr>
            </w:pPr>
            <w:r w:rsidRPr="00BF321C">
              <w:rPr>
                <w:rFonts w:cs="Times New Roman"/>
                <w:szCs w:val="22"/>
              </w:rPr>
              <w:t>Definitive</w:t>
            </w:r>
          </w:p>
        </w:tc>
        <w:tc>
          <w:tcPr>
            <w:tcW w:w="7087" w:type="dxa"/>
          </w:tcPr>
          <w:p w14:paraId="544D2EF9" w14:textId="77777777" w:rsidR="00E13D63" w:rsidRPr="00BF321C" w:rsidRDefault="00E13D63" w:rsidP="00E55B1B">
            <w:pPr>
              <w:keepNext/>
              <w:rPr>
                <w:rFonts w:cs="Times New Roman"/>
                <w:szCs w:val="22"/>
              </w:rPr>
            </w:pPr>
            <w:r w:rsidRPr="00BF321C">
              <w:rPr>
                <w:rFonts w:cs="Times New Roman"/>
                <w:szCs w:val="22"/>
              </w:rPr>
              <w:t>“American and French officials say there is still no definitive evidence to back up their presumption that the terrorists who massacred 129 people in Paris used new, difficult-to-crack encryption technologies to organize the plot.”</w:t>
            </w:r>
          </w:p>
        </w:tc>
      </w:tr>
    </w:tbl>
    <w:p w14:paraId="12DEA95E" w14:textId="77777777" w:rsidR="00E55B1B" w:rsidRDefault="00E55B1B" w:rsidP="00E55B1B">
      <w:pPr>
        <w:pStyle w:val="Caption"/>
      </w:pPr>
    </w:p>
    <w:p w14:paraId="1EFC3303" w14:textId="779F69EB" w:rsidR="00E909C3" w:rsidRPr="00E55B1B" w:rsidRDefault="00E55B1B" w:rsidP="00E55B1B">
      <w:pPr>
        <w:pStyle w:val="DissertationTableCaption"/>
        <w:rPr>
          <w:b/>
          <w:bCs/>
          <w:sz w:val="22"/>
          <w:szCs w:val="22"/>
          <w:u w:val="none"/>
        </w:rPr>
      </w:pPr>
      <w:bookmarkStart w:id="178" w:name="_Toc175413228"/>
      <w:r>
        <w:t xml:space="preserve">Table A8- </w:t>
      </w:r>
      <w:fldSimple w:instr=" SEQ Table_A8- \* ARABIC ">
        <w:r w:rsidR="008D1375">
          <w:rPr>
            <w:noProof/>
          </w:rPr>
          <w:t>4</w:t>
        </w:r>
      </w:fldSimple>
      <w:r w:rsidR="008D1375">
        <w:t>:</w:t>
      </w:r>
      <w:r>
        <w:rPr>
          <w:u w:val="none"/>
        </w:rPr>
        <w:tab/>
        <w:t>Example of High Commitment Adjective Positive Bias Indicator in Context, Taken From 2,776 Article Sampling Frame (Media Coverage of Terrorism)</w:t>
      </w:r>
      <w:bookmarkEnd w:id="178"/>
    </w:p>
    <w:p w14:paraId="4C3DCF22" w14:textId="77777777" w:rsidR="00E909C3" w:rsidRPr="00BF321C" w:rsidRDefault="00E909C3" w:rsidP="00E909C3">
      <w:pPr>
        <w:rPr>
          <w:rFonts w:cs="Times New Roman"/>
          <w:b/>
          <w:bCs/>
          <w:szCs w:val="22"/>
          <w:u w:val="single"/>
        </w:rPr>
      </w:pPr>
      <w:r w:rsidRPr="00BF321C">
        <w:rPr>
          <w:rFonts w:cs="Times New Roman"/>
          <w:b/>
          <w:bCs/>
          <w:szCs w:val="22"/>
          <w:u w:val="single"/>
        </w:rPr>
        <w:br w:type="page"/>
      </w:r>
    </w:p>
    <w:p w14:paraId="7A402B68" w14:textId="77777777" w:rsidR="00E909C3" w:rsidRPr="00E909C3" w:rsidRDefault="00E909C3" w:rsidP="00E13D63">
      <w:pPr>
        <w:pStyle w:val="DissertationSection3"/>
      </w:pPr>
      <w:bookmarkStart w:id="179" w:name="_Toc175413191"/>
      <w:r w:rsidRPr="00E909C3">
        <w:lastRenderedPageBreak/>
        <w:t>Hyping Adjectives</w:t>
      </w:r>
      <w:bookmarkEnd w:id="179"/>
    </w:p>
    <w:p w14:paraId="0ACE2FBE" w14:textId="77777777" w:rsidR="00E909C3" w:rsidRPr="00BF321C" w:rsidRDefault="00E909C3" w:rsidP="00E909C3">
      <w:pPr>
        <w:rPr>
          <w:rFonts w:cs="Times New Roman"/>
          <w:b/>
          <w:bCs/>
          <w:szCs w:val="22"/>
          <w:u w:val="single"/>
        </w:rPr>
      </w:pPr>
    </w:p>
    <w:tbl>
      <w:tblPr>
        <w:tblStyle w:val="TableGrid"/>
        <w:tblW w:w="9214" w:type="dxa"/>
        <w:tblInd w:w="-572" w:type="dxa"/>
        <w:tblLook w:val="04A0" w:firstRow="1" w:lastRow="0" w:firstColumn="1" w:lastColumn="0" w:noHBand="0" w:noVBand="1"/>
      </w:tblPr>
      <w:tblGrid>
        <w:gridCol w:w="2127"/>
        <w:gridCol w:w="7087"/>
      </w:tblGrid>
      <w:tr w:rsidR="00E13D63" w:rsidRPr="00BF321C" w14:paraId="5AD060CE" w14:textId="77777777" w:rsidTr="00E13D63">
        <w:tc>
          <w:tcPr>
            <w:tcW w:w="2127" w:type="dxa"/>
          </w:tcPr>
          <w:p w14:paraId="230A4259"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7087" w:type="dxa"/>
          </w:tcPr>
          <w:p w14:paraId="5BA01E42"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47B38DFC" w14:textId="77777777" w:rsidTr="00E13D63">
        <w:tc>
          <w:tcPr>
            <w:tcW w:w="2127" w:type="dxa"/>
          </w:tcPr>
          <w:p w14:paraId="071E9E39" w14:textId="77777777" w:rsidR="00E13D63" w:rsidRPr="00BF321C" w:rsidRDefault="00E13D63" w:rsidP="00D349E4">
            <w:pPr>
              <w:rPr>
                <w:rFonts w:cs="Times New Roman"/>
                <w:szCs w:val="22"/>
              </w:rPr>
            </w:pPr>
            <w:r w:rsidRPr="00BF321C">
              <w:rPr>
                <w:rFonts w:cs="Times New Roman"/>
                <w:szCs w:val="22"/>
              </w:rPr>
              <w:t>Breakthrough</w:t>
            </w:r>
          </w:p>
        </w:tc>
        <w:tc>
          <w:tcPr>
            <w:tcW w:w="7087" w:type="dxa"/>
          </w:tcPr>
          <w:p w14:paraId="3CA8ACF3" w14:textId="77777777" w:rsidR="00E13D63" w:rsidRPr="00BF321C" w:rsidRDefault="00E13D63" w:rsidP="00D349E4">
            <w:pPr>
              <w:rPr>
                <w:rFonts w:cs="Times New Roman"/>
                <w:szCs w:val="22"/>
              </w:rPr>
            </w:pPr>
            <w:r w:rsidRPr="00BF321C">
              <w:rPr>
                <w:rFonts w:cs="Times New Roman"/>
                <w:szCs w:val="22"/>
              </w:rPr>
              <w:t>“… considered terrorists have dampened hopes for a breakthrough.”</w:t>
            </w:r>
          </w:p>
        </w:tc>
      </w:tr>
      <w:tr w:rsidR="00E13D63" w:rsidRPr="00BF321C" w14:paraId="1E9812E9" w14:textId="77777777" w:rsidTr="00E13D63">
        <w:tc>
          <w:tcPr>
            <w:tcW w:w="2127" w:type="dxa"/>
          </w:tcPr>
          <w:p w14:paraId="4E5AD03E" w14:textId="77777777" w:rsidR="00E13D63" w:rsidRPr="00BF321C" w:rsidRDefault="00E13D63" w:rsidP="00D349E4">
            <w:pPr>
              <w:rPr>
                <w:rFonts w:cs="Times New Roman"/>
                <w:szCs w:val="22"/>
              </w:rPr>
            </w:pPr>
            <w:r w:rsidRPr="00BF321C">
              <w:rPr>
                <w:rFonts w:cs="Times New Roman"/>
                <w:szCs w:val="22"/>
              </w:rPr>
              <w:t>Evidence</w:t>
            </w:r>
          </w:p>
        </w:tc>
        <w:tc>
          <w:tcPr>
            <w:tcW w:w="7087" w:type="dxa"/>
          </w:tcPr>
          <w:p w14:paraId="0CF3B03F" w14:textId="77777777" w:rsidR="00E13D63" w:rsidRPr="00BF321C" w:rsidRDefault="00E13D63" w:rsidP="00D349E4">
            <w:pPr>
              <w:rPr>
                <w:rFonts w:cs="Times New Roman"/>
                <w:szCs w:val="22"/>
              </w:rPr>
            </w:pPr>
            <w:r w:rsidRPr="00BF321C">
              <w:rPr>
                <w:rFonts w:cs="Times New Roman"/>
                <w:szCs w:val="22"/>
              </w:rPr>
              <w:t>“There’s evidence that they’re being used by terrorists to communicate,” he wrote.”</w:t>
            </w:r>
          </w:p>
        </w:tc>
      </w:tr>
      <w:tr w:rsidR="00E13D63" w:rsidRPr="00BF321C" w14:paraId="579F8D3D" w14:textId="77777777" w:rsidTr="00E13D63">
        <w:tc>
          <w:tcPr>
            <w:tcW w:w="2127" w:type="dxa"/>
          </w:tcPr>
          <w:p w14:paraId="4B1A2E6A" w14:textId="77777777" w:rsidR="00E13D63" w:rsidRPr="00BF321C" w:rsidRDefault="00E13D63" w:rsidP="00D349E4">
            <w:pPr>
              <w:rPr>
                <w:rFonts w:cs="Times New Roman"/>
                <w:szCs w:val="22"/>
              </w:rPr>
            </w:pPr>
            <w:r w:rsidRPr="00BF321C">
              <w:rPr>
                <w:rFonts w:cs="Times New Roman"/>
                <w:szCs w:val="22"/>
              </w:rPr>
              <w:t>Expert</w:t>
            </w:r>
          </w:p>
        </w:tc>
        <w:tc>
          <w:tcPr>
            <w:tcW w:w="7087" w:type="dxa"/>
          </w:tcPr>
          <w:p w14:paraId="46737412" w14:textId="77777777" w:rsidR="00E13D63" w:rsidRPr="00BF321C" w:rsidRDefault="00E13D63" w:rsidP="00D349E4">
            <w:pPr>
              <w:rPr>
                <w:rFonts w:cs="Times New Roman"/>
                <w:szCs w:val="22"/>
              </w:rPr>
            </w:pPr>
            <w:r w:rsidRPr="00BF321C">
              <w:rPr>
                <w:rFonts w:cs="Times New Roman"/>
                <w:szCs w:val="22"/>
              </w:rPr>
              <w:t>“Li Wei, a terrorism expert at the China Institute of Contemporary International Relations, a think-tank backed by the secretive Ministry of State Security, wrote in the official China Daily that it was “urgent” that China should increase cooperation, such as joint drills, with Western countries.”</w:t>
            </w:r>
          </w:p>
        </w:tc>
      </w:tr>
      <w:tr w:rsidR="00E13D63" w:rsidRPr="00BF321C" w14:paraId="3D1BC691" w14:textId="77777777" w:rsidTr="00E13D63">
        <w:tc>
          <w:tcPr>
            <w:tcW w:w="2127" w:type="dxa"/>
          </w:tcPr>
          <w:p w14:paraId="1EFA3401" w14:textId="77777777" w:rsidR="00E13D63" w:rsidRPr="00BF321C" w:rsidRDefault="00E13D63" w:rsidP="00D349E4">
            <w:pPr>
              <w:rPr>
                <w:rFonts w:cs="Times New Roman"/>
                <w:szCs w:val="22"/>
              </w:rPr>
            </w:pPr>
            <w:r w:rsidRPr="00BF321C">
              <w:rPr>
                <w:rFonts w:cs="Times New Roman"/>
                <w:szCs w:val="22"/>
              </w:rPr>
              <w:t>Fact</w:t>
            </w:r>
          </w:p>
        </w:tc>
        <w:tc>
          <w:tcPr>
            <w:tcW w:w="7087" w:type="dxa"/>
          </w:tcPr>
          <w:p w14:paraId="7FA9D1D7" w14:textId="77777777" w:rsidR="00E13D63" w:rsidRPr="00BF321C" w:rsidRDefault="00E13D63" w:rsidP="00D349E4">
            <w:pPr>
              <w:rPr>
                <w:rFonts w:cs="Times New Roman"/>
                <w:szCs w:val="22"/>
              </w:rPr>
            </w:pPr>
            <w:r w:rsidRPr="00BF321C">
              <w:rPr>
                <w:rFonts w:cs="Times New Roman"/>
                <w:szCs w:val="22"/>
              </w:rPr>
              <w:t>“… that we would hide the ball for political purposes when a week later we all said in fact there was a terrorist attack…”</w:t>
            </w:r>
          </w:p>
        </w:tc>
      </w:tr>
      <w:tr w:rsidR="00E13D63" w:rsidRPr="00BF321C" w14:paraId="67A062B8" w14:textId="77777777" w:rsidTr="00E13D63">
        <w:tc>
          <w:tcPr>
            <w:tcW w:w="2127" w:type="dxa"/>
          </w:tcPr>
          <w:p w14:paraId="6D9D6ECE" w14:textId="77777777" w:rsidR="00E13D63" w:rsidRPr="00BF321C" w:rsidRDefault="00E13D63" w:rsidP="00D349E4">
            <w:pPr>
              <w:rPr>
                <w:rFonts w:cs="Times New Roman"/>
                <w:szCs w:val="22"/>
              </w:rPr>
            </w:pPr>
            <w:r w:rsidRPr="00BF321C">
              <w:rPr>
                <w:rFonts w:cs="Times New Roman"/>
                <w:szCs w:val="22"/>
              </w:rPr>
              <w:t>Famous</w:t>
            </w:r>
          </w:p>
        </w:tc>
        <w:tc>
          <w:tcPr>
            <w:tcW w:w="7087" w:type="dxa"/>
          </w:tcPr>
          <w:p w14:paraId="4BB0D5A3" w14:textId="77777777" w:rsidR="00E13D63" w:rsidRPr="00BF321C" w:rsidRDefault="00E13D63" w:rsidP="00D349E4">
            <w:pPr>
              <w:rPr>
                <w:rFonts w:cs="Times New Roman"/>
                <w:szCs w:val="22"/>
              </w:rPr>
            </w:pPr>
            <w:r w:rsidRPr="00BF321C">
              <w:rPr>
                <w:rFonts w:cs="Times New Roman"/>
                <w:szCs w:val="22"/>
              </w:rPr>
              <w:t>““Measure it by whether there was genuine discussion about things that really do divide us, including the future of Assad, which is what we should be getting on to, as well as these famous lists, the lists of who counts as a terrorist and the list of who counts as an opposition group,” they added.”</w:t>
            </w:r>
          </w:p>
        </w:tc>
      </w:tr>
      <w:tr w:rsidR="00E13D63" w:rsidRPr="00BF321C" w14:paraId="046E3A5E" w14:textId="77777777" w:rsidTr="00E13D63">
        <w:tc>
          <w:tcPr>
            <w:tcW w:w="2127" w:type="dxa"/>
          </w:tcPr>
          <w:p w14:paraId="0EF82050" w14:textId="77777777" w:rsidR="00E13D63" w:rsidRPr="00BF321C" w:rsidRDefault="00E13D63" w:rsidP="00D349E4">
            <w:pPr>
              <w:rPr>
                <w:rFonts w:cs="Times New Roman"/>
                <w:szCs w:val="22"/>
              </w:rPr>
            </w:pPr>
            <w:r w:rsidRPr="00BF321C">
              <w:rPr>
                <w:rFonts w:cs="Times New Roman"/>
                <w:szCs w:val="22"/>
              </w:rPr>
              <w:t>Important</w:t>
            </w:r>
          </w:p>
        </w:tc>
        <w:tc>
          <w:tcPr>
            <w:tcW w:w="7087" w:type="dxa"/>
          </w:tcPr>
          <w:p w14:paraId="5FFC4D04" w14:textId="77777777" w:rsidR="00E13D63" w:rsidRPr="00BF321C" w:rsidRDefault="00E13D63" w:rsidP="00D349E4">
            <w:pPr>
              <w:rPr>
                <w:rFonts w:cs="Times New Roman"/>
                <w:szCs w:val="22"/>
              </w:rPr>
            </w:pPr>
            <w:r w:rsidRPr="00BF321C">
              <w:rPr>
                <w:rFonts w:cs="Times New Roman"/>
                <w:szCs w:val="22"/>
              </w:rPr>
              <w:t>“… important reason to accept small infringements on liberty to prevent terrorist mass murder is because the political…”</w:t>
            </w:r>
          </w:p>
        </w:tc>
      </w:tr>
      <w:tr w:rsidR="00E13D63" w:rsidRPr="00BF321C" w14:paraId="4A625EDE" w14:textId="77777777" w:rsidTr="00E13D63">
        <w:tc>
          <w:tcPr>
            <w:tcW w:w="2127" w:type="dxa"/>
          </w:tcPr>
          <w:p w14:paraId="13C1E4EB" w14:textId="77777777" w:rsidR="00E13D63" w:rsidRPr="00BF321C" w:rsidRDefault="00E13D63" w:rsidP="00D349E4">
            <w:pPr>
              <w:rPr>
                <w:rFonts w:cs="Times New Roman"/>
                <w:szCs w:val="22"/>
              </w:rPr>
            </w:pPr>
            <w:r w:rsidRPr="00BF321C">
              <w:rPr>
                <w:rFonts w:cs="Times New Roman"/>
                <w:szCs w:val="22"/>
              </w:rPr>
              <w:t>Key</w:t>
            </w:r>
          </w:p>
        </w:tc>
        <w:tc>
          <w:tcPr>
            <w:tcW w:w="7087" w:type="dxa"/>
          </w:tcPr>
          <w:p w14:paraId="1077CAC3" w14:textId="77777777" w:rsidR="00E13D63" w:rsidRPr="00BF321C" w:rsidRDefault="00E13D63" w:rsidP="00D349E4">
            <w:pPr>
              <w:rPr>
                <w:rFonts w:cs="Times New Roman"/>
                <w:szCs w:val="22"/>
              </w:rPr>
            </w:pPr>
            <w:r w:rsidRPr="00BF321C">
              <w:rPr>
                <w:rFonts w:cs="Times New Roman"/>
                <w:szCs w:val="22"/>
              </w:rPr>
              <w:t>““The terrorist risk, ever since we presented our candidacy, has been considered a key risk,” said Lambert.”</w:t>
            </w:r>
          </w:p>
        </w:tc>
      </w:tr>
      <w:tr w:rsidR="00E13D63" w:rsidRPr="00BF321C" w14:paraId="17355413" w14:textId="77777777" w:rsidTr="00E13D63">
        <w:tc>
          <w:tcPr>
            <w:tcW w:w="2127" w:type="dxa"/>
          </w:tcPr>
          <w:p w14:paraId="3ADE4E14" w14:textId="77777777" w:rsidR="00E13D63" w:rsidRPr="00BF321C" w:rsidRDefault="00E13D63" w:rsidP="00D349E4">
            <w:pPr>
              <w:rPr>
                <w:rFonts w:cs="Times New Roman"/>
                <w:szCs w:val="22"/>
              </w:rPr>
            </w:pPr>
            <w:r w:rsidRPr="00BF321C">
              <w:rPr>
                <w:rFonts w:cs="Times New Roman"/>
                <w:szCs w:val="22"/>
              </w:rPr>
              <w:t>Landmark</w:t>
            </w:r>
          </w:p>
        </w:tc>
        <w:tc>
          <w:tcPr>
            <w:tcW w:w="7087" w:type="dxa"/>
          </w:tcPr>
          <w:p w14:paraId="7D663086" w14:textId="77777777" w:rsidR="00E13D63" w:rsidRPr="00BF321C" w:rsidRDefault="00E13D63" w:rsidP="00D349E4">
            <w:pPr>
              <w:rPr>
                <w:rFonts w:cs="Times New Roman"/>
                <w:szCs w:val="22"/>
              </w:rPr>
            </w:pPr>
            <w:r w:rsidRPr="00BF321C">
              <w:rPr>
                <w:rFonts w:cs="Times New Roman"/>
                <w:szCs w:val="22"/>
              </w:rPr>
              <w:t>“Italy is looking for five terror suspects after a tip-off from the FBI about possible jihadist attacks on landmark sites…”</w:t>
            </w:r>
          </w:p>
        </w:tc>
      </w:tr>
      <w:tr w:rsidR="00E13D63" w:rsidRPr="00BF321C" w14:paraId="5531F8F5" w14:textId="77777777" w:rsidTr="00E13D63">
        <w:tc>
          <w:tcPr>
            <w:tcW w:w="2127" w:type="dxa"/>
          </w:tcPr>
          <w:p w14:paraId="73E712D9" w14:textId="77777777" w:rsidR="00E13D63" w:rsidRPr="00BF321C" w:rsidRDefault="00E13D63" w:rsidP="00D349E4">
            <w:pPr>
              <w:rPr>
                <w:rFonts w:cs="Times New Roman"/>
                <w:szCs w:val="22"/>
              </w:rPr>
            </w:pPr>
            <w:r w:rsidRPr="00BF321C">
              <w:rPr>
                <w:rFonts w:cs="Times New Roman"/>
                <w:szCs w:val="22"/>
              </w:rPr>
              <w:t>Leading</w:t>
            </w:r>
          </w:p>
        </w:tc>
        <w:tc>
          <w:tcPr>
            <w:tcW w:w="7087" w:type="dxa"/>
          </w:tcPr>
          <w:p w14:paraId="02CB06A5" w14:textId="77777777" w:rsidR="00E13D63" w:rsidRPr="00BF321C" w:rsidRDefault="00E13D63" w:rsidP="00D349E4">
            <w:pPr>
              <w:rPr>
                <w:rFonts w:cs="Times New Roman"/>
                <w:szCs w:val="22"/>
              </w:rPr>
            </w:pPr>
            <w:r w:rsidRPr="00BF321C">
              <w:rPr>
                <w:rFonts w:cs="Times New Roman"/>
                <w:szCs w:val="22"/>
              </w:rPr>
              <w:t>“… terrorism is one of the leading threats to world security.”</w:t>
            </w:r>
          </w:p>
          <w:p w14:paraId="41CAAC80" w14:textId="77777777" w:rsidR="00E13D63" w:rsidRPr="00BF321C" w:rsidRDefault="00E13D63" w:rsidP="00D349E4">
            <w:pPr>
              <w:rPr>
                <w:rFonts w:cs="Times New Roman"/>
                <w:szCs w:val="22"/>
              </w:rPr>
            </w:pPr>
            <w:r w:rsidRPr="00BF321C">
              <w:rPr>
                <w:rFonts w:cs="Times New Roman"/>
                <w:szCs w:val="22"/>
              </w:rPr>
              <w:t>““This deal appears to provide the world’s leading state sponsor of terrorism with billions of dollars in exchange for cosmetic concessions that neither fully freeze nor significantly roll back its nuclear infrastructure,” he said.”</w:t>
            </w:r>
          </w:p>
        </w:tc>
      </w:tr>
      <w:tr w:rsidR="00E13D63" w:rsidRPr="00BF321C" w14:paraId="4ADD4EEF" w14:textId="77777777" w:rsidTr="00E13D63">
        <w:tc>
          <w:tcPr>
            <w:tcW w:w="2127" w:type="dxa"/>
          </w:tcPr>
          <w:p w14:paraId="7928C337" w14:textId="77777777" w:rsidR="00E13D63" w:rsidRPr="00BF321C" w:rsidRDefault="00E13D63" w:rsidP="00D349E4">
            <w:pPr>
              <w:rPr>
                <w:rFonts w:cs="Times New Roman"/>
                <w:szCs w:val="22"/>
              </w:rPr>
            </w:pPr>
            <w:r w:rsidRPr="00BF321C">
              <w:rPr>
                <w:rFonts w:cs="Times New Roman"/>
                <w:szCs w:val="22"/>
              </w:rPr>
              <w:t>Major</w:t>
            </w:r>
          </w:p>
        </w:tc>
        <w:tc>
          <w:tcPr>
            <w:tcW w:w="7087" w:type="dxa"/>
          </w:tcPr>
          <w:p w14:paraId="2BD60A9F" w14:textId="77777777" w:rsidR="00E13D63" w:rsidRPr="00BF321C" w:rsidRDefault="00E13D63" w:rsidP="00D349E4">
            <w:pPr>
              <w:rPr>
                <w:rFonts w:cs="Times New Roman"/>
                <w:szCs w:val="22"/>
              </w:rPr>
            </w:pPr>
            <w:r w:rsidRPr="00BF321C">
              <w:rPr>
                <w:rFonts w:cs="Times New Roman"/>
                <w:szCs w:val="22"/>
              </w:rPr>
              <w:t xml:space="preserve">“Turkey, which said it had foiled a potentially, major terror attack in Istanbul on the same day as the Paris </w:t>
            </w:r>
            <w:proofErr w:type="gramStart"/>
            <w:r w:rsidRPr="00BF321C">
              <w:rPr>
                <w:rFonts w:cs="Times New Roman"/>
                <w:szCs w:val="22"/>
              </w:rPr>
              <w:t>attacks,…</w:t>
            </w:r>
            <w:proofErr w:type="gramEnd"/>
            <w:r w:rsidRPr="00BF321C">
              <w:rPr>
                <w:rFonts w:cs="Times New Roman"/>
                <w:szCs w:val="22"/>
              </w:rPr>
              <w:t>”</w:t>
            </w:r>
          </w:p>
        </w:tc>
      </w:tr>
      <w:tr w:rsidR="00E13D63" w:rsidRPr="00BF321C" w14:paraId="20BAF9DF" w14:textId="77777777" w:rsidTr="00E13D63">
        <w:tc>
          <w:tcPr>
            <w:tcW w:w="2127" w:type="dxa"/>
          </w:tcPr>
          <w:p w14:paraId="272A04B6" w14:textId="77777777" w:rsidR="00E13D63" w:rsidRPr="00BF321C" w:rsidRDefault="00E13D63" w:rsidP="00D349E4">
            <w:pPr>
              <w:rPr>
                <w:rFonts w:cs="Times New Roman"/>
                <w:szCs w:val="22"/>
              </w:rPr>
            </w:pPr>
            <w:r w:rsidRPr="00BF321C">
              <w:rPr>
                <w:rFonts w:cs="Times New Roman"/>
                <w:szCs w:val="22"/>
              </w:rPr>
              <w:t>Recent</w:t>
            </w:r>
          </w:p>
        </w:tc>
        <w:tc>
          <w:tcPr>
            <w:tcW w:w="7087" w:type="dxa"/>
          </w:tcPr>
          <w:p w14:paraId="12038473" w14:textId="77777777" w:rsidR="00E13D63" w:rsidRPr="00BF321C" w:rsidRDefault="00E13D63" w:rsidP="00D349E4">
            <w:pPr>
              <w:rPr>
                <w:rFonts w:cs="Times New Roman"/>
                <w:szCs w:val="22"/>
              </w:rPr>
            </w:pPr>
            <w:r w:rsidRPr="00BF321C">
              <w:rPr>
                <w:rFonts w:cs="Times New Roman"/>
                <w:szCs w:val="22"/>
              </w:rPr>
              <w:t>“The recent terrorist attacks in Paris have shocked peace-loving people in all countries around the world.”</w:t>
            </w:r>
          </w:p>
        </w:tc>
      </w:tr>
      <w:tr w:rsidR="00E13D63" w:rsidRPr="00BF321C" w14:paraId="6AE52B32" w14:textId="77777777" w:rsidTr="00E13D63">
        <w:tc>
          <w:tcPr>
            <w:tcW w:w="2127" w:type="dxa"/>
          </w:tcPr>
          <w:p w14:paraId="4010AD6A" w14:textId="77777777" w:rsidR="00E13D63" w:rsidRPr="00BF321C" w:rsidRDefault="00E13D63" w:rsidP="00D349E4">
            <w:pPr>
              <w:rPr>
                <w:rFonts w:cs="Times New Roman"/>
                <w:szCs w:val="22"/>
              </w:rPr>
            </w:pPr>
            <w:r w:rsidRPr="00BF321C">
              <w:rPr>
                <w:rFonts w:cs="Times New Roman"/>
                <w:szCs w:val="22"/>
              </w:rPr>
              <w:t>Significant</w:t>
            </w:r>
          </w:p>
        </w:tc>
        <w:tc>
          <w:tcPr>
            <w:tcW w:w="7087" w:type="dxa"/>
          </w:tcPr>
          <w:p w14:paraId="5AD98755" w14:textId="77777777" w:rsidR="00E13D63" w:rsidRPr="00BF321C" w:rsidRDefault="00E13D63" w:rsidP="00D349E4">
            <w:pPr>
              <w:rPr>
                <w:rFonts w:cs="Times New Roman"/>
                <w:szCs w:val="22"/>
              </w:rPr>
            </w:pPr>
            <w:r w:rsidRPr="00BF321C">
              <w:rPr>
                <w:rFonts w:cs="Times New Roman"/>
                <w:szCs w:val="22"/>
              </w:rPr>
              <w:t>“Brazil hasn’t had to deal with a significant threat of terrorist attacks.”</w:t>
            </w:r>
          </w:p>
        </w:tc>
      </w:tr>
      <w:tr w:rsidR="00E13D63" w:rsidRPr="00BF321C" w14:paraId="5DC8DAD0" w14:textId="77777777" w:rsidTr="00E13D63">
        <w:tc>
          <w:tcPr>
            <w:tcW w:w="2127" w:type="dxa"/>
          </w:tcPr>
          <w:p w14:paraId="74B7186B" w14:textId="77777777" w:rsidR="00E13D63" w:rsidRPr="00BF321C" w:rsidRDefault="00E13D63" w:rsidP="00D349E4">
            <w:pPr>
              <w:rPr>
                <w:rFonts w:cs="Times New Roman"/>
                <w:szCs w:val="22"/>
              </w:rPr>
            </w:pPr>
            <w:r w:rsidRPr="00BF321C">
              <w:rPr>
                <w:rFonts w:cs="Times New Roman"/>
                <w:szCs w:val="22"/>
              </w:rPr>
              <w:t>Strong</w:t>
            </w:r>
          </w:p>
        </w:tc>
        <w:tc>
          <w:tcPr>
            <w:tcW w:w="7087" w:type="dxa"/>
          </w:tcPr>
          <w:p w14:paraId="2F30B96F" w14:textId="77777777" w:rsidR="00E13D63" w:rsidRPr="00BF321C" w:rsidRDefault="00E13D63" w:rsidP="00D349E4">
            <w:pPr>
              <w:rPr>
                <w:rFonts w:cs="Times New Roman"/>
                <w:szCs w:val="22"/>
              </w:rPr>
            </w:pPr>
            <w:r w:rsidRPr="00BF321C">
              <w:rPr>
                <w:rFonts w:cs="Times New Roman"/>
                <w:szCs w:val="22"/>
              </w:rPr>
              <w:t>“Beyond a strong security response, Merkel said: “We as citizens will also give a clear answer” to terrorists.”</w:t>
            </w:r>
          </w:p>
        </w:tc>
      </w:tr>
      <w:tr w:rsidR="00E13D63" w:rsidRPr="00BF321C" w14:paraId="157BC5FF" w14:textId="77777777" w:rsidTr="00E13D63">
        <w:tc>
          <w:tcPr>
            <w:tcW w:w="2127" w:type="dxa"/>
          </w:tcPr>
          <w:p w14:paraId="7D7F4E2D" w14:textId="77777777" w:rsidR="00E13D63" w:rsidRPr="00BF321C" w:rsidRDefault="00E13D63" w:rsidP="00D349E4">
            <w:pPr>
              <w:rPr>
                <w:rFonts w:cs="Times New Roman"/>
                <w:szCs w:val="22"/>
              </w:rPr>
            </w:pPr>
            <w:r w:rsidRPr="00BF321C">
              <w:rPr>
                <w:rFonts w:cs="Times New Roman"/>
                <w:szCs w:val="22"/>
              </w:rPr>
              <w:lastRenderedPageBreak/>
              <w:t>Top</w:t>
            </w:r>
          </w:p>
        </w:tc>
        <w:tc>
          <w:tcPr>
            <w:tcW w:w="7087" w:type="dxa"/>
          </w:tcPr>
          <w:p w14:paraId="17E714C7" w14:textId="77777777" w:rsidR="00E13D63" w:rsidRPr="00BF321C" w:rsidRDefault="00E13D63" w:rsidP="00D349E4">
            <w:pPr>
              <w:rPr>
                <w:rFonts w:cs="Times New Roman"/>
                <w:szCs w:val="22"/>
              </w:rPr>
            </w:pPr>
            <w:r w:rsidRPr="00BF321C">
              <w:rPr>
                <w:rFonts w:cs="Times New Roman"/>
                <w:szCs w:val="22"/>
              </w:rPr>
              <w:t>“The poll found rising concern about terrorism. Of those polled, 17 percent listed terrorism as their top concern – a rise from 9 percent when asked in October. Terrorism tied with the economy as the top issue.”</w:t>
            </w:r>
          </w:p>
        </w:tc>
      </w:tr>
      <w:tr w:rsidR="00E13D63" w:rsidRPr="00BF321C" w14:paraId="4D62604A" w14:textId="77777777" w:rsidTr="00E13D63">
        <w:tc>
          <w:tcPr>
            <w:tcW w:w="2127" w:type="dxa"/>
          </w:tcPr>
          <w:p w14:paraId="48678EBE" w14:textId="77777777" w:rsidR="00E13D63" w:rsidRPr="00BF321C" w:rsidRDefault="00E13D63" w:rsidP="00D349E4">
            <w:pPr>
              <w:rPr>
                <w:rFonts w:cs="Times New Roman"/>
                <w:szCs w:val="22"/>
              </w:rPr>
            </w:pPr>
            <w:r w:rsidRPr="00BF321C">
              <w:rPr>
                <w:rFonts w:cs="Times New Roman"/>
                <w:szCs w:val="22"/>
              </w:rPr>
              <w:t>Truth</w:t>
            </w:r>
          </w:p>
        </w:tc>
        <w:tc>
          <w:tcPr>
            <w:tcW w:w="7087" w:type="dxa"/>
          </w:tcPr>
          <w:p w14:paraId="47DBF753" w14:textId="77777777" w:rsidR="00E13D63" w:rsidRPr="00BF321C" w:rsidRDefault="00E13D63" w:rsidP="00D349E4">
            <w:pPr>
              <w:rPr>
                <w:rFonts w:cs="Times New Roman"/>
                <w:szCs w:val="22"/>
              </w:rPr>
            </w:pPr>
            <w:r w:rsidRPr="00BF321C">
              <w:rPr>
                <w:rFonts w:cs="Times New Roman"/>
                <w:szCs w:val="22"/>
              </w:rPr>
              <w:t>“Erdan has called for similar curbs on far-right Jewish groups for anti-Arab hate speech. “We don’t distinguish between Jewish terrorism and Arab terrorism, but the truth needs to be told: there is Jewish terrorism but in terms of size and numbers it is not at the same extent,” he said.”</w:t>
            </w:r>
          </w:p>
        </w:tc>
      </w:tr>
      <w:tr w:rsidR="00E13D63" w:rsidRPr="00BF321C" w14:paraId="3EF633A3" w14:textId="77777777" w:rsidTr="00E13D63">
        <w:tc>
          <w:tcPr>
            <w:tcW w:w="2127" w:type="dxa"/>
          </w:tcPr>
          <w:p w14:paraId="5214E70D" w14:textId="77777777" w:rsidR="00E13D63" w:rsidRPr="00BF321C" w:rsidRDefault="00E13D63" w:rsidP="00D349E4">
            <w:pPr>
              <w:rPr>
                <w:rFonts w:cs="Times New Roman"/>
                <w:szCs w:val="22"/>
              </w:rPr>
            </w:pPr>
            <w:r w:rsidRPr="00BF321C">
              <w:rPr>
                <w:rFonts w:cs="Times New Roman"/>
                <w:szCs w:val="22"/>
              </w:rPr>
              <w:t>Unequivocal</w:t>
            </w:r>
          </w:p>
        </w:tc>
        <w:tc>
          <w:tcPr>
            <w:tcW w:w="7087" w:type="dxa"/>
          </w:tcPr>
          <w:p w14:paraId="06F0B458" w14:textId="77777777" w:rsidR="00E13D63" w:rsidRPr="00BF321C" w:rsidRDefault="00E13D63" w:rsidP="00E55B1B">
            <w:pPr>
              <w:keepNext/>
              <w:rPr>
                <w:rFonts w:cs="Times New Roman"/>
                <w:szCs w:val="22"/>
              </w:rPr>
            </w:pPr>
            <w:r w:rsidRPr="00BF321C">
              <w:rPr>
                <w:rFonts w:cs="Times New Roman"/>
                <w:szCs w:val="22"/>
              </w:rPr>
              <w:t>“… our strong unequivocal condemnation of terrorism in all its forms and manifestations committed by whomever…”</w:t>
            </w:r>
          </w:p>
        </w:tc>
      </w:tr>
    </w:tbl>
    <w:p w14:paraId="27141CA5" w14:textId="77777777" w:rsidR="00E55B1B" w:rsidRDefault="00E55B1B" w:rsidP="00E55B1B">
      <w:pPr>
        <w:pStyle w:val="Caption"/>
      </w:pPr>
    </w:p>
    <w:p w14:paraId="0627D8B3" w14:textId="7B802179" w:rsidR="00E909C3" w:rsidRPr="00E55B1B" w:rsidRDefault="00E55B1B" w:rsidP="00E55B1B">
      <w:pPr>
        <w:pStyle w:val="DissertationTableCaption"/>
        <w:rPr>
          <w:b/>
          <w:bCs/>
          <w:sz w:val="22"/>
          <w:szCs w:val="22"/>
          <w:u w:val="none"/>
        </w:rPr>
      </w:pPr>
      <w:bookmarkStart w:id="180" w:name="_Toc175413229"/>
      <w:r>
        <w:t xml:space="preserve">Table A8- </w:t>
      </w:r>
      <w:fldSimple w:instr=" SEQ Table_A8- \* ARABIC ">
        <w:r w:rsidR="008D1375">
          <w:rPr>
            <w:noProof/>
          </w:rPr>
          <w:t>5</w:t>
        </w:r>
      </w:fldSimple>
      <w:r w:rsidR="008D1375">
        <w:t>:</w:t>
      </w:r>
      <w:r>
        <w:rPr>
          <w:u w:val="none"/>
        </w:rPr>
        <w:tab/>
        <w:t>Examples of Hyping Adjective Positive Bias Indicators in Context, Taken From 2,776 Article Sampling Frame (Media Coverage of Terrorism)</w:t>
      </w:r>
      <w:bookmarkEnd w:id="180"/>
    </w:p>
    <w:p w14:paraId="41B0EE65" w14:textId="77777777" w:rsidR="00E909C3" w:rsidRPr="00BF321C" w:rsidRDefault="00E909C3" w:rsidP="00E909C3">
      <w:pPr>
        <w:rPr>
          <w:rFonts w:cs="Times New Roman"/>
          <w:b/>
          <w:bCs/>
          <w:szCs w:val="22"/>
          <w:u w:val="single"/>
        </w:rPr>
      </w:pPr>
      <w:r w:rsidRPr="00BF321C">
        <w:rPr>
          <w:rFonts w:cs="Times New Roman"/>
          <w:b/>
          <w:bCs/>
          <w:szCs w:val="22"/>
          <w:u w:val="single"/>
        </w:rPr>
        <w:br w:type="page"/>
      </w:r>
    </w:p>
    <w:p w14:paraId="3BB66857" w14:textId="77777777" w:rsidR="00E909C3" w:rsidRPr="00E909C3" w:rsidRDefault="00E909C3" w:rsidP="00E13D63">
      <w:pPr>
        <w:pStyle w:val="DissertationSection3"/>
      </w:pPr>
      <w:bookmarkStart w:id="181" w:name="_Toc175413192"/>
      <w:r w:rsidRPr="00E909C3">
        <w:lastRenderedPageBreak/>
        <w:t>Consensus of Evidence Adjectives</w:t>
      </w:r>
      <w:bookmarkEnd w:id="181"/>
    </w:p>
    <w:p w14:paraId="5FCDAEAA" w14:textId="77777777" w:rsidR="00E909C3" w:rsidRPr="00BF321C" w:rsidRDefault="00E909C3" w:rsidP="00E909C3">
      <w:pPr>
        <w:rPr>
          <w:rFonts w:cs="Times New Roman"/>
          <w:b/>
          <w:bCs/>
          <w:szCs w:val="22"/>
          <w:u w:val="single"/>
        </w:rPr>
      </w:pPr>
    </w:p>
    <w:tbl>
      <w:tblPr>
        <w:tblStyle w:val="TableGrid"/>
        <w:tblW w:w="9214" w:type="dxa"/>
        <w:tblInd w:w="-572" w:type="dxa"/>
        <w:tblLook w:val="04A0" w:firstRow="1" w:lastRow="0" w:firstColumn="1" w:lastColumn="0" w:noHBand="0" w:noVBand="1"/>
      </w:tblPr>
      <w:tblGrid>
        <w:gridCol w:w="2127"/>
        <w:gridCol w:w="7087"/>
      </w:tblGrid>
      <w:tr w:rsidR="00E13D63" w:rsidRPr="00BF321C" w14:paraId="0B7C51A3" w14:textId="77777777" w:rsidTr="00E13D63">
        <w:tc>
          <w:tcPr>
            <w:tcW w:w="2127" w:type="dxa"/>
          </w:tcPr>
          <w:p w14:paraId="70B2A086"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7087" w:type="dxa"/>
          </w:tcPr>
          <w:p w14:paraId="0FC51CAF"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3748606D" w14:textId="77777777" w:rsidTr="00E13D63">
        <w:tc>
          <w:tcPr>
            <w:tcW w:w="2127" w:type="dxa"/>
          </w:tcPr>
          <w:p w14:paraId="3B54A285" w14:textId="77777777" w:rsidR="00E13D63" w:rsidRPr="00BF321C" w:rsidRDefault="00E13D63" w:rsidP="00D349E4">
            <w:pPr>
              <w:rPr>
                <w:rFonts w:cs="Times New Roman"/>
                <w:szCs w:val="22"/>
              </w:rPr>
            </w:pPr>
            <w:r w:rsidRPr="00BF321C">
              <w:rPr>
                <w:rFonts w:cs="Times New Roman"/>
                <w:szCs w:val="22"/>
              </w:rPr>
              <w:t>Dozen</w:t>
            </w:r>
          </w:p>
        </w:tc>
        <w:tc>
          <w:tcPr>
            <w:tcW w:w="7087" w:type="dxa"/>
          </w:tcPr>
          <w:p w14:paraId="38EBAD05" w14:textId="77777777" w:rsidR="00E13D63" w:rsidRPr="00BF321C" w:rsidRDefault="00E13D63" w:rsidP="00D349E4">
            <w:pPr>
              <w:rPr>
                <w:rFonts w:cs="Times New Roman"/>
                <w:szCs w:val="22"/>
              </w:rPr>
            </w:pPr>
            <w:r w:rsidRPr="00BF321C">
              <w:rPr>
                <w:rFonts w:cs="Times New Roman"/>
                <w:szCs w:val="22"/>
              </w:rPr>
              <w:t>“… after several dozen people were killed in a series of unprecedented terrorist attacks.”</w:t>
            </w:r>
          </w:p>
        </w:tc>
      </w:tr>
      <w:tr w:rsidR="00E13D63" w:rsidRPr="00BF321C" w14:paraId="041F348D" w14:textId="77777777" w:rsidTr="00E13D63">
        <w:tc>
          <w:tcPr>
            <w:tcW w:w="2127" w:type="dxa"/>
          </w:tcPr>
          <w:p w14:paraId="6EA813C8" w14:textId="77777777" w:rsidR="00E13D63" w:rsidRPr="00BF321C" w:rsidRDefault="00E13D63" w:rsidP="00D349E4">
            <w:pPr>
              <w:rPr>
                <w:rFonts w:cs="Times New Roman"/>
                <w:szCs w:val="22"/>
              </w:rPr>
            </w:pPr>
            <w:r w:rsidRPr="00BF321C">
              <w:rPr>
                <w:rFonts w:cs="Times New Roman"/>
                <w:szCs w:val="22"/>
              </w:rPr>
              <w:t>Multiple</w:t>
            </w:r>
          </w:p>
        </w:tc>
        <w:tc>
          <w:tcPr>
            <w:tcW w:w="7087" w:type="dxa"/>
          </w:tcPr>
          <w:p w14:paraId="410BC5DC" w14:textId="77777777" w:rsidR="00E13D63" w:rsidRPr="00BF321C" w:rsidRDefault="00E13D63" w:rsidP="00D349E4">
            <w:pPr>
              <w:rPr>
                <w:rFonts w:cs="Times New Roman"/>
                <w:szCs w:val="22"/>
              </w:rPr>
            </w:pPr>
            <w:r w:rsidRPr="00BF321C">
              <w:rPr>
                <w:rFonts w:cs="Times New Roman"/>
                <w:szCs w:val="22"/>
              </w:rPr>
              <w:t>“Hollande said the multiple attacks across Paris were “an act of war… committed by a terrorist army, Daesh, against…””</w:t>
            </w:r>
          </w:p>
        </w:tc>
      </w:tr>
      <w:tr w:rsidR="00E13D63" w:rsidRPr="00BF321C" w14:paraId="7AA2CF89" w14:textId="77777777" w:rsidTr="00E13D63">
        <w:tc>
          <w:tcPr>
            <w:tcW w:w="2127" w:type="dxa"/>
          </w:tcPr>
          <w:p w14:paraId="3C2FC4B0" w14:textId="77777777" w:rsidR="00E13D63" w:rsidRPr="00BF321C" w:rsidRDefault="00E13D63" w:rsidP="00D349E4">
            <w:pPr>
              <w:rPr>
                <w:rFonts w:cs="Times New Roman"/>
                <w:szCs w:val="22"/>
              </w:rPr>
            </w:pPr>
            <w:r w:rsidRPr="00BF321C">
              <w:rPr>
                <w:rFonts w:cs="Times New Roman"/>
                <w:szCs w:val="22"/>
              </w:rPr>
              <w:t>Numerous</w:t>
            </w:r>
          </w:p>
        </w:tc>
        <w:tc>
          <w:tcPr>
            <w:tcW w:w="7087" w:type="dxa"/>
          </w:tcPr>
          <w:p w14:paraId="0F996803" w14:textId="77777777" w:rsidR="00E13D63" w:rsidRPr="00BF321C" w:rsidRDefault="00E13D63" w:rsidP="00D349E4">
            <w:pPr>
              <w:rPr>
                <w:rFonts w:cs="Times New Roman"/>
                <w:szCs w:val="22"/>
              </w:rPr>
            </w:pPr>
            <w:r w:rsidRPr="00BF321C">
              <w:rPr>
                <w:rFonts w:cs="Times New Roman"/>
                <w:szCs w:val="22"/>
              </w:rPr>
              <w:t>“The Philippines has faced numerous terrorist attacks, including a 2004 bombing that ignited an inferno and killed…”</w:t>
            </w:r>
          </w:p>
        </w:tc>
      </w:tr>
      <w:tr w:rsidR="00E13D63" w:rsidRPr="00BF321C" w14:paraId="606C0EAD" w14:textId="77777777" w:rsidTr="00E13D63">
        <w:tc>
          <w:tcPr>
            <w:tcW w:w="2127" w:type="dxa"/>
          </w:tcPr>
          <w:p w14:paraId="5300B8DF" w14:textId="77777777" w:rsidR="00E13D63" w:rsidRPr="00BF321C" w:rsidRDefault="00E13D63" w:rsidP="00D349E4">
            <w:pPr>
              <w:rPr>
                <w:rFonts w:cs="Times New Roman"/>
                <w:szCs w:val="22"/>
              </w:rPr>
            </w:pPr>
            <w:r w:rsidRPr="00BF321C">
              <w:rPr>
                <w:rFonts w:cs="Times New Roman"/>
                <w:szCs w:val="22"/>
              </w:rPr>
              <w:t>Substantial</w:t>
            </w:r>
          </w:p>
        </w:tc>
        <w:tc>
          <w:tcPr>
            <w:tcW w:w="7087" w:type="dxa"/>
          </w:tcPr>
          <w:p w14:paraId="5DC137D3" w14:textId="77777777" w:rsidR="00E13D63" w:rsidRPr="00BF321C" w:rsidRDefault="00E13D63" w:rsidP="00E55B1B">
            <w:pPr>
              <w:keepNext/>
              <w:rPr>
                <w:rFonts w:cs="Times New Roman"/>
                <w:szCs w:val="22"/>
              </w:rPr>
            </w:pPr>
            <w:r w:rsidRPr="00BF321C">
              <w:rPr>
                <w:rFonts w:cs="Times New Roman"/>
                <w:szCs w:val="22"/>
              </w:rPr>
              <w:t>““Pakistan army has made substantial sacrifices to protect the nation against the menace of terrorism and such cowardly acts by terrorists cannot deter the morale of our armed forces,” Sharif said in a statement.”</w:t>
            </w:r>
          </w:p>
        </w:tc>
      </w:tr>
    </w:tbl>
    <w:p w14:paraId="5F1D5D34" w14:textId="77777777" w:rsidR="00E55B1B" w:rsidRDefault="00E55B1B">
      <w:pPr>
        <w:pStyle w:val="Caption"/>
      </w:pPr>
    </w:p>
    <w:p w14:paraId="5FDC0B13" w14:textId="543AA7CE" w:rsidR="00E55B1B" w:rsidRPr="00E55B1B" w:rsidRDefault="00E55B1B" w:rsidP="00E55B1B">
      <w:pPr>
        <w:pStyle w:val="DissertationTableCaption"/>
        <w:rPr>
          <w:u w:val="none"/>
        </w:rPr>
      </w:pPr>
      <w:bookmarkStart w:id="182" w:name="_Toc175413230"/>
      <w:r>
        <w:t xml:space="preserve">Table A8- </w:t>
      </w:r>
      <w:fldSimple w:instr=" SEQ Table_A8- \* ARABIC ">
        <w:r w:rsidR="008D1375">
          <w:rPr>
            <w:noProof/>
          </w:rPr>
          <w:t>6</w:t>
        </w:r>
      </w:fldSimple>
      <w:r w:rsidR="008D1375">
        <w:t>:</w:t>
      </w:r>
      <w:r>
        <w:rPr>
          <w:u w:val="none"/>
        </w:rPr>
        <w:tab/>
        <w:t>Examples of High Commitment Adjective Positive Bias Indicators in Context, Taken From 2,776 Article Sampling Frame (Media Coverage of Terrorism)</w:t>
      </w:r>
      <w:bookmarkEnd w:id="182"/>
    </w:p>
    <w:p w14:paraId="2C7BE4DB" w14:textId="77777777" w:rsidR="00E909C3" w:rsidRPr="00BF321C" w:rsidRDefault="00E909C3" w:rsidP="00E909C3">
      <w:pPr>
        <w:rPr>
          <w:rFonts w:cs="Times New Roman"/>
          <w:b/>
          <w:bCs/>
          <w:szCs w:val="22"/>
          <w:u w:val="single"/>
        </w:rPr>
      </w:pPr>
      <w:r w:rsidRPr="00BF321C">
        <w:rPr>
          <w:rFonts w:cs="Times New Roman"/>
          <w:b/>
          <w:bCs/>
          <w:szCs w:val="22"/>
          <w:u w:val="single"/>
        </w:rPr>
        <w:br w:type="page"/>
      </w:r>
    </w:p>
    <w:p w14:paraId="245A31A1" w14:textId="00DDA54A" w:rsidR="00E909C3" w:rsidRPr="00E909C3" w:rsidRDefault="00E909C3" w:rsidP="00E909C3">
      <w:pPr>
        <w:pStyle w:val="DissertationSection2"/>
        <w:rPr>
          <w:u w:val="single"/>
        </w:rPr>
      </w:pPr>
      <w:bookmarkStart w:id="183" w:name="_Toc175413193"/>
      <w:r w:rsidRPr="00E909C3">
        <w:rPr>
          <w:u w:val="single"/>
        </w:rPr>
        <w:lastRenderedPageBreak/>
        <w:t>Negative Bias Indicators (Doubting Devices)</w:t>
      </w:r>
      <w:bookmarkEnd w:id="183"/>
    </w:p>
    <w:p w14:paraId="332EA16A" w14:textId="77777777" w:rsidR="00E909C3" w:rsidRPr="00BF321C" w:rsidRDefault="00E909C3" w:rsidP="00E909C3">
      <w:pPr>
        <w:jc w:val="center"/>
        <w:rPr>
          <w:rFonts w:cs="Times New Roman"/>
          <w:b/>
          <w:bCs/>
          <w:szCs w:val="22"/>
          <w:u w:val="single"/>
        </w:rPr>
      </w:pPr>
    </w:p>
    <w:tbl>
      <w:tblPr>
        <w:tblStyle w:val="TableGrid"/>
        <w:tblW w:w="11057" w:type="dxa"/>
        <w:tblInd w:w="-856" w:type="dxa"/>
        <w:tblLook w:val="04A0" w:firstRow="1" w:lastRow="0" w:firstColumn="1" w:lastColumn="0" w:noHBand="0" w:noVBand="1"/>
      </w:tblPr>
      <w:tblGrid>
        <w:gridCol w:w="3545"/>
        <w:gridCol w:w="2126"/>
        <w:gridCol w:w="1843"/>
        <w:gridCol w:w="1842"/>
        <w:gridCol w:w="1701"/>
      </w:tblGrid>
      <w:tr w:rsidR="00E909C3" w:rsidRPr="00BF321C" w14:paraId="4185C513" w14:textId="77777777" w:rsidTr="00D349E4">
        <w:tc>
          <w:tcPr>
            <w:tcW w:w="3545" w:type="dxa"/>
          </w:tcPr>
          <w:p w14:paraId="1EF334A1" w14:textId="77777777" w:rsidR="00E909C3" w:rsidRPr="00BF321C" w:rsidRDefault="00E909C3" w:rsidP="00D349E4">
            <w:pPr>
              <w:rPr>
                <w:rFonts w:cs="Times New Roman"/>
                <w:szCs w:val="22"/>
              </w:rPr>
            </w:pPr>
          </w:p>
        </w:tc>
        <w:tc>
          <w:tcPr>
            <w:tcW w:w="2126" w:type="dxa"/>
          </w:tcPr>
          <w:p w14:paraId="7336C526" w14:textId="77777777" w:rsidR="00E909C3" w:rsidRPr="00BF321C" w:rsidRDefault="00E909C3" w:rsidP="00D349E4">
            <w:pPr>
              <w:rPr>
                <w:rFonts w:cs="Times New Roman"/>
                <w:szCs w:val="22"/>
              </w:rPr>
            </w:pPr>
          </w:p>
        </w:tc>
        <w:tc>
          <w:tcPr>
            <w:tcW w:w="1843" w:type="dxa"/>
          </w:tcPr>
          <w:p w14:paraId="173639A5" w14:textId="77777777" w:rsidR="00E909C3" w:rsidRPr="00BF321C" w:rsidRDefault="00E909C3" w:rsidP="00D349E4">
            <w:pPr>
              <w:rPr>
                <w:rFonts w:cs="Times New Roman"/>
                <w:szCs w:val="22"/>
              </w:rPr>
            </w:pPr>
          </w:p>
        </w:tc>
        <w:tc>
          <w:tcPr>
            <w:tcW w:w="1842" w:type="dxa"/>
          </w:tcPr>
          <w:p w14:paraId="164E25B8" w14:textId="77777777" w:rsidR="00E909C3" w:rsidRPr="00BF321C" w:rsidRDefault="00E909C3" w:rsidP="00D349E4">
            <w:pPr>
              <w:rPr>
                <w:rFonts w:cs="Times New Roman"/>
                <w:szCs w:val="22"/>
              </w:rPr>
            </w:pPr>
          </w:p>
        </w:tc>
        <w:tc>
          <w:tcPr>
            <w:tcW w:w="1701" w:type="dxa"/>
          </w:tcPr>
          <w:p w14:paraId="4F09AEDA" w14:textId="77777777" w:rsidR="00E909C3" w:rsidRPr="00BF321C" w:rsidRDefault="00E909C3" w:rsidP="00D349E4">
            <w:pPr>
              <w:rPr>
                <w:rFonts w:cs="Times New Roman"/>
                <w:szCs w:val="22"/>
              </w:rPr>
            </w:pPr>
          </w:p>
        </w:tc>
      </w:tr>
      <w:tr w:rsidR="00E909C3" w:rsidRPr="00BF321C" w14:paraId="5AF0049A" w14:textId="77777777" w:rsidTr="00D349E4">
        <w:tc>
          <w:tcPr>
            <w:tcW w:w="3545" w:type="dxa"/>
          </w:tcPr>
          <w:p w14:paraId="43E6489D" w14:textId="77777777" w:rsidR="00E909C3" w:rsidRPr="00BF321C" w:rsidRDefault="00E909C3" w:rsidP="00D349E4">
            <w:pPr>
              <w:jc w:val="center"/>
              <w:rPr>
                <w:rFonts w:cs="Times New Roman"/>
                <w:b/>
                <w:bCs/>
                <w:szCs w:val="22"/>
              </w:rPr>
            </w:pPr>
            <w:r w:rsidRPr="00BF321C">
              <w:rPr>
                <w:rFonts w:cs="Times New Roman"/>
                <w:b/>
                <w:bCs/>
                <w:szCs w:val="22"/>
              </w:rPr>
              <w:t>Neg-Factive Verbs</w:t>
            </w:r>
          </w:p>
        </w:tc>
        <w:tc>
          <w:tcPr>
            <w:tcW w:w="2126" w:type="dxa"/>
          </w:tcPr>
          <w:p w14:paraId="747C7949" w14:textId="77777777" w:rsidR="00E909C3" w:rsidRPr="00BF321C" w:rsidRDefault="00E909C3" w:rsidP="00D349E4">
            <w:pPr>
              <w:rPr>
                <w:rFonts w:cs="Times New Roman"/>
                <w:szCs w:val="22"/>
              </w:rPr>
            </w:pPr>
            <w:r w:rsidRPr="00BF321C">
              <w:rPr>
                <w:rFonts w:cs="Times New Roman"/>
                <w:szCs w:val="22"/>
              </w:rPr>
              <w:t>Allege</w:t>
            </w:r>
          </w:p>
        </w:tc>
        <w:tc>
          <w:tcPr>
            <w:tcW w:w="1843" w:type="dxa"/>
          </w:tcPr>
          <w:p w14:paraId="6645E5F2" w14:textId="77777777" w:rsidR="00E909C3" w:rsidRPr="00BF321C" w:rsidRDefault="00E909C3" w:rsidP="00D349E4">
            <w:pPr>
              <w:rPr>
                <w:rFonts w:cs="Times New Roman"/>
                <w:szCs w:val="22"/>
              </w:rPr>
            </w:pPr>
            <w:r w:rsidRPr="00BF321C">
              <w:rPr>
                <w:rFonts w:cs="Times New Roman"/>
                <w:szCs w:val="22"/>
              </w:rPr>
              <w:t>Assume</w:t>
            </w:r>
          </w:p>
        </w:tc>
        <w:tc>
          <w:tcPr>
            <w:tcW w:w="1842" w:type="dxa"/>
          </w:tcPr>
          <w:p w14:paraId="22935BA5" w14:textId="77777777" w:rsidR="00E909C3" w:rsidRPr="00BF321C" w:rsidRDefault="00E909C3" w:rsidP="00D349E4">
            <w:pPr>
              <w:rPr>
                <w:rFonts w:cs="Times New Roman"/>
                <w:szCs w:val="22"/>
              </w:rPr>
            </w:pPr>
          </w:p>
        </w:tc>
        <w:tc>
          <w:tcPr>
            <w:tcW w:w="1701" w:type="dxa"/>
          </w:tcPr>
          <w:p w14:paraId="0A2F7D8B" w14:textId="77777777" w:rsidR="00E909C3" w:rsidRPr="00BF321C" w:rsidRDefault="00E909C3" w:rsidP="00D349E4">
            <w:pPr>
              <w:rPr>
                <w:rFonts w:cs="Times New Roman"/>
                <w:szCs w:val="22"/>
              </w:rPr>
            </w:pPr>
          </w:p>
        </w:tc>
      </w:tr>
      <w:tr w:rsidR="00E909C3" w:rsidRPr="00BF321C" w14:paraId="15A58908" w14:textId="77777777" w:rsidTr="00D349E4">
        <w:tc>
          <w:tcPr>
            <w:tcW w:w="3545" w:type="dxa"/>
          </w:tcPr>
          <w:p w14:paraId="44ED703F" w14:textId="77777777" w:rsidR="00E909C3" w:rsidRPr="00BF321C" w:rsidRDefault="00E909C3" w:rsidP="00D349E4">
            <w:pPr>
              <w:jc w:val="center"/>
              <w:rPr>
                <w:rFonts w:cs="Times New Roman"/>
                <w:b/>
                <w:bCs/>
                <w:szCs w:val="22"/>
              </w:rPr>
            </w:pPr>
            <w:r w:rsidRPr="00BF321C">
              <w:rPr>
                <w:rFonts w:cs="Times New Roman"/>
                <w:b/>
                <w:bCs/>
                <w:szCs w:val="22"/>
              </w:rPr>
              <w:t>Low-Commitment Verbs</w:t>
            </w:r>
          </w:p>
        </w:tc>
        <w:tc>
          <w:tcPr>
            <w:tcW w:w="2126" w:type="dxa"/>
          </w:tcPr>
          <w:p w14:paraId="63F7F4BB" w14:textId="77777777" w:rsidR="00E909C3" w:rsidRPr="00BF321C" w:rsidRDefault="00E909C3" w:rsidP="00D349E4">
            <w:pPr>
              <w:rPr>
                <w:rFonts w:cs="Times New Roman"/>
                <w:szCs w:val="22"/>
              </w:rPr>
            </w:pPr>
            <w:r w:rsidRPr="00BF321C">
              <w:rPr>
                <w:rFonts w:cs="Times New Roman"/>
                <w:szCs w:val="22"/>
              </w:rPr>
              <w:t>Debate</w:t>
            </w:r>
          </w:p>
        </w:tc>
        <w:tc>
          <w:tcPr>
            <w:tcW w:w="1843" w:type="dxa"/>
          </w:tcPr>
          <w:p w14:paraId="3A748D97" w14:textId="77777777" w:rsidR="00E909C3" w:rsidRPr="00BF321C" w:rsidRDefault="00E909C3" w:rsidP="00D349E4">
            <w:pPr>
              <w:rPr>
                <w:rFonts w:cs="Times New Roman"/>
                <w:szCs w:val="22"/>
              </w:rPr>
            </w:pPr>
            <w:r w:rsidRPr="00BF321C">
              <w:rPr>
                <w:rFonts w:cs="Times New Roman"/>
                <w:szCs w:val="22"/>
              </w:rPr>
              <w:t>Dispute</w:t>
            </w:r>
          </w:p>
        </w:tc>
        <w:tc>
          <w:tcPr>
            <w:tcW w:w="1842" w:type="dxa"/>
          </w:tcPr>
          <w:p w14:paraId="2468A3A9" w14:textId="77777777" w:rsidR="00E909C3" w:rsidRPr="00BF321C" w:rsidRDefault="00E909C3" w:rsidP="00D349E4">
            <w:pPr>
              <w:rPr>
                <w:rFonts w:cs="Times New Roman"/>
                <w:szCs w:val="22"/>
              </w:rPr>
            </w:pPr>
            <w:r w:rsidRPr="00BF321C">
              <w:rPr>
                <w:rFonts w:cs="Times New Roman"/>
                <w:szCs w:val="22"/>
              </w:rPr>
              <w:t>Doubt</w:t>
            </w:r>
          </w:p>
        </w:tc>
        <w:tc>
          <w:tcPr>
            <w:tcW w:w="1701" w:type="dxa"/>
          </w:tcPr>
          <w:p w14:paraId="5D5B6103" w14:textId="77777777" w:rsidR="00E909C3" w:rsidRPr="00BF321C" w:rsidRDefault="00E909C3" w:rsidP="00D349E4">
            <w:pPr>
              <w:rPr>
                <w:rFonts w:cs="Times New Roman"/>
                <w:szCs w:val="22"/>
              </w:rPr>
            </w:pPr>
          </w:p>
        </w:tc>
      </w:tr>
      <w:tr w:rsidR="00E909C3" w:rsidRPr="00BF321C" w14:paraId="54BBDEA2" w14:textId="77777777" w:rsidTr="00D349E4">
        <w:tc>
          <w:tcPr>
            <w:tcW w:w="3545" w:type="dxa"/>
            <w:vMerge w:val="restart"/>
          </w:tcPr>
          <w:p w14:paraId="0A86C2B0" w14:textId="77777777" w:rsidR="00E909C3" w:rsidRPr="00BF321C" w:rsidRDefault="00E909C3" w:rsidP="00D349E4">
            <w:pPr>
              <w:jc w:val="center"/>
              <w:rPr>
                <w:rFonts w:cs="Times New Roman"/>
                <w:b/>
                <w:bCs/>
                <w:szCs w:val="22"/>
              </w:rPr>
            </w:pPr>
            <w:r w:rsidRPr="00BF321C">
              <w:rPr>
                <w:rFonts w:cs="Times New Roman"/>
                <w:b/>
                <w:bCs/>
                <w:szCs w:val="22"/>
              </w:rPr>
              <w:t>Low-Commitment Modifiers</w:t>
            </w:r>
          </w:p>
        </w:tc>
        <w:tc>
          <w:tcPr>
            <w:tcW w:w="2126" w:type="dxa"/>
          </w:tcPr>
          <w:p w14:paraId="6EE7980D" w14:textId="77777777" w:rsidR="00E909C3" w:rsidRPr="00BF321C" w:rsidRDefault="00E909C3" w:rsidP="00D349E4">
            <w:pPr>
              <w:rPr>
                <w:rFonts w:cs="Times New Roman"/>
                <w:szCs w:val="22"/>
              </w:rPr>
            </w:pPr>
            <w:r w:rsidRPr="00BF321C">
              <w:rPr>
                <w:rFonts w:cs="Times New Roman"/>
                <w:szCs w:val="22"/>
              </w:rPr>
              <w:t>Alleged</w:t>
            </w:r>
          </w:p>
        </w:tc>
        <w:tc>
          <w:tcPr>
            <w:tcW w:w="1843" w:type="dxa"/>
          </w:tcPr>
          <w:p w14:paraId="45C11AD1" w14:textId="77777777" w:rsidR="00E909C3" w:rsidRPr="00BF321C" w:rsidRDefault="00E909C3" w:rsidP="00D349E4">
            <w:pPr>
              <w:rPr>
                <w:rFonts w:cs="Times New Roman"/>
                <w:szCs w:val="22"/>
              </w:rPr>
            </w:pPr>
            <w:r w:rsidRPr="00BF321C">
              <w:rPr>
                <w:rFonts w:cs="Times New Roman"/>
                <w:szCs w:val="22"/>
              </w:rPr>
              <w:t>Assumption</w:t>
            </w:r>
          </w:p>
        </w:tc>
        <w:tc>
          <w:tcPr>
            <w:tcW w:w="1842" w:type="dxa"/>
          </w:tcPr>
          <w:p w14:paraId="1C2E9394" w14:textId="77777777" w:rsidR="00E909C3" w:rsidRPr="00BF321C" w:rsidRDefault="00E909C3" w:rsidP="00D349E4">
            <w:pPr>
              <w:rPr>
                <w:rFonts w:cs="Times New Roman"/>
                <w:szCs w:val="22"/>
              </w:rPr>
            </w:pPr>
            <w:r w:rsidRPr="00BF321C">
              <w:rPr>
                <w:rFonts w:cs="Times New Roman"/>
                <w:szCs w:val="22"/>
              </w:rPr>
              <w:t>Extremist</w:t>
            </w:r>
          </w:p>
        </w:tc>
        <w:tc>
          <w:tcPr>
            <w:tcW w:w="1701" w:type="dxa"/>
          </w:tcPr>
          <w:p w14:paraId="41E04B77" w14:textId="77777777" w:rsidR="00E909C3" w:rsidRPr="00BF321C" w:rsidRDefault="00E909C3" w:rsidP="00D349E4">
            <w:pPr>
              <w:rPr>
                <w:rFonts w:cs="Times New Roman"/>
                <w:szCs w:val="22"/>
              </w:rPr>
            </w:pPr>
            <w:proofErr w:type="gramStart"/>
            <w:r w:rsidRPr="00BF321C">
              <w:rPr>
                <w:rFonts w:cs="Times New Roman"/>
                <w:szCs w:val="22"/>
              </w:rPr>
              <w:t>So</w:t>
            </w:r>
            <w:proofErr w:type="gramEnd"/>
            <w:r w:rsidRPr="00BF321C">
              <w:rPr>
                <w:rFonts w:cs="Times New Roman"/>
                <w:szCs w:val="22"/>
              </w:rPr>
              <w:t xml:space="preserve"> Called</w:t>
            </w:r>
          </w:p>
        </w:tc>
      </w:tr>
      <w:tr w:rsidR="00E909C3" w:rsidRPr="00BF321C" w14:paraId="20434830" w14:textId="77777777" w:rsidTr="00D349E4">
        <w:tc>
          <w:tcPr>
            <w:tcW w:w="3545" w:type="dxa"/>
            <w:vMerge/>
          </w:tcPr>
          <w:p w14:paraId="4658D4DA" w14:textId="77777777" w:rsidR="00E909C3" w:rsidRPr="00BF321C" w:rsidRDefault="00E909C3" w:rsidP="00D349E4">
            <w:pPr>
              <w:rPr>
                <w:rFonts w:cs="Times New Roman"/>
                <w:szCs w:val="22"/>
              </w:rPr>
            </w:pPr>
          </w:p>
        </w:tc>
        <w:tc>
          <w:tcPr>
            <w:tcW w:w="2126" w:type="dxa"/>
          </w:tcPr>
          <w:p w14:paraId="58EA8D87" w14:textId="77777777" w:rsidR="00E909C3" w:rsidRPr="00BF321C" w:rsidRDefault="00E909C3" w:rsidP="00D349E4">
            <w:pPr>
              <w:rPr>
                <w:rFonts w:cs="Times New Roman"/>
                <w:dstrike/>
                <w:szCs w:val="22"/>
              </w:rPr>
            </w:pPr>
            <w:r w:rsidRPr="00BF321C">
              <w:rPr>
                <w:rFonts w:cs="Times New Roman"/>
                <w:dstrike/>
                <w:szCs w:val="22"/>
              </w:rPr>
              <w:t>So-Called</w:t>
            </w:r>
          </w:p>
        </w:tc>
        <w:tc>
          <w:tcPr>
            <w:tcW w:w="1843" w:type="dxa"/>
          </w:tcPr>
          <w:p w14:paraId="3944682F" w14:textId="77777777" w:rsidR="00E909C3" w:rsidRPr="00BF321C" w:rsidRDefault="00E909C3" w:rsidP="00D349E4">
            <w:pPr>
              <w:rPr>
                <w:rFonts w:cs="Times New Roman"/>
                <w:szCs w:val="22"/>
              </w:rPr>
            </w:pPr>
          </w:p>
        </w:tc>
        <w:tc>
          <w:tcPr>
            <w:tcW w:w="1842" w:type="dxa"/>
          </w:tcPr>
          <w:p w14:paraId="105D9B62" w14:textId="77777777" w:rsidR="00E909C3" w:rsidRPr="00BF321C" w:rsidRDefault="00E909C3" w:rsidP="00D349E4">
            <w:pPr>
              <w:rPr>
                <w:rFonts w:cs="Times New Roman"/>
                <w:szCs w:val="22"/>
              </w:rPr>
            </w:pPr>
          </w:p>
        </w:tc>
        <w:tc>
          <w:tcPr>
            <w:tcW w:w="1701" w:type="dxa"/>
          </w:tcPr>
          <w:p w14:paraId="721EBCF0" w14:textId="77777777" w:rsidR="00E909C3" w:rsidRPr="00BF321C" w:rsidRDefault="00E909C3" w:rsidP="00D349E4">
            <w:pPr>
              <w:rPr>
                <w:rFonts w:cs="Times New Roman"/>
                <w:szCs w:val="22"/>
              </w:rPr>
            </w:pPr>
          </w:p>
        </w:tc>
      </w:tr>
      <w:tr w:rsidR="00E909C3" w:rsidRPr="00BF321C" w14:paraId="39B0354E" w14:textId="77777777" w:rsidTr="00D349E4">
        <w:tc>
          <w:tcPr>
            <w:tcW w:w="3545" w:type="dxa"/>
            <w:vMerge w:val="restart"/>
          </w:tcPr>
          <w:p w14:paraId="50351CCC" w14:textId="77777777" w:rsidR="00E909C3" w:rsidRPr="00BF321C" w:rsidRDefault="00E909C3" w:rsidP="00D349E4">
            <w:pPr>
              <w:jc w:val="center"/>
              <w:rPr>
                <w:rFonts w:cs="Times New Roman"/>
                <w:b/>
                <w:bCs/>
                <w:szCs w:val="22"/>
              </w:rPr>
            </w:pPr>
            <w:r w:rsidRPr="00BF321C">
              <w:rPr>
                <w:rFonts w:cs="Times New Roman"/>
                <w:b/>
                <w:bCs/>
                <w:szCs w:val="22"/>
              </w:rPr>
              <w:t>Argumentative Verbs</w:t>
            </w:r>
          </w:p>
        </w:tc>
        <w:tc>
          <w:tcPr>
            <w:tcW w:w="2126" w:type="dxa"/>
          </w:tcPr>
          <w:p w14:paraId="209EA344" w14:textId="77777777" w:rsidR="00E909C3" w:rsidRPr="00BF321C" w:rsidRDefault="00E909C3" w:rsidP="00D349E4">
            <w:pPr>
              <w:rPr>
                <w:rFonts w:cs="Times New Roman"/>
                <w:szCs w:val="22"/>
              </w:rPr>
            </w:pPr>
            <w:r w:rsidRPr="00BF321C">
              <w:rPr>
                <w:rFonts w:cs="Times New Roman"/>
                <w:szCs w:val="22"/>
              </w:rPr>
              <w:t>Argue</w:t>
            </w:r>
          </w:p>
        </w:tc>
        <w:tc>
          <w:tcPr>
            <w:tcW w:w="1843" w:type="dxa"/>
          </w:tcPr>
          <w:p w14:paraId="00EA236D" w14:textId="77777777" w:rsidR="00E909C3" w:rsidRPr="00BF321C" w:rsidRDefault="00E909C3" w:rsidP="00D349E4">
            <w:pPr>
              <w:rPr>
                <w:rFonts w:cs="Times New Roman"/>
                <w:szCs w:val="22"/>
              </w:rPr>
            </w:pPr>
            <w:r w:rsidRPr="00BF321C">
              <w:rPr>
                <w:rFonts w:cs="Times New Roman"/>
                <w:szCs w:val="22"/>
              </w:rPr>
              <w:t>Assert</w:t>
            </w:r>
          </w:p>
        </w:tc>
        <w:tc>
          <w:tcPr>
            <w:tcW w:w="1842" w:type="dxa"/>
          </w:tcPr>
          <w:p w14:paraId="315DB728" w14:textId="77777777" w:rsidR="00E909C3" w:rsidRPr="00BF321C" w:rsidRDefault="00E909C3" w:rsidP="00D349E4">
            <w:pPr>
              <w:rPr>
                <w:rFonts w:cs="Times New Roman"/>
                <w:szCs w:val="22"/>
              </w:rPr>
            </w:pPr>
            <w:r w:rsidRPr="00BF321C">
              <w:rPr>
                <w:rFonts w:cs="Times New Roman"/>
                <w:szCs w:val="22"/>
              </w:rPr>
              <w:t>Convince</w:t>
            </w:r>
          </w:p>
        </w:tc>
        <w:tc>
          <w:tcPr>
            <w:tcW w:w="1701" w:type="dxa"/>
          </w:tcPr>
          <w:p w14:paraId="734859F6" w14:textId="77777777" w:rsidR="00E909C3" w:rsidRPr="00BF321C" w:rsidRDefault="00E909C3" w:rsidP="00D349E4">
            <w:pPr>
              <w:rPr>
                <w:rFonts w:cs="Times New Roman"/>
                <w:szCs w:val="22"/>
              </w:rPr>
            </w:pPr>
            <w:r w:rsidRPr="00BF321C">
              <w:rPr>
                <w:rFonts w:cs="Times New Roman"/>
                <w:szCs w:val="22"/>
              </w:rPr>
              <w:t>Declare</w:t>
            </w:r>
          </w:p>
        </w:tc>
      </w:tr>
      <w:tr w:rsidR="00E909C3" w:rsidRPr="00BF321C" w14:paraId="45A11F98" w14:textId="77777777" w:rsidTr="00D349E4">
        <w:tc>
          <w:tcPr>
            <w:tcW w:w="3545" w:type="dxa"/>
            <w:vMerge/>
          </w:tcPr>
          <w:p w14:paraId="37F9C807" w14:textId="77777777" w:rsidR="00E909C3" w:rsidRPr="00BF321C" w:rsidRDefault="00E909C3" w:rsidP="00D349E4">
            <w:pPr>
              <w:rPr>
                <w:rFonts w:cs="Times New Roman"/>
                <w:szCs w:val="22"/>
              </w:rPr>
            </w:pPr>
          </w:p>
        </w:tc>
        <w:tc>
          <w:tcPr>
            <w:tcW w:w="2126" w:type="dxa"/>
          </w:tcPr>
          <w:p w14:paraId="047B9475" w14:textId="77777777" w:rsidR="00E909C3" w:rsidRPr="00BF321C" w:rsidRDefault="00E909C3" w:rsidP="00D349E4">
            <w:pPr>
              <w:rPr>
                <w:rFonts w:cs="Times New Roman"/>
                <w:dstrike/>
                <w:szCs w:val="22"/>
              </w:rPr>
            </w:pPr>
            <w:r w:rsidRPr="00BF321C">
              <w:rPr>
                <w:rFonts w:cs="Times New Roman"/>
                <w:dstrike/>
                <w:szCs w:val="22"/>
              </w:rPr>
              <w:t>Maintain</w:t>
            </w:r>
          </w:p>
        </w:tc>
        <w:tc>
          <w:tcPr>
            <w:tcW w:w="1843" w:type="dxa"/>
          </w:tcPr>
          <w:p w14:paraId="13FAECCD" w14:textId="77777777" w:rsidR="00E909C3" w:rsidRPr="00BF321C" w:rsidRDefault="00E909C3" w:rsidP="00D349E4">
            <w:pPr>
              <w:rPr>
                <w:rFonts w:cs="Times New Roman"/>
                <w:szCs w:val="22"/>
              </w:rPr>
            </w:pPr>
          </w:p>
        </w:tc>
        <w:tc>
          <w:tcPr>
            <w:tcW w:w="1842" w:type="dxa"/>
          </w:tcPr>
          <w:p w14:paraId="1C5B32F7" w14:textId="77777777" w:rsidR="00E909C3" w:rsidRPr="00BF321C" w:rsidRDefault="00E909C3" w:rsidP="00D349E4">
            <w:pPr>
              <w:rPr>
                <w:rFonts w:cs="Times New Roman"/>
                <w:szCs w:val="22"/>
              </w:rPr>
            </w:pPr>
          </w:p>
        </w:tc>
        <w:tc>
          <w:tcPr>
            <w:tcW w:w="1701" w:type="dxa"/>
          </w:tcPr>
          <w:p w14:paraId="71BEF3F0" w14:textId="77777777" w:rsidR="00E909C3" w:rsidRPr="00BF321C" w:rsidRDefault="00E909C3" w:rsidP="00D349E4">
            <w:pPr>
              <w:rPr>
                <w:rFonts w:cs="Times New Roman"/>
                <w:szCs w:val="22"/>
              </w:rPr>
            </w:pPr>
          </w:p>
        </w:tc>
      </w:tr>
      <w:tr w:rsidR="00E909C3" w:rsidRPr="00BF321C" w14:paraId="7E5C38B2" w14:textId="77777777" w:rsidTr="00D349E4">
        <w:tc>
          <w:tcPr>
            <w:tcW w:w="3545" w:type="dxa"/>
            <w:vMerge w:val="restart"/>
          </w:tcPr>
          <w:p w14:paraId="5145E927" w14:textId="77777777" w:rsidR="00E909C3" w:rsidRPr="00BF321C" w:rsidRDefault="00E909C3" w:rsidP="00D349E4">
            <w:pPr>
              <w:jc w:val="center"/>
              <w:rPr>
                <w:rFonts w:cs="Times New Roman"/>
                <w:b/>
                <w:bCs/>
                <w:szCs w:val="22"/>
              </w:rPr>
            </w:pPr>
            <w:r w:rsidRPr="00BF321C">
              <w:rPr>
                <w:rFonts w:cs="Times New Roman"/>
                <w:b/>
                <w:bCs/>
                <w:szCs w:val="22"/>
              </w:rPr>
              <w:t>Undermining Adjectives</w:t>
            </w:r>
          </w:p>
        </w:tc>
        <w:tc>
          <w:tcPr>
            <w:tcW w:w="2126" w:type="dxa"/>
          </w:tcPr>
          <w:p w14:paraId="020E5C55" w14:textId="77777777" w:rsidR="00E909C3" w:rsidRPr="00BF321C" w:rsidRDefault="00E909C3" w:rsidP="00D349E4">
            <w:pPr>
              <w:rPr>
                <w:rFonts w:cs="Times New Roman"/>
                <w:szCs w:val="22"/>
              </w:rPr>
            </w:pPr>
            <w:r w:rsidRPr="00BF321C">
              <w:rPr>
                <w:rFonts w:cs="Times New Roman"/>
                <w:szCs w:val="22"/>
              </w:rPr>
              <w:t>Bad</w:t>
            </w:r>
          </w:p>
        </w:tc>
        <w:tc>
          <w:tcPr>
            <w:tcW w:w="1843" w:type="dxa"/>
          </w:tcPr>
          <w:p w14:paraId="7BF8D037" w14:textId="77777777" w:rsidR="00E909C3" w:rsidRPr="00BF321C" w:rsidRDefault="00E909C3" w:rsidP="00D349E4">
            <w:pPr>
              <w:rPr>
                <w:rFonts w:cs="Times New Roman"/>
                <w:szCs w:val="22"/>
              </w:rPr>
            </w:pPr>
            <w:r w:rsidRPr="00BF321C">
              <w:rPr>
                <w:rFonts w:cs="Times New Roman"/>
                <w:szCs w:val="22"/>
              </w:rPr>
              <w:t>Debunked</w:t>
            </w:r>
          </w:p>
        </w:tc>
        <w:tc>
          <w:tcPr>
            <w:tcW w:w="1842" w:type="dxa"/>
          </w:tcPr>
          <w:p w14:paraId="1358B5B0" w14:textId="77777777" w:rsidR="00E909C3" w:rsidRPr="00BF321C" w:rsidRDefault="00E909C3" w:rsidP="00D349E4">
            <w:pPr>
              <w:rPr>
                <w:rFonts w:cs="Times New Roman"/>
                <w:szCs w:val="22"/>
              </w:rPr>
            </w:pPr>
            <w:r w:rsidRPr="00BF321C">
              <w:rPr>
                <w:rFonts w:cs="Times New Roman"/>
                <w:szCs w:val="22"/>
              </w:rPr>
              <w:t>Fake</w:t>
            </w:r>
          </w:p>
        </w:tc>
        <w:tc>
          <w:tcPr>
            <w:tcW w:w="1701" w:type="dxa"/>
          </w:tcPr>
          <w:p w14:paraId="4D3ED41D" w14:textId="77777777" w:rsidR="00E909C3" w:rsidRPr="00BF321C" w:rsidRDefault="00E909C3" w:rsidP="00D349E4">
            <w:pPr>
              <w:rPr>
                <w:rFonts w:cs="Times New Roman"/>
                <w:szCs w:val="22"/>
              </w:rPr>
            </w:pPr>
            <w:r w:rsidRPr="00BF321C">
              <w:rPr>
                <w:rFonts w:cs="Times New Roman"/>
                <w:szCs w:val="22"/>
              </w:rPr>
              <w:t>False</w:t>
            </w:r>
          </w:p>
        </w:tc>
      </w:tr>
      <w:tr w:rsidR="00E909C3" w:rsidRPr="00BF321C" w14:paraId="1D0673C8" w14:textId="77777777" w:rsidTr="00D349E4">
        <w:tc>
          <w:tcPr>
            <w:tcW w:w="3545" w:type="dxa"/>
            <w:vMerge/>
          </w:tcPr>
          <w:p w14:paraId="32F7EE8A" w14:textId="77777777" w:rsidR="00E909C3" w:rsidRPr="00BF321C" w:rsidRDefault="00E909C3" w:rsidP="00D349E4">
            <w:pPr>
              <w:jc w:val="center"/>
              <w:rPr>
                <w:rFonts w:cs="Times New Roman"/>
                <w:b/>
                <w:bCs/>
                <w:szCs w:val="22"/>
              </w:rPr>
            </w:pPr>
          </w:p>
        </w:tc>
        <w:tc>
          <w:tcPr>
            <w:tcW w:w="2126" w:type="dxa"/>
          </w:tcPr>
          <w:p w14:paraId="6C86F0EF" w14:textId="77777777" w:rsidR="00E909C3" w:rsidRPr="00BF321C" w:rsidRDefault="00E909C3" w:rsidP="00D349E4">
            <w:pPr>
              <w:rPr>
                <w:rFonts w:cs="Times New Roman"/>
                <w:szCs w:val="22"/>
              </w:rPr>
            </w:pPr>
            <w:r w:rsidRPr="00BF321C">
              <w:rPr>
                <w:rFonts w:cs="Times New Roman"/>
                <w:szCs w:val="22"/>
              </w:rPr>
              <w:t>Flawed</w:t>
            </w:r>
          </w:p>
        </w:tc>
        <w:tc>
          <w:tcPr>
            <w:tcW w:w="1843" w:type="dxa"/>
          </w:tcPr>
          <w:p w14:paraId="0FD5E1A3" w14:textId="77777777" w:rsidR="00E909C3" w:rsidRPr="00BF321C" w:rsidRDefault="00E909C3" w:rsidP="00D349E4">
            <w:pPr>
              <w:rPr>
                <w:rFonts w:cs="Times New Roman"/>
                <w:dstrike/>
                <w:szCs w:val="22"/>
              </w:rPr>
            </w:pPr>
            <w:r w:rsidRPr="00BF321C">
              <w:rPr>
                <w:rFonts w:cs="Times New Roman"/>
                <w:dstrike/>
                <w:szCs w:val="22"/>
              </w:rPr>
              <w:t>Mistaken</w:t>
            </w:r>
          </w:p>
        </w:tc>
        <w:tc>
          <w:tcPr>
            <w:tcW w:w="1842" w:type="dxa"/>
          </w:tcPr>
          <w:p w14:paraId="1B3DD168" w14:textId="77777777" w:rsidR="00E909C3" w:rsidRPr="00BF321C" w:rsidRDefault="00E909C3" w:rsidP="00D349E4">
            <w:pPr>
              <w:rPr>
                <w:rFonts w:cs="Times New Roman"/>
                <w:szCs w:val="22"/>
              </w:rPr>
            </w:pPr>
            <w:r w:rsidRPr="00BF321C">
              <w:rPr>
                <w:rFonts w:cs="Times New Roman"/>
                <w:szCs w:val="22"/>
              </w:rPr>
              <w:t>Presumptive</w:t>
            </w:r>
          </w:p>
        </w:tc>
        <w:tc>
          <w:tcPr>
            <w:tcW w:w="1701" w:type="dxa"/>
          </w:tcPr>
          <w:p w14:paraId="2D97362F" w14:textId="77777777" w:rsidR="00E909C3" w:rsidRPr="00BF321C" w:rsidRDefault="00E909C3" w:rsidP="00D349E4">
            <w:pPr>
              <w:rPr>
                <w:rFonts w:cs="Times New Roman"/>
                <w:szCs w:val="22"/>
              </w:rPr>
            </w:pPr>
            <w:r w:rsidRPr="00BF321C">
              <w:rPr>
                <w:rFonts w:cs="Times New Roman"/>
                <w:szCs w:val="22"/>
              </w:rPr>
              <w:t>Problematic</w:t>
            </w:r>
          </w:p>
        </w:tc>
      </w:tr>
      <w:tr w:rsidR="00E909C3" w:rsidRPr="00BF321C" w14:paraId="290651E6" w14:textId="77777777" w:rsidTr="00D349E4">
        <w:tc>
          <w:tcPr>
            <w:tcW w:w="3545" w:type="dxa"/>
            <w:vMerge/>
          </w:tcPr>
          <w:p w14:paraId="1B9476CE" w14:textId="77777777" w:rsidR="00E909C3" w:rsidRPr="00BF321C" w:rsidRDefault="00E909C3" w:rsidP="00D349E4">
            <w:pPr>
              <w:jc w:val="center"/>
              <w:rPr>
                <w:rFonts w:cs="Times New Roman"/>
                <w:b/>
                <w:bCs/>
                <w:szCs w:val="22"/>
              </w:rPr>
            </w:pPr>
          </w:p>
        </w:tc>
        <w:tc>
          <w:tcPr>
            <w:tcW w:w="2126" w:type="dxa"/>
          </w:tcPr>
          <w:p w14:paraId="299E8AB0" w14:textId="77777777" w:rsidR="00E909C3" w:rsidRPr="00BF321C" w:rsidRDefault="00E909C3" w:rsidP="00D349E4">
            <w:pPr>
              <w:rPr>
                <w:rFonts w:cs="Times New Roman"/>
                <w:szCs w:val="22"/>
              </w:rPr>
            </w:pPr>
            <w:r w:rsidRPr="00BF321C">
              <w:rPr>
                <w:rFonts w:cs="Times New Roman"/>
                <w:szCs w:val="22"/>
              </w:rPr>
              <w:t>Suspect</w:t>
            </w:r>
          </w:p>
        </w:tc>
        <w:tc>
          <w:tcPr>
            <w:tcW w:w="1843" w:type="dxa"/>
          </w:tcPr>
          <w:p w14:paraId="423B5136" w14:textId="77777777" w:rsidR="00E909C3" w:rsidRPr="00BF321C" w:rsidRDefault="00E909C3" w:rsidP="00D349E4">
            <w:pPr>
              <w:rPr>
                <w:rFonts w:cs="Times New Roman"/>
                <w:szCs w:val="22"/>
              </w:rPr>
            </w:pPr>
            <w:r w:rsidRPr="00BF321C">
              <w:rPr>
                <w:rFonts w:cs="Times New Roman"/>
                <w:szCs w:val="22"/>
              </w:rPr>
              <w:t>Wrong</w:t>
            </w:r>
          </w:p>
        </w:tc>
        <w:tc>
          <w:tcPr>
            <w:tcW w:w="1842" w:type="dxa"/>
          </w:tcPr>
          <w:p w14:paraId="78A76532" w14:textId="77777777" w:rsidR="00E909C3" w:rsidRPr="00BF321C" w:rsidRDefault="00E909C3" w:rsidP="00D349E4">
            <w:pPr>
              <w:rPr>
                <w:rFonts w:cs="Times New Roman"/>
                <w:szCs w:val="22"/>
              </w:rPr>
            </w:pPr>
          </w:p>
        </w:tc>
        <w:tc>
          <w:tcPr>
            <w:tcW w:w="1701" w:type="dxa"/>
          </w:tcPr>
          <w:p w14:paraId="48E23489" w14:textId="77777777" w:rsidR="00E909C3" w:rsidRPr="00BF321C" w:rsidRDefault="00E909C3" w:rsidP="00D349E4">
            <w:pPr>
              <w:rPr>
                <w:rFonts w:cs="Times New Roman"/>
                <w:szCs w:val="22"/>
              </w:rPr>
            </w:pPr>
          </w:p>
        </w:tc>
      </w:tr>
      <w:tr w:rsidR="00E909C3" w:rsidRPr="00BF321C" w14:paraId="1CA1FE04" w14:textId="77777777" w:rsidTr="00D349E4">
        <w:tc>
          <w:tcPr>
            <w:tcW w:w="3545" w:type="dxa"/>
          </w:tcPr>
          <w:p w14:paraId="7280AE22" w14:textId="77777777" w:rsidR="00E909C3" w:rsidRPr="00BF321C" w:rsidRDefault="00E909C3" w:rsidP="00D349E4">
            <w:pPr>
              <w:jc w:val="center"/>
              <w:rPr>
                <w:rFonts w:cs="Times New Roman"/>
                <w:b/>
                <w:bCs/>
                <w:szCs w:val="22"/>
              </w:rPr>
            </w:pPr>
            <w:r w:rsidRPr="00BF321C">
              <w:rPr>
                <w:rFonts w:cs="Times New Roman"/>
                <w:b/>
                <w:bCs/>
                <w:szCs w:val="22"/>
              </w:rPr>
              <w:t>Lack of Consensus Adjectives</w:t>
            </w:r>
          </w:p>
        </w:tc>
        <w:tc>
          <w:tcPr>
            <w:tcW w:w="2126" w:type="dxa"/>
          </w:tcPr>
          <w:p w14:paraId="4DA5366D" w14:textId="77777777" w:rsidR="00E909C3" w:rsidRPr="00BF321C" w:rsidRDefault="00E909C3" w:rsidP="00D349E4">
            <w:pPr>
              <w:rPr>
                <w:rFonts w:cs="Times New Roman"/>
                <w:szCs w:val="22"/>
              </w:rPr>
            </w:pPr>
            <w:r w:rsidRPr="00BF321C">
              <w:rPr>
                <w:rFonts w:cs="Times New Roman"/>
                <w:szCs w:val="22"/>
              </w:rPr>
              <w:t>Contested</w:t>
            </w:r>
          </w:p>
        </w:tc>
        <w:tc>
          <w:tcPr>
            <w:tcW w:w="1843" w:type="dxa"/>
          </w:tcPr>
          <w:p w14:paraId="5625D8F9" w14:textId="77777777" w:rsidR="00E909C3" w:rsidRPr="00BF321C" w:rsidRDefault="00E909C3" w:rsidP="00D349E4">
            <w:pPr>
              <w:rPr>
                <w:rFonts w:cs="Times New Roman"/>
                <w:szCs w:val="22"/>
              </w:rPr>
            </w:pPr>
            <w:r w:rsidRPr="00BF321C">
              <w:rPr>
                <w:rFonts w:cs="Times New Roman"/>
                <w:szCs w:val="22"/>
              </w:rPr>
              <w:t>Debated</w:t>
            </w:r>
          </w:p>
        </w:tc>
        <w:tc>
          <w:tcPr>
            <w:tcW w:w="1842" w:type="dxa"/>
          </w:tcPr>
          <w:p w14:paraId="0501BF72" w14:textId="77777777" w:rsidR="00E909C3" w:rsidRPr="00BF321C" w:rsidRDefault="00E909C3" w:rsidP="00D349E4">
            <w:pPr>
              <w:rPr>
                <w:rFonts w:cs="Times New Roman"/>
                <w:szCs w:val="22"/>
              </w:rPr>
            </w:pPr>
          </w:p>
        </w:tc>
        <w:tc>
          <w:tcPr>
            <w:tcW w:w="1701" w:type="dxa"/>
          </w:tcPr>
          <w:p w14:paraId="2F1A3CFA" w14:textId="77777777" w:rsidR="00E909C3" w:rsidRPr="00BF321C" w:rsidRDefault="00E909C3" w:rsidP="00081AD8">
            <w:pPr>
              <w:keepNext/>
              <w:rPr>
                <w:rFonts w:cs="Times New Roman"/>
                <w:szCs w:val="22"/>
              </w:rPr>
            </w:pPr>
          </w:p>
        </w:tc>
      </w:tr>
    </w:tbl>
    <w:p w14:paraId="2CF540B6" w14:textId="77777777" w:rsidR="00081AD8" w:rsidRDefault="00081AD8" w:rsidP="00081AD8">
      <w:pPr>
        <w:pStyle w:val="Caption"/>
      </w:pPr>
    </w:p>
    <w:p w14:paraId="28076F84" w14:textId="57C4615F" w:rsidR="00E909C3" w:rsidRPr="00081AD8" w:rsidRDefault="00081AD8" w:rsidP="00081AD8">
      <w:pPr>
        <w:pStyle w:val="DissertationTableCaption"/>
        <w:rPr>
          <w:b/>
          <w:bCs/>
          <w:szCs w:val="22"/>
          <w:u w:val="none"/>
        </w:rPr>
      </w:pPr>
      <w:bookmarkStart w:id="184" w:name="_Toc175413231"/>
      <w:r>
        <w:t xml:space="preserve">Table A8- </w:t>
      </w:r>
      <w:fldSimple w:instr=" SEQ Table_A8- \* ARABIC ">
        <w:r w:rsidR="008D1375">
          <w:rPr>
            <w:noProof/>
          </w:rPr>
          <w:t>7</w:t>
        </w:r>
      </w:fldSimple>
      <w:r w:rsidR="008D1375">
        <w:t>:</w:t>
      </w:r>
      <w:r>
        <w:rPr>
          <w:u w:val="none"/>
        </w:rPr>
        <w:tab/>
        <w:t>List of Specific Words Operationalized as Negative Bias Indicators, Sorted by Type</w:t>
      </w:r>
      <w:bookmarkEnd w:id="184"/>
    </w:p>
    <w:p w14:paraId="4A4DC3B7" w14:textId="77777777" w:rsidR="00E909C3" w:rsidRPr="00BF321C" w:rsidRDefault="00E909C3" w:rsidP="00E909C3">
      <w:pPr>
        <w:rPr>
          <w:rFonts w:cs="Times New Roman"/>
          <w:b/>
          <w:bCs/>
          <w:szCs w:val="22"/>
          <w:u w:val="single"/>
        </w:rPr>
      </w:pPr>
    </w:p>
    <w:p w14:paraId="64DD9DC0" w14:textId="77777777" w:rsidR="00E909C3" w:rsidRDefault="00E909C3">
      <w:pPr>
        <w:spacing w:before="0" w:after="0"/>
        <w:rPr>
          <w:rFonts w:cs="Times New Roman"/>
          <w:b/>
          <w:bCs/>
          <w:szCs w:val="22"/>
          <w:u w:val="single"/>
        </w:rPr>
      </w:pPr>
      <w:r>
        <w:rPr>
          <w:rFonts w:cs="Times New Roman"/>
          <w:b/>
          <w:bCs/>
          <w:szCs w:val="22"/>
          <w:u w:val="single"/>
        </w:rPr>
        <w:br w:type="page"/>
      </w:r>
    </w:p>
    <w:p w14:paraId="404DD925" w14:textId="521AAFF8" w:rsidR="00E909C3" w:rsidRPr="00E909C3" w:rsidRDefault="00E909C3" w:rsidP="00E13D63">
      <w:pPr>
        <w:pStyle w:val="DissertationSection3"/>
      </w:pPr>
      <w:bookmarkStart w:id="185" w:name="_Toc175413194"/>
      <w:r w:rsidRPr="00E909C3">
        <w:lastRenderedPageBreak/>
        <w:t>Neg-Factive Verbs</w:t>
      </w:r>
      <w:bookmarkEnd w:id="185"/>
    </w:p>
    <w:p w14:paraId="05903125" w14:textId="77777777" w:rsidR="00E909C3" w:rsidRPr="00BF321C" w:rsidRDefault="00E909C3" w:rsidP="00E909C3">
      <w:pPr>
        <w:rPr>
          <w:rFonts w:cs="Times New Roman"/>
          <w:b/>
          <w:bCs/>
          <w:szCs w:val="22"/>
          <w:u w:val="single"/>
        </w:rPr>
      </w:pPr>
    </w:p>
    <w:tbl>
      <w:tblPr>
        <w:tblStyle w:val="TableGrid"/>
        <w:tblW w:w="9356" w:type="dxa"/>
        <w:tblInd w:w="-856" w:type="dxa"/>
        <w:tblLook w:val="04A0" w:firstRow="1" w:lastRow="0" w:firstColumn="1" w:lastColumn="0" w:noHBand="0" w:noVBand="1"/>
      </w:tblPr>
      <w:tblGrid>
        <w:gridCol w:w="2694"/>
        <w:gridCol w:w="6662"/>
      </w:tblGrid>
      <w:tr w:rsidR="00E13D63" w:rsidRPr="00BF321C" w14:paraId="36E03876" w14:textId="77777777" w:rsidTr="00E13D63">
        <w:tc>
          <w:tcPr>
            <w:tcW w:w="2694" w:type="dxa"/>
          </w:tcPr>
          <w:p w14:paraId="07B9FD9C"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6662" w:type="dxa"/>
          </w:tcPr>
          <w:p w14:paraId="054300C0"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00FAF894" w14:textId="77777777" w:rsidTr="00E13D63">
        <w:tc>
          <w:tcPr>
            <w:tcW w:w="2694" w:type="dxa"/>
          </w:tcPr>
          <w:p w14:paraId="52E2E726" w14:textId="77777777" w:rsidR="00E13D63" w:rsidRPr="00BF321C" w:rsidRDefault="00E13D63" w:rsidP="00D349E4">
            <w:pPr>
              <w:rPr>
                <w:rFonts w:cs="Times New Roman"/>
                <w:szCs w:val="22"/>
              </w:rPr>
            </w:pPr>
            <w:r w:rsidRPr="00BF321C">
              <w:rPr>
                <w:rFonts w:cs="Times New Roman"/>
                <w:szCs w:val="22"/>
              </w:rPr>
              <w:t>Allege</w:t>
            </w:r>
          </w:p>
        </w:tc>
        <w:tc>
          <w:tcPr>
            <w:tcW w:w="6662" w:type="dxa"/>
          </w:tcPr>
          <w:p w14:paraId="65CA864D" w14:textId="77777777" w:rsidR="00E13D63" w:rsidRPr="00BF321C" w:rsidRDefault="00E13D63" w:rsidP="00D349E4">
            <w:pPr>
              <w:rPr>
                <w:rFonts w:cs="Times New Roman"/>
                <w:szCs w:val="22"/>
              </w:rPr>
            </w:pPr>
            <w:r w:rsidRPr="00BF321C">
              <w:rPr>
                <w:rFonts w:cs="Times New Roman"/>
                <w:szCs w:val="22"/>
              </w:rPr>
              <w:t>“Iran’s Islamic Revolutionary Guards Corps said on Wednesday it had smashed a terrorist cell in a western region where authorities allege groups have been recruiting for Islamic State.”</w:t>
            </w:r>
          </w:p>
        </w:tc>
      </w:tr>
      <w:tr w:rsidR="00E13D63" w:rsidRPr="00BF321C" w14:paraId="3A605ADB" w14:textId="77777777" w:rsidTr="00E13D63">
        <w:tc>
          <w:tcPr>
            <w:tcW w:w="2694" w:type="dxa"/>
          </w:tcPr>
          <w:p w14:paraId="371EEF34" w14:textId="77777777" w:rsidR="00E13D63" w:rsidRPr="00BF321C" w:rsidRDefault="00E13D63" w:rsidP="00D349E4">
            <w:pPr>
              <w:rPr>
                <w:rFonts w:cs="Times New Roman"/>
                <w:szCs w:val="22"/>
              </w:rPr>
            </w:pPr>
            <w:r w:rsidRPr="00BF321C">
              <w:rPr>
                <w:rFonts w:cs="Times New Roman"/>
                <w:szCs w:val="22"/>
              </w:rPr>
              <w:t>Assume</w:t>
            </w:r>
          </w:p>
        </w:tc>
        <w:tc>
          <w:tcPr>
            <w:tcW w:w="6662" w:type="dxa"/>
          </w:tcPr>
          <w:p w14:paraId="38CB6287" w14:textId="77777777" w:rsidR="00E13D63" w:rsidRPr="00BF321C" w:rsidRDefault="00E13D63" w:rsidP="005C78DE">
            <w:pPr>
              <w:keepNext/>
              <w:rPr>
                <w:rFonts w:cs="Times New Roman"/>
                <w:szCs w:val="22"/>
              </w:rPr>
            </w:pPr>
            <w:r w:rsidRPr="00BF321C">
              <w:rPr>
                <w:rFonts w:cs="Times New Roman"/>
                <w:szCs w:val="22"/>
              </w:rPr>
              <w:t>““How serious are they (Russia) about defeating terrorism, as opposed to bolstering Assad’s position at the center? How are we to assume that they are going to do better if they work with the Americans?” Ford told Reuters.”</w:t>
            </w:r>
          </w:p>
        </w:tc>
      </w:tr>
    </w:tbl>
    <w:p w14:paraId="4ABCCBE4" w14:textId="77777777" w:rsidR="005C78DE" w:rsidRDefault="005C78DE" w:rsidP="005C78DE">
      <w:pPr>
        <w:pStyle w:val="Caption"/>
      </w:pPr>
    </w:p>
    <w:p w14:paraId="1D8A4A38" w14:textId="566D7964" w:rsidR="00E909C3" w:rsidRPr="005C78DE" w:rsidRDefault="005C78DE" w:rsidP="005C78DE">
      <w:pPr>
        <w:pStyle w:val="DissertationTableCaption"/>
        <w:rPr>
          <w:sz w:val="22"/>
          <w:szCs w:val="22"/>
          <w:u w:val="none"/>
        </w:rPr>
      </w:pPr>
      <w:bookmarkStart w:id="186" w:name="_Toc175413232"/>
      <w:r>
        <w:t xml:space="preserve">Table A8- </w:t>
      </w:r>
      <w:fldSimple w:instr=" SEQ Table_A8- \* ARABIC ">
        <w:r w:rsidR="008D1375">
          <w:rPr>
            <w:noProof/>
          </w:rPr>
          <w:t>8</w:t>
        </w:r>
      </w:fldSimple>
      <w:r w:rsidR="008D1375">
        <w:t>:</w:t>
      </w:r>
      <w:r>
        <w:rPr>
          <w:u w:val="none"/>
        </w:rPr>
        <w:tab/>
        <w:t>Examples of Neg-Factive Verb Negative Bias Indicators in Context, Taken From 2,776 Article Sampling Frame (Media Coverage of Terrorism)</w:t>
      </w:r>
      <w:bookmarkEnd w:id="186"/>
    </w:p>
    <w:p w14:paraId="21637D12" w14:textId="77777777" w:rsidR="00E909C3" w:rsidRDefault="00E909C3">
      <w:pPr>
        <w:spacing w:before="0" w:after="0"/>
        <w:rPr>
          <w:rFonts w:cs="Times New Roman"/>
          <w:b/>
          <w:bCs/>
          <w:szCs w:val="22"/>
          <w:u w:val="single"/>
        </w:rPr>
      </w:pPr>
      <w:r>
        <w:rPr>
          <w:rFonts w:cs="Times New Roman"/>
          <w:b/>
          <w:bCs/>
          <w:szCs w:val="22"/>
          <w:u w:val="single"/>
        </w:rPr>
        <w:br w:type="page"/>
      </w:r>
    </w:p>
    <w:p w14:paraId="5D4E04D5" w14:textId="2C2EFB17" w:rsidR="00E909C3" w:rsidRPr="00E909C3" w:rsidRDefault="00E909C3" w:rsidP="00E13D63">
      <w:pPr>
        <w:pStyle w:val="DissertationSection3"/>
      </w:pPr>
      <w:bookmarkStart w:id="187" w:name="_Toc175413195"/>
      <w:r w:rsidRPr="00E909C3">
        <w:lastRenderedPageBreak/>
        <w:t>Low-Commitment Verbs</w:t>
      </w:r>
      <w:bookmarkEnd w:id="187"/>
    </w:p>
    <w:p w14:paraId="151C4BF4" w14:textId="77777777" w:rsidR="00E909C3" w:rsidRPr="00BF321C" w:rsidRDefault="00E909C3" w:rsidP="00E909C3">
      <w:pPr>
        <w:rPr>
          <w:rFonts w:cs="Times New Roman"/>
          <w:b/>
          <w:bCs/>
          <w:szCs w:val="22"/>
          <w:u w:val="single"/>
        </w:rPr>
      </w:pPr>
    </w:p>
    <w:tbl>
      <w:tblPr>
        <w:tblStyle w:val="TableGrid"/>
        <w:tblW w:w="9356" w:type="dxa"/>
        <w:tblInd w:w="-856" w:type="dxa"/>
        <w:tblLook w:val="04A0" w:firstRow="1" w:lastRow="0" w:firstColumn="1" w:lastColumn="0" w:noHBand="0" w:noVBand="1"/>
      </w:tblPr>
      <w:tblGrid>
        <w:gridCol w:w="2694"/>
        <w:gridCol w:w="6662"/>
      </w:tblGrid>
      <w:tr w:rsidR="00E13D63" w:rsidRPr="00BF321C" w14:paraId="3379BF8A" w14:textId="77777777" w:rsidTr="00E13D63">
        <w:tc>
          <w:tcPr>
            <w:tcW w:w="2694" w:type="dxa"/>
          </w:tcPr>
          <w:p w14:paraId="799A8AAE"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6662" w:type="dxa"/>
          </w:tcPr>
          <w:p w14:paraId="38C73A82"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44A8AD02" w14:textId="77777777" w:rsidTr="00E13D63">
        <w:tc>
          <w:tcPr>
            <w:tcW w:w="2694" w:type="dxa"/>
          </w:tcPr>
          <w:p w14:paraId="60B5CE59" w14:textId="77777777" w:rsidR="00E13D63" w:rsidRPr="00BF321C" w:rsidRDefault="00E13D63" w:rsidP="00D349E4">
            <w:pPr>
              <w:rPr>
                <w:rFonts w:cs="Times New Roman"/>
                <w:szCs w:val="22"/>
              </w:rPr>
            </w:pPr>
            <w:r w:rsidRPr="00BF321C">
              <w:rPr>
                <w:rFonts w:cs="Times New Roman"/>
                <w:szCs w:val="22"/>
              </w:rPr>
              <w:t>Debate</w:t>
            </w:r>
          </w:p>
        </w:tc>
        <w:tc>
          <w:tcPr>
            <w:tcW w:w="6662" w:type="dxa"/>
          </w:tcPr>
          <w:p w14:paraId="39BA1588" w14:textId="77777777" w:rsidR="00E13D63" w:rsidRPr="00BF321C" w:rsidRDefault="00E13D63" w:rsidP="00D349E4">
            <w:pPr>
              <w:rPr>
                <w:rFonts w:cs="Times New Roman"/>
                <w:szCs w:val="22"/>
              </w:rPr>
            </w:pPr>
            <w:r w:rsidRPr="00BF321C">
              <w:rPr>
                <w:rFonts w:cs="Times New Roman"/>
                <w:szCs w:val="22"/>
              </w:rPr>
              <w:t xml:space="preserve">““It can be that a terrorist was infiltrated there (through the refugee route). It can be that this trail was laid on purpose by the IS to influence the refugee debate,” German Interior Minister Thomas De </w:t>
            </w:r>
            <w:proofErr w:type="spellStart"/>
            <w:r w:rsidRPr="00BF321C">
              <w:rPr>
                <w:rFonts w:cs="Times New Roman"/>
                <w:szCs w:val="22"/>
              </w:rPr>
              <w:t>Maiziere</w:t>
            </w:r>
            <w:proofErr w:type="spellEnd"/>
            <w:r w:rsidRPr="00BF321C">
              <w:rPr>
                <w:rFonts w:cs="Times New Roman"/>
                <w:szCs w:val="22"/>
              </w:rPr>
              <w:t xml:space="preserve"> told German television.”</w:t>
            </w:r>
          </w:p>
        </w:tc>
      </w:tr>
      <w:tr w:rsidR="00E13D63" w:rsidRPr="00BF321C" w14:paraId="487B4235" w14:textId="77777777" w:rsidTr="00E13D63">
        <w:tc>
          <w:tcPr>
            <w:tcW w:w="2694" w:type="dxa"/>
          </w:tcPr>
          <w:p w14:paraId="1601F408" w14:textId="77777777" w:rsidR="00E13D63" w:rsidRPr="00BF321C" w:rsidRDefault="00E13D63" w:rsidP="00D349E4">
            <w:pPr>
              <w:rPr>
                <w:rFonts w:cs="Times New Roman"/>
                <w:szCs w:val="22"/>
              </w:rPr>
            </w:pPr>
            <w:r w:rsidRPr="00BF321C">
              <w:rPr>
                <w:rFonts w:cs="Times New Roman"/>
                <w:szCs w:val="22"/>
              </w:rPr>
              <w:t>Dispute</w:t>
            </w:r>
          </w:p>
        </w:tc>
        <w:tc>
          <w:tcPr>
            <w:tcW w:w="6662" w:type="dxa"/>
          </w:tcPr>
          <w:p w14:paraId="63FB8343" w14:textId="77777777" w:rsidR="00E13D63" w:rsidRPr="00BF321C" w:rsidRDefault="00E13D63" w:rsidP="00D349E4">
            <w:pPr>
              <w:rPr>
                <w:rFonts w:cs="Times New Roman"/>
                <w:szCs w:val="22"/>
              </w:rPr>
            </w:pPr>
            <w:r w:rsidRPr="00BF321C">
              <w:rPr>
                <w:rFonts w:cs="Times New Roman"/>
                <w:szCs w:val="22"/>
              </w:rPr>
              <w:t>“The dispute, which erupted in June, revolves around allegations by Saudi Arabia, the UAE, Bahrain and Egypt that Qatar supports terrorism, a charge Doha denies.”</w:t>
            </w:r>
          </w:p>
        </w:tc>
      </w:tr>
      <w:tr w:rsidR="00E13D63" w:rsidRPr="00BF321C" w14:paraId="2009DD25" w14:textId="77777777" w:rsidTr="00E13D63">
        <w:tc>
          <w:tcPr>
            <w:tcW w:w="2694" w:type="dxa"/>
          </w:tcPr>
          <w:p w14:paraId="3BA7BC41" w14:textId="77777777" w:rsidR="00E13D63" w:rsidRPr="00BF321C" w:rsidRDefault="00E13D63" w:rsidP="00D349E4">
            <w:pPr>
              <w:rPr>
                <w:rFonts w:cs="Times New Roman"/>
                <w:szCs w:val="22"/>
              </w:rPr>
            </w:pPr>
            <w:r w:rsidRPr="00BF321C">
              <w:rPr>
                <w:rFonts w:cs="Times New Roman"/>
                <w:szCs w:val="22"/>
              </w:rPr>
              <w:t>Doubt</w:t>
            </w:r>
          </w:p>
        </w:tc>
        <w:tc>
          <w:tcPr>
            <w:tcW w:w="6662" w:type="dxa"/>
          </w:tcPr>
          <w:p w14:paraId="2CEDCAA7" w14:textId="77777777" w:rsidR="00E13D63" w:rsidRPr="00BF321C" w:rsidRDefault="00E13D63" w:rsidP="008D1375">
            <w:pPr>
              <w:keepNext/>
              <w:rPr>
                <w:rFonts w:cs="Times New Roman"/>
                <w:szCs w:val="22"/>
              </w:rPr>
            </w:pPr>
            <w:r w:rsidRPr="00BF321C">
              <w:rPr>
                <w:rFonts w:cs="Times New Roman"/>
                <w:szCs w:val="22"/>
              </w:rPr>
              <w:t>“… Brazil has never been a target of international terrorism, so I doubt that it will become a major factor…”</w:t>
            </w:r>
          </w:p>
        </w:tc>
      </w:tr>
    </w:tbl>
    <w:p w14:paraId="4EF6A261" w14:textId="77777777" w:rsidR="008D1375" w:rsidRDefault="008D1375" w:rsidP="008D1375">
      <w:pPr>
        <w:pStyle w:val="Caption"/>
      </w:pPr>
    </w:p>
    <w:p w14:paraId="357599C0" w14:textId="3B907784" w:rsidR="00E909C3" w:rsidRPr="008D1375" w:rsidRDefault="008D1375" w:rsidP="008D1375">
      <w:pPr>
        <w:pStyle w:val="DissertationTableCaption"/>
        <w:rPr>
          <w:sz w:val="22"/>
          <w:szCs w:val="22"/>
          <w:u w:val="none"/>
        </w:rPr>
      </w:pPr>
      <w:bookmarkStart w:id="188" w:name="_Toc175413233"/>
      <w:r>
        <w:t xml:space="preserve">Table A8- </w:t>
      </w:r>
      <w:fldSimple w:instr=" SEQ Table_A8- \* ARABIC ">
        <w:r>
          <w:rPr>
            <w:noProof/>
          </w:rPr>
          <w:t>9</w:t>
        </w:r>
      </w:fldSimple>
      <w:r>
        <w:t>:</w:t>
      </w:r>
      <w:r>
        <w:rPr>
          <w:u w:val="none"/>
        </w:rPr>
        <w:tab/>
        <w:t>Examples of Low-Commitment Verb Negative Bias Indicators in Context, Taken From 2,776 Article Sampling Frame (Media Coverage of Terrorism)</w:t>
      </w:r>
      <w:bookmarkEnd w:id="188"/>
    </w:p>
    <w:p w14:paraId="28128866" w14:textId="77777777" w:rsidR="00E909C3" w:rsidRDefault="00E909C3">
      <w:pPr>
        <w:spacing w:before="0" w:after="0"/>
        <w:rPr>
          <w:rFonts w:cs="Times New Roman"/>
          <w:b/>
          <w:bCs/>
          <w:szCs w:val="22"/>
          <w:u w:val="single"/>
        </w:rPr>
      </w:pPr>
      <w:r>
        <w:rPr>
          <w:rFonts w:cs="Times New Roman"/>
          <w:b/>
          <w:bCs/>
          <w:szCs w:val="22"/>
          <w:u w:val="single"/>
        </w:rPr>
        <w:br w:type="page"/>
      </w:r>
    </w:p>
    <w:p w14:paraId="7B983543" w14:textId="00C1DB9B" w:rsidR="00E909C3" w:rsidRPr="00E909C3" w:rsidRDefault="00E909C3" w:rsidP="00E13D63">
      <w:pPr>
        <w:pStyle w:val="DissertationSection3"/>
      </w:pPr>
      <w:bookmarkStart w:id="189" w:name="_Toc175413196"/>
      <w:r w:rsidRPr="00E909C3">
        <w:lastRenderedPageBreak/>
        <w:t>Low-Commitment Modifiers</w:t>
      </w:r>
      <w:bookmarkEnd w:id="189"/>
    </w:p>
    <w:p w14:paraId="1940355E" w14:textId="77777777" w:rsidR="00E909C3" w:rsidRPr="00BF321C" w:rsidRDefault="00E909C3" w:rsidP="00E909C3">
      <w:pPr>
        <w:rPr>
          <w:rFonts w:cs="Times New Roman"/>
          <w:b/>
          <w:bCs/>
          <w:szCs w:val="22"/>
          <w:u w:val="single"/>
        </w:rPr>
      </w:pPr>
    </w:p>
    <w:tbl>
      <w:tblPr>
        <w:tblStyle w:val="TableGrid"/>
        <w:tblW w:w="9356" w:type="dxa"/>
        <w:tblInd w:w="-856" w:type="dxa"/>
        <w:tblLook w:val="04A0" w:firstRow="1" w:lastRow="0" w:firstColumn="1" w:lastColumn="0" w:noHBand="0" w:noVBand="1"/>
      </w:tblPr>
      <w:tblGrid>
        <w:gridCol w:w="2694"/>
        <w:gridCol w:w="6662"/>
      </w:tblGrid>
      <w:tr w:rsidR="00E13D63" w:rsidRPr="00BF321C" w14:paraId="346A3329" w14:textId="77777777" w:rsidTr="00E13D63">
        <w:tc>
          <w:tcPr>
            <w:tcW w:w="2694" w:type="dxa"/>
          </w:tcPr>
          <w:p w14:paraId="4F4C0B86"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6662" w:type="dxa"/>
          </w:tcPr>
          <w:p w14:paraId="3362EC3F"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4730879C" w14:textId="77777777" w:rsidTr="00E13D63">
        <w:tc>
          <w:tcPr>
            <w:tcW w:w="2694" w:type="dxa"/>
          </w:tcPr>
          <w:p w14:paraId="693973C0" w14:textId="77777777" w:rsidR="00E13D63" w:rsidRPr="00BF321C" w:rsidRDefault="00E13D63" w:rsidP="00D349E4">
            <w:pPr>
              <w:rPr>
                <w:rFonts w:cs="Times New Roman"/>
                <w:szCs w:val="22"/>
              </w:rPr>
            </w:pPr>
            <w:r w:rsidRPr="00BF321C">
              <w:rPr>
                <w:rFonts w:cs="Times New Roman"/>
                <w:szCs w:val="22"/>
              </w:rPr>
              <w:t>Alleged</w:t>
            </w:r>
          </w:p>
        </w:tc>
        <w:tc>
          <w:tcPr>
            <w:tcW w:w="6662" w:type="dxa"/>
          </w:tcPr>
          <w:p w14:paraId="5C1A6E01" w14:textId="77777777" w:rsidR="00E13D63" w:rsidRPr="00BF321C" w:rsidRDefault="00E13D63" w:rsidP="00D349E4">
            <w:pPr>
              <w:rPr>
                <w:rFonts w:cs="Times New Roman"/>
                <w:szCs w:val="22"/>
              </w:rPr>
            </w:pPr>
            <w:r w:rsidRPr="00BF321C">
              <w:rPr>
                <w:rFonts w:cs="Times New Roman"/>
                <w:szCs w:val="22"/>
              </w:rPr>
              <w:t xml:space="preserve">“… be some further alleged provocation that would be cited by future terrorists,” he added, saying that the level of…” </w:t>
            </w:r>
          </w:p>
        </w:tc>
      </w:tr>
      <w:tr w:rsidR="00E13D63" w:rsidRPr="00BF321C" w14:paraId="573B0C48" w14:textId="77777777" w:rsidTr="00E13D63">
        <w:tc>
          <w:tcPr>
            <w:tcW w:w="2694" w:type="dxa"/>
          </w:tcPr>
          <w:p w14:paraId="2BCF38A0" w14:textId="77777777" w:rsidR="00E13D63" w:rsidRPr="00BF321C" w:rsidRDefault="00E13D63" w:rsidP="00D349E4">
            <w:pPr>
              <w:rPr>
                <w:rFonts w:cs="Times New Roman"/>
                <w:szCs w:val="22"/>
              </w:rPr>
            </w:pPr>
            <w:r w:rsidRPr="00BF321C">
              <w:rPr>
                <w:rFonts w:cs="Times New Roman"/>
                <w:szCs w:val="22"/>
              </w:rPr>
              <w:t>Assumption</w:t>
            </w:r>
          </w:p>
        </w:tc>
        <w:tc>
          <w:tcPr>
            <w:tcW w:w="6662" w:type="dxa"/>
          </w:tcPr>
          <w:p w14:paraId="47BC1A81" w14:textId="77777777" w:rsidR="00E13D63" w:rsidRPr="00BF321C" w:rsidRDefault="00E13D63" w:rsidP="00D349E4">
            <w:pPr>
              <w:rPr>
                <w:rFonts w:cs="Times New Roman"/>
                <w:szCs w:val="22"/>
              </w:rPr>
            </w:pPr>
            <w:r w:rsidRPr="00BF321C">
              <w:rPr>
                <w:rFonts w:cs="Times New Roman"/>
                <w:szCs w:val="22"/>
              </w:rPr>
              <w:t>“… operating under the assumption that the plan[e] was downed by “terrorist activity.””</w:t>
            </w:r>
          </w:p>
        </w:tc>
      </w:tr>
      <w:tr w:rsidR="00E13D63" w:rsidRPr="00BF321C" w14:paraId="072CAA17" w14:textId="77777777" w:rsidTr="00E13D63">
        <w:tc>
          <w:tcPr>
            <w:tcW w:w="2694" w:type="dxa"/>
          </w:tcPr>
          <w:p w14:paraId="0F53102F" w14:textId="77777777" w:rsidR="00E13D63" w:rsidRPr="00BF321C" w:rsidRDefault="00E13D63" w:rsidP="00D349E4">
            <w:pPr>
              <w:rPr>
                <w:rFonts w:cs="Times New Roman"/>
                <w:szCs w:val="22"/>
              </w:rPr>
            </w:pPr>
            <w:r w:rsidRPr="00BF321C">
              <w:rPr>
                <w:rFonts w:cs="Times New Roman"/>
                <w:szCs w:val="22"/>
              </w:rPr>
              <w:t>Extremist</w:t>
            </w:r>
          </w:p>
        </w:tc>
        <w:tc>
          <w:tcPr>
            <w:tcW w:w="6662" w:type="dxa"/>
          </w:tcPr>
          <w:p w14:paraId="00A08F61" w14:textId="77777777" w:rsidR="00E13D63" w:rsidRPr="00BF321C" w:rsidRDefault="00E13D63" w:rsidP="00D349E4">
            <w:pPr>
              <w:rPr>
                <w:rFonts w:cs="Times New Roman"/>
                <w:szCs w:val="22"/>
              </w:rPr>
            </w:pPr>
            <w:r w:rsidRPr="00BF321C">
              <w:rPr>
                <w:rFonts w:cs="Times New Roman"/>
                <w:szCs w:val="22"/>
              </w:rPr>
              <w:t>“… their efforts to prevent and supress terrorist acts”” committed by IS and other extremist groups linked to Al-Qaeda.”</w:t>
            </w:r>
          </w:p>
          <w:p w14:paraId="2AA92779" w14:textId="77777777" w:rsidR="00E13D63" w:rsidRPr="00BF321C" w:rsidRDefault="00E13D63" w:rsidP="00D349E4">
            <w:pPr>
              <w:rPr>
                <w:rFonts w:cs="Times New Roman"/>
                <w:szCs w:val="22"/>
              </w:rPr>
            </w:pPr>
            <w:r w:rsidRPr="00BF321C">
              <w:rPr>
                <w:rFonts w:cs="Times New Roman"/>
                <w:szCs w:val="22"/>
              </w:rPr>
              <w:t>“…He said some countries had argued that “any group which is – which comes from an Islamist background – are terrorists. And we don’t accept that… To consider them extremist, I think, this is a big mistake and it’s a danger.””</w:t>
            </w:r>
          </w:p>
        </w:tc>
      </w:tr>
      <w:tr w:rsidR="00E13D63" w:rsidRPr="00BF321C" w14:paraId="435D1B5E" w14:textId="77777777" w:rsidTr="00E13D63">
        <w:tc>
          <w:tcPr>
            <w:tcW w:w="2694" w:type="dxa"/>
          </w:tcPr>
          <w:p w14:paraId="5785E80E" w14:textId="77777777" w:rsidR="00E13D63" w:rsidRPr="00BF321C" w:rsidRDefault="00E13D63" w:rsidP="00D349E4">
            <w:pPr>
              <w:rPr>
                <w:rFonts w:cs="Times New Roman"/>
                <w:szCs w:val="22"/>
              </w:rPr>
            </w:pPr>
            <w:proofErr w:type="gramStart"/>
            <w:r w:rsidRPr="00BF321C">
              <w:rPr>
                <w:rFonts w:cs="Times New Roman"/>
                <w:szCs w:val="22"/>
              </w:rPr>
              <w:t>So</w:t>
            </w:r>
            <w:proofErr w:type="gramEnd"/>
            <w:r w:rsidRPr="00BF321C">
              <w:rPr>
                <w:rFonts w:cs="Times New Roman"/>
                <w:szCs w:val="22"/>
              </w:rPr>
              <w:t xml:space="preserve"> Called</w:t>
            </w:r>
          </w:p>
        </w:tc>
        <w:tc>
          <w:tcPr>
            <w:tcW w:w="6662" w:type="dxa"/>
          </w:tcPr>
          <w:p w14:paraId="472447AA" w14:textId="77777777" w:rsidR="00E13D63" w:rsidRPr="00BF321C" w:rsidRDefault="00E13D63" w:rsidP="0032243A">
            <w:pPr>
              <w:keepNext/>
              <w:rPr>
                <w:rFonts w:cs="Times New Roman"/>
                <w:szCs w:val="22"/>
              </w:rPr>
            </w:pPr>
            <w:r w:rsidRPr="00BF321C">
              <w:rPr>
                <w:rFonts w:cs="Times New Roman"/>
                <w:szCs w:val="22"/>
              </w:rPr>
              <w:t xml:space="preserve">“This is the first direct hit on music that we’ve had in this </w:t>
            </w:r>
            <w:proofErr w:type="gramStart"/>
            <w:r w:rsidRPr="00BF321C">
              <w:rPr>
                <w:rFonts w:cs="Times New Roman"/>
                <w:szCs w:val="22"/>
              </w:rPr>
              <w:t>so called</w:t>
            </w:r>
            <w:proofErr w:type="gramEnd"/>
            <w:r w:rsidRPr="00BF321C">
              <w:rPr>
                <w:rFonts w:cs="Times New Roman"/>
                <w:szCs w:val="22"/>
              </w:rPr>
              <w:t xml:space="preserve"> war on terror or whatever it’s called,” Bono told…”</w:t>
            </w:r>
          </w:p>
        </w:tc>
      </w:tr>
    </w:tbl>
    <w:p w14:paraId="4AC9EF54" w14:textId="77777777" w:rsidR="0032243A" w:rsidRDefault="0032243A" w:rsidP="0032243A">
      <w:pPr>
        <w:pStyle w:val="Caption"/>
      </w:pPr>
    </w:p>
    <w:p w14:paraId="65EFCCB3" w14:textId="3045C6EA" w:rsidR="00E909C3" w:rsidRPr="0032243A" w:rsidRDefault="0032243A" w:rsidP="0032243A">
      <w:pPr>
        <w:pStyle w:val="DissertationTableCaption"/>
        <w:rPr>
          <w:sz w:val="22"/>
          <w:szCs w:val="22"/>
          <w:u w:val="none"/>
        </w:rPr>
      </w:pPr>
      <w:bookmarkStart w:id="190" w:name="_Toc175413234"/>
      <w:r>
        <w:t xml:space="preserve">Table A8- </w:t>
      </w:r>
      <w:fldSimple w:instr=" SEQ Table_A8- \* ARABIC ">
        <w:r w:rsidR="008D1375">
          <w:rPr>
            <w:noProof/>
          </w:rPr>
          <w:t>10</w:t>
        </w:r>
      </w:fldSimple>
      <w:r w:rsidR="008D1375">
        <w:t>:</w:t>
      </w:r>
      <w:r>
        <w:rPr>
          <w:u w:val="none"/>
        </w:rPr>
        <w:tab/>
        <w:t>Examples of Low-Commitment Modifier Negative Bias Indicators in Context, Taken From 2,776 Article Sampling Frame (Media Coverage of Terrorism)</w:t>
      </w:r>
      <w:bookmarkEnd w:id="190"/>
    </w:p>
    <w:p w14:paraId="3B8CC9EA" w14:textId="77777777" w:rsidR="00E909C3" w:rsidRPr="00BF321C" w:rsidRDefault="00E909C3" w:rsidP="00E909C3">
      <w:pPr>
        <w:rPr>
          <w:rFonts w:cs="Times New Roman"/>
          <w:b/>
          <w:bCs/>
          <w:szCs w:val="22"/>
          <w:u w:val="single"/>
        </w:rPr>
      </w:pPr>
      <w:r w:rsidRPr="00BF321C">
        <w:rPr>
          <w:rFonts w:cs="Times New Roman"/>
          <w:b/>
          <w:bCs/>
          <w:szCs w:val="22"/>
          <w:u w:val="single"/>
        </w:rPr>
        <w:br w:type="page"/>
      </w:r>
    </w:p>
    <w:p w14:paraId="232AFC83" w14:textId="77777777" w:rsidR="00E909C3" w:rsidRPr="00E909C3" w:rsidRDefault="00E909C3" w:rsidP="00E13D63">
      <w:pPr>
        <w:pStyle w:val="DissertationSection3"/>
      </w:pPr>
      <w:bookmarkStart w:id="191" w:name="_Toc175413197"/>
      <w:r w:rsidRPr="00E909C3">
        <w:lastRenderedPageBreak/>
        <w:t>Argumentative Verbs</w:t>
      </w:r>
      <w:bookmarkEnd w:id="191"/>
    </w:p>
    <w:p w14:paraId="4325F3A6" w14:textId="77777777" w:rsidR="00E909C3" w:rsidRPr="00BF321C" w:rsidRDefault="00E909C3" w:rsidP="00E909C3">
      <w:pPr>
        <w:rPr>
          <w:rFonts w:cs="Times New Roman"/>
          <w:b/>
          <w:bCs/>
          <w:szCs w:val="22"/>
          <w:u w:val="single"/>
        </w:rPr>
      </w:pPr>
    </w:p>
    <w:tbl>
      <w:tblPr>
        <w:tblStyle w:val="TableGrid"/>
        <w:tblW w:w="9356" w:type="dxa"/>
        <w:tblInd w:w="-856" w:type="dxa"/>
        <w:tblLook w:val="04A0" w:firstRow="1" w:lastRow="0" w:firstColumn="1" w:lastColumn="0" w:noHBand="0" w:noVBand="1"/>
      </w:tblPr>
      <w:tblGrid>
        <w:gridCol w:w="2694"/>
        <w:gridCol w:w="6662"/>
      </w:tblGrid>
      <w:tr w:rsidR="00E13D63" w:rsidRPr="00BF321C" w14:paraId="5E3F8816" w14:textId="77777777" w:rsidTr="00E13D63">
        <w:tc>
          <w:tcPr>
            <w:tcW w:w="2694" w:type="dxa"/>
          </w:tcPr>
          <w:p w14:paraId="2200FAC7"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6662" w:type="dxa"/>
          </w:tcPr>
          <w:p w14:paraId="1AA1651C"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06AB45FB" w14:textId="77777777" w:rsidTr="00E13D63">
        <w:tc>
          <w:tcPr>
            <w:tcW w:w="2694" w:type="dxa"/>
          </w:tcPr>
          <w:p w14:paraId="46549E8A" w14:textId="77777777" w:rsidR="00E13D63" w:rsidRPr="00BF321C" w:rsidRDefault="00E13D63" w:rsidP="00D349E4">
            <w:pPr>
              <w:rPr>
                <w:rFonts w:cs="Times New Roman"/>
                <w:szCs w:val="22"/>
              </w:rPr>
            </w:pPr>
            <w:r w:rsidRPr="00BF321C">
              <w:rPr>
                <w:rFonts w:cs="Times New Roman"/>
                <w:szCs w:val="22"/>
              </w:rPr>
              <w:t>Argue</w:t>
            </w:r>
          </w:p>
        </w:tc>
        <w:tc>
          <w:tcPr>
            <w:tcW w:w="6662" w:type="dxa"/>
          </w:tcPr>
          <w:p w14:paraId="3752F936" w14:textId="77777777" w:rsidR="00E13D63" w:rsidRPr="00BF321C" w:rsidRDefault="00E13D63" w:rsidP="00D349E4">
            <w:pPr>
              <w:rPr>
                <w:rFonts w:cs="Times New Roman"/>
                <w:szCs w:val="22"/>
              </w:rPr>
            </w:pPr>
            <w:r w:rsidRPr="00BF321C">
              <w:rPr>
                <w:rFonts w:cs="Times New Roman"/>
                <w:szCs w:val="22"/>
              </w:rPr>
              <w:t>“Some will argue that it makes no difference whether the passport is fake, and what matters most is that a terrorist possibly used the so-called “migrant trail” to enter EU territory… But this argument ignores the fact that other Paris attackers managed to get from Europe to Syria and back without registering as refugees.”</w:t>
            </w:r>
          </w:p>
        </w:tc>
      </w:tr>
      <w:tr w:rsidR="00E13D63" w:rsidRPr="00BF321C" w14:paraId="20CF0C9A" w14:textId="77777777" w:rsidTr="00E13D63">
        <w:tc>
          <w:tcPr>
            <w:tcW w:w="2694" w:type="dxa"/>
          </w:tcPr>
          <w:p w14:paraId="73A867E0" w14:textId="77777777" w:rsidR="00E13D63" w:rsidRPr="00BF321C" w:rsidRDefault="00E13D63" w:rsidP="00D349E4">
            <w:pPr>
              <w:rPr>
                <w:rFonts w:cs="Times New Roman"/>
                <w:szCs w:val="22"/>
              </w:rPr>
            </w:pPr>
            <w:r w:rsidRPr="00BF321C">
              <w:rPr>
                <w:rFonts w:cs="Times New Roman"/>
                <w:szCs w:val="22"/>
              </w:rPr>
              <w:t>Assert</w:t>
            </w:r>
          </w:p>
        </w:tc>
        <w:tc>
          <w:tcPr>
            <w:tcW w:w="6662" w:type="dxa"/>
          </w:tcPr>
          <w:p w14:paraId="1EA5F756" w14:textId="77777777" w:rsidR="00E13D63" w:rsidRPr="00BF321C" w:rsidRDefault="00E13D63" w:rsidP="00D349E4">
            <w:pPr>
              <w:rPr>
                <w:rFonts w:cs="Times New Roman"/>
                <w:szCs w:val="22"/>
              </w:rPr>
            </w:pPr>
            <w:r w:rsidRPr="00BF321C">
              <w:rPr>
                <w:rFonts w:cs="Times New Roman"/>
                <w:szCs w:val="22"/>
              </w:rPr>
              <w:t>““As we condemn these shameful, terrorist acts that normally target the unarmed and the innocent, we assert that the criminal few… behind these acts represent no one but themselves, for no religion, ethics or values accept this,” he added.”</w:t>
            </w:r>
          </w:p>
        </w:tc>
      </w:tr>
      <w:tr w:rsidR="00E13D63" w:rsidRPr="00BF321C" w14:paraId="50DEAACB" w14:textId="77777777" w:rsidTr="00E13D63">
        <w:tc>
          <w:tcPr>
            <w:tcW w:w="2694" w:type="dxa"/>
          </w:tcPr>
          <w:p w14:paraId="42234630" w14:textId="77777777" w:rsidR="00E13D63" w:rsidRPr="00BF321C" w:rsidRDefault="00E13D63" w:rsidP="00D349E4">
            <w:pPr>
              <w:rPr>
                <w:rFonts w:cs="Times New Roman"/>
                <w:szCs w:val="22"/>
              </w:rPr>
            </w:pPr>
            <w:r w:rsidRPr="00BF321C">
              <w:rPr>
                <w:rFonts w:cs="Times New Roman"/>
                <w:szCs w:val="22"/>
              </w:rPr>
              <w:t>Convince</w:t>
            </w:r>
          </w:p>
        </w:tc>
        <w:tc>
          <w:tcPr>
            <w:tcW w:w="6662" w:type="dxa"/>
          </w:tcPr>
          <w:p w14:paraId="5E487BE6" w14:textId="77777777" w:rsidR="00E13D63" w:rsidRPr="00BF321C" w:rsidRDefault="00E13D63" w:rsidP="00D349E4">
            <w:pPr>
              <w:rPr>
                <w:rFonts w:cs="Times New Roman"/>
                <w:szCs w:val="22"/>
              </w:rPr>
            </w:pPr>
            <w:r w:rsidRPr="00BF321C">
              <w:rPr>
                <w:rFonts w:cs="Times New Roman"/>
                <w:szCs w:val="22"/>
              </w:rPr>
              <w:t>“Prime Minister David Cameron said he wanted Britain to also carry out air strikes in Syria but still needed to convince more lawmakers to back such action, while German chancellor Angela Merkel said the fight against terrorism could not be won by military force alone.”</w:t>
            </w:r>
          </w:p>
        </w:tc>
      </w:tr>
      <w:tr w:rsidR="00E13D63" w:rsidRPr="00BF321C" w14:paraId="2D29D596" w14:textId="77777777" w:rsidTr="00E13D63">
        <w:tc>
          <w:tcPr>
            <w:tcW w:w="2694" w:type="dxa"/>
          </w:tcPr>
          <w:p w14:paraId="094B0916" w14:textId="77777777" w:rsidR="00E13D63" w:rsidRPr="00BF321C" w:rsidRDefault="00E13D63" w:rsidP="00D349E4">
            <w:pPr>
              <w:rPr>
                <w:rFonts w:cs="Times New Roman"/>
                <w:szCs w:val="22"/>
              </w:rPr>
            </w:pPr>
            <w:r w:rsidRPr="00BF321C">
              <w:rPr>
                <w:rFonts w:cs="Times New Roman"/>
                <w:szCs w:val="22"/>
              </w:rPr>
              <w:t>Declare</w:t>
            </w:r>
          </w:p>
        </w:tc>
        <w:tc>
          <w:tcPr>
            <w:tcW w:w="6662" w:type="dxa"/>
          </w:tcPr>
          <w:p w14:paraId="1EA85494" w14:textId="77777777" w:rsidR="00E13D63" w:rsidRPr="00BF321C" w:rsidRDefault="00E13D63" w:rsidP="00FB2B53">
            <w:pPr>
              <w:keepNext/>
              <w:rPr>
                <w:rFonts w:cs="Times New Roman"/>
                <w:szCs w:val="22"/>
              </w:rPr>
            </w:pPr>
            <w:r w:rsidRPr="00BF321C">
              <w:rPr>
                <w:rFonts w:cs="Times New Roman"/>
                <w:szCs w:val="22"/>
              </w:rPr>
              <w:t>“In the immediate aftermath of an incident which initial reports said killed upwards of 70 people, officials declined to formally declare the attack as terrorist assault pending further news. But several French media said the anti-terrorist investigation department had been put on the case.”</w:t>
            </w:r>
          </w:p>
        </w:tc>
      </w:tr>
    </w:tbl>
    <w:p w14:paraId="7249BF4D" w14:textId="77777777" w:rsidR="00FB2B53" w:rsidRDefault="00FB2B53" w:rsidP="00FB2B53">
      <w:pPr>
        <w:pStyle w:val="Caption"/>
      </w:pPr>
    </w:p>
    <w:p w14:paraId="38F3AD8A" w14:textId="7FECCF2D" w:rsidR="00E909C3" w:rsidRPr="00FB2B53" w:rsidRDefault="00FB2B53" w:rsidP="00FB2B53">
      <w:pPr>
        <w:pStyle w:val="DissertationTableCaption"/>
        <w:rPr>
          <w:sz w:val="22"/>
          <w:szCs w:val="22"/>
          <w:u w:val="none"/>
        </w:rPr>
      </w:pPr>
      <w:bookmarkStart w:id="192" w:name="_Toc175413235"/>
      <w:r>
        <w:t xml:space="preserve">Table A8- </w:t>
      </w:r>
      <w:fldSimple w:instr=" SEQ Table_A8- \* ARABIC ">
        <w:r w:rsidR="008D1375">
          <w:rPr>
            <w:noProof/>
          </w:rPr>
          <w:t>11</w:t>
        </w:r>
      </w:fldSimple>
      <w:r w:rsidR="008D1375">
        <w:t>:</w:t>
      </w:r>
      <w:r>
        <w:rPr>
          <w:u w:val="none"/>
        </w:rPr>
        <w:tab/>
        <w:t>Examples of Argumentative Verb Negative Bias Indicators in Context, Taken From 2,776 Article Sampling Frame (Media Coverage of Terrorism)</w:t>
      </w:r>
      <w:bookmarkEnd w:id="192"/>
    </w:p>
    <w:p w14:paraId="77555CFF" w14:textId="77777777" w:rsidR="00E909C3" w:rsidRPr="00BF321C" w:rsidRDefault="00E909C3" w:rsidP="00E909C3">
      <w:pPr>
        <w:rPr>
          <w:rFonts w:cs="Times New Roman"/>
          <w:b/>
          <w:bCs/>
          <w:szCs w:val="22"/>
          <w:u w:val="single"/>
        </w:rPr>
      </w:pPr>
      <w:r w:rsidRPr="00BF321C">
        <w:rPr>
          <w:rFonts w:cs="Times New Roman"/>
          <w:b/>
          <w:bCs/>
          <w:szCs w:val="22"/>
          <w:u w:val="single"/>
        </w:rPr>
        <w:br w:type="page"/>
      </w:r>
    </w:p>
    <w:p w14:paraId="20DDA8FC" w14:textId="77777777" w:rsidR="00E909C3" w:rsidRPr="00E909C3" w:rsidRDefault="00E909C3" w:rsidP="00E13D63">
      <w:pPr>
        <w:pStyle w:val="DissertationSection3"/>
      </w:pPr>
      <w:bookmarkStart w:id="193" w:name="_Toc175413198"/>
      <w:r w:rsidRPr="00E909C3">
        <w:lastRenderedPageBreak/>
        <w:t>Undermining Adjectives</w:t>
      </w:r>
      <w:bookmarkEnd w:id="193"/>
    </w:p>
    <w:p w14:paraId="72A8993F" w14:textId="77777777" w:rsidR="00E909C3" w:rsidRPr="00BF321C" w:rsidRDefault="00E909C3" w:rsidP="00E909C3">
      <w:pPr>
        <w:rPr>
          <w:rFonts w:cs="Times New Roman"/>
          <w:b/>
          <w:bCs/>
          <w:szCs w:val="22"/>
          <w:u w:val="single"/>
        </w:rPr>
      </w:pPr>
    </w:p>
    <w:tbl>
      <w:tblPr>
        <w:tblStyle w:val="TableGrid"/>
        <w:tblW w:w="9356" w:type="dxa"/>
        <w:tblInd w:w="-856" w:type="dxa"/>
        <w:tblLook w:val="04A0" w:firstRow="1" w:lastRow="0" w:firstColumn="1" w:lastColumn="0" w:noHBand="0" w:noVBand="1"/>
      </w:tblPr>
      <w:tblGrid>
        <w:gridCol w:w="2694"/>
        <w:gridCol w:w="6662"/>
      </w:tblGrid>
      <w:tr w:rsidR="00E13D63" w:rsidRPr="00BF321C" w14:paraId="0AA5DFC0" w14:textId="77777777" w:rsidTr="00E13D63">
        <w:tc>
          <w:tcPr>
            <w:tcW w:w="2694" w:type="dxa"/>
          </w:tcPr>
          <w:p w14:paraId="490BED96" w14:textId="77777777" w:rsidR="00E13D63" w:rsidRPr="00BF321C" w:rsidRDefault="00E13D63" w:rsidP="00D349E4">
            <w:pPr>
              <w:jc w:val="center"/>
              <w:rPr>
                <w:rFonts w:cs="Times New Roman"/>
                <w:b/>
                <w:bCs/>
                <w:szCs w:val="22"/>
              </w:rPr>
            </w:pPr>
            <w:r w:rsidRPr="00BF321C">
              <w:rPr>
                <w:rFonts w:cs="Times New Roman"/>
                <w:b/>
                <w:bCs/>
                <w:szCs w:val="22"/>
              </w:rPr>
              <w:t>Word/Phrase</w:t>
            </w:r>
          </w:p>
        </w:tc>
        <w:tc>
          <w:tcPr>
            <w:tcW w:w="6662" w:type="dxa"/>
          </w:tcPr>
          <w:p w14:paraId="69A67C51" w14:textId="77777777" w:rsidR="00E13D63" w:rsidRPr="00BF321C" w:rsidRDefault="00E13D63" w:rsidP="00D349E4">
            <w:pPr>
              <w:jc w:val="center"/>
              <w:rPr>
                <w:rFonts w:cs="Times New Roman"/>
                <w:b/>
                <w:bCs/>
                <w:szCs w:val="22"/>
              </w:rPr>
            </w:pPr>
            <w:r w:rsidRPr="00BF321C">
              <w:rPr>
                <w:rFonts w:cs="Times New Roman"/>
                <w:b/>
                <w:bCs/>
                <w:szCs w:val="22"/>
              </w:rPr>
              <w:t>Example</w:t>
            </w:r>
          </w:p>
        </w:tc>
      </w:tr>
      <w:tr w:rsidR="00E13D63" w:rsidRPr="00BF321C" w14:paraId="6747E470" w14:textId="77777777" w:rsidTr="00E13D63">
        <w:tc>
          <w:tcPr>
            <w:tcW w:w="2694" w:type="dxa"/>
          </w:tcPr>
          <w:p w14:paraId="18856ED1" w14:textId="77777777" w:rsidR="00E13D63" w:rsidRPr="00BF321C" w:rsidRDefault="00E13D63" w:rsidP="00D349E4">
            <w:pPr>
              <w:rPr>
                <w:rFonts w:cs="Times New Roman"/>
                <w:szCs w:val="22"/>
              </w:rPr>
            </w:pPr>
            <w:r w:rsidRPr="00BF321C">
              <w:rPr>
                <w:rFonts w:cs="Times New Roman"/>
                <w:szCs w:val="22"/>
              </w:rPr>
              <w:t>Bad</w:t>
            </w:r>
          </w:p>
        </w:tc>
        <w:tc>
          <w:tcPr>
            <w:tcW w:w="6662" w:type="dxa"/>
          </w:tcPr>
          <w:p w14:paraId="51F905E4" w14:textId="77777777" w:rsidR="00E13D63" w:rsidRPr="00BF321C" w:rsidRDefault="00E13D63" w:rsidP="00D349E4">
            <w:pPr>
              <w:rPr>
                <w:rFonts w:cs="Times New Roman"/>
                <w:szCs w:val="22"/>
              </w:rPr>
            </w:pPr>
            <w:r w:rsidRPr="00BF321C">
              <w:rPr>
                <w:rFonts w:cs="Times New Roman"/>
                <w:szCs w:val="22"/>
              </w:rPr>
              <w:t xml:space="preserve">“… He said allowing terrorists to restrict our freedom is “almost as bad as a terrorist attack.”” ““Terrorism has no nationality or religion. All Terrorism is </w:t>
            </w:r>
            <w:proofErr w:type="gramStart"/>
            <w:r w:rsidRPr="00BF321C">
              <w:rPr>
                <w:rFonts w:cs="Times New Roman"/>
                <w:szCs w:val="22"/>
              </w:rPr>
              <w:t>bad,…</w:t>
            </w:r>
            <w:proofErr w:type="gramEnd"/>
            <w:r w:rsidRPr="00BF321C">
              <w:rPr>
                <w:rFonts w:cs="Times New Roman"/>
                <w:szCs w:val="22"/>
              </w:rPr>
              <w:t>”</w:t>
            </w:r>
          </w:p>
        </w:tc>
      </w:tr>
      <w:tr w:rsidR="00E13D63" w:rsidRPr="00BF321C" w14:paraId="79435AED" w14:textId="77777777" w:rsidTr="00E13D63">
        <w:tc>
          <w:tcPr>
            <w:tcW w:w="2694" w:type="dxa"/>
          </w:tcPr>
          <w:p w14:paraId="4C137900" w14:textId="77777777" w:rsidR="00E13D63" w:rsidRPr="00BF321C" w:rsidRDefault="00E13D63" w:rsidP="00D349E4">
            <w:pPr>
              <w:rPr>
                <w:rFonts w:cs="Times New Roman"/>
                <w:szCs w:val="22"/>
              </w:rPr>
            </w:pPr>
            <w:r w:rsidRPr="00BF321C">
              <w:rPr>
                <w:rFonts w:cs="Times New Roman"/>
                <w:szCs w:val="22"/>
              </w:rPr>
              <w:t>Debunked</w:t>
            </w:r>
          </w:p>
        </w:tc>
        <w:tc>
          <w:tcPr>
            <w:tcW w:w="6662" w:type="dxa"/>
          </w:tcPr>
          <w:p w14:paraId="2215C673" w14:textId="77777777" w:rsidR="00E13D63" w:rsidRPr="00BF321C" w:rsidRDefault="00E13D63" w:rsidP="00D349E4">
            <w:pPr>
              <w:rPr>
                <w:rFonts w:cs="Times New Roman"/>
                <w:szCs w:val="22"/>
              </w:rPr>
            </w:pPr>
            <w:r w:rsidRPr="00BF321C">
              <w:rPr>
                <w:rFonts w:cs="Times New Roman"/>
                <w:szCs w:val="22"/>
              </w:rPr>
              <w:t>“… in 2001, they again debunked the idea that American soil is immune from the terrorism faced abroad.”</w:t>
            </w:r>
          </w:p>
        </w:tc>
      </w:tr>
      <w:tr w:rsidR="00E13D63" w:rsidRPr="00BF321C" w14:paraId="28A1D9F2" w14:textId="77777777" w:rsidTr="00E13D63">
        <w:tc>
          <w:tcPr>
            <w:tcW w:w="2694" w:type="dxa"/>
          </w:tcPr>
          <w:p w14:paraId="28042717" w14:textId="77777777" w:rsidR="00E13D63" w:rsidRPr="00BF321C" w:rsidRDefault="00E13D63" w:rsidP="00D349E4">
            <w:pPr>
              <w:rPr>
                <w:rFonts w:cs="Times New Roman"/>
                <w:szCs w:val="22"/>
              </w:rPr>
            </w:pPr>
            <w:r w:rsidRPr="00BF321C">
              <w:rPr>
                <w:rFonts w:cs="Times New Roman"/>
                <w:szCs w:val="22"/>
              </w:rPr>
              <w:t>Fake</w:t>
            </w:r>
          </w:p>
        </w:tc>
        <w:tc>
          <w:tcPr>
            <w:tcW w:w="6662" w:type="dxa"/>
          </w:tcPr>
          <w:p w14:paraId="425C73E6" w14:textId="77777777" w:rsidR="00E13D63" w:rsidRPr="00BF321C" w:rsidRDefault="00E13D63" w:rsidP="00D349E4">
            <w:pPr>
              <w:rPr>
                <w:rFonts w:cs="Times New Roman"/>
                <w:szCs w:val="22"/>
              </w:rPr>
            </w:pPr>
            <w:r w:rsidRPr="00BF321C">
              <w:rPr>
                <w:rFonts w:cs="Times New Roman"/>
                <w:szCs w:val="22"/>
              </w:rPr>
              <w:t>“… the fake Syrian passport is a godsend for those who want to stop the flood of Syrian refugeed. Who can quarrel with national security? Who would dare guarantee that no refugee, ever, will perpetrate a terrorist act?”</w:t>
            </w:r>
          </w:p>
        </w:tc>
      </w:tr>
      <w:tr w:rsidR="00E13D63" w:rsidRPr="00BF321C" w14:paraId="68689588" w14:textId="77777777" w:rsidTr="00E13D63">
        <w:tc>
          <w:tcPr>
            <w:tcW w:w="2694" w:type="dxa"/>
          </w:tcPr>
          <w:p w14:paraId="6432D6BA" w14:textId="77777777" w:rsidR="00E13D63" w:rsidRPr="00BF321C" w:rsidRDefault="00E13D63" w:rsidP="00D349E4">
            <w:pPr>
              <w:rPr>
                <w:rFonts w:cs="Times New Roman"/>
                <w:szCs w:val="22"/>
              </w:rPr>
            </w:pPr>
            <w:r w:rsidRPr="00BF321C">
              <w:rPr>
                <w:rFonts w:cs="Times New Roman"/>
                <w:szCs w:val="22"/>
              </w:rPr>
              <w:t>False</w:t>
            </w:r>
          </w:p>
        </w:tc>
        <w:tc>
          <w:tcPr>
            <w:tcW w:w="6662" w:type="dxa"/>
          </w:tcPr>
          <w:p w14:paraId="0D649828" w14:textId="77777777" w:rsidR="00E13D63" w:rsidRPr="00BF321C" w:rsidRDefault="00E13D63" w:rsidP="00D349E4">
            <w:pPr>
              <w:rPr>
                <w:rFonts w:cs="Times New Roman"/>
                <w:szCs w:val="22"/>
              </w:rPr>
            </w:pPr>
            <w:r w:rsidRPr="00BF321C">
              <w:rPr>
                <w:rFonts w:cs="Times New Roman"/>
                <w:szCs w:val="22"/>
              </w:rPr>
              <w:t>““There are indications it is a false trail,” he said, adding that “it still cannot be ruled out that a terrorist headed for…””</w:t>
            </w:r>
          </w:p>
        </w:tc>
      </w:tr>
      <w:tr w:rsidR="00E13D63" w:rsidRPr="00BF321C" w14:paraId="6BA104FF" w14:textId="77777777" w:rsidTr="00E13D63">
        <w:tc>
          <w:tcPr>
            <w:tcW w:w="2694" w:type="dxa"/>
          </w:tcPr>
          <w:p w14:paraId="0F3D8143" w14:textId="77777777" w:rsidR="00E13D63" w:rsidRPr="00BF321C" w:rsidRDefault="00E13D63" w:rsidP="00D349E4">
            <w:pPr>
              <w:rPr>
                <w:rFonts w:cs="Times New Roman"/>
                <w:szCs w:val="22"/>
              </w:rPr>
            </w:pPr>
            <w:r w:rsidRPr="00BF321C">
              <w:rPr>
                <w:rFonts w:cs="Times New Roman"/>
                <w:szCs w:val="22"/>
              </w:rPr>
              <w:t>Flawed</w:t>
            </w:r>
          </w:p>
        </w:tc>
        <w:tc>
          <w:tcPr>
            <w:tcW w:w="6662" w:type="dxa"/>
          </w:tcPr>
          <w:p w14:paraId="4594AEAC" w14:textId="77777777" w:rsidR="00E13D63" w:rsidRPr="00BF321C" w:rsidRDefault="00E13D63" w:rsidP="00D349E4">
            <w:pPr>
              <w:rPr>
                <w:rFonts w:cs="Times New Roman"/>
                <w:szCs w:val="22"/>
              </w:rPr>
            </w:pPr>
            <w:r w:rsidRPr="00BF321C">
              <w:rPr>
                <w:rFonts w:cs="Times New Roman"/>
                <w:szCs w:val="22"/>
              </w:rPr>
              <w:t>““The flawed policies pursued by Western countries and especially France as regards what is happening in our region… contributed to the spread of terrorism,” Assad was quoted as saying on Syrian state media.”</w:t>
            </w:r>
          </w:p>
        </w:tc>
      </w:tr>
      <w:tr w:rsidR="00E13D63" w:rsidRPr="00BF321C" w14:paraId="0D0EEA09" w14:textId="77777777" w:rsidTr="00E13D63">
        <w:tc>
          <w:tcPr>
            <w:tcW w:w="2694" w:type="dxa"/>
          </w:tcPr>
          <w:p w14:paraId="1B498F91" w14:textId="77777777" w:rsidR="00E13D63" w:rsidRPr="00BF321C" w:rsidRDefault="00E13D63" w:rsidP="00D349E4">
            <w:pPr>
              <w:rPr>
                <w:rFonts w:cs="Times New Roman"/>
                <w:szCs w:val="22"/>
              </w:rPr>
            </w:pPr>
            <w:r w:rsidRPr="00BF321C">
              <w:rPr>
                <w:rFonts w:cs="Times New Roman"/>
                <w:szCs w:val="22"/>
              </w:rPr>
              <w:t>Mistaken</w:t>
            </w:r>
          </w:p>
        </w:tc>
        <w:tc>
          <w:tcPr>
            <w:tcW w:w="6662" w:type="dxa"/>
          </w:tcPr>
          <w:p w14:paraId="70157AED" w14:textId="77777777" w:rsidR="00E13D63" w:rsidRPr="00BF321C" w:rsidRDefault="00E13D63" w:rsidP="00D349E4">
            <w:pPr>
              <w:rPr>
                <w:rFonts w:cs="Times New Roman"/>
                <w:szCs w:val="22"/>
              </w:rPr>
            </w:pPr>
            <w:r w:rsidRPr="00BF321C">
              <w:rPr>
                <w:rFonts w:cs="Times New Roman"/>
                <w:szCs w:val="22"/>
              </w:rPr>
              <w:t>““… mistaken policies… have contributed to the spread of terrorism.””</w:t>
            </w:r>
          </w:p>
        </w:tc>
      </w:tr>
      <w:tr w:rsidR="00E13D63" w:rsidRPr="00BF321C" w14:paraId="2BE8A412" w14:textId="77777777" w:rsidTr="00E13D63">
        <w:tc>
          <w:tcPr>
            <w:tcW w:w="2694" w:type="dxa"/>
          </w:tcPr>
          <w:p w14:paraId="10351EDC" w14:textId="77777777" w:rsidR="00E13D63" w:rsidRPr="00BF321C" w:rsidRDefault="00E13D63" w:rsidP="00D349E4">
            <w:pPr>
              <w:rPr>
                <w:rFonts w:cs="Times New Roman"/>
                <w:szCs w:val="22"/>
              </w:rPr>
            </w:pPr>
            <w:r w:rsidRPr="00BF321C">
              <w:rPr>
                <w:rFonts w:cs="Times New Roman"/>
                <w:szCs w:val="22"/>
              </w:rPr>
              <w:t>Problematic</w:t>
            </w:r>
          </w:p>
        </w:tc>
        <w:tc>
          <w:tcPr>
            <w:tcW w:w="6662" w:type="dxa"/>
          </w:tcPr>
          <w:p w14:paraId="60EDA23F" w14:textId="77777777" w:rsidR="00E13D63" w:rsidRPr="00BF321C" w:rsidRDefault="00E13D63" w:rsidP="00D349E4">
            <w:pPr>
              <w:rPr>
                <w:rFonts w:cs="Times New Roman"/>
                <w:szCs w:val="22"/>
              </w:rPr>
            </w:pPr>
            <w:r w:rsidRPr="00BF321C">
              <w:rPr>
                <w:rFonts w:cs="Times New Roman"/>
                <w:szCs w:val="22"/>
              </w:rPr>
              <w:t>“Secretary of State John Kerry said that of 785,000 refugees accepted since 2001, only 12 “were found to perhaps be problematic with respect to potential terror.””</w:t>
            </w:r>
          </w:p>
        </w:tc>
      </w:tr>
      <w:tr w:rsidR="00E13D63" w:rsidRPr="00BF321C" w14:paraId="7EBDC29E" w14:textId="77777777" w:rsidTr="00E13D63">
        <w:tc>
          <w:tcPr>
            <w:tcW w:w="2694" w:type="dxa"/>
          </w:tcPr>
          <w:p w14:paraId="16EB137E" w14:textId="77777777" w:rsidR="00E13D63" w:rsidRPr="00BF321C" w:rsidRDefault="00E13D63" w:rsidP="00D349E4">
            <w:pPr>
              <w:rPr>
                <w:rFonts w:cs="Times New Roman"/>
                <w:szCs w:val="22"/>
              </w:rPr>
            </w:pPr>
            <w:r w:rsidRPr="00BF321C">
              <w:rPr>
                <w:rFonts w:cs="Times New Roman"/>
                <w:szCs w:val="22"/>
              </w:rPr>
              <w:t>Suspect</w:t>
            </w:r>
          </w:p>
        </w:tc>
        <w:tc>
          <w:tcPr>
            <w:tcW w:w="6662" w:type="dxa"/>
          </w:tcPr>
          <w:p w14:paraId="53579127" w14:textId="77777777" w:rsidR="00E13D63" w:rsidRPr="00BF321C" w:rsidRDefault="00E13D63" w:rsidP="00D349E4">
            <w:pPr>
              <w:rPr>
                <w:rFonts w:cs="Times New Roman"/>
                <w:szCs w:val="22"/>
              </w:rPr>
            </w:pPr>
            <w:r w:rsidRPr="00BF321C">
              <w:rPr>
                <w:rFonts w:cs="Times New Roman"/>
                <w:szCs w:val="22"/>
              </w:rPr>
              <w:t>“…suspect had “obvious terrorist intentions.””</w:t>
            </w:r>
          </w:p>
        </w:tc>
      </w:tr>
      <w:tr w:rsidR="00E13D63" w:rsidRPr="00BF321C" w14:paraId="0375FF7C" w14:textId="77777777" w:rsidTr="00E13D63">
        <w:tc>
          <w:tcPr>
            <w:tcW w:w="2694" w:type="dxa"/>
          </w:tcPr>
          <w:p w14:paraId="50E0116C" w14:textId="77777777" w:rsidR="00E13D63" w:rsidRPr="00BF321C" w:rsidRDefault="00E13D63" w:rsidP="00D349E4">
            <w:pPr>
              <w:rPr>
                <w:rFonts w:cs="Times New Roman"/>
                <w:szCs w:val="22"/>
              </w:rPr>
            </w:pPr>
            <w:r w:rsidRPr="00BF321C">
              <w:rPr>
                <w:rFonts w:cs="Times New Roman"/>
                <w:szCs w:val="22"/>
              </w:rPr>
              <w:t>Wrong</w:t>
            </w:r>
          </w:p>
        </w:tc>
        <w:tc>
          <w:tcPr>
            <w:tcW w:w="6662" w:type="dxa"/>
          </w:tcPr>
          <w:p w14:paraId="3F0936F9" w14:textId="77777777" w:rsidR="00E13D63" w:rsidRPr="00BF321C" w:rsidRDefault="00E13D63" w:rsidP="00CE58B4">
            <w:pPr>
              <w:keepNext/>
              <w:rPr>
                <w:rFonts w:cs="Times New Roman"/>
                <w:szCs w:val="22"/>
              </w:rPr>
            </w:pPr>
            <w:r w:rsidRPr="00BF321C">
              <w:rPr>
                <w:rFonts w:cs="Times New Roman"/>
                <w:szCs w:val="22"/>
              </w:rPr>
              <w:t>“Ursula von der Leyen said Sunday that linking Europe’s migrant crisis to the threat of terrorism would be wrong.”</w:t>
            </w:r>
          </w:p>
        </w:tc>
      </w:tr>
    </w:tbl>
    <w:p w14:paraId="115EF8E8" w14:textId="77777777" w:rsidR="00CE58B4" w:rsidRDefault="00CE58B4" w:rsidP="00CE58B4">
      <w:pPr>
        <w:pStyle w:val="Caption"/>
      </w:pPr>
    </w:p>
    <w:p w14:paraId="60D6E467" w14:textId="3AD4FF30" w:rsidR="00E909C3" w:rsidRPr="00CE58B4" w:rsidRDefault="00CE58B4" w:rsidP="00CE58B4">
      <w:pPr>
        <w:pStyle w:val="DissertationTableCaption"/>
        <w:rPr>
          <w:sz w:val="22"/>
          <w:szCs w:val="22"/>
          <w:u w:val="none"/>
        </w:rPr>
      </w:pPr>
      <w:bookmarkStart w:id="194" w:name="_Toc175413236"/>
      <w:r>
        <w:t xml:space="preserve">Table A8- </w:t>
      </w:r>
      <w:fldSimple w:instr=" SEQ Table_A8- \* ARABIC ">
        <w:r w:rsidR="008D1375">
          <w:rPr>
            <w:noProof/>
          </w:rPr>
          <w:t>12</w:t>
        </w:r>
      </w:fldSimple>
      <w:r w:rsidR="008D1375">
        <w:t>:</w:t>
      </w:r>
      <w:r>
        <w:rPr>
          <w:u w:val="none"/>
        </w:rPr>
        <w:tab/>
        <w:t>Examples of Undermining Adjective Negative Bias Indicators in Context, Taken From 2,776 Article Sampling Frame (Media Coverage of Terrorism)</w:t>
      </w:r>
      <w:bookmarkEnd w:id="194"/>
    </w:p>
    <w:p w14:paraId="3E12143F" w14:textId="77777777" w:rsidR="00E909C3" w:rsidRDefault="00E909C3">
      <w:pPr>
        <w:spacing w:before="0" w:after="0"/>
        <w:rPr>
          <w:rFonts w:cs="Times New Roman"/>
          <w:b/>
          <w:bCs/>
          <w:szCs w:val="22"/>
          <w:u w:val="single"/>
        </w:rPr>
      </w:pPr>
      <w:r>
        <w:rPr>
          <w:rFonts w:cs="Times New Roman"/>
          <w:b/>
          <w:bCs/>
          <w:szCs w:val="22"/>
          <w:u w:val="single"/>
        </w:rPr>
        <w:br w:type="page"/>
      </w:r>
    </w:p>
    <w:p w14:paraId="2F0531A4" w14:textId="6A0788A5" w:rsidR="00E909C3" w:rsidRPr="00E909C3" w:rsidRDefault="00E909C3" w:rsidP="00E13D63">
      <w:pPr>
        <w:pStyle w:val="DissertationSection3"/>
      </w:pPr>
      <w:bookmarkStart w:id="195" w:name="_Toc175413199"/>
      <w:r w:rsidRPr="00E909C3">
        <w:lastRenderedPageBreak/>
        <w:t>Lack of Consensus Adjectives</w:t>
      </w:r>
      <w:bookmarkEnd w:id="195"/>
    </w:p>
    <w:p w14:paraId="754E1B78" w14:textId="77777777" w:rsidR="00E909C3" w:rsidRPr="00BF321C" w:rsidRDefault="00E909C3" w:rsidP="00E909C3">
      <w:pPr>
        <w:rPr>
          <w:rFonts w:cs="Times New Roman"/>
          <w:b/>
          <w:bCs/>
          <w:szCs w:val="22"/>
          <w:u w:val="single"/>
        </w:rPr>
      </w:pPr>
    </w:p>
    <w:tbl>
      <w:tblPr>
        <w:tblStyle w:val="TableGrid"/>
        <w:tblW w:w="9356" w:type="dxa"/>
        <w:tblInd w:w="-856" w:type="dxa"/>
        <w:tblLook w:val="04A0" w:firstRow="1" w:lastRow="0" w:firstColumn="1" w:lastColumn="0" w:noHBand="0" w:noVBand="1"/>
      </w:tblPr>
      <w:tblGrid>
        <w:gridCol w:w="2694"/>
        <w:gridCol w:w="6662"/>
      </w:tblGrid>
      <w:tr w:rsidR="005C7B5A" w:rsidRPr="00BF321C" w14:paraId="265E038D" w14:textId="77777777" w:rsidTr="005C7B5A">
        <w:tc>
          <w:tcPr>
            <w:tcW w:w="2694" w:type="dxa"/>
          </w:tcPr>
          <w:p w14:paraId="5080C1F4" w14:textId="77777777" w:rsidR="005C7B5A" w:rsidRPr="00BF321C" w:rsidRDefault="005C7B5A" w:rsidP="00D349E4">
            <w:pPr>
              <w:jc w:val="center"/>
              <w:rPr>
                <w:rFonts w:cs="Times New Roman"/>
                <w:b/>
                <w:bCs/>
                <w:szCs w:val="22"/>
              </w:rPr>
            </w:pPr>
            <w:r w:rsidRPr="00BF321C">
              <w:rPr>
                <w:rFonts w:cs="Times New Roman"/>
                <w:b/>
                <w:bCs/>
                <w:szCs w:val="22"/>
              </w:rPr>
              <w:t>Word/Phrase</w:t>
            </w:r>
          </w:p>
        </w:tc>
        <w:tc>
          <w:tcPr>
            <w:tcW w:w="6662" w:type="dxa"/>
          </w:tcPr>
          <w:p w14:paraId="769D951D" w14:textId="77777777" w:rsidR="005C7B5A" w:rsidRPr="00BF321C" w:rsidRDefault="005C7B5A" w:rsidP="00D349E4">
            <w:pPr>
              <w:jc w:val="center"/>
              <w:rPr>
                <w:rFonts w:cs="Times New Roman"/>
                <w:b/>
                <w:bCs/>
                <w:szCs w:val="22"/>
              </w:rPr>
            </w:pPr>
            <w:r w:rsidRPr="00BF321C">
              <w:rPr>
                <w:rFonts w:cs="Times New Roman"/>
                <w:b/>
                <w:bCs/>
                <w:szCs w:val="22"/>
              </w:rPr>
              <w:t>Example</w:t>
            </w:r>
          </w:p>
        </w:tc>
      </w:tr>
      <w:tr w:rsidR="005C7B5A" w:rsidRPr="00BF321C" w14:paraId="26F3AF3E" w14:textId="77777777" w:rsidTr="005C7B5A">
        <w:tc>
          <w:tcPr>
            <w:tcW w:w="2694" w:type="dxa"/>
          </w:tcPr>
          <w:p w14:paraId="7FBAFDE7" w14:textId="77777777" w:rsidR="005C7B5A" w:rsidRPr="00BF321C" w:rsidRDefault="005C7B5A" w:rsidP="00D349E4">
            <w:pPr>
              <w:rPr>
                <w:rFonts w:cs="Times New Roman"/>
                <w:szCs w:val="22"/>
              </w:rPr>
            </w:pPr>
            <w:r w:rsidRPr="00BF321C">
              <w:rPr>
                <w:rFonts w:cs="Times New Roman"/>
                <w:szCs w:val="22"/>
              </w:rPr>
              <w:t>Contested</w:t>
            </w:r>
          </w:p>
        </w:tc>
        <w:tc>
          <w:tcPr>
            <w:tcW w:w="6662" w:type="dxa"/>
          </w:tcPr>
          <w:p w14:paraId="43AB8446" w14:textId="77777777" w:rsidR="005C7B5A" w:rsidRPr="00BF321C" w:rsidRDefault="005C7B5A" w:rsidP="00D349E4">
            <w:pPr>
              <w:rPr>
                <w:rFonts w:cs="Times New Roman"/>
                <w:szCs w:val="22"/>
              </w:rPr>
            </w:pPr>
            <w:r w:rsidRPr="00BF321C">
              <w:rPr>
                <w:rFonts w:cs="Times New Roman"/>
                <w:szCs w:val="22"/>
              </w:rPr>
              <w:t>“Contested in some quarters, air passenger profiling is gaining ground among watchdogs as a defence against terror…”</w:t>
            </w:r>
          </w:p>
        </w:tc>
      </w:tr>
      <w:tr w:rsidR="005C7B5A" w:rsidRPr="00BF321C" w14:paraId="0FCEE70E" w14:textId="77777777" w:rsidTr="005C7B5A">
        <w:tc>
          <w:tcPr>
            <w:tcW w:w="2694" w:type="dxa"/>
          </w:tcPr>
          <w:p w14:paraId="6D969964" w14:textId="77777777" w:rsidR="005C7B5A" w:rsidRPr="00BF321C" w:rsidRDefault="005C7B5A" w:rsidP="00D349E4">
            <w:pPr>
              <w:rPr>
                <w:rFonts w:cs="Times New Roman"/>
                <w:szCs w:val="22"/>
              </w:rPr>
            </w:pPr>
            <w:r w:rsidRPr="00BF321C">
              <w:rPr>
                <w:rFonts w:cs="Times New Roman"/>
                <w:szCs w:val="22"/>
              </w:rPr>
              <w:t>Debated</w:t>
            </w:r>
          </w:p>
        </w:tc>
        <w:tc>
          <w:tcPr>
            <w:tcW w:w="6662" w:type="dxa"/>
          </w:tcPr>
          <w:p w14:paraId="45877030" w14:textId="77777777" w:rsidR="005C7B5A" w:rsidRPr="00BF321C" w:rsidRDefault="005C7B5A" w:rsidP="008D40D8">
            <w:pPr>
              <w:keepNext/>
              <w:rPr>
                <w:rFonts w:cs="Times New Roman"/>
                <w:szCs w:val="22"/>
              </w:rPr>
            </w:pPr>
            <w:r w:rsidRPr="00BF321C">
              <w:rPr>
                <w:rFonts w:cs="Times New Roman"/>
                <w:szCs w:val="22"/>
              </w:rPr>
              <w:t>“But the crisis of Syrian refugees is testing American politicians, given the choice between yielding to fears of importing terrorists or honoring the traditional U.S. welcoming role. Candidates have debated all year what to do about 11 million illegal immigrants already in the United States.”</w:t>
            </w:r>
          </w:p>
        </w:tc>
      </w:tr>
    </w:tbl>
    <w:p w14:paraId="74AF971A" w14:textId="77777777" w:rsidR="008D40D8" w:rsidRDefault="008D40D8" w:rsidP="008D40D8">
      <w:pPr>
        <w:pStyle w:val="Caption"/>
      </w:pPr>
    </w:p>
    <w:p w14:paraId="062B3C36" w14:textId="184EA86F" w:rsidR="00E909C3" w:rsidRPr="008D40D8" w:rsidRDefault="008D40D8" w:rsidP="008D40D8">
      <w:pPr>
        <w:pStyle w:val="DissertationTableCaption"/>
        <w:rPr>
          <w:noProof/>
          <w:u w:val="none"/>
        </w:rPr>
      </w:pPr>
      <w:bookmarkStart w:id="196" w:name="_Toc175413237"/>
      <w:r>
        <w:t xml:space="preserve">Table A8- </w:t>
      </w:r>
      <w:fldSimple w:instr=" SEQ Table_A8- \* ARABIC ">
        <w:r w:rsidR="008D1375">
          <w:rPr>
            <w:noProof/>
          </w:rPr>
          <w:t>13</w:t>
        </w:r>
      </w:fldSimple>
      <w:r w:rsidR="008D1375">
        <w:t>:</w:t>
      </w:r>
      <w:r>
        <w:rPr>
          <w:u w:val="none"/>
        </w:rPr>
        <w:tab/>
        <w:t>Examples of Lack of Consensus Adjective Negative Bias Indicators in Context, Taken From 2,776 Article Sampling Frame (Media Coverage of Terrorism)</w:t>
      </w:r>
      <w:bookmarkEnd w:id="196"/>
    </w:p>
    <w:sectPr w:rsidR="00E909C3" w:rsidRPr="008D40D8" w:rsidSect="00A203A6">
      <w:type w:val="continuous"/>
      <w:pgSz w:w="12240" w:h="15840"/>
      <w:pgMar w:top="1440" w:right="1814" w:bottom="1440" w:left="181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57E53" w14:textId="77777777" w:rsidR="00E162E6" w:rsidRDefault="00E162E6" w:rsidP="00B078F3">
      <w:r>
        <w:separator/>
      </w:r>
    </w:p>
  </w:endnote>
  <w:endnote w:type="continuationSeparator" w:id="0">
    <w:p w14:paraId="5A4CD9A8" w14:textId="77777777" w:rsidR="00E162E6" w:rsidRDefault="00E162E6" w:rsidP="00B0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dy CS)">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TIX Two Math">
    <w:panose1 w:val="02020603050405020304"/>
    <w:charset w:val="00"/>
    <w:family w:val="roman"/>
    <w:notTrueType/>
    <w:pitch w:val="variable"/>
    <w:sig w:usb0="A00002FF" w:usb1="4000FDFF" w:usb2="0200002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44E6B" w14:textId="77777777" w:rsidR="00E162E6" w:rsidRDefault="00E162E6" w:rsidP="00B078F3">
      <w:r>
        <w:separator/>
      </w:r>
    </w:p>
  </w:footnote>
  <w:footnote w:type="continuationSeparator" w:id="0">
    <w:p w14:paraId="2A1A6266" w14:textId="77777777" w:rsidR="00E162E6" w:rsidRDefault="00E162E6" w:rsidP="00B078F3">
      <w:r>
        <w:continuationSeparator/>
      </w:r>
    </w:p>
  </w:footnote>
  <w:footnote w:id="1">
    <w:p w14:paraId="44B12FEB" w14:textId="79E0B413" w:rsidR="00733C3F" w:rsidRPr="00A203A6" w:rsidRDefault="00733C3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i/>
          <w:iCs/>
          <w:color w:val="000000" w:themeColor="text1"/>
          <w:sz w:val="18"/>
          <w:szCs w:val="18"/>
        </w:rPr>
        <w:t xml:space="preserve">Breaking News. </w:t>
      </w:r>
      <w:r w:rsidRPr="00A203A6">
        <w:rPr>
          <w:rFonts w:cs="Times New Roman"/>
          <w:color w:val="000000" w:themeColor="text1"/>
          <w:sz w:val="18"/>
          <w:szCs w:val="18"/>
        </w:rPr>
        <w:t>“Terrorist Attack on United States</w:t>
      </w:r>
      <w:r w:rsidR="00190729" w:rsidRPr="00A203A6">
        <w:rPr>
          <w:rFonts w:cs="Times New Roman"/>
          <w:color w:val="000000" w:themeColor="text1"/>
          <w:sz w:val="18"/>
          <w:szCs w:val="18"/>
        </w:rPr>
        <w:t>,</w:t>
      </w:r>
      <w:r w:rsidRPr="00A203A6">
        <w:rPr>
          <w:rFonts w:cs="Times New Roman"/>
          <w:color w:val="000000" w:themeColor="text1"/>
          <w:sz w:val="18"/>
          <w:szCs w:val="18"/>
        </w:rPr>
        <w:t xml:space="preserve">” </w:t>
      </w:r>
      <w:r w:rsidR="00190729" w:rsidRPr="00A203A6">
        <w:rPr>
          <w:rFonts w:cs="Times New Roman"/>
          <w:color w:val="000000" w:themeColor="text1"/>
          <w:sz w:val="18"/>
          <w:szCs w:val="18"/>
        </w:rPr>
        <w:t>anchored by Carol Lin and Vince Cellini, a</w:t>
      </w:r>
      <w:r w:rsidRPr="00A203A6">
        <w:rPr>
          <w:rFonts w:cs="Times New Roman"/>
          <w:color w:val="000000" w:themeColor="text1"/>
          <w:sz w:val="18"/>
          <w:szCs w:val="18"/>
        </w:rPr>
        <w:t>ired September 11, 2001, on CNN</w:t>
      </w:r>
      <w:r w:rsidR="00190729" w:rsidRPr="00A203A6">
        <w:rPr>
          <w:rFonts w:cs="Times New Roman"/>
          <w:color w:val="000000" w:themeColor="text1"/>
          <w:sz w:val="18"/>
          <w:szCs w:val="18"/>
        </w:rPr>
        <w:t>.</w:t>
      </w:r>
      <w:r w:rsidRPr="00A203A6">
        <w:rPr>
          <w:rFonts w:cs="Times New Roman"/>
          <w:color w:val="000000" w:themeColor="text1"/>
          <w:sz w:val="18"/>
          <w:szCs w:val="18"/>
          <w:u w:val="single"/>
        </w:rPr>
        <w:t xml:space="preserve"> </w:t>
      </w:r>
      <w:r w:rsidR="00190729" w:rsidRPr="00A203A6">
        <w:rPr>
          <w:rFonts w:cs="Times New Roman"/>
          <w:color w:val="000000" w:themeColor="text1"/>
          <w:sz w:val="18"/>
          <w:szCs w:val="18"/>
          <w:u w:val="single"/>
        </w:rPr>
        <w:t>https://transcripts.cnn.com/show/bn/date/2001-09-11/segment/01.</w:t>
      </w:r>
      <w:r w:rsidR="00190729" w:rsidRPr="00A203A6">
        <w:rPr>
          <w:rFonts w:cs="Times New Roman"/>
          <w:color w:val="000000" w:themeColor="text1"/>
          <w:sz w:val="18"/>
          <w:szCs w:val="18"/>
        </w:rPr>
        <w:t xml:space="preserve"> </w:t>
      </w:r>
    </w:p>
  </w:footnote>
  <w:footnote w:id="2">
    <w:p w14:paraId="7CFA81F6" w14:textId="5B9F85B6" w:rsidR="00C9290D" w:rsidRPr="00A203A6" w:rsidRDefault="00052641"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00C9290D" w:rsidRPr="00A203A6">
        <w:rPr>
          <w:rFonts w:cs="Times New Roman"/>
          <w:color w:val="000000" w:themeColor="text1"/>
          <w:sz w:val="18"/>
          <w:szCs w:val="18"/>
        </w:rPr>
        <w:t xml:space="preserve">Matthew J. Morgan, </w:t>
      </w:r>
      <w:r w:rsidR="00C9290D" w:rsidRPr="00A203A6">
        <w:rPr>
          <w:rFonts w:cs="Times New Roman"/>
          <w:i/>
          <w:iCs/>
          <w:color w:val="000000" w:themeColor="text1"/>
          <w:sz w:val="18"/>
          <w:szCs w:val="18"/>
        </w:rPr>
        <w:t>The Impact of 9/11 on Politics and War: The Day that Changed Everything?</w:t>
      </w:r>
      <w:r w:rsidR="00C9290D" w:rsidRPr="00A203A6">
        <w:rPr>
          <w:rFonts w:cs="Times New Roman"/>
          <w:color w:val="000000" w:themeColor="text1"/>
          <w:sz w:val="18"/>
          <w:szCs w:val="18"/>
        </w:rPr>
        <w:t xml:space="preserve"> (London: Palgrave Macmillan, 2009): 222.</w:t>
      </w:r>
    </w:p>
  </w:footnote>
  <w:footnote w:id="3">
    <w:p w14:paraId="12542B74" w14:textId="784C668E" w:rsidR="001A454D" w:rsidRPr="00A203A6" w:rsidRDefault="001A454D"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w:t>
      </w:r>
      <w:r w:rsidR="00704ED7" w:rsidRPr="00A203A6">
        <w:rPr>
          <w:rFonts w:cs="Times New Roman"/>
          <w:color w:val="000000" w:themeColor="text1"/>
          <w:sz w:val="18"/>
          <w:szCs w:val="18"/>
        </w:rPr>
        <w:t>“</w:t>
      </w:r>
      <w:r w:rsidRPr="00A203A6">
        <w:rPr>
          <w:rFonts w:cs="Times New Roman"/>
          <w:color w:val="000000" w:themeColor="text1"/>
          <w:sz w:val="18"/>
          <w:szCs w:val="18"/>
        </w:rPr>
        <w:t>Historical Trends</w:t>
      </w:r>
      <w:r w:rsidR="00704ED7" w:rsidRPr="00A203A6">
        <w:rPr>
          <w:rFonts w:cs="Times New Roman"/>
          <w:color w:val="000000" w:themeColor="text1"/>
          <w:sz w:val="18"/>
          <w:szCs w:val="18"/>
        </w:rPr>
        <w:t xml:space="preserve">: Terrorism,” </w:t>
      </w:r>
      <w:r w:rsidR="00704ED7" w:rsidRPr="00A203A6">
        <w:rPr>
          <w:rFonts w:cs="Times New Roman"/>
          <w:i/>
          <w:iCs/>
          <w:color w:val="000000" w:themeColor="text1"/>
          <w:sz w:val="18"/>
          <w:szCs w:val="18"/>
        </w:rPr>
        <w:t>Gallup</w:t>
      </w:r>
      <w:r w:rsidR="00704ED7" w:rsidRPr="00A203A6">
        <w:rPr>
          <w:rFonts w:cs="Times New Roman"/>
          <w:color w:val="000000" w:themeColor="text1"/>
          <w:sz w:val="18"/>
          <w:szCs w:val="18"/>
        </w:rPr>
        <w:t xml:space="preserve">, 2022. Available at </w:t>
      </w:r>
      <w:r w:rsidR="00704ED7" w:rsidRPr="00A203A6">
        <w:rPr>
          <w:rFonts w:cs="Times New Roman"/>
          <w:color w:val="000000" w:themeColor="text1"/>
          <w:sz w:val="18"/>
          <w:szCs w:val="18"/>
          <w:u w:val="single"/>
        </w:rPr>
        <w:t>https://news.gallup.com/poll/4909/Terrorism-United-States.aspx</w:t>
      </w:r>
      <w:r w:rsidR="00704ED7" w:rsidRPr="00A203A6">
        <w:rPr>
          <w:rFonts w:cs="Times New Roman"/>
          <w:color w:val="000000" w:themeColor="text1"/>
          <w:sz w:val="18"/>
          <w:szCs w:val="18"/>
        </w:rPr>
        <w:t xml:space="preserve">. </w:t>
      </w:r>
    </w:p>
  </w:footnote>
  <w:footnote w:id="4">
    <w:p w14:paraId="4CBB3023" w14:textId="610868D6" w:rsidR="000A0F94" w:rsidRPr="00A203A6" w:rsidRDefault="000A0F94"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7, “</w:t>
      </w:r>
      <w:r w:rsidRPr="00A203A6">
        <w:rPr>
          <w:rFonts w:cs="Times New Roman"/>
          <w:i/>
          <w:iCs/>
          <w:color w:val="000000" w:themeColor="text1"/>
          <w:sz w:val="18"/>
          <w:szCs w:val="18"/>
        </w:rPr>
        <w:t xml:space="preserve">How </w:t>
      </w:r>
      <w:r w:rsidRPr="00A203A6">
        <w:rPr>
          <w:rFonts w:cs="Times New Roman"/>
          <w:color w:val="000000" w:themeColor="text1"/>
          <w:sz w:val="18"/>
          <w:szCs w:val="18"/>
        </w:rPr>
        <w:t>Does the Media Coverage of Terrorism Affect (State) Legitimacy?” for a comparison of the specific statistics of deaths caused by terrorism from January 1, 2012 to December 31, 2018 to all deaths that occurred during the same time period.</w:t>
      </w:r>
    </w:p>
  </w:footnote>
  <w:footnote w:id="5">
    <w:p w14:paraId="790686FE" w14:textId="21059509" w:rsidR="00A16FA6" w:rsidRPr="00A203A6" w:rsidRDefault="00A16FA6"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w:t>
      </w:r>
      <w:r w:rsidR="00540901" w:rsidRPr="00A203A6">
        <w:rPr>
          <w:rFonts w:cs="Times New Roman"/>
          <w:color w:val="000000" w:themeColor="text1"/>
          <w:sz w:val="18"/>
          <w:szCs w:val="18"/>
        </w:rPr>
        <w:t xml:space="preserve">WVS, </w:t>
      </w:r>
      <w:r w:rsidRPr="00A203A6">
        <w:rPr>
          <w:rFonts w:cs="Times New Roman"/>
          <w:color w:val="000000" w:themeColor="text1"/>
          <w:sz w:val="18"/>
          <w:szCs w:val="18"/>
        </w:rPr>
        <w:t xml:space="preserve">ongoing since 1981, is conducted in waves of approximately five years. The survey itself consists of a fully standardized questionnaire developed and deployed by social scientists in countries around the world. </w:t>
      </w:r>
      <w:r w:rsidR="00E0466F" w:rsidRPr="00A203A6">
        <w:rPr>
          <w:rFonts w:cs="Times New Roman"/>
          <w:color w:val="000000" w:themeColor="text1"/>
          <w:sz w:val="18"/>
          <w:szCs w:val="18"/>
        </w:rPr>
        <w:t xml:space="preserve">In each country, the sample consists of a minimum of 1,000 surveys and is considered nationally representative of the population 18 years and older. The most recent (seventh) wave of the WVS involves data collected from 48 countries and territories throughout a time period spanning mid-2017 to early 2020. The sixth wave of the WVS, which I also reference here, consists of data from 59 different countries and territories that was </w:t>
      </w:r>
      <w:r w:rsidR="00787026" w:rsidRPr="00A203A6">
        <w:rPr>
          <w:rFonts w:cs="Times New Roman"/>
          <w:color w:val="000000" w:themeColor="text1"/>
          <w:sz w:val="18"/>
          <w:szCs w:val="18"/>
        </w:rPr>
        <w:t xml:space="preserve">gathered between 2010 and 2014. More details about the fieldwork and sampling associated with the WVS, as well as downloadable WVS datasets, can be found at </w:t>
      </w:r>
      <w:r w:rsidR="00787026" w:rsidRPr="00A203A6">
        <w:rPr>
          <w:rFonts w:cs="Times New Roman"/>
          <w:color w:val="000000" w:themeColor="text1"/>
          <w:sz w:val="18"/>
          <w:szCs w:val="18"/>
          <w:u w:val="single"/>
        </w:rPr>
        <w:t>https://www.worldvaluessurvey.org</w:t>
      </w:r>
      <w:r w:rsidR="00787026" w:rsidRPr="00A203A6">
        <w:rPr>
          <w:rFonts w:cs="Times New Roman"/>
          <w:color w:val="000000" w:themeColor="text1"/>
          <w:sz w:val="18"/>
          <w:szCs w:val="18"/>
        </w:rPr>
        <w:t xml:space="preserve">. </w:t>
      </w:r>
    </w:p>
  </w:footnote>
  <w:footnote w:id="6">
    <w:p w14:paraId="735EC50C" w14:textId="7685885A" w:rsidR="00014A12" w:rsidRPr="00A203A6" w:rsidRDefault="00014A12"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methodology used to calculate these aggregate </w:t>
      </w:r>
      <w:r w:rsidR="00400593" w:rsidRPr="00A203A6">
        <w:rPr>
          <w:rFonts w:cs="Times New Roman"/>
          <w:color w:val="000000" w:themeColor="text1"/>
          <w:sz w:val="18"/>
          <w:szCs w:val="18"/>
        </w:rPr>
        <w:t xml:space="preserve">fear </w:t>
      </w:r>
      <w:r w:rsidRPr="00A203A6">
        <w:rPr>
          <w:rFonts w:cs="Times New Roman"/>
          <w:color w:val="000000" w:themeColor="text1"/>
          <w:sz w:val="18"/>
          <w:szCs w:val="18"/>
        </w:rPr>
        <w:t xml:space="preserve">percentages is borrowed from </w:t>
      </w:r>
      <w:r w:rsidR="00400593" w:rsidRPr="00A203A6">
        <w:rPr>
          <w:rFonts w:cs="Times New Roman"/>
          <w:color w:val="000000" w:themeColor="text1"/>
          <w:sz w:val="18"/>
          <w:szCs w:val="18"/>
        </w:rPr>
        <w:t xml:space="preserve">Amélie </w:t>
      </w:r>
      <w:proofErr w:type="spellStart"/>
      <w:r w:rsidR="00400593" w:rsidRPr="00A203A6">
        <w:rPr>
          <w:rFonts w:cs="Times New Roman"/>
          <w:color w:val="000000" w:themeColor="text1"/>
          <w:sz w:val="18"/>
          <w:szCs w:val="18"/>
        </w:rPr>
        <w:t>Godefroidt</w:t>
      </w:r>
      <w:proofErr w:type="spellEnd"/>
      <w:r w:rsidR="00400593" w:rsidRPr="00A203A6">
        <w:rPr>
          <w:rFonts w:cs="Times New Roman"/>
          <w:color w:val="000000" w:themeColor="text1"/>
          <w:sz w:val="18"/>
          <w:szCs w:val="18"/>
        </w:rPr>
        <w:t xml:space="preserve"> and Arnim Langer, “How Fear Drives Us Apart: Explaining the Relationship between Fear and Social Trust,” </w:t>
      </w:r>
      <w:r w:rsidR="00400593" w:rsidRPr="00A203A6">
        <w:rPr>
          <w:rFonts w:cs="Times New Roman"/>
          <w:i/>
          <w:iCs/>
          <w:color w:val="000000" w:themeColor="text1"/>
          <w:sz w:val="18"/>
          <w:szCs w:val="18"/>
        </w:rPr>
        <w:t>Terrorism and Political Violence</w:t>
      </w:r>
      <w:r w:rsidR="00400593" w:rsidRPr="00A203A6">
        <w:rPr>
          <w:rFonts w:cs="Times New Roman"/>
          <w:color w:val="000000" w:themeColor="text1"/>
          <w:sz w:val="18"/>
          <w:szCs w:val="18"/>
        </w:rPr>
        <w:t xml:space="preserve"> 32, no. 7 (2020): 1482-1505. (</w:t>
      </w:r>
      <w:proofErr w:type="spellStart"/>
      <w:r w:rsidR="00400593" w:rsidRPr="00A203A6">
        <w:rPr>
          <w:rFonts w:cs="Times New Roman"/>
          <w:color w:val="000000" w:themeColor="text1"/>
          <w:sz w:val="18"/>
          <w:szCs w:val="18"/>
        </w:rPr>
        <w:t>Godefroidt</w:t>
      </w:r>
      <w:proofErr w:type="spellEnd"/>
      <w:r w:rsidR="00400593" w:rsidRPr="00A203A6">
        <w:rPr>
          <w:rFonts w:cs="Times New Roman"/>
          <w:color w:val="000000" w:themeColor="text1"/>
          <w:sz w:val="18"/>
          <w:szCs w:val="18"/>
        </w:rPr>
        <w:t xml:space="preserve"> and Langer use WVS survey data to suggest that social trust is damaged more by fear in anticipation of future terrorist attacks than it is by the effects of past terrorist attacks.)</w:t>
      </w:r>
    </w:p>
  </w:footnote>
  <w:footnote w:id="7">
    <w:p w14:paraId="35CFA224" w14:textId="77777777" w:rsidR="006A3222" w:rsidRPr="00A203A6" w:rsidRDefault="006A3222"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Harvey Sapolsky, Eugene </w:t>
      </w:r>
      <w:proofErr w:type="spellStart"/>
      <w:r w:rsidRPr="00A203A6">
        <w:rPr>
          <w:rFonts w:cs="Times New Roman"/>
          <w:color w:val="000000" w:themeColor="text1"/>
          <w:sz w:val="18"/>
          <w:szCs w:val="18"/>
        </w:rPr>
        <w:t>Gholz</w:t>
      </w:r>
      <w:proofErr w:type="spellEnd"/>
      <w:r w:rsidRPr="00A203A6">
        <w:rPr>
          <w:rFonts w:cs="Times New Roman"/>
          <w:color w:val="000000" w:themeColor="text1"/>
          <w:sz w:val="18"/>
          <w:szCs w:val="18"/>
        </w:rPr>
        <w:t xml:space="preserve"> and Caitlin Talmadge, </w:t>
      </w:r>
      <w:r w:rsidRPr="00A203A6">
        <w:rPr>
          <w:rFonts w:cs="Times New Roman"/>
          <w:i/>
          <w:iCs/>
          <w:color w:val="000000" w:themeColor="text1"/>
          <w:sz w:val="18"/>
          <w:szCs w:val="18"/>
        </w:rPr>
        <w:t>US Defence Politics: The Origins of Security Policy. 3</w:t>
      </w:r>
      <w:r w:rsidRPr="00A203A6">
        <w:rPr>
          <w:rFonts w:cs="Times New Roman"/>
          <w:i/>
          <w:iCs/>
          <w:color w:val="000000" w:themeColor="text1"/>
          <w:sz w:val="18"/>
          <w:szCs w:val="18"/>
          <w:vertAlign w:val="superscript"/>
        </w:rPr>
        <w:t>rd</w:t>
      </w:r>
      <w:r w:rsidRPr="00A203A6">
        <w:rPr>
          <w:rFonts w:cs="Times New Roman"/>
          <w:i/>
          <w:iCs/>
          <w:color w:val="000000" w:themeColor="text1"/>
          <w:sz w:val="18"/>
          <w:szCs w:val="18"/>
        </w:rPr>
        <w:t xml:space="preserve"> edition. </w:t>
      </w:r>
      <w:r w:rsidRPr="00A203A6">
        <w:rPr>
          <w:rFonts w:cs="Times New Roman"/>
          <w:color w:val="000000" w:themeColor="text1"/>
          <w:sz w:val="18"/>
          <w:szCs w:val="18"/>
        </w:rPr>
        <w:t>(New York: Routledge, 2017): 205.</w:t>
      </w:r>
    </w:p>
  </w:footnote>
  <w:footnote w:id="8">
    <w:p w14:paraId="798C04D5" w14:textId="77777777" w:rsidR="006A3222" w:rsidRPr="00A203A6" w:rsidRDefault="006A3222"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Sapolsky et. al., </w:t>
      </w:r>
      <w:r w:rsidRPr="00A203A6">
        <w:rPr>
          <w:rFonts w:cs="Times New Roman"/>
          <w:i/>
          <w:iCs/>
          <w:color w:val="000000" w:themeColor="text1"/>
          <w:sz w:val="18"/>
          <w:szCs w:val="18"/>
        </w:rPr>
        <w:t>US Defence Politics</w:t>
      </w:r>
      <w:r w:rsidRPr="00A203A6">
        <w:rPr>
          <w:rFonts w:cs="Times New Roman"/>
          <w:color w:val="000000" w:themeColor="text1"/>
          <w:sz w:val="18"/>
          <w:szCs w:val="18"/>
        </w:rPr>
        <w:t>, 210.</w:t>
      </w:r>
    </w:p>
  </w:footnote>
  <w:footnote w:id="9">
    <w:p w14:paraId="0BA263B5" w14:textId="77777777" w:rsidR="006A3222" w:rsidRPr="00A203A6" w:rsidRDefault="006A3222"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Arnold Wolfers, “‘National Security’ as an </w:t>
      </w:r>
      <w:proofErr w:type="spellStart"/>
      <w:r w:rsidRPr="00A203A6">
        <w:rPr>
          <w:rFonts w:cs="Times New Roman"/>
          <w:color w:val="000000" w:themeColor="text1"/>
          <w:sz w:val="18"/>
          <w:szCs w:val="18"/>
        </w:rPr>
        <w:t>Ambigous</w:t>
      </w:r>
      <w:proofErr w:type="spellEnd"/>
      <w:r w:rsidRPr="00A203A6">
        <w:rPr>
          <w:rFonts w:cs="Times New Roman"/>
          <w:color w:val="000000" w:themeColor="text1"/>
          <w:sz w:val="18"/>
          <w:szCs w:val="18"/>
        </w:rPr>
        <w:t xml:space="preserve"> Symbol,” </w:t>
      </w:r>
      <w:r w:rsidRPr="00A203A6">
        <w:rPr>
          <w:rFonts w:cs="Times New Roman"/>
          <w:i/>
          <w:iCs/>
          <w:color w:val="000000" w:themeColor="text1"/>
          <w:sz w:val="18"/>
          <w:szCs w:val="18"/>
        </w:rPr>
        <w:t>Political Science Quarterly</w:t>
      </w:r>
      <w:r w:rsidRPr="00A203A6">
        <w:rPr>
          <w:rFonts w:cs="Times New Roman"/>
          <w:color w:val="000000" w:themeColor="text1"/>
          <w:sz w:val="18"/>
          <w:szCs w:val="18"/>
        </w:rPr>
        <w:t xml:space="preserve"> 67, no. 4 (1952):481-502.</w:t>
      </w:r>
    </w:p>
  </w:footnote>
  <w:footnote w:id="10">
    <w:p w14:paraId="6FD7C1D6" w14:textId="27A1093B" w:rsidR="006A3222" w:rsidRPr="00A203A6" w:rsidRDefault="006A3222"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00FA16CB" w:rsidRPr="00A203A6">
        <w:rPr>
          <w:rFonts w:cs="Times New Roman"/>
          <w:color w:val="000000" w:themeColor="text1"/>
          <w:sz w:val="18"/>
          <w:szCs w:val="18"/>
        </w:rPr>
        <w:t xml:space="preserve">Sapolsky et. al., </w:t>
      </w:r>
      <w:r w:rsidR="00FA16CB" w:rsidRPr="00A203A6">
        <w:rPr>
          <w:rFonts w:cs="Times New Roman"/>
          <w:i/>
          <w:iCs/>
          <w:color w:val="000000" w:themeColor="text1"/>
          <w:sz w:val="18"/>
          <w:szCs w:val="18"/>
        </w:rPr>
        <w:t>US Defence Politics</w:t>
      </w:r>
      <w:r w:rsidR="00FA16CB" w:rsidRPr="00A203A6">
        <w:rPr>
          <w:rFonts w:cs="Times New Roman"/>
          <w:color w:val="000000" w:themeColor="text1"/>
          <w:sz w:val="18"/>
          <w:szCs w:val="18"/>
        </w:rPr>
        <w:t xml:space="preserve">, 2010; Wolfers, “’National Security’ as an Ambiguous Symbol,” 481-502; </w:t>
      </w:r>
      <w:r w:rsidRPr="00A203A6">
        <w:rPr>
          <w:rFonts w:cs="Times New Roman"/>
          <w:color w:val="000000" w:themeColor="text1"/>
          <w:sz w:val="18"/>
          <w:szCs w:val="18"/>
        </w:rPr>
        <w:t xml:space="preserve">Richard Jackson, “Core Commitments of Critical Terrorism Studies,” </w:t>
      </w:r>
      <w:r w:rsidRPr="00A203A6">
        <w:rPr>
          <w:rFonts w:cs="Times New Roman"/>
          <w:i/>
          <w:iCs/>
          <w:color w:val="000000" w:themeColor="text1"/>
          <w:sz w:val="18"/>
          <w:szCs w:val="18"/>
        </w:rPr>
        <w:t>European Political Science</w:t>
      </w:r>
      <w:r w:rsidRPr="00A203A6">
        <w:rPr>
          <w:rFonts w:cs="Times New Roman"/>
          <w:color w:val="000000" w:themeColor="text1"/>
          <w:sz w:val="18"/>
          <w:szCs w:val="18"/>
        </w:rPr>
        <w:t xml:space="preserve"> 6, no. 3 (2007): 244-251.</w:t>
      </w:r>
    </w:p>
  </w:footnote>
  <w:footnote w:id="11">
    <w:p w14:paraId="43341997" w14:textId="77777777" w:rsidR="006A3222" w:rsidRPr="00A203A6" w:rsidRDefault="006A3222"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Marshall McLuhan, </w:t>
      </w:r>
      <w:r w:rsidRPr="00A203A6">
        <w:rPr>
          <w:rFonts w:cs="Times New Roman"/>
          <w:i/>
          <w:iCs/>
          <w:color w:val="000000" w:themeColor="text1"/>
          <w:sz w:val="18"/>
          <w:szCs w:val="18"/>
        </w:rPr>
        <w:t>Understanding Media: The Extensions of Man</w:t>
      </w:r>
      <w:r w:rsidRPr="00A203A6">
        <w:rPr>
          <w:rFonts w:cs="Times New Roman"/>
          <w:color w:val="000000" w:themeColor="text1"/>
          <w:sz w:val="18"/>
          <w:szCs w:val="18"/>
        </w:rPr>
        <w:t xml:space="preserve"> (New York City: McGraw-Hill, 1964): 8.</w:t>
      </w:r>
    </w:p>
  </w:footnote>
  <w:footnote w:id="12">
    <w:p w14:paraId="40C69098" w14:textId="77777777" w:rsidR="006A3222" w:rsidRPr="00A203A6" w:rsidRDefault="006A3222" w:rsidP="00787EBB">
      <w:pPr>
        <w:spacing w:before="0" w:after="80"/>
        <w:rPr>
          <w:rFonts w:cs="Times New Roman"/>
          <w:i/>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Gabriel </w:t>
      </w:r>
      <w:proofErr w:type="spellStart"/>
      <w:r w:rsidRPr="00A203A6">
        <w:rPr>
          <w:rFonts w:cs="Times New Roman"/>
          <w:color w:val="000000" w:themeColor="text1"/>
          <w:sz w:val="18"/>
          <w:szCs w:val="18"/>
        </w:rPr>
        <w:t>Weimann</w:t>
      </w:r>
      <w:proofErr w:type="spellEnd"/>
      <w:r w:rsidRPr="00A203A6">
        <w:rPr>
          <w:rFonts w:cs="Times New Roman"/>
          <w:color w:val="000000" w:themeColor="text1"/>
          <w:sz w:val="18"/>
          <w:szCs w:val="18"/>
        </w:rPr>
        <w:t xml:space="preserve">, “The Theater of Terror: Effects of Press Coverage,” </w:t>
      </w:r>
      <w:r w:rsidRPr="00A203A6">
        <w:rPr>
          <w:rFonts w:cs="Times New Roman"/>
          <w:i/>
          <w:color w:val="000000" w:themeColor="text1"/>
          <w:sz w:val="18"/>
          <w:szCs w:val="18"/>
        </w:rPr>
        <w:t>Journal of Communication</w:t>
      </w:r>
      <w:r w:rsidRPr="00A203A6">
        <w:rPr>
          <w:rFonts w:cs="Times New Roman"/>
          <w:color w:val="000000" w:themeColor="text1"/>
          <w:sz w:val="18"/>
          <w:szCs w:val="18"/>
        </w:rPr>
        <w:t xml:space="preserve"> 33, no. 1 (1983): 38-45; Joshua </w:t>
      </w:r>
      <w:proofErr w:type="spellStart"/>
      <w:r w:rsidRPr="00A203A6">
        <w:rPr>
          <w:rFonts w:cs="Times New Roman"/>
          <w:color w:val="000000" w:themeColor="text1"/>
          <w:sz w:val="18"/>
          <w:szCs w:val="18"/>
        </w:rPr>
        <w:t>Meyrowitz</w:t>
      </w:r>
      <w:proofErr w:type="spellEnd"/>
      <w:r w:rsidRPr="00A203A6">
        <w:rPr>
          <w:rFonts w:cs="Times New Roman"/>
          <w:color w:val="000000" w:themeColor="text1"/>
          <w:sz w:val="18"/>
          <w:szCs w:val="18"/>
        </w:rPr>
        <w:t>, “Television and Interpersonal Behavior: Codes of Perception and Response.” In</w:t>
      </w:r>
      <w:r w:rsidRPr="00A203A6">
        <w:rPr>
          <w:rFonts w:cs="Times New Roman"/>
          <w:i/>
          <w:color w:val="000000" w:themeColor="text1"/>
          <w:sz w:val="18"/>
          <w:szCs w:val="18"/>
        </w:rPr>
        <w:t xml:space="preserve"> </w:t>
      </w:r>
      <w:r w:rsidRPr="00A203A6">
        <w:rPr>
          <w:rFonts w:cs="Times New Roman"/>
          <w:color w:val="000000" w:themeColor="text1"/>
          <w:sz w:val="18"/>
          <w:szCs w:val="18"/>
        </w:rPr>
        <w:t xml:space="preserve">Gary </w:t>
      </w:r>
      <w:proofErr w:type="spellStart"/>
      <w:r w:rsidRPr="00A203A6">
        <w:rPr>
          <w:rFonts w:cs="Times New Roman"/>
          <w:color w:val="000000" w:themeColor="text1"/>
          <w:sz w:val="18"/>
          <w:szCs w:val="18"/>
        </w:rPr>
        <w:t>Gumpert</w:t>
      </w:r>
      <w:proofErr w:type="spellEnd"/>
      <w:r w:rsidRPr="00A203A6">
        <w:rPr>
          <w:rFonts w:cs="Times New Roman"/>
          <w:color w:val="000000" w:themeColor="text1"/>
          <w:sz w:val="18"/>
          <w:szCs w:val="18"/>
        </w:rPr>
        <w:t xml:space="preserve"> and Robert S. Cathcart (eds.), </w:t>
      </w:r>
      <w:r w:rsidRPr="00A203A6">
        <w:rPr>
          <w:rFonts w:cs="Times New Roman"/>
          <w:i/>
          <w:color w:val="000000" w:themeColor="text1"/>
          <w:sz w:val="18"/>
          <w:szCs w:val="18"/>
        </w:rPr>
        <w:t>Inter/Media: Interpersonal Communication in a Media World</w:t>
      </w:r>
      <w:r w:rsidRPr="00A203A6">
        <w:rPr>
          <w:rFonts w:cs="Times New Roman"/>
          <w:color w:val="000000" w:themeColor="text1"/>
          <w:sz w:val="18"/>
          <w:szCs w:val="18"/>
        </w:rPr>
        <w:t xml:space="preserve"> (New York: Oxford University Press, 1986); Stephen W. Littlejohn and Karen A. Foss, </w:t>
      </w:r>
      <w:r w:rsidRPr="00A203A6">
        <w:rPr>
          <w:rFonts w:cs="Times New Roman"/>
          <w:i/>
          <w:color w:val="000000" w:themeColor="text1"/>
          <w:sz w:val="18"/>
          <w:szCs w:val="18"/>
        </w:rPr>
        <w:t>Theories of Human Communication.</w:t>
      </w:r>
      <w:r w:rsidRPr="00A203A6">
        <w:rPr>
          <w:rFonts w:cs="Times New Roman"/>
          <w:color w:val="000000" w:themeColor="text1"/>
          <w:sz w:val="18"/>
          <w:szCs w:val="18"/>
        </w:rPr>
        <w:t xml:space="preserve"> 10</w:t>
      </w:r>
      <w:r w:rsidRPr="00A203A6">
        <w:rPr>
          <w:rFonts w:cs="Times New Roman"/>
          <w:color w:val="000000" w:themeColor="text1"/>
          <w:sz w:val="18"/>
          <w:szCs w:val="18"/>
          <w:vertAlign w:val="superscript"/>
        </w:rPr>
        <w:t>th</w:t>
      </w:r>
      <w:r w:rsidRPr="00A203A6">
        <w:rPr>
          <w:rFonts w:cs="Times New Roman"/>
          <w:color w:val="000000" w:themeColor="text1"/>
          <w:sz w:val="18"/>
          <w:szCs w:val="18"/>
        </w:rPr>
        <w:t xml:space="preserve"> edition. (Salem: Waveland Press, 2010).</w:t>
      </w:r>
    </w:p>
  </w:footnote>
  <w:footnote w:id="13">
    <w:p w14:paraId="4283F47C" w14:textId="3698F957" w:rsidR="00823BC7" w:rsidRPr="00A203A6" w:rsidRDefault="00823BC7"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Max Weber, Tony Waters (trans.) and Dagmar Waters (ed.), </w:t>
      </w:r>
      <w:r w:rsidRPr="00A203A6">
        <w:rPr>
          <w:rFonts w:cs="Times New Roman"/>
          <w:i/>
          <w:iCs/>
          <w:color w:val="000000" w:themeColor="text1"/>
          <w:sz w:val="18"/>
          <w:szCs w:val="18"/>
        </w:rPr>
        <w:t>Weber’s Rationalism and Modern Society.</w:t>
      </w:r>
      <w:r w:rsidRPr="00A203A6">
        <w:rPr>
          <w:rFonts w:cs="Times New Roman"/>
          <w:color w:val="000000" w:themeColor="text1"/>
          <w:sz w:val="18"/>
          <w:szCs w:val="18"/>
        </w:rPr>
        <w:t xml:space="preserve"> (New York: Palgrave Books, 2015): 129-198.</w:t>
      </w:r>
    </w:p>
  </w:footnote>
  <w:footnote w:id="14">
    <w:p w14:paraId="63DA825A" w14:textId="02C7B411" w:rsidR="0041036E" w:rsidRPr="00A203A6" w:rsidRDefault="0041036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Harmonie Toros, “’We Don’t Negotiate with Terrorists!’: Legitimacy and Complexity in Terrorist Conflicts,” </w:t>
      </w:r>
      <w:r w:rsidRPr="00A203A6">
        <w:rPr>
          <w:rFonts w:cs="Times New Roman"/>
          <w:i/>
          <w:iCs/>
          <w:color w:val="000000" w:themeColor="text1"/>
          <w:sz w:val="18"/>
          <w:szCs w:val="18"/>
        </w:rPr>
        <w:t xml:space="preserve">Security Dialogue </w:t>
      </w:r>
      <w:r w:rsidRPr="00A203A6">
        <w:rPr>
          <w:rFonts w:cs="Times New Roman"/>
          <w:color w:val="000000" w:themeColor="text1"/>
          <w:sz w:val="18"/>
          <w:szCs w:val="18"/>
        </w:rPr>
        <w:t>39, no. 4 (2008):407-426.</w:t>
      </w:r>
    </w:p>
  </w:footnote>
  <w:footnote w:id="15">
    <w:p w14:paraId="66A812FF" w14:textId="1D07D167" w:rsidR="00AF18F5" w:rsidRPr="00A203A6" w:rsidRDefault="00AF18F5"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 distinguish between the academic discipline of International Relations and </w:t>
      </w:r>
      <w:r w:rsidR="00542581" w:rsidRPr="00A203A6">
        <w:rPr>
          <w:rFonts w:cs="Times New Roman"/>
          <w:color w:val="000000" w:themeColor="text1"/>
          <w:sz w:val="18"/>
          <w:szCs w:val="18"/>
        </w:rPr>
        <w:t xml:space="preserve">actual </w:t>
      </w:r>
      <w:r w:rsidRPr="00A203A6">
        <w:rPr>
          <w:rFonts w:cs="Times New Roman"/>
          <w:color w:val="000000" w:themeColor="text1"/>
          <w:sz w:val="18"/>
          <w:szCs w:val="18"/>
        </w:rPr>
        <w:t>practices of international relations. To that end, the treatment of the term as a proper noun (i.e. this study’s use of both the capitalized version of the term and the acronym “IR”) should be taken as reference to the academic discipline. In contrast, the use of the term as an abstract concept (i.e. without the first letter of each word capitalized) should be taken to refer to the practice of international relations in the context of the international political arena.</w:t>
      </w:r>
    </w:p>
  </w:footnote>
  <w:footnote w:id="16">
    <w:p w14:paraId="10A56451" w14:textId="55150E45" w:rsidR="00814DBC" w:rsidRPr="00A203A6" w:rsidRDefault="00814D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00E25B9E" w:rsidRPr="00A203A6">
        <w:rPr>
          <w:rFonts w:cs="Times New Roman"/>
          <w:color w:val="000000" w:themeColor="text1"/>
          <w:sz w:val="18"/>
          <w:szCs w:val="18"/>
        </w:rPr>
        <w:t xml:space="preserve">For further elaboration on my reasons for using these specific databases to access the primary source English-language </w:t>
      </w:r>
      <w:r w:rsidR="00F74D09" w:rsidRPr="00A203A6">
        <w:rPr>
          <w:rFonts w:cs="Times New Roman"/>
          <w:color w:val="000000" w:themeColor="text1"/>
          <w:sz w:val="18"/>
          <w:szCs w:val="18"/>
        </w:rPr>
        <w:t>media</w:t>
      </w:r>
      <w:r w:rsidR="00E25B9E" w:rsidRPr="00A203A6">
        <w:rPr>
          <w:rFonts w:cs="Times New Roman"/>
          <w:color w:val="000000" w:themeColor="text1"/>
          <w:sz w:val="18"/>
          <w:szCs w:val="18"/>
        </w:rPr>
        <w:t xml:space="preserve"> bulletins central to my analysis, s</w:t>
      </w:r>
      <w:r w:rsidRPr="00A203A6">
        <w:rPr>
          <w:rFonts w:cs="Times New Roman"/>
          <w:color w:val="000000" w:themeColor="text1"/>
          <w:sz w:val="18"/>
          <w:szCs w:val="18"/>
        </w:rPr>
        <w:t>ee Chapter 2, “Chapter 6’s Quantitative Research Design”</w:t>
      </w:r>
      <w:r w:rsidR="00E25B9E" w:rsidRPr="00A203A6">
        <w:rPr>
          <w:rFonts w:cs="Times New Roman"/>
          <w:color w:val="000000" w:themeColor="text1"/>
          <w:sz w:val="18"/>
          <w:szCs w:val="18"/>
        </w:rPr>
        <w:t>.</w:t>
      </w:r>
      <w:r w:rsidRPr="00A203A6">
        <w:rPr>
          <w:rFonts w:cs="Times New Roman"/>
          <w:color w:val="000000" w:themeColor="text1"/>
          <w:sz w:val="18"/>
          <w:szCs w:val="18"/>
        </w:rPr>
        <w:t xml:space="preserve"> (</w:t>
      </w:r>
      <w:r w:rsidR="00E25B9E" w:rsidRPr="00A203A6">
        <w:rPr>
          <w:rFonts w:cs="Times New Roman"/>
          <w:color w:val="000000" w:themeColor="text1"/>
          <w:sz w:val="18"/>
          <w:szCs w:val="18"/>
        </w:rPr>
        <w:t>Information relevant to database choice can be found in</w:t>
      </w:r>
      <w:r w:rsidRPr="00A203A6">
        <w:rPr>
          <w:rFonts w:cs="Times New Roman"/>
          <w:color w:val="000000" w:themeColor="text1"/>
          <w:sz w:val="18"/>
          <w:szCs w:val="18"/>
        </w:rPr>
        <w:t xml:space="preserve"> </w:t>
      </w:r>
      <w:r w:rsidR="00E25B9E" w:rsidRPr="00A203A6">
        <w:rPr>
          <w:rFonts w:cs="Times New Roman"/>
          <w:color w:val="000000" w:themeColor="text1"/>
          <w:sz w:val="18"/>
          <w:szCs w:val="18"/>
        </w:rPr>
        <w:t>F</w:t>
      </w:r>
      <w:r w:rsidRPr="00A203A6">
        <w:rPr>
          <w:rFonts w:cs="Times New Roman"/>
          <w:color w:val="000000" w:themeColor="text1"/>
          <w:sz w:val="18"/>
          <w:szCs w:val="18"/>
        </w:rPr>
        <w:t>ootnotes 11 and 12</w:t>
      </w:r>
      <w:r w:rsidR="00E25B9E" w:rsidRPr="00A203A6">
        <w:rPr>
          <w:rFonts w:cs="Times New Roman"/>
          <w:color w:val="000000" w:themeColor="text1"/>
          <w:sz w:val="18"/>
          <w:szCs w:val="18"/>
        </w:rPr>
        <w:t>). For the rationale underlying my decision to use data from the Global Terrorism Database at the University of Maryland, see Chapter 2, “Justification for Sampling Frame”</w:t>
      </w:r>
      <w:r w:rsidR="00C63BAA" w:rsidRPr="00A203A6">
        <w:rPr>
          <w:rFonts w:cs="Times New Roman"/>
          <w:color w:val="000000" w:themeColor="text1"/>
          <w:sz w:val="18"/>
          <w:szCs w:val="18"/>
        </w:rPr>
        <w:t>.</w:t>
      </w:r>
      <w:r w:rsidR="00E25B9E" w:rsidRPr="00A203A6">
        <w:rPr>
          <w:rFonts w:cs="Times New Roman"/>
          <w:color w:val="000000" w:themeColor="text1"/>
          <w:sz w:val="18"/>
          <w:szCs w:val="18"/>
        </w:rPr>
        <w:t xml:space="preserve"> </w:t>
      </w:r>
    </w:p>
  </w:footnote>
  <w:footnote w:id="17">
    <w:p w14:paraId="4ACBD9AB"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Mohammed Abu Sayed Toyon, “Explanatory Sequential Design of Mixed Methods Research: Phases and Challenges,” </w:t>
      </w:r>
      <w:r w:rsidRPr="00A203A6">
        <w:rPr>
          <w:rFonts w:cs="Times New Roman"/>
          <w:i/>
          <w:iCs/>
          <w:color w:val="000000" w:themeColor="text1"/>
          <w:sz w:val="18"/>
          <w:szCs w:val="18"/>
        </w:rPr>
        <w:t>International Journal of Research in Business and Social Science</w:t>
      </w:r>
      <w:r w:rsidRPr="00A203A6">
        <w:rPr>
          <w:rFonts w:cs="Times New Roman"/>
          <w:color w:val="000000" w:themeColor="text1"/>
          <w:sz w:val="18"/>
          <w:szCs w:val="18"/>
        </w:rPr>
        <w:t xml:space="preserve"> 10, no. 5 (2021): 254.</w:t>
      </w:r>
    </w:p>
  </w:footnote>
  <w:footnote w:id="18">
    <w:p w14:paraId="096A5F73" w14:textId="77777777" w:rsidR="003B35D8" w:rsidRPr="00A203A6" w:rsidRDefault="003B35D8" w:rsidP="00787EBB">
      <w:pPr>
        <w:spacing w:before="0" w:after="80"/>
        <w:rPr>
          <w:rFonts w:cs="Times New Roman"/>
          <w:i/>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Alexander L. George and Andrew Bennett, </w:t>
      </w:r>
      <w:r w:rsidRPr="00A203A6">
        <w:rPr>
          <w:rFonts w:cs="Times New Roman"/>
          <w:i/>
          <w:color w:val="000000" w:themeColor="text1"/>
          <w:sz w:val="18"/>
          <w:szCs w:val="18"/>
        </w:rPr>
        <w:t xml:space="preserve">Case Studies and Theory Development in the Social Sciences </w:t>
      </w:r>
      <w:r w:rsidRPr="00A203A6">
        <w:rPr>
          <w:rFonts w:cs="Times New Roman"/>
          <w:iCs/>
          <w:color w:val="000000" w:themeColor="text1"/>
          <w:sz w:val="18"/>
          <w:szCs w:val="18"/>
        </w:rPr>
        <w:t>(Cambridge</w:t>
      </w:r>
      <w:r w:rsidRPr="00A203A6">
        <w:rPr>
          <w:rFonts w:cs="Times New Roman"/>
          <w:color w:val="000000" w:themeColor="text1"/>
          <w:sz w:val="18"/>
          <w:szCs w:val="18"/>
        </w:rPr>
        <w:t>: MIT Press, 2005).</w:t>
      </w:r>
    </w:p>
    <w:p w14:paraId="50DC6896" w14:textId="77777777" w:rsidR="003B35D8" w:rsidRPr="00A203A6" w:rsidRDefault="003B35D8" w:rsidP="00787EBB">
      <w:pPr>
        <w:spacing w:before="0" w:after="80"/>
        <w:rPr>
          <w:rFonts w:eastAsia="Arial Unicode MS" w:cs="Times New Roman"/>
          <w:color w:val="000000" w:themeColor="text1"/>
          <w:sz w:val="18"/>
          <w:szCs w:val="18"/>
          <w:shd w:val="clear" w:color="auto" w:fill="FFFFFF"/>
        </w:rPr>
      </w:pPr>
      <w:r w:rsidRPr="00A203A6">
        <w:rPr>
          <w:rFonts w:cs="Times New Roman"/>
          <w:color w:val="000000" w:themeColor="text1"/>
          <w:sz w:val="18"/>
          <w:szCs w:val="18"/>
        </w:rPr>
        <w:t>It is important to note that quantitative correlation does not imply causation, which would represent a questionable cause logical fallacy (</w:t>
      </w:r>
      <w:r w:rsidRPr="00A203A6">
        <w:rPr>
          <w:rFonts w:cs="Times New Roman"/>
          <w:i/>
          <w:iCs/>
          <w:color w:val="000000" w:themeColor="text1"/>
          <w:sz w:val="18"/>
          <w:szCs w:val="18"/>
        </w:rPr>
        <w:t>cum hoc ergo propter hoc</w:t>
      </w:r>
      <w:r w:rsidRPr="00A203A6">
        <w:rPr>
          <w:rFonts w:cs="Times New Roman"/>
          <w:color w:val="000000" w:themeColor="text1"/>
          <w:sz w:val="18"/>
          <w:szCs w:val="18"/>
        </w:rPr>
        <w:t xml:space="preserve">). The correlation method of experiments can establish covariation (that variables change together in a systematic, directional manner) and the magnitude of relations (the extent to which the variables either negatively covary or positively covary). In contrast, determining causation (the claim that the change in “X” caused the change in “Y”) necessitates the fulfillment of three conditions. Firstly, as the predictor, “X” must precede “Y” (the outcome). Secondly, there must be a strong and significant correlation between the two variables. Finally, there can be no alternative explanation for the causal effect asserted. See </w:t>
      </w:r>
      <w:r w:rsidRPr="00A203A6">
        <w:rPr>
          <w:rFonts w:eastAsia="Arial Unicode MS" w:cs="Times New Roman"/>
          <w:color w:val="000000" w:themeColor="text1"/>
          <w:sz w:val="18"/>
          <w:szCs w:val="18"/>
          <w:shd w:val="clear" w:color="auto" w:fill="FFFFFF"/>
        </w:rPr>
        <w:t>David J. </w:t>
      </w:r>
      <w:proofErr w:type="spellStart"/>
      <w:r w:rsidRPr="00A203A6">
        <w:rPr>
          <w:rFonts w:eastAsia="Arial Unicode MS" w:cs="Times New Roman"/>
          <w:color w:val="000000" w:themeColor="text1"/>
          <w:sz w:val="18"/>
          <w:szCs w:val="18"/>
          <w:shd w:val="clear" w:color="auto" w:fill="FFFFFF"/>
        </w:rPr>
        <w:t>Sheskin</w:t>
      </w:r>
      <w:proofErr w:type="spellEnd"/>
      <w:r w:rsidRPr="00A203A6">
        <w:rPr>
          <w:rFonts w:eastAsia="Arial Unicode MS" w:cs="Times New Roman"/>
          <w:color w:val="000000" w:themeColor="text1"/>
          <w:sz w:val="18"/>
          <w:szCs w:val="18"/>
          <w:shd w:val="clear" w:color="auto" w:fill="FFFFFF"/>
        </w:rPr>
        <w:t xml:space="preserve">, </w:t>
      </w:r>
      <w:r w:rsidRPr="00A203A6">
        <w:rPr>
          <w:rFonts w:eastAsia="Arial Unicode MS" w:cs="Times New Roman"/>
          <w:i/>
          <w:iCs/>
          <w:color w:val="000000" w:themeColor="text1"/>
          <w:sz w:val="18"/>
          <w:szCs w:val="18"/>
        </w:rPr>
        <w:t>Handbook of Parametric and Nonparametric Statistical Procedures</w:t>
      </w:r>
      <w:r w:rsidRPr="00A203A6">
        <w:rPr>
          <w:rFonts w:eastAsia="Arial Unicode MS" w:cs="Times New Roman"/>
          <w:color w:val="000000" w:themeColor="text1"/>
          <w:sz w:val="18"/>
          <w:szCs w:val="18"/>
          <w:shd w:val="clear" w:color="auto" w:fill="FFFFFF"/>
        </w:rPr>
        <w:t xml:space="preserve"> (Boca Raton, FL: CRC Press, 1997): 1471-1474.</w:t>
      </w:r>
    </w:p>
  </w:footnote>
  <w:footnote w:id="19">
    <w:p w14:paraId="32A529F8" w14:textId="77777777" w:rsidR="003B35D8" w:rsidRPr="00A203A6" w:rsidRDefault="003B35D8" w:rsidP="00787EBB">
      <w:pPr>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proofErr w:type="spellStart"/>
      <w:r w:rsidRPr="00A203A6">
        <w:rPr>
          <w:rFonts w:cs="Times New Roman"/>
          <w:color w:val="000000" w:themeColor="text1"/>
          <w:sz w:val="18"/>
          <w:szCs w:val="18"/>
        </w:rPr>
        <w:t>Lijphart</w:t>
      </w:r>
      <w:proofErr w:type="spellEnd"/>
      <w:r w:rsidRPr="00A203A6">
        <w:rPr>
          <w:rFonts w:cs="Times New Roman"/>
          <w:color w:val="000000" w:themeColor="text1"/>
          <w:sz w:val="18"/>
          <w:szCs w:val="18"/>
        </w:rPr>
        <w:t xml:space="preserve"> develops his comparative method based in part on his distinction between a-theoretical, interpretive, hypothesis-generating, theory-confirming, theory-informing, and deviant case analyses. Moreover, he claims that case studies contribute to testing hypotheses and building theory, thus constituting them implicit components of the comparative method. See </w:t>
      </w:r>
      <w:proofErr w:type="spellStart"/>
      <w:r w:rsidRPr="00A203A6">
        <w:rPr>
          <w:rFonts w:cs="Times New Roman"/>
          <w:color w:val="000000" w:themeColor="text1"/>
          <w:sz w:val="18"/>
          <w:szCs w:val="18"/>
        </w:rPr>
        <w:t>Arend</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Lijphart</w:t>
      </w:r>
      <w:proofErr w:type="spellEnd"/>
      <w:r w:rsidRPr="00A203A6">
        <w:rPr>
          <w:rFonts w:cs="Times New Roman"/>
          <w:color w:val="000000" w:themeColor="text1"/>
          <w:sz w:val="18"/>
          <w:szCs w:val="18"/>
        </w:rPr>
        <w:t xml:space="preserve">, “The Political Consequences of Electoral Laws, 1945-1985,” </w:t>
      </w:r>
      <w:r w:rsidRPr="00A203A6">
        <w:rPr>
          <w:rFonts w:cs="Times New Roman"/>
          <w:i/>
          <w:iCs/>
          <w:color w:val="000000" w:themeColor="text1"/>
          <w:sz w:val="18"/>
          <w:szCs w:val="18"/>
        </w:rPr>
        <w:t>American Political Science Review</w:t>
      </w:r>
      <w:r w:rsidRPr="00A203A6">
        <w:rPr>
          <w:rFonts w:cs="Times New Roman"/>
          <w:color w:val="000000" w:themeColor="text1"/>
          <w:sz w:val="18"/>
          <w:szCs w:val="18"/>
        </w:rPr>
        <w:t xml:space="preserve"> 84, no. 1 (1990): 481-496. (Adam </w:t>
      </w:r>
      <w:proofErr w:type="spellStart"/>
      <w:r w:rsidRPr="00A203A6">
        <w:rPr>
          <w:rFonts w:cs="Times New Roman"/>
          <w:color w:val="000000" w:themeColor="text1"/>
          <w:sz w:val="18"/>
          <w:szCs w:val="18"/>
        </w:rPr>
        <w:t>Przeworski</w:t>
      </w:r>
      <w:proofErr w:type="spellEnd"/>
      <w:r w:rsidRPr="00A203A6">
        <w:rPr>
          <w:rFonts w:cs="Times New Roman"/>
          <w:color w:val="000000" w:themeColor="text1"/>
          <w:sz w:val="18"/>
          <w:szCs w:val="18"/>
        </w:rPr>
        <w:t xml:space="preserve">, and Henry </w:t>
      </w:r>
      <w:proofErr w:type="spellStart"/>
      <w:r w:rsidRPr="00A203A6">
        <w:rPr>
          <w:rFonts w:cs="Times New Roman"/>
          <w:color w:val="000000" w:themeColor="text1"/>
          <w:sz w:val="18"/>
          <w:szCs w:val="18"/>
        </w:rPr>
        <w:t>Teune</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Logic of Comparative Social Inquiry</w:t>
      </w:r>
      <w:r w:rsidRPr="00A203A6">
        <w:rPr>
          <w:rFonts w:cs="Times New Roman"/>
          <w:color w:val="000000" w:themeColor="text1"/>
          <w:sz w:val="18"/>
          <w:szCs w:val="18"/>
        </w:rPr>
        <w:t xml:space="preserve"> (New York: John Wiley, 1970); Bernhard Ebbinghaus, “When Less is More: Selection Problems in Large-N and Small-N Cross-National Comparisons.” In Karl-</w:t>
      </w:r>
      <w:proofErr w:type="spellStart"/>
      <w:r w:rsidRPr="00A203A6">
        <w:rPr>
          <w:rFonts w:cs="Times New Roman"/>
          <w:color w:val="000000" w:themeColor="text1"/>
          <w:sz w:val="18"/>
          <w:szCs w:val="18"/>
        </w:rPr>
        <w:t>Siegbert</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Rehberg</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Deutshce</w:t>
      </w:r>
      <w:proofErr w:type="spellEnd"/>
      <w:r w:rsidRPr="00A203A6">
        <w:rPr>
          <w:rFonts w:cs="Times New Roman"/>
          <w:color w:val="000000" w:themeColor="text1"/>
          <w:sz w:val="18"/>
          <w:szCs w:val="18"/>
        </w:rPr>
        <w:t xml:space="preserve"> Gesellschaft für </w:t>
      </w:r>
      <w:proofErr w:type="spellStart"/>
      <w:r w:rsidRPr="00A203A6">
        <w:rPr>
          <w:rFonts w:cs="Times New Roman"/>
          <w:color w:val="000000" w:themeColor="text1"/>
          <w:sz w:val="18"/>
          <w:szCs w:val="18"/>
        </w:rPr>
        <w:t>Soziologie</w:t>
      </w:r>
      <w:proofErr w:type="spellEnd"/>
      <w:r w:rsidRPr="00A203A6">
        <w:rPr>
          <w:rFonts w:cs="Times New Roman"/>
          <w:color w:val="000000" w:themeColor="text1"/>
          <w:sz w:val="18"/>
          <w:szCs w:val="18"/>
        </w:rPr>
        <w:t xml:space="preserve"> (DGS) (eds.), </w:t>
      </w:r>
      <w:proofErr w:type="spellStart"/>
      <w:r w:rsidRPr="00A203A6">
        <w:rPr>
          <w:rFonts w:cs="Times New Roman"/>
          <w:i/>
          <w:iCs/>
          <w:color w:val="000000" w:themeColor="text1"/>
          <w:sz w:val="18"/>
          <w:szCs w:val="18"/>
        </w:rPr>
        <w:t>Soziale</w:t>
      </w:r>
      <w:proofErr w:type="spellEnd"/>
      <w:r w:rsidRPr="00A203A6">
        <w:rPr>
          <w:rFonts w:cs="Times New Roman"/>
          <w:i/>
          <w:iCs/>
          <w:color w:val="000000" w:themeColor="text1"/>
          <w:sz w:val="18"/>
          <w:szCs w:val="18"/>
        </w:rPr>
        <w:t xml:space="preserve"> </w:t>
      </w:r>
      <w:proofErr w:type="spellStart"/>
      <w:r w:rsidRPr="00A203A6">
        <w:rPr>
          <w:rFonts w:cs="Times New Roman"/>
          <w:i/>
          <w:iCs/>
          <w:color w:val="000000" w:themeColor="text1"/>
          <w:sz w:val="18"/>
          <w:szCs w:val="18"/>
        </w:rPr>
        <w:t>Ungleichheit</w:t>
      </w:r>
      <w:proofErr w:type="spellEnd"/>
      <w:r w:rsidRPr="00A203A6">
        <w:rPr>
          <w:rFonts w:cs="Times New Roman"/>
          <w:i/>
          <w:iCs/>
          <w:color w:val="000000" w:themeColor="text1"/>
          <w:sz w:val="18"/>
          <w:szCs w:val="18"/>
        </w:rPr>
        <w:t xml:space="preserve">, </w:t>
      </w:r>
      <w:proofErr w:type="spellStart"/>
      <w:r w:rsidRPr="00A203A6">
        <w:rPr>
          <w:rFonts w:cs="Times New Roman"/>
          <w:i/>
          <w:iCs/>
          <w:color w:val="000000" w:themeColor="text1"/>
          <w:sz w:val="18"/>
          <w:szCs w:val="18"/>
        </w:rPr>
        <w:t>kulturelle</w:t>
      </w:r>
      <w:proofErr w:type="spellEnd"/>
      <w:r w:rsidRPr="00A203A6">
        <w:rPr>
          <w:rFonts w:cs="Times New Roman"/>
          <w:i/>
          <w:iCs/>
          <w:color w:val="000000" w:themeColor="text1"/>
          <w:sz w:val="18"/>
          <w:szCs w:val="18"/>
        </w:rPr>
        <w:t xml:space="preserve"> </w:t>
      </w:r>
      <w:proofErr w:type="spellStart"/>
      <w:r w:rsidRPr="00A203A6">
        <w:rPr>
          <w:rFonts w:cs="Times New Roman"/>
          <w:i/>
          <w:iCs/>
          <w:color w:val="000000" w:themeColor="text1"/>
          <w:sz w:val="18"/>
          <w:szCs w:val="18"/>
        </w:rPr>
        <w:t>Unterschiede</w:t>
      </w:r>
      <w:proofErr w:type="spellEnd"/>
      <w:r w:rsidRPr="00A203A6">
        <w:rPr>
          <w:rFonts w:cs="Times New Roman"/>
          <w:i/>
          <w:iCs/>
          <w:color w:val="000000" w:themeColor="text1"/>
          <w:sz w:val="18"/>
          <w:szCs w:val="18"/>
        </w:rPr>
        <w:t xml:space="preserve">: </w:t>
      </w:r>
      <w:proofErr w:type="spellStart"/>
      <w:r w:rsidRPr="00A203A6">
        <w:rPr>
          <w:rFonts w:cs="Times New Roman"/>
          <w:i/>
          <w:iCs/>
          <w:color w:val="000000" w:themeColor="text1"/>
          <w:sz w:val="18"/>
          <w:szCs w:val="18"/>
        </w:rPr>
        <w:t>Verhandlungen</w:t>
      </w:r>
      <w:proofErr w:type="spellEnd"/>
      <w:r w:rsidRPr="00A203A6">
        <w:rPr>
          <w:rFonts w:cs="Times New Roman"/>
          <w:i/>
          <w:iCs/>
          <w:color w:val="000000" w:themeColor="text1"/>
          <w:sz w:val="18"/>
          <w:szCs w:val="18"/>
        </w:rPr>
        <w:t xml:space="preserve"> des 32. </w:t>
      </w:r>
      <w:proofErr w:type="spellStart"/>
      <w:r w:rsidRPr="00A203A6">
        <w:rPr>
          <w:rFonts w:cs="Times New Roman"/>
          <w:i/>
          <w:iCs/>
          <w:color w:val="000000" w:themeColor="text1"/>
          <w:sz w:val="18"/>
          <w:szCs w:val="18"/>
        </w:rPr>
        <w:t>Kongresses</w:t>
      </w:r>
      <w:proofErr w:type="spellEnd"/>
      <w:r w:rsidRPr="00A203A6">
        <w:rPr>
          <w:rFonts w:cs="Times New Roman"/>
          <w:i/>
          <w:iCs/>
          <w:color w:val="000000" w:themeColor="text1"/>
          <w:sz w:val="18"/>
          <w:szCs w:val="18"/>
        </w:rPr>
        <w:t xml:space="preserve"> der </w:t>
      </w:r>
      <w:proofErr w:type="spellStart"/>
      <w:r w:rsidRPr="00A203A6">
        <w:rPr>
          <w:rFonts w:cs="Times New Roman"/>
          <w:i/>
          <w:iCs/>
          <w:color w:val="000000" w:themeColor="text1"/>
          <w:sz w:val="18"/>
          <w:szCs w:val="18"/>
        </w:rPr>
        <w:t>Deutschen</w:t>
      </w:r>
      <w:proofErr w:type="spellEnd"/>
      <w:r w:rsidRPr="00A203A6">
        <w:rPr>
          <w:rFonts w:cs="Times New Roman"/>
          <w:i/>
          <w:iCs/>
          <w:color w:val="000000" w:themeColor="text1"/>
          <w:sz w:val="18"/>
          <w:szCs w:val="18"/>
        </w:rPr>
        <w:t xml:space="preserve"> Gesellschaft </w:t>
      </w:r>
      <w:proofErr w:type="spellStart"/>
      <w:r w:rsidRPr="00A203A6">
        <w:rPr>
          <w:rFonts w:cs="Times New Roman"/>
          <w:i/>
          <w:iCs/>
          <w:color w:val="000000" w:themeColor="text1"/>
          <w:sz w:val="18"/>
          <w:szCs w:val="18"/>
        </w:rPr>
        <w:t>für</w:t>
      </w:r>
      <w:proofErr w:type="spellEnd"/>
      <w:r w:rsidRPr="00A203A6">
        <w:rPr>
          <w:rFonts w:cs="Times New Roman"/>
          <w:i/>
          <w:iCs/>
          <w:color w:val="000000" w:themeColor="text1"/>
          <w:sz w:val="18"/>
          <w:szCs w:val="18"/>
        </w:rPr>
        <w:t xml:space="preserve"> </w:t>
      </w:r>
      <w:proofErr w:type="spellStart"/>
      <w:r w:rsidRPr="00A203A6">
        <w:rPr>
          <w:rFonts w:cs="Times New Roman"/>
          <w:i/>
          <w:iCs/>
          <w:color w:val="000000" w:themeColor="text1"/>
          <w:sz w:val="18"/>
          <w:szCs w:val="18"/>
        </w:rPr>
        <w:t>Soziologie</w:t>
      </w:r>
      <w:proofErr w:type="spellEnd"/>
      <w:r w:rsidRPr="00A203A6">
        <w:rPr>
          <w:rFonts w:cs="Times New Roman"/>
          <w:i/>
          <w:iCs/>
          <w:color w:val="000000" w:themeColor="text1"/>
          <w:sz w:val="18"/>
          <w:szCs w:val="18"/>
        </w:rPr>
        <w:t xml:space="preserve"> in </w:t>
      </w:r>
      <w:proofErr w:type="spellStart"/>
      <w:r w:rsidRPr="00A203A6">
        <w:rPr>
          <w:rFonts w:cs="Times New Roman"/>
          <w:i/>
          <w:iCs/>
          <w:color w:val="000000" w:themeColor="text1"/>
          <w:sz w:val="18"/>
          <w:szCs w:val="18"/>
        </w:rPr>
        <w:t>München</w:t>
      </w:r>
      <w:proofErr w:type="spellEnd"/>
      <w:r w:rsidRPr="00A203A6">
        <w:rPr>
          <w:rFonts w:cs="Times New Roman"/>
          <w:i/>
          <w:iCs/>
          <w:color w:val="000000" w:themeColor="text1"/>
          <w:sz w:val="18"/>
          <w:szCs w:val="18"/>
        </w:rPr>
        <w:t xml:space="preserve">. </w:t>
      </w:r>
      <w:proofErr w:type="spellStart"/>
      <w:r w:rsidRPr="00A203A6">
        <w:rPr>
          <w:rFonts w:cs="Times New Roman"/>
          <w:i/>
          <w:iCs/>
          <w:color w:val="000000" w:themeColor="text1"/>
          <w:sz w:val="18"/>
          <w:szCs w:val="18"/>
        </w:rPr>
        <w:t>Teilbd</w:t>
      </w:r>
      <w:proofErr w:type="spellEnd"/>
      <w:r w:rsidRPr="00A203A6">
        <w:rPr>
          <w:rFonts w:cs="Times New Roman"/>
          <w:i/>
          <w:iCs/>
          <w:color w:val="000000" w:themeColor="text1"/>
          <w:sz w:val="18"/>
          <w:szCs w:val="18"/>
        </w:rPr>
        <w:t>. 1 und 2</w:t>
      </w:r>
      <w:r w:rsidRPr="00A203A6">
        <w:rPr>
          <w:rFonts w:cs="Times New Roman"/>
          <w:color w:val="000000" w:themeColor="text1"/>
          <w:sz w:val="18"/>
          <w:szCs w:val="18"/>
        </w:rPr>
        <w:t xml:space="preserve">. Frankfurt, Campus </w:t>
      </w:r>
      <w:proofErr w:type="spellStart"/>
      <w:r w:rsidRPr="00A203A6">
        <w:rPr>
          <w:rFonts w:cs="Times New Roman"/>
          <w:color w:val="000000" w:themeColor="text1"/>
          <w:sz w:val="18"/>
          <w:szCs w:val="18"/>
        </w:rPr>
        <w:t>Verl</w:t>
      </w:r>
      <w:proofErr w:type="spellEnd"/>
      <w:r w:rsidRPr="00A203A6">
        <w:rPr>
          <w:rFonts w:cs="Times New Roman"/>
          <w:color w:val="000000" w:themeColor="text1"/>
          <w:sz w:val="18"/>
          <w:szCs w:val="18"/>
        </w:rPr>
        <w:t xml:space="preserve">., 2006; David Collier, “The Comparative Method.” In Ada W. </w:t>
      </w:r>
      <w:proofErr w:type="spellStart"/>
      <w:r w:rsidRPr="00A203A6">
        <w:rPr>
          <w:rFonts w:cs="Times New Roman"/>
          <w:color w:val="000000" w:themeColor="text1"/>
          <w:sz w:val="18"/>
          <w:szCs w:val="18"/>
        </w:rPr>
        <w:t>Finifter</w:t>
      </w:r>
      <w:proofErr w:type="spellEnd"/>
      <w:r w:rsidRPr="00A203A6">
        <w:rPr>
          <w:rFonts w:cs="Times New Roman"/>
          <w:color w:val="000000" w:themeColor="text1"/>
          <w:sz w:val="18"/>
          <w:szCs w:val="18"/>
        </w:rPr>
        <w:t xml:space="preserve"> (ed.), </w:t>
      </w:r>
      <w:r w:rsidRPr="00A203A6">
        <w:rPr>
          <w:rFonts w:cs="Times New Roman"/>
          <w:i/>
          <w:iCs/>
          <w:color w:val="000000" w:themeColor="text1"/>
          <w:sz w:val="18"/>
          <w:szCs w:val="18"/>
        </w:rPr>
        <w:t>Political Science: The State of the Discipline II</w:t>
      </w:r>
      <w:r w:rsidRPr="00A203A6">
        <w:rPr>
          <w:rFonts w:cs="Times New Roman"/>
          <w:color w:val="000000" w:themeColor="text1"/>
          <w:sz w:val="18"/>
          <w:szCs w:val="18"/>
        </w:rPr>
        <w:t>. (Washington, D.C.: American Political Science Association, 1993): 105-119.)</w:t>
      </w:r>
    </w:p>
  </w:footnote>
  <w:footnote w:id="20">
    <w:p w14:paraId="0547E304"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eastAsia="Times New Roman" w:cs="Times New Roman"/>
          <w:color w:val="000000" w:themeColor="text1"/>
          <w:sz w:val="18"/>
          <w:szCs w:val="18"/>
          <w:shd w:val="clear" w:color="auto" w:fill="FFFFFF"/>
        </w:rPr>
        <w:t xml:space="preserve">National Consortium for the Study of Terrorism and Responses to Terrorism (START). </w:t>
      </w:r>
      <w:r w:rsidRPr="00A203A6">
        <w:rPr>
          <w:rFonts w:eastAsia="Times New Roman" w:cs="Times New Roman"/>
          <w:i/>
          <w:iCs/>
          <w:color w:val="000000" w:themeColor="text1"/>
          <w:sz w:val="18"/>
          <w:szCs w:val="18"/>
          <w:shd w:val="clear" w:color="auto" w:fill="FFFFFF"/>
        </w:rPr>
        <w:t xml:space="preserve">Global Terrorism Database Codebook: Inclusion Criteria and Variables. </w:t>
      </w:r>
      <w:r w:rsidRPr="00A203A6">
        <w:rPr>
          <w:rFonts w:eastAsia="Times New Roman" w:cs="Times New Roman"/>
          <w:color w:val="000000" w:themeColor="text1"/>
          <w:sz w:val="18"/>
          <w:szCs w:val="18"/>
          <w:shd w:val="clear" w:color="auto" w:fill="FFFFFF"/>
        </w:rPr>
        <w:t>(College Park: University of Maryland, 2015): 9-10.</w:t>
      </w:r>
    </w:p>
  </w:footnote>
  <w:footnote w:id="21">
    <w:p w14:paraId="31DCD4B7" w14:textId="77777777" w:rsidR="003B35D8" w:rsidRPr="00A203A6" w:rsidRDefault="003B35D8" w:rsidP="00787EBB">
      <w:pPr>
        <w:pStyle w:val="NormalWeb"/>
        <w:shd w:val="clear" w:color="auto" w:fill="FFFFFF"/>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“Message from the Global Terrorism Database Manager.” August 2018. START.UMD.edu. 2017. Accessed at </w:t>
      </w:r>
      <w:r w:rsidRPr="00A203A6">
        <w:rPr>
          <w:color w:val="000000" w:themeColor="text1"/>
          <w:sz w:val="18"/>
          <w:szCs w:val="18"/>
          <w:u w:val="single"/>
        </w:rPr>
        <w:t>https://www.start.umd.edu/news/message-global-terrorism-database-manager</w:t>
      </w:r>
      <w:r w:rsidRPr="00A203A6">
        <w:rPr>
          <w:color w:val="000000" w:themeColor="text1"/>
          <w:sz w:val="18"/>
          <w:szCs w:val="18"/>
        </w:rPr>
        <w:t>.</w:t>
      </w:r>
    </w:p>
  </w:footnote>
  <w:footnote w:id="22">
    <w:p w14:paraId="7FD93629" w14:textId="4A5FCAC9"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My decision to limit my analysis to the English-language news coverage of terrorism is informed by scholarly assertions that “English/American is the main lingua</w:t>
      </w:r>
      <w:r w:rsidR="00542581" w:rsidRPr="00A203A6">
        <w:rPr>
          <w:rFonts w:cs="Times New Roman"/>
          <w:color w:val="000000" w:themeColor="text1"/>
          <w:sz w:val="18"/>
          <w:szCs w:val="18"/>
        </w:rPr>
        <w:t xml:space="preserve"> franca</w:t>
      </w:r>
      <w:r w:rsidR="004113AD">
        <w:rPr>
          <w:rFonts w:cs="Times New Roman"/>
          <w:color w:val="000000" w:themeColor="text1"/>
          <w:sz w:val="18"/>
          <w:szCs w:val="18"/>
        </w:rPr>
        <w:t xml:space="preserve"> </w:t>
      </w:r>
      <w:r w:rsidRPr="00A203A6">
        <w:rPr>
          <w:rFonts w:cs="Times New Roman"/>
          <w:color w:val="000000" w:themeColor="text1"/>
          <w:sz w:val="18"/>
          <w:szCs w:val="18"/>
        </w:rPr>
        <w:t>of global news-</w:t>
      </w:r>
      <w:proofErr w:type="spellStart"/>
      <w:r w:rsidRPr="00A203A6">
        <w:rPr>
          <w:rFonts w:cs="Times New Roman"/>
          <w:color w:val="000000" w:themeColor="text1"/>
          <w:sz w:val="18"/>
          <w:szCs w:val="18"/>
        </w:rPr>
        <w:t>lish</w:t>
      </w:r>
      <w:proofErr w:type="spellEnd"/>
      <w:r w:rsidRPr="00A203A6">
        <w:rPr>
          <w:rFonts w:cs="Times New Roman"/>
          <w:color w:val="000000" w:themeColor="text1"/>
          <w:sz w:val="18"/>
          <w:szCs w:val="18"/>
        </w:rPr>
        <w:t xml:space="preserve">.” See Michael Palmer, “‘PRESS on the appropriate button in the reader’s mind’: News Agencies Cover ‘Terrorism.’” </w:t>
      </w:r>
      <w:r w:rsidRPr="00A203A6">
        <w:rPr>
          <w:rFonts w:cs="Times New Roman"/>
          <w:i/>
          <w:iCs/>
          <w:color w:val="000000" w:themeColor="text1"/>
          <w:sz w:val="18"/>
          <w:szCs w:val="18"/>
        </w:rPr>
        <w:t xml:space="preserve">Global Media and Communication </w:t>
      </w:r>
      <w:r w:rsidRPr="00A203A6">
        <w:rPr>
          <w:rFonts w:cs="Times New Roman"/>
          <w:color w:val="000000" w:themeColor="text1"/>
          <w:sz w:val="18"/>
          <w:szCs w:val="18"/>
        </w:rPr>
        <w:t>7, no. 3: 257.</w:t>
      </w:r>
    </w:p>
  </w:footnote>
  <w:footnote w:id="23">
    <w:p w14:paraId="4AFFC040" w14:textId="77777777" w:rsidR="003B35D8" w:rsidRPr="00A203A6" w:rsidRDefault="003B35D8"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Daniel Masters and Patricia </w:t>
      </w:r>
      <w:proofErr w:type="spellStart"/>
      <w:r w:rsidRPr="00A203A6">
        <w:rPr>
          <w:rFonts w:cs="Times New Roman"/>
          <w:color w:val="000000" w:themeColor="text1"/>
          <w:sz w:val="18"/>
          <w:szCs w:val="18"/>
        </w:rPr>
        <w:t>Hoen</w:t>
      </w:r>
      <w:proofErr w:type="spellEnd"/>
      <w:r w:rsidRPr="00A203A6">
        <w:rPr>
          <w:rFonts w:cs="Times New Roman"/>
          <w:color w:val="000000" w:themeColor="text1"/>
          <w:sz w:val="18"/>
          <w:szCs w:val="18"/>
        </w:rPr>
        <w:t xml:space="preserve">, “State Legitimacy and Terrorism,” </w:t>
      </w:r>
      <w:r w:rsidRPr="00A203A6">
        <w:rPr>
          <w:rFonts w:cs="Times New Roman"/>
          <w:i/>
          <w:iCs/>
          <w:color w:val="000000" w:themeColor="text1"/>
          <w:sz w:val="18"/>
          <w:szCs w:val="18"/>
        </w:rPr>
        <w:t>Democracy and Security</w:t>
      </w:r>
      <w:r w:rsidRPr="00A203A6">
        <w:rPr>
          <w:rFonts w:cs="Times New Roman"/>
          <w:color w:val="000000" w:themeColor="text1"/>
          <w:sz w:val="18"/>
          <w:szCs w:val="18"/>
        </w:rPr>
        <w:t xml:space="preserve"> 8, no. 4 (2012): 337-357.</w:t>
      </w:r>
    </w:p>
  </w:footnote>
  <w:footnote w:id="24">
    <w:p w14:paraId="507F2CBE" w14:textId="11B6A978"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dependent variable is the variable that the study is trying to explain, which is assumed to depend on or be caused by the independent variable(s). Independent variables exist separately </w:t>
      </w:r>
      <w:r w:rsidR="00542581" w:rsidRPr="00A203A6">
        <w:rPr>
          <w:rFonts w:cs="Times New Roman"/>
          <w:color w:val="000000" w:themeColor="text1"/>
          <w:sz w:val="18"/>
          <w:szCs w:val="18"/>
        </w:rPr>
        <w:t>from and</w:t>
      </w:r>
      <w:r w:rsidRPr="00A203A6">
        <w:rPr>
          <w:rFonts w:cs="Times New Roman"/>
          <w:color w:val="000000" w:themeColor="text1"/>
          <w:sz w:val="18"/>
          <w:szCs w:val="18"/>
        </w:rPr>
        <w:t xml:space="preserve"> are presumed to cause some manner of change in the dependent variable.</w:t>
      </w:r>
    </w:p>
  </w:footnote>
  <w:footnote w:id="25">
    <w:p w14:paraId="39E45887" w14:textId="77777777" w:rsidR="003B35D8" w:rsidRPr="00A203A6" w:rsidRDefault="003B35D8"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Since the 2007-2008 reverse merger of the Reuters and Thomson companies, this organization has been referred to as Thomson-Reuters. Notwithstanding, I use “Reuters” in referring to its role as an international news agency because “for branding and commercial purposes, the trade name ‘Reuters’ has greater visibility and refers to the news-agency arm of a ‘Thomson-Reuters’ company that has many other activities and assets related to professional news, information and data services.” See Michael Palmer and </w:t>
      </w:r>
      <w:proofErr w:type="spellStart"/>
      <w:r w:rsidRPr="00A203A6">
        <w:rPr>
          <w:rFonts w:cs="Times New Roman"/>
          <w:color w:val="000000" w:themeColor="text1"/>
          <w:sz w:val="18"/>
          <w:szCs w:val="18"/>
        </w:rPr>
        <w:t>Jérémie</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Nicey</w:t>
      </w:r>
      <w:proofErr w:type="spellEnd"/>
      <w:r w:rsidRPr="00A203A6">
        <w:rPr>
          <w:rFonts w:cs="Times New Roman"/>
          <w:color w:val="000000" w:themeColor="text1"/>
          <w:sz w:val="18"/>
          <w:szCs w:val="18"/>
        </w:rPr>
        <w:t xml:space="preserve">, “Social Media and the Freedom of the Press: A Long-term Perspective from within International News Agencies (AFP, Reuters).” </w:t>
      </w:r>
      <w:r w:rsidRPr="00A203A6">
        <w:rPr>
          <w:rFonts w:cs="Times New Roman"/>
          <w:i/>
          <w:iCs/>
          <w:color w:val="000000" w:themeColor="text1"/>
          <w:sz w:val="18"/>
          <w:szCs w:val="18"/>
        </w:rPr>
        <w:t>Journal for Communication Studies</w:t>
      </w:r>
      <w:r w:rsidRPr="00A203A6">
        <w:rPr>
          <w:rFonts w:cs="Times New Roman"/>
          <w:color w:val="000000" w:themeColor="text1"/>
          <w:sz w:val="18"/>
          <w:szCs w:val="18"/>
        </w:rPr>
        <w:t xml:space="preserve"> 5, no. 1 (2012): 111. (The relevant information is found in Footnote 1.)</w:t>
      </w:r>
    </w:p>
    <w:p w14:paraId="08251547" w14:textId="4C7BD015" w:rsidR="003B35D8" w:rsidRPr="00A203A6" w:rsidRDefault="003B35D8" w:rsidP="00787EBB">
      <w:pPr>
        <w:spacing w:before="0" w:after="80"/>
        <w:rPr>
          <w:rFonts w:cs="Times New Roman"/>
          <w:color w:val="000000" w:themeColor="text1"/>
          <w:sz w:val="18"/>
          <w:szCs w:val="18"/>
          <w:bdr w:val="none" w:sz="0" w:space="0" w:color="auto" w:frame="1"/>
        </w:rPr>
      </w:pPr>
      <w:r w:rsidRPr="00A203A6">
        <w:rPr>
          <w:rFonts w:cs="Times New Roman"/>
          <w:color w:val="000000" w:themeColor="text1"/>
          <w:sz w:val="18"/>
          <w:szCs w:val="18"/>
        </w:rPr>
        <w:t xml:space="preserve">The scholarly literature views news sources’ ‘credibility’ as intrinsically related to their relationship, or lack thereof, with the public sector in this regard. This is supported by the interaction between three ideas established within the scholarly literature. First, agenda-setting theory, which purports that the media’s agenda can become the public agenda under certain circumstances that are implicitly correlated with public perceptions of legitimate power as affecting authority (See Maxwell E. McCombs and Donald L. Shaw, “The Agenda Setting Function of the Press.” In Doris A. Graber (ed.), </w:t>
      </w:r>
      <w:r w:rsidRPr="00A203A6">
        <w:rPr>
          <w:rFonts w:cs="Times New Roman"/>
          <w:i/>
          <w:color w:val="000000" w:themeColor="text1"/>
          <w:sz w:val="18"/>
          <w:szCs w:val="18"/>
        </w:rPr>
        <w:t>Media Power in Politics</w:t>
      </w:r>
      <w:r w:rsidRPr="00A203A6">
        <w:rPr>
          <w:rFonts w:cs="Times New Roman"/>
          <w:color w:val="000000" w:themeColor="text1"/>
          <w:sz w:val="18"/>
          <w:szCs w:val="18"/>
        </w:rPr>
        <w:t xml:space="preserve"> (Washington, D.C.: Congressional Quarterly, 1984). Second, structural-functional theory as related to media effects, which asserts that the social functions of media confer status to issues and establish them within the hierarchy created by the public agenda and establishes monopolization, </w:t>
      </w:r>
      <w:r w:rsidR="00542581" w:rsidRPr="00A203A6">
        <w:rPr>
          <w:rFonts w:cs="Times New Roman"/>
          <w:color w:val="000000" w:themeColor="text1"/>
          <w:sz w:val="18"/>
          <w:szCs w:val="18"/>
        </w:rPr>
        <w:t>canalization,</w:t>
      </w:r>
      <w:r w:rsidRPr="00A203A6">
        <w:rPr>
          <w:rFonts w:cs="Times New Roman"/>
          <w:color w:val="000000" w:themeColor="text1"/>
          <w:sz w:val="18"/>
          <w:szCs w:val="18"/>
        </w:rPr>
        <w:t xml:space="preserve"> and supplementation as pre-conditions for a strong effect (Paul </w:t>
      </w:r>
      <w:proofErr w:type="spellStart"/>
      <w:r w:rsidRPr="00A203A6">
        <w:rPr>
          <w:rFonts w:cs="Times New Roman"/>
          <w:color w:val="000000" w:themeColor="text1"/>
          <w:sz w:val="18"/>
          <w:szCs w:val="18"/>
        </w:rPr>
        <w:t>Lazarsfeld</w:t>
      </w:r>
      <w:proofErr w:type="spellEnd"/>
      <w:r w:rsidRPr="00A203A6">
        <w:rPr>
          <w:rFonts w:cs="Times New Roman"/>
          <w:color w:val="000000" w:themeColor="text1"/>
          <w:sz w:val="18"/>
          <w:szCs w:val="18"/>
        </w:rPr>
        <w:t xml:space="preserve"> and Robert K. Merton, “Mass Communication, Popular Taste and Organized Social Action.” In Wilbur Schramm and Donald F. Roberts (eds.),</w:t>
      </w:r>
      <w:r w:rsidRPr="00A203A6">
        <w:rPr>
          <w:rFonts w:cs="Times New Roman"/>
          <w:i/>
          <w:color w:val="000000" w:themeColor="text1"/>
          <w:sz w:val="18"/>
          <w:szCs w:val="18"/>
        </w:rPr>
        <w:t xml:space="preserve"> The Processes and Effects of Mass Communication </w:t>
      </w:r>
      <w:r w:rsidRPr="00A203A6">
        <w:rPr>
          <w:rFonts w:cs="Times New Roman"/>
          <w:iCs/>
          <w:color w:val="000000" w:themeColor="text1"/>
          <w:sz w:val="18"/>
          <w:szCs w:val="18"/>
        </w:rPr>
        <w:t>(</w:t>
      </w:r>
      <w:r w:rsidRPr="00A203A6">
        <w:rPr>
          <w:rFonts w:cs="Times New Roman"/>
          <w:color w:val="000000" w:themeColor="text1"/>
          <w:sz w:val="18"/>
          <w:szCs w:val="18"/>
        </w:rPr>
        <w:t xml:space="preserve">Urbana: University of Illinois Press, 1971); Philip Kotler and Gerald </w:t>
      </w:r>
      <w:proofErr w:type="spellStart"/>
      <w:r w:rsidRPr="00A203A6">
        <w:rPr>
          <w:rFonts w:cs="Times New Roman"/>
          <w:color w:val="000000" w:themeColor="text1"/>
          <w:sz w:val="18"/>
          <w:szCs w:val="18"/>
        </w:rPr>
        <w:t>Zaltman</w:t>
      </w:r>
      <w:proofErr w:type="spellEnd"/>
      <w:r w:rsidRPr="00A203A6">
        <w:rPr>
          <w:rFonts w:cs="Times New Roman"/>
          <w:color w:val="000000" w:themeColor="text1"/>
          <w:sz w:val="18"/>
          <w:szCs w:val="18"/>
        </w:rPr>
        <w:t xml:space="preserve">, “Social Marketing: An Approach to Planned Social Change,” </w:t>
      </w:r>
      <w:r w:rsidRPr="00A203A6">
        <w:rPr>
          <w:rFonts w:cs="Times New Roman"/>
          <w:i/>
          <w:color w:val="000000" w:themeColor="text1"/>
          <w:sz w:val="18"/>
          <w:szCs w:val="18"/>
        </w:rPr>
        <w:t>Journal of Marketing</w:t>
      </w:r>
      <w:r w:rsidRPr="00A203A6">
        <w:rPr>
          <w:rFonts w:cs="Times New Roman"/>
          <w:color w:val="000000" w:themeColor="text1"/>
          <w:sz w:val="18"/>
          <w:szCs w:val="18"/>
        </w:rPr>
        <w:t xml:space="preserve"> 35, no. 3 (1971): 3-12). Finally, the interconnected notions that legitimacy is connected to the public perception of an institution ( See </w:t>
      </w:r>
      <w:r w:rsidRPr="00A203A6">
        <w:rPr>
          <w:rFonts w:cs="Times New Roman"/>
          <w:color w:val="000000" w:themeColor="text1"/>
          <w:sz w:val="18"/>
          <w:szCs w:val="18"/>
          <w:shd w:val="clear" w:color="auto" w:fill="FFFFFF"/>
        </w:rPr>
        <w:t xml:space="preserve">Mark C. </w:t>
      </w:r>
      <w:proofErr w:type="spellStart"/>
      <w:r w:rsidRPr="00A203A6">
        <w:rPr>
          <w:rFonts w:cs="Times New Roman"/>
          <w:color w:val="000000" w:themeColor="text1"/>
          <w:sz w:val="18"/>
          <w:szCs w:val="18"/>
          <w:shd w:val="clear" w:color="auto" w:fill="FFFFFF"/>
        </w:rPr>
        <w:t>Suchman</w:t>
      </w:r>
      <w:proofErr w:type="spellEnd"/>
      <w:r w:rsidRPr="00A203A6">
        <w:rPr>
          <w:rFonts w:cs="Times New Roman"/>
          <w:color w:val="000000" w:themeColor="text1"/>
          <w:sz w:val="18"/>
          <w:szCs w:val="18"/>
          <w:shd w:val="clear" w:color="auto" w:fill="FFFFFF"/>
        </w:rPr>
        <w:t>, “Managing Legitimacy: Strategic and Institutional Approaches,” </w:t>
      </w:r>
      <w:r w:rsidRPr="00A203A6">
        <w:rPr>
          <w:rFonts w:cs="Times New Roman"/>
          <w:i/>
          <w:iCs/>
          <w:color w:val="000000" w:themeColor="text1"/>
          <w:sz w:val="18"/>
          <w:szCs w:val="18"/>
        </w:rPr>
        <w:t>Academy of Management Review</w:t>
      </w:r>
      <w:r w:rsidRPr="00A203A6">
        <w:rPr>
          <w:rFonts w:cs="Times New Roman"/>
          <w:color w:val="000000" w:themeColor="text1"/>
          <w:sz w:val="18"/>
          <w:szCs w:val="18"/>
          <w:shd w:val="clear" w:color="auto" w:fill="FFFFFF"/>
        </w:rPr>
        <w:t> 20, no. 3 (1995): 571-610</w:t>
      </w:r>
      <w:r w:rsidRPr="00A203A6">
        <w:rPr>
          <w:rFonts w:cs="Times New Roman"/>
          <w:color w:val="000000" w:themeColor="text1"/>
          <w:sz w:val="18"/>
          <w:szCs w:val="18"/>
        </w:rPr>
        <w:t>; Carlos Rodríguez Pérez, “</w:t>
      </w:r>
      <w:r w:rsidRPr="00A203A6">
        <w:rPr>
          <w:rFonts w:cs="Times New Roman"/>
          <w:color w:val="000000" w:themeColor="text1"/>
          <w:sz w:val="18"/>
          <w:szCs w:val="18"/>
          <w:shd w:val="clear" w:color="auto" w:fill="FFFFFF"/>
        </w:rPr>
        <w:t>News Framing and Media Legitimacy: An Exploratory Study of the Media Coverage of the Refugee Crisis in the European Union,” </w:t>
      </w:r>
      <w:r w:rsidRPr="00A203A6">
        <w:rPr>
          <w:rFonts w:cs="Times New Roman"/>
          <w:i/>
          <w:iCs/>
          <w:color w:val="000000" w:themeColor="text1"/>
          <w:sz w:val="18"/>
          <w:szCs w:val="18"/>
        </w:rPr>
        <w:t xml:space="preserve">Communication &amp; Society </w:t>
      </w:r>
      <w:r w:rsidRPr="00A203A6">
        <w:rPr>
          <w:rFonts w:cs="Times New Roman"/>
          <w:color w:val="000000" w:themeColor="text1"/>
          <w:sz w:val="18"/>
          <w:szCs w:val="18"/>
        </w:rPr>
        <w:t>30, no</w:t>
      </w:r>
      <w:r w:rsidRPr="00A203A6">
        <w:rPr>
          <w:rFonts w:cs="Times New Roman"/>
          <w:color w:val="000000" w:themeColor="text1"/>
          <w:sz w:val="18"/>
          <w:szCs w:val="18"/>
          <w:shd w:val="clear" w:color="auto" w:fill="FFFFFF"/>
        </w:rPr>
        <w:t>. 3 (2017): 169-184</w:t>
      </w:r>
      <w:r w:rsidRPr="00A203A6">
        <w:rPr>
          <w:rFonts w:cs="Times New Roman"/>
          <w:color w:val="000000" w:themeColor="text1"/>
          <w:sz w:val="18"/>
          <w:szCs w:val="18"/>
        </w:rPr>
        <w:t xml:space="preserve">)), that the three-levels integral to constructing the legitimacy of media sources are legitimacy of access, legitimacy of presence, and legitimacy of journalists, and, finally, that legitimacy is an inherent asset of the public sector (See </w:t>
      </w:r>
      <w:r w:rsidRPr="00A203A6">
        <w:rPr>
          <w:rFonts w:cs="Times New Roman"/>
          <w:color w:val="000000" w:themeColor="text1"/>
          <w:sz w:val="18"/>
          <w:szCs w:val="18"/>
          <w:shd w:val="clear" w:color="auto" w:fill="FFFFFF"/>
        </w:rPr>
        <w:t xml:space="preserve">Jane </w:t>
      </w:r>
      <w:proofErr w:type="spellStart"/>
      <w:r w:rsidRPr="00A203A6">
        <w:rPr>
          <w:rFonts w:cs="Times New Roman"/>
          <w:color w:val="000000" w:themeColor="text1"/>
          <w:sz w:val="18"/>
          <w:szCs w:val="18"/>
          <w:shd w:val="clear" w:color="auto" w:fill="FFFFFF"/>
        </w:rPr>
        <w:t>Mansbridge</w:t>
      </w:r>
      <w:proofErr w:type="spellEnd"/>
      <w:r w:rsidRPr="00A203A6">
        <w:rPr>
          <w:rFonts w:cs="Times New Roman"/>
          <w:color w:val="000000" w:themeColor="text1"/>
          <w:sz w:val="18"/>
          <w:szCs w:val="18"/>
          <w:shd w:val="clear" w:color="auto" w:fill="FFFFFF"/>
        </w:rPr>
        <w:t xml:space="preserve">, James </w:t>
      </w:r>
      <w:proofErr w:type="spellStart"/>
      <w:r w:rsidRPr="00A203A6">
        <w:rPr>
          <w:rFonts w:cs="Times New Roman"/>
          <w:color w:val="000000" w:themeColor="text1"/>
          <w:sz w:val="18"/>
          <w:szCs w:val="18"/>
          <w:shd w:val="clear" w:color="auto" w:fill="FFFFFF"/>
        </w:rPr>
        <w:t>Bohman</w:t>
      </w:r>
      <w:proofErr w:type="spellEnd"/>
      <w:r w:rsidRPr="00A203A6">
        <w:rPr>
          <w:rFonts w:cs="Times New Roman"/>
          <w:color w:val="000000" w:themeColor="text1"/>
          <w:sz w:val="18"/>
          <w:szCs w:val="18"/>
          <w:shd w:val="clear" w:color="auto" w:fill="FFFFFF"/>
        </w:rPr>
        <w:t xml:space="preserve">, Simone Chambers, David </w:t>
      </w:r>
      <w:proofErr w:type="spellStart"/>
      <w:r w:rsidRPr="00A203A6">
        <w:rPr>
          <w:rFonts w:cs="Times New Roman"/>
          <w:color w:val="000000" w:themeColor="text1"/>
          <w:sz w:val="18"/>
          <w:szCs w:val="18"/>
          <w:shd w:val="clear" w:color="auto" w:fill="FFFFFF"/>
        </w:rPr>
        <w:t>Estlund</w:t>
      </w:r>
      <w:proofErr w:type="spellEnd"/>
      <w:r w:rsidRPr="00A203A6">
        <w:rPr>
          <w:rFonts w:cs="Times New Roman"/>
          <w:color w:val="000000" w:themeColor="text1"/>
          <w:sz w:val="18"/>
          <w:szCs w:val="18"/>
          <w:shd w:val="clear" w:color="auto" w:fill="FFFFFF"/>
        </w:rPr>
        <w:t xml:space="preserve">, Andreas </w:t>
      </w:r>
      <w:proofErr w:type="spellStart"/>
      <w:r w:rsidRPr="00A203A6">
        <w:rPr>
          <w:rFonts w:cs="Times New Roman"/>
          <w:color w:val="000000" w:themeColor="text1"/>
          <w:sz w:val="18"/>
          <w:szCs w:val="18"/>
          <w:shd w:val="clear" w:color="auto" w:fill="FFFFFF"/>
        </w:rPr>
        <w:t>Føllesdal</w:t>
      </w:r>
      <w:proofErr w:type="spellEnd"/>
      <w:r w:rsidRPr="00A203A6">
        <w:rPr>
          <w:rFonts w:cs="Times New Roman"/>
          <w:color w:val="000000" w:themeColor="text1"/>
          <w:sz w:val="18"/>
          <w:szCs w:val="18"/>
          <w:shd w:val="clear" w:color="auto" w:fill="FFFFFF"/>
        </w:rPr>
        <w:t xml:space="preserve">, Archon Fung, Cristina </w:t>
      </w:r>
      <w:proofErr w:type="spellStart"/>
      <w:r w:rsidRPr="00A203A6">
        <w:rPr>
          <w:rFonts w:cs="Times New Roman"/>
          <w:color w:val="000000" w:themeColor="text1"/>
          <w:sz w:val="18"/>
          <w:szCs w:val="18"/>
          <w:shd w:val="clear" w:color="auto" w:fill="FFFFFF"/>
        </w:rPr>
        <w:t>Lafont</w:t>
      </w:r>
      <w:proofErr w:type="spellEnd"/>
      <w:r w:rsidRPr="00A203A6">
        <w:rPr>
          <w:rFonts w:cs="Times New Roman"/>
          <w:color w:val="000000" w:themeColor="text1"/>
          <w:sz w:val="18"/>
          <w:szCs w:val="18"/>
          <w:shd w:val="clear" w:color="auto" w:fill="FFFFFF"/>
        </w:rPr>
        <w:t xml:space="preserve">, Bernard </w:t>
      </w:r>
      <w:proofErr w:type="spellStart"/>
      <w:r w:rsidRPr="00A203A6">
        <w:rPr>
          <w:rFonts w:cs="Times New Roman"/>
          <w:color w:val="000000" w:themeColor="text1"/>
          <w:sz w:val="18"/>
          <w:szCs w:val="18"/>
          <w:shd w:val="clear" w:color="auto" w:fill="FFFFFF"/>
        </w:rPr>
        <w:t>Manin</w:t>
      </w:r>
      <w:proofErr w:type="spellEnd"/>
      <w:r w:rsidRPr="00A203A6">
        <w:rPr>
          <w:rFonts w:cs="Times New Roman"/>
          <w:color w:val="000000" w:themeColor="text1"/>
          <w:sz w:val="18"/>
          <w:szCs w:val="18"/>
          <w:shd w:val="clear" w:color="auto" w:fill="FFFFFF"/>
        </w:rPr>
        <w:t xml:space="preserve"> and José </w:t>
      </w:r>
      <w:proofErr w:type="spellStart"/>
      <w:r w:rsidRPr="00A203A6">
        <w:rPr>
          <w:rFonts w:cs="Times New Roman"/>
          <w:color w:val="000000" w:themeColor="text1"/>
          <w:sz w:val="18"/>
          <w:szCs w:val="18"/>
          <w:shd w:val="clear" w:color="auto" w:fill="FFFFFF"/>
        </w:rPr>
        <w:t>Luismarti</w:t>
      </w:r>
      <w:proofErr w:type="spellEnd"/>
      <w:r w:rsidRPr="00A203A6">
        <w:rPr>
          <w:rFonts w:cs="Times New Roman"/>
          <w:color w:val="000000" w:themeColor="text1"/>
          <w:sz w:val="18"/>
          <w:szCs w:val="18"/>
          <w:shd w:val="clear" w:color="auto" w:fill="FFFFFF"/>
        </w:rPr>
        <w:t>, "The Place of Self-Interest and the Role of Power in Deliberative Democracy," </w:t>
      </w:r>
      <w:r w:rsidRPr="00A203A6">
        <w:rPr>
          <w:rFonts w:cs="Times New Roman"/>
          <w:i/>
          <w:iCs/>
          <w:color w:val="000000" w:themeColor="text1"/>
          <w:sz w:val="18"/>
          <w:szCs w:val="18"/>
        </w:rPr>
        <w:t>Raisons politiques</w:t>
      </w:r>
      <w:r w:rsidRPr="00A203A6">
        <w:rPr>
          <w:rFonts w:cs="Times New Roman"/>
          <w:color w:val="000000" w:themeColor="text1"/>
          <w:sz w:val="18"/>
          <w:szCs w:val="18"/>
          <w:shd w:val="clear" w:color="auto" w:fill="FFFFFF"/>
        </w:rPr>
        <w:t> 2 (2011): 47-82</w:t>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Suchman</w:t>
      </w:r>
      <w:proofErr w:type="spellEnd"/>
      <w:r w:rsidRPr="00A203A6">
        <w:rPr>
          <w:rFonts w:cs="Times New Roman"/>
          <w:color w:val="000000" w:themeColor="text1"/>
          <w:sz w:val="18"/>
          <w:szCs w:val="18"/>
        </w:rPr>
        <w:t xml:space="preserve">, “Managing Legitimacy,” 571-610; Rodríguez Pérez, “News Framing and Media Legitimacy,” 169-184). To that end, the calculation of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I</m:t>
            </m:r>
          </m:e>
          <m:sub>
            <m:r>
              <w:rPr>
                <w:rFonts w:ascii="Cambria Math" w:hAnsi="Cambria Math" w:cs="Times New Roman"/>
                <w:color w:val="000000" w:themeColor="text1"/>
                <w:sz w:val="18"/>
                <w:szCs w:val="18"/>
              </w:rPr>
              <m:t>2</m:t>
            </m:r>
          </m:sub>
        </m:sSub>
      </m:oMath>
      <w:r w:rsidRPr="00A203A6">
        <w:rPr>
          <w:rFonts w:cs="Times New Roman"/>
          <w:color w:val="000000" w:themeColor="text1"/>
          <w:sz w:val="18"/>
          <w:szCs w:val="18"/>
        </w:rPr>
        <w:t xml:space="preserve"> is specifically limited to official media sources produced by national media outlets for the purposes of the MVA based on the suggestion that the more traditional national media outlets are perceived as more credible sources for news. (See </w:t>
      </w:r>
      <w:r w:rsidRPr="00A203A6">
        <w:rPr>
          <w:rFonts w:cs="Times New Roman"/>
          <w:color w:val="000000" w:themeColor="text1"/>
          <w:sz w:val="18"/>
          <w:szCs w:val="18"/>
          <w:bdr w:val="none" w:sz="0" w:space="0" w:color="auto" w:frame="1"/>
        </w:rPr>
        <w:t xml:space="preserve">Spiro </w:t>
      </w:r>
      <w:proofErr w:type="spellStart"/>
      <w:r w:rsidRPr="00A203A6">
        <w:rPr>
          <w:rFonts w:cs="Times New Roman"/>
          <w:color w:val="000000" w:themeColor="text1"/>
          <w:sz w:val="18"/>
          <w:szCs w:val="18"/>
          <w:bdr w:val="none" w:sz="0" w:space="0" w:color="auto" w:frame="1"/>
        </w:rPr>
        <w:t>Kiousis</w:t>
      </w:r>
      <w:proofErr w:type="spellEnd"/>
      <w:r w:rsidRPr="00A203A6">
        <w:rPr>
          <w:rFonts w:cs="Times New Roman"/>
          <w:color w:val="000000" w:themeColor="text1"/>
          <w:sz w:val="18"/>
          <w:szCs w:val="18"/>
          <w:bdr w:val="none" w:sz="0" w:space="0" w:color="auto" w:frame="1"/>
        </w:rPr>
        <w:t xml:space="preserve">, “Public Trust or Mistrust? Perceptions of Media Credibility in the Information Age,” </w:t>
      </w:r>
      <w:r w:rsidRPr="00A203A6">
        <w:rPr>
          <w:rFonts w:cs="Times New Roman"/>
          <w:i/>
          <w:iCs/>
          <w:color w:val="000000" w:themeColor="text1"/>
          <w:sz w:val="18"/>
          <w:szCs w:val="18"/>
          <w:bdr w:val="none" w:sz="0" w:space="0" w:color="auto" w:frame="1"/>
        </w:rPr>
        <w:t>Mass Communication and Society</w:t>
      </w:r>
      <w:r w:rsidRPr="00A203A6">
        <w:rPr>
          <w:rFonts w:cs="Times New Roman"/>
          <w:color w:val="000000" w:themeColor="text1"/>
          <w:sz w:val="18"/>
          <w:szCs w:val="18"/>
          <w:bdr w:val="none" w:sz="0" w:space="0" w:color="auto" w:frame="1"/>
        </w:rPr>
        <w:t xml:space="preserve"> 4, no. 4 (2001): 381-403</w:t>
      </w:r>
      <w:r w:rsidRPr="00A203A6">
        <w:rPr>
          <w:rFonts w:cs="Times New Roman"/>
          <w:color w:val="000000" w:themeColor="text1"/>
          <w:sz w:val="18"/>
          <w:szCs w:val="18"/>
        </w:rPr>
        <w:t xml:space="preserve">; </w:t>
      </w:r>
      <w:r w:rsidRPr="00A203A6">
        <w:rPr>
          <w:rFonts w:cs="Times New Roman"/>
          <w:color w:val="000000" w:themeColor="text1"/>
          <w:sz w:val="18"/>
          <w:szCs w:val="18"/>
          <w:bdr w:val="none" w:sz="0" w:space="0" w:color="auto" w:frame="1"/>
        </w:rPr>
        <w:t xml:space="preserve">Miriam J. Metzger, Andrew J. </w:t>
      </w:r>
      <w:proofErr w:type="spellStart"/>
      <w:r w:rsidRPr="00A203A6">
        <w:rPr>
          <w:rFonts w:cs="Times New Roman"/>
          <w:color w:val="000000" w:themeColor="text1"/>
          <w:sz w:val="18"/>
          <w:szCs w:val="18"/>
          <w:bdr w:val="none" w:sz="0" w:space="0" w:color="auto" w:frame="1"/>
        </w:rPr>
        <w:t>Flanagin</w:t>
      </w:r>
      <w:proofErr w:type="spellEnd"/>
      <w:r w:rsidRPr="00A203A6">
        <w:rPr>
          <w:rFonts w:cs="Times New Roman"/>
          <w:color w:val="000000" w:themeColor="text1"/>
          <w:sz w:val="18"/>
          <w:szCs w:val="18"/>
          <w:bdr w:val="none" w:sz="0" w:space="0" w:color="auto" w:frame="1"/>
        </w:rPr>
        <w:t xml:space="preserve">, Keren </w:t>
      </w:r>
      <w:proofErr w:type="spellStart"/>
      <w:r w:rsidRPr="00A203A6">
        <w:rPr>
          <w:rFonts w:cs="Times New Roman"/>
          <w:color w:val="000000" w:themeColor="text1"/>
          <w:sz w:val="18"/>
          <w:szCs w:val="18"/>
          <w:bdr w:val="none" w:sz="0" w:space="0" w:color="auto" w:frame="1"/>
        </w:rPr>
        <w:t>Eyal</w:t>
      </w:r>
      <w:proofErr w:type="spellEnd"/>
      <w:r w:rsidRPr="00A203A6">
        <w:rPr>
          <w:rFonts w:cs="Times New Roman"/>
          <w:color w:val="000000" w:themeColor="text1"/>
          <w:sz w:val="18"/>
          <w:szCs w:val="18"/>
          <w:bdr w:val="none" w:sz="0" w:space="0" w:color="auto" w:frame="1"/>
        </w:rPr>
        <w:t xml:space="preserve">, Daisy R. Lemus and Robert M. </w:t>
      </w:r>
      <w:proofErr w:type="spellStart"/>
      <w:r w:rsidRPr="00A203A6">
        <w:rPr>
          <w:rFonts w:cs="Times New Roman"/>
          <w:color w:val="000000" w:themeColor="text1"/>
          <w:sz w:val="18"/>
          <w:szCs w:val="18"/>
          <w:bdr w:val="none" w:sz="0" w:space="0" w:color="auto" w:frame="1"/>
        </w:rPr>
        <w:t>Mccann</w:t>
      </w:r>
      <w:proofErr w:type="spellEnd"/>
      <w:r w:rsidRPr="00A203A6">
        <w:rPr>
          <w:rFonts w:cs="Times New Roman"/>
          <w:color w:val="000000" w:themeColor="text1"/>
          <w:sz w:val="18"/>
          <w:szCs w:val="18"/>
          <w:bdr w:val="none" w:sz="0" w:space="0" w:color="auto" w:frame="1"/>
        </w:rPr>
        <w:t>, “Credibility for the 21</w:t>
      </w:r>
      <w:r w:rsidRPr="00A203A6">
        <w:rPr>
          <w:rFonts w:cs="Times New Roman"/>
          <w:color w:val="000000" w:themeColor="text1"/>
          <w:sz w:val="18"/>
          <w:szCs w:val="18"/>
          <w:bdr w:val="none" w:sz="0" w:space="0" w:color="auto" w:frame="1"/>
          <w:vertAlign w:val="superscript"/>
        </w:rPr>
        <w:t>st</w:t>
      </w:r>
      <w:r w:rsidRPr="00A203A6">
        <w:rPr>
          <w:rFonts w:cs="Times New Roman"/>
          <w:color w:val="000000" w:themeColor="text1"/>
          <w:sz w:val="18"/>
          <w:szCs w:val="18"/>
          <w:bdr w:val="none" w:sz="0" w:space="0" w:color="auto" w:frame="1"/>
        </w:rPr>
        <w:t xml:space="preserve"> Century: Integrating Perspectives on Source, Message, and Media Credibility in the Contemporary Media Environment,” </w:t>
      </w:r>
      <w:r w:rsidRPr="00A203A6">
        <w:rPr>
          <w:rFonts w:cs="Times New Roman"/>
          <w:i/>
          <w:iCs/>
          <w:color w:val="000000" w:themeColor="text1"/>
          <w:sz w:val="18"/>
          <w:szCs w:val="18"/>
          <w:bdr w:val="none" w:sz="0" w:space="0" w:color="auto" w:frame="1"/>
        </w:rPr>
        <w:t>Annals of the International Communication Association</w:t>
      </w:r>
      <w:r w:rsidRPr="00A203A6">
        <w:rPr>
          <w:rFonts w:cs="Times New Roman"/>
          <w:color w:val="000000" w:themeColor="text1"/>
          <w:sz w:val="18"/>
          <w:szCs w:val="18"/>
          <w:bdr w:val="none" w:sz="0" w:space="0" w:color="auto" w:frame="1"/>
        </w:rPr>
        <w:t xml:space="preserve"> 27, no. 1 (2003): 293-335</w:t>
      </w:r>
      <w:r w:rsidRPr="00A203A6">
        <w:rPr>
          <w:rFonts w:cs="Times New Roman"/>
          <w:color w:val="000000" w:themeColor="text1"/>
          <w:sz w:val="18"/>
          <w:szCs w:val="18"/>
        </w:rPr>
        <w:t xml:space="preserve">; </w:t>
      </w:r>
      <w:r w:rsidRPr="00A203A6">
        <w:rPr>
          <w:rFonts w:cs="Times New Roman"/>
          <w:color w:val="000000" w:themeColor="text1"/>
          <w:sz w:val="18"/>
          <w:szCs w:val="18"/>
          <w:shd w:val="clear" w:color="auto" w:fill="FFFFFF"/>
        </w:rPr>
        <w:t xml:space="preserve">Alberto </w:t>
      </w:r>
      <w:proofErr w:type="spellStart"/>
      <w:r w:rsidRPr="00A203A6">
        <w:rPr>
          <w:rFonts w:cs="Times New Roman"/>
          <w:color w:val="000000" w:themeColor="text1"/>
          <w:sz w:val="18"/>
          <w:szCs w:val="18"/>
          <w:shd w:val="clear" w:color="auto" w:fill="FFFFFF"/>
        </w:rPr>
        <w:t>Ardèvol</w:t>
      </w:r>
      <w:proofErr w:type="spellEnd"/>
      <w:r w:rsidRPr="00A203A6">
        <w:rPr>
          <w:rFonts w:cs="Times New Roman"/>
          <w:color w:val="000000" w:themeColor="text1"/>
          <w:sz w:val="18"/>
          <w:szCs w:val="18"/>
          <w:shd w:val="clear" w:color="auto" w:fill="FFFFFF"/>
        </w:rPr>
        <w:t xml:space="preserve">-Abreu and </w:t>
      </w:r>
      <w:proofErr w:type="spellStart"/>
      <w:r w:rsidRPr="00A203A6">
        <w:rPr>
          <w:rFonts w:cs="Times New Roman"/>
          <w:color w:val="000000" w:themeColor="text1"/>
          <w:sz w:val="18"/>
          <w:szCs w:val="18"/>
          <w:shd w:val="clear" w:color="auto" w:fill="FFFFFF"/>
        </w:rPr>
        <w:t>Homero</w:t>
      </w:r>
      <w:proofErr w:type="spellEnd"/>
      <w:r w:rsidRPr="00A203A6">
        <w:rPr>
          <w:rFonts w:cs="Times New Roman"/>
          <w:color w:val="000000" w:themeColor="text1"/>
          <w:sz w:val="18"/>
          <w:szCs w:val="18"/>
          <w:shd w:val="clear" w:color="auto" w:fill="FFFFFF"/>
        </w:rPr>
        <w:t xml:space="preserve"> Gil de </w:t>
      </w:r>
      <w:proofErr w:type="spellStart"/>
      <w:r w:rsidRPr="00A203A6">
        <w:rPr>
          <w:rFonts w:cs="Times New Roman"/>
          <w:color w:val="000000" w:themeColor="text1"/>
          <w:sz w:val="18"/>
          <w:szCs w:val="18"/>
          <w:shd w:val="clear" w:color="auto" w:fill="FFFFFF"/>
        </w:rPr>
        <w:t>Zúñiga</w:t>
      </w:r>
      <w:proofErr w:type="spellEnd"/>
      <w:r w:rsidRPr="00A203A6">
        <w:rPr>
          <w:rFonts w:cs="Times New Roman"/>
          <w:color w:val="000000" w:themeColor="text1"/>
          <w:sz w:val="18"/>
          <w:szCs w:val="18"/>
          <w:shd w:val="clear" w:color="auto" w:fill="FFFFFF"/>
        </w:rPr>
        <w:t>, “</w:t>
      </w:r>
      <w:r w:rsidRPr="00A203A6">
        <w:rPr>
          <w:rFonts w:cs="Times New Roman"/>
          <w:color w:val="000000" w:themeColor="text1"/>
          <w:sz w:val="18"/>
          <w:szCs w:val="18"/>
        </w:rPr>
        <w:t>Effects of Editorial Media Bias Perception and Media Trust on the Use of Traditional, Citizen, and Social Media News,</w:t>
      </w:r>
      <w:r w:rsidRPr="00A203A6">
        <w:rPr>
          <w:rFonts w:cs="Times New Roman"/>
          <w:color w:val="000000" w:themeColor="text1"/>
          <w:sz w:val="18"/>
          <w:szCs w:val="18"/>
          <w:shd w:val="clear" w:color="auto" w:fill="FFFFFF"/>
        </w:rPr>
        <w:t xml:space="preserve">” </w:t>
      </w:r>
      <w:r w:rsidRPr="00A203A6">
        <w:rPr>
          <w:rFonts w:cs="Times New Roman"/>
          <w:i/>
          <w:iCs/>
          <w:color w:val="000000" w:themeColor="text1"/>
          <w:sz w:val="18"/>
          <w:szCs w:val="18"/>
        </w:rPr>
        <w:t>Journalism &amp; Mass Communication Quarterly</w:t>
      </w:r>
      <w:r w:rsidRPr="00A203A6">
        <w:rPr>
          <w:rFonts w:cs="Times New Roman"/>
          <w:color w:val="000000" w:themeColor="text1"/>
          <w:sz w:val="18"/>
          <w:szCs w:val="18"/>
          <w:shd w:val="clear" w:color="auto" w:fill="FFFFFF"/>
        </w:rPr>
        <w:t xml:space="preserve"> 94, no. 3 (2016): 703-724; </w:t>
      </w:r>
      <w:proofErr w:type="spellStart"/>
      <w:r w:rsidRPr="00A203A6">
        <w:rPr>
          <w:rFonts w:cs="Times New Roman"/>
          <w:color w:val="000000" w:themeColor="text1"/>
          <w:sz w:val="18"/>
          <w:szCs w:val="18"/>
          <w:bdr w:val="none" w:sz="0" w:space="0" w:color="auto" w:frame="1"/>
        </w:rPr>
        <w:t>Yacong</w:t>
      </w:r>
      <w:proofErr w:type="spellEnd"/>
      <w:r w:rsidRPr="00A203A6">
        <w:rPr>
          <w:rFonts w:cs="Times New Roman"/>
          <w:color w:val="000000" w:themeColor="text1"/>
          <w:sz w:val="18"/>
          <w:szCs w:val="18"/>
          <w:bdr w:val="none" w:sz="0" w:space="0" w:color="auto" w:frame="1"/>
        </w:rPr>
        <w:t xml:space="preserve"> Yuan, “Soft Power of International News Media: American Audiences’ Perceptions of China’s Country Image Mediated by Trust in News. </w:t>
      </w:r>
      <w:r w:rsidRPr="00A203A6">
        <w:rPr>
          <w:rFonts w:cs="Times New Roman"/>
          <w:color w:val="000000" w:themeColor="text1"/>
          <w:sz w:val="18"/>
          <w:szCs w:val="18"/>
        </w:rPr>
        <w:t xml:space="preserve">Ph.D. dissertation, University of Maryland (2017). </w:t>
      </w:r>
      <w:r w:rsidRPr="00A203A6">
        <w:rPr>
          <w:rFonts w:cs="Times New Roman"/>
          <w:color w:val="000000" w:themeColor="text1"/>
          <w:sz w:val="18"/>
          <w:szCs w:val="18"/>
          <w:shd w:val="clear" w:color="auto" w:fill="FFFFFF"/>
        </w:rPr>
        <w:t xml:space="preserve">Retrieved from </w:t>
      </w:r>
      <w:r w:rsidRPr="00A203A6">
        <w:rPr>
          <w:rFonts w:cs="Times New Roman"/>
          <w:color w:val="000000" w:themeColor="text1"/>
          <w:sz w:val="18"/>
          <w:szCs w:val="18"/>
          <w:u w:val="single"/>
          <w:shd w:val="clear" w:color="auto" w:fill="FFFFFF"/>
        </w:rPr>
        <w:t>https://drum.lib.umd.edu/handle/1903/19797</w:t>
      </w:r>
      <w:r w:rsidRPr="00A203A6">
        <w:rPr>
          <w:rStyle w:val="Hyperlink"/>
          <w:rFonts w:cs="Times New Roman"/>
          <w:color w:val="000000" w:themeColor="text1"/>
          <w:sz w:val="18"/>
          <w:szCs w:val="18"/>
          <w:u w:val="none"/>
          <w:shd w:val="clear" w:color="auto" w:fill="FFFFFF"/>
        </w:rPr>
        <w:t>.</w:t>
      </w:r>
      <w:r w:rsidRPr="00A203A6">
        <w:rPr>
          <w:rFonts w:cs="Times New Roman"/>
          <w:color w:val="000000" w:themeColor="text1"/>
          <w:sz w:val="18"/>
          <w:szCs w:val="18"/>
        </w:rPr>
        <w:t>)</w:t>
      </w:r>
    </w:p>
  </w:footnote>
  <w:footnote w:id="26">
    <w:p w14:paraId="11ADFD4B"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FSI maintained by the Fund for Peace quantifies “state legitimacy” for the purposes of its annual report. The measure produced is an independent scale variable on a 1.0 to 10.0 metric, which is based on factors relating to government effectiveness and international perceptions thereof in accordance with the previously specified definition of ‘legitimacy’ as a form of social contract deriving from consent that is conceptualized by this study. Moreover, the discussion of legitimacy that I undertake in Chapter 4 supports this use of the FSI’s state legitimacy indicator to quantify international (state) legitimacy on an abstract level. Summarily, the legitimacy of an actor, entity, or regime manifests due to an overwhelming public perception of its rightfulness. (In this sense, legitimacy constitutes the notion that the state’s governance is legal, justifiable, and significantly, that its subordinates </w:t>
      </w:r>
      <w:r w:rsidRPr="00A203A6">
        <w:rPr>
          <w:rFonts w:cs="Times New Roman"/>
          <w:i/>
          <w:iCs/>
          <w:color w:val="000000" w:themeColor="text1"/>
          <w:sz w:val="18"/>
          <w:szCs w:val="18"/>
        </w:rPr>
        <w:t>consent</w:t>
      </w:r>
      <w:r w:rsidRPr="00A203A6">
        <w:rPr>
          <w:rFonts w:cs="Times New Roman"/>
          <w:color w:val="000000" w:themeColor="text1"/>
          <w:sz w:val="18"/>
          <w:szCs w:val="18"/>
        </w:rPr>
        <w:t xml:space="preserve"> to its governance.) The legitimacy of the FSI’s state legitimacy measure thus derives not from its successful measurement of state legitimacy, but from its demonstrated recognition as the ‘best’ existing measurement of state legitimacy (used in the context of both academia and policy-making).</w:t>
      </w:r>
    </w:p>
  </w:footnote>
  <w:footnote w:id="27">
    <w:p w14:paraId="5ADAD812" w14:textId="13A9260A"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Based on email correspondence with staff at the Reuters Archives in the United Kingdom, the primary source English-language </w:t>
      </w:r>
      <w:r w:rsidR="00F74D09" w:rsidRPr="00A203A6">
        <w:rPr>
          <w:rFonts w:cs="Times New Roman"/>
          <w:color w:val="000000" w:themeColor="text1"/>
          <w:sz w:val="18"/>
          <w:szCs w:val="18"/>
        </w:rPr>
        <w:t>media</w:t>
      </w:r>
      <w:r w:rsidRPr="00A203A6">
        <w:rPr>
          <w:rFonts w:cs="Times New Roman"/>
          <w:color w:val="000000" w:themeColor="text1"/>
          <w:sz w:val="18"/>
          <w:szCs w:val="18"/>
        </w:rPr>
        <w:t xml:space="preserve"> bulletins used to calculate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I</m:t>
            </m:r>
          </m:e>
          <m:sub>
            <m:r>
              <w:rPr>
                <w:rFonts w:ascii="Cambria Math" w:hAnsi="Cambria Math" w:cs="Times New Roman"/>
                <w:color w:val="000000" w:themeColor="text1"/>
                <w:sz w:val="18"/>
                <w:szCs w:val="18"/>
              </w:rPr>
              <m:t>1</m:t>
            </m:r>
          </m:sub>
        </m:sSub>
      </m:oMath>
      <w:r w:rsidRPr="00A203A6">
        <w:rPr>
          <w:rFonts w:cs="Times New Roman"/>
          <w:color w:val="000000" w:themeColor="text1"/>
          <w:sz w:val="18"/>
          <w:szCs w:val="18"/>
        </w:rPr>
        <w:t xml:space="preserve"> are only accessible through the Dow Jones Factiva Service (DJFS). The DJFS is a global news database that aggregates content from 32 000 media sources based in 159 different states dating back to 1970. Keyword searches allow source data to be parsed on the basis of whether the data in question contains a specific key word (commonly referred to as a ‘search term’); See Appendix </w:t>
      </w:r>
      <w:r w:rsidR="002D25A7">
        <w:rPr>
          <w:rFonts w:cs="Times New Roman"/>
          <w:color w:val="000000" w:themeColor="text1"/>
          <w:sz w:val="18"/>
          <w:szCs w:val="18"/>
        </w:rPr>
        <w:t>A</w:t>
      </w:r>
      <w:r w:rsidRPr="00A203A6">
        <w:rPr>
          <w:rFonts w:cs="Times New Roman"/>
          <w:color w:val="000000" w:themeColor="text1"/>
          <w:sz w:val="18"/>
          <w:szCs w:val="18"/>
        </w:rPr>
        <w:t xml:space="preserve"> for a redacted copy of my correspondence with the Reuters staff.</w:t>
      </w:r>
    </w:p>
  </w:footnote>
  <w:footnote w:id="28">
    <w:p w14:paraId="18A022BA" w14:textId="6154FA3B"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w:t>
      </w:r>
      <w:r w:rsidR="00F74D09" w:rsidRPr="00A203A6">
        <w:rPr>
          <w:rFonts w:cs="Times New Roman"/>
          <w:color w:val="000000" w:themeColor="text1"/>
          <w:sz w:val="18"/>
          <w:szCs w:val="18"/>
        </w:rPr>
        <w:t>media</w:t>
      </w:r>
      <w:r w:rsidRPr="00A203A6">
        <w:rPr>
          <w:rFonts w:cs="Times New Roman"/>
          <w:color w:val="000000" w:themeColor="text1"/>
          <w:sz w:val="18"/>
          <w:szCs w:val="18"/>
        </w:rPr>
        <w:t xml:space="preserve"> bulletins used in the calculation of both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I</m:t>
            </m:r>
          </m:e>
          <m:sub>
            <m:r>
              <w:rPr>
                <w:rFonts w:ascii="Cambria Math" w:hAnsi="Cambria Math" w:cs="Times New Roman"/>
                <w:color w:val="000000" w:themeColor="text1"/>
                <w:sz w:val="18"/>
                <w:szCs w:val="18"/>
              </w:rPr>
              <m:t>2</m:t>
            </m:r>
          </m:sub>
        </m:sSub>
      </m:oMath>
      <w:r w:rsidRPr="00A203A6">
        <w:rPr>
          <w:rFonts w:cs="Times New Roman"/>
          <w:color w:val="000000" w:themeColor="text1"/>
          <w:sz w:val="18"/>
          <w:szCs w:val="18"/>
        </w:rPr>
        <w:t xml:space="preserve"> and </w:t>
      </w:r>
      <m:oMath>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I</m:t>
            </m:r>
          </m:e>
          <m:sub>
            <m:r>
              <w:rPr>
                <w:rFonts w:ascii="Cambria Math" w:hAnsi="Cambria Math" w:cs="Times New Roman"/>
                <w:color w:val="000000" w:themeColor="text1"/>
                <w:sz w:val="18"/>
                <w:szCs w:val="18"/>
              </w:rPr>
              <m:t>3</m:t>
            </m:r>
          </m:sub>
        </m:sSub>
      </m:oMath>
      <w:r w:rsidRPr="00A203A6">
        <w:rPr>
          <w:rFonts w:cs="Times New Roman"/>
          <w:color w:val="000000" w:themeColor="text1"/>
          <w:sz w:val="18"/>
          <w:szCs w:val="18"/>
        </w:rPr>
        <w:t xml:space="preserve"> are accessible through LexisNexis’ NexisUni database (formerly LexisNexis Academic). NexisUni is an electronic database that hosts a comprehensive archive of public record documents, including full-text newspapers, and </w:t>
      </w:r>
      <w:r w:rsidR="009571DA" w:rsidRPr="00A203A6">
        <w:rPr>
          <w:rFonts w:cs="Times New Roman"/>
          <w:color w:val="000000" w:themeColor="text1"/>
          <w:sz w:val="18"/>
          <w:szCs w:val="18"/>
        </w:rPr>
        <w:t>media</w:t>
      </w:r>
      <w:r w:rsidRPr="00A203A6">
        <w:rPr>
          <w:rFonts w:cs="Times New Roman"/>
          <w:color w:val="000000" w:themeColor="text1"/>
          <w:sz w:val="18"/>
          <w:szCs w:val="18"/>
        </w:rPr>
        <w:t xml:space="preserve"> bulletins from select international news agencies, business and legal publications, and journal articles dating back to 1970. At this point in time the Royal Military College does not grant its students access to the online, primary source databases that host the </w:t>
      </w:r>
      <w:r w:rsidR="009571DA" w:rsidRPr="00A203A6">
        <w:rPr>
          <w:rFonts w:cs="Times New Roman"/>
          <w:color w:val="000000" w:themeColor="text1"/>
          <w:sz w:val="18"/>
          <w:szCs w:val="18"/>
        </w:rPr>
        <w:t>media</w:t>
      </w:r>
      <w:r w:rsidRPr="00A203A6">
        <w:rPr>
          <w:rFonts w:cs="Times New Roman"/>
          <w:color w:val="000000" w:themeColor="text1"/>
          <w:sz w:val="18"/>
          <w:szCs w:val="18"/>
        </w:rPr>
        <w:t xml:space="preserve"> bulletins that I need to access for the purposes of the analysis conducted in this dissertation. For this reason, I utilized my prior institution’s access to </w:t>
      </w:r>
      <w:proofErr w:type="spellStart"/>
      <w:r w:rsidRPr="00A203A6">
        <w:rPr>
          <w:rFonts w:cs="Times New Roman"/>
          <w:color w:val="000000" w:themeColor="text1"/>
          <w:sz w:val="18"/>
          <w:szCs w:val="18"/>
        </w:rPr>
        <w:t>NexusUni</w:t>
      </w:r>
      <w:proofErr w:type="spellEnd"/>
      <w:r w:rsidRPr="00A203A6">
        <w:rPr>
          <w:rFonts w:cs="Times New Roman"/>
          <w:color w:val="000000" w:themeColor="text1"/>
          <w:sz w:val="18"/>
          <w:szCs w:val="18"/>
        </w:rPr>
        <w:t xml:space="preserve"> – which includes complete collections of English-language AP and AFP </w:t>
      </w:r>
      <w:r w:rsidR="009571DA" w:rsidRPr="00A203A6">
        <w:rPr>
          <w:rFonts w:cs="Times New Roman"/>
          <w:color w:val="000000" w:themeColor="text1"/>
          <w:sz w:val="18"/>
          <w:szCs w:val="18"/>
        </w:rPr>
        <w:t>media</w:t>
      </w:r>
      <w:r w:rsidRPr="00A203A6">
        <w:rPr>
          <w:rFonts w:cs="Times New Roman"/>
          <w:color w:val="000000" w:themeColor="text1"/>
          <w:sz w:val="18"/>
          <w:szCs w:val="18"/>
        </w:rPr>
        <w:t xml:space="preserve"> bulletins dating back to 1990 – to collect the relevant primary sources. See Jeffrey A. Knapp, “Nexis Uni.” </w:t>
      </w:r>
      <w:r w:rsidRPr="00A203A6">
        <w:rPr>
          <w:rFonts w:cs="Times New Roman"/>
          <w:i/>
          <w:iCs/>
          <w:color w:val="000000" w:themeColor="text1"/>
          <w:sz w:val="18"/>
          <w:szCs w:val="18"/>
        </w:rPr>
        <w:t>The Charleston Advisor</w:t>
      </w:r>
      <w:r w:rsidRPr="00A203A6">
        <w:rPr>
          <w:rFonts w:cs="Times New Roman"/>
          <w:color w:val="000000" w:themeColor="text1"/>
          <w:sz w:val="18"/>
          <w:szCs w:val="18"/>
        </w:rPr>
        <w:t xml:space="preserve"> 19, no. 3 (2018): 31-34.</w:t>
      </w:r>
    </w:p>
  </w:footnote>
  <w:footnote w:id="29">
    <w:p w14:paraId="5260FA88"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Conceiving of </w:t>
      </w:r>
      <m:oMath>
        <m:r>
          <w:rPr>
            <w:rFonts w:ascii="Cambria Math" w:hAnsi="Cambria Math" w:cs="Times New Roman"/>
            <w:color w:val="000000" w:themeColor="text1"/>
            <w:sz w:val="18"/>
            <w:szCs w:val="18"/>
          </w:rPr>
          <m:t>ρ</m:t>
        </m:r>
      </m:oMath>
      <w:r w:rsidRPr="00A203A6">
        <w:rPr>
          <w:rFonts w:cs="Times New Roman"/>
          <w:color w:val="000000" w:themeColor="text1"/>
          <w:sz w:val="18"/>
          <w:szCs w:val="18"/>
        </w:rPr>
        <w:t xml:space="preserve"> values greater than 0.2 as indicating the presence of a noteworthy correlation between ranked variables is consistent with the standard guidelines for the interpretation of Spearman correlations. See Susan Prion and Katie Anne Haerling, “Making Sense of Methods and Measurement: Spearman-Rho Ranked-Ordered Coefficient,” </w:t>
      </w:r>
      <w:r w:rsidRPr="00A203A6">
        <w:rPr>
          <w:rFonts w:cs="Times New Roman"/>
          <w:i/>
          <w:iCs/>
          <w:color w:val="000000" w:themeColor="text1"/>
          <w:sz w:val="18"/>
          <w:szCs w:val="18"/>
        </w:rPr>
        <w:t>Clinical Simulation in Nursing</w:t>
      </w:r>
      <w:r w:rsidRPr="00A203A6">
        <w:rPr>
          <w:rFonts w:cs="Times New Roman"/>
          <w:color w:val="000000" w:themeColor="text1"/>
          <w:sz w:val="18"/>
          <w:szCs w:val="18"/>
        </w:rPr>
        <w:t xml:space="preserve"> 10, no. 10 (2014): 535-536. (To substantiate that this metric is routinely used outside of research relating to nursing and healthcare, see </w:t>
      </w:r>
      <w:proofErr w:type="spellStart"/>
      <w:r w:rsidRPr="00A203A6">
        <w:rPr>
          <w:rFonts w:cs="Times New Roman"/>
          <w:color w:val="000000" w:themeColor="text1"/>
          <w:sz w:val="18"/>
          <w:szCs w:val="18"/>
        </w:rPr>
        <w:t>Malekeng</w:t>
      </w:r>
      <w:proofErr w:type="spellEnd"/>
      <w:r w:rsidRPr="00A203A6">
        <w:rPr>
          <w:rFonts w:cs="Times New Roman"/>
          <w:color w:val="000000" w:themeColor="text1"/>
          <w:sz w:val="18"/>
          <w:szCs w:val="18"/>
        </w:rPr>
        <w:t xml:space="preserve"> Sylvester </w:t>
      </w:r>
      <w:proofErr w:type="spellStart"/>
      <w:r w:rsidRPr="00A203A6">
        <w:rPr>
          <w:rFonts w:cs="Times New Roman"/>
          <w:color w:val="000000" w:themeColor="text1"/>
          <w:sz w:val="18"/>
          <w:szCs w:val="18"/>
        </w:rPr>
        <w:t>Selala</w:t>
      </w:r>
      <w:proofErr w:type="spellEnd"/>
      <w:r w:rsidRPr="00A203A6">
        <w:rPr>
          <w:rFonts w:cs="Times New Roman"/>
          <w:color w:val="000000" w:themeColor="text1"/>
          <w:sz w:val="18"/>
          <w:szCs w:val="18"/>
        </w:rPr>
        <w:t xml:space="preserve">, Aidan </w:t>
      </w:r>
      <w:proofErr w:type="spellStart"/>
      <w:r w:rsidRPr="00A203A6">
        <w:rPr>
          <w:rFonts w:cs="Times New Roman"/>
          <w:color w:val="000000" w:themeColor="text1"/>
          <w:sz w:val="18"/>
          <w:szCs w:val="18"/>
        </w:rPr>
        <w:t>Senzanje</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Khumbulani</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Dhavu</w:t>
      </w:r>
      <w:proofErr w:type="spellEnd"/>
      <w:r w:rsidRPr="00A203A6">
        <w:rPr>
          <w:rFonts w:cs="Times New Roman"/>
          <w:color w:val="000000" w:themeColor="text1"/>
          <w:sz w:val="18"/>
          <w:szCs w:val="18"/>
        </w:rPr>
        <w:t xml:space="preserve">, “Requirements for Sustainable Operation and Maintenance of Rural Small-Scale Water Infrastructure in Limpopo Province, South Africa,” </w:t>
      </w:r>
      <w:r w:rsidRPr="00A203A6">
        <w:rPr>
          <w:rFonts w:cs="Times New Roman"/>
          <w:i/>
          <w:iCs/>
          <w:color w:val="000000" w:themeColor="text1"/>
          <w:sz w:val="18"/>
          <w:szCs w:val="18"/>
        </w:rPr>
        <w:t>Water SA</w:t>
      </w:r>
      <w:r w:rsidRPr="00A203A6">
        <w:rPr>
          <w:rFonts w:cs="Times New Roman"/>
          <w:color w:val="000000" w:themeColor="text1"/>
          <w:sz w:val="18"/>
          <w:szCs w:val="18"/>
        </w:rPr>
        <w:t xml:space="preserve"> 45, no. 2 (2019): 294.)</w:t>
      </w:r>
    </w:p>
  </w:footnote>
  <w:footnote w:id="30">
    <w:p w14:paraId="6D781FC0"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coefficient of determination (</w:t>
      </w:r>
      <m:oMath>
        <m:sSup>
          <m:sSupPr>
            <m:ctrlPr>
              <w:rPr>
                <w:rFonts w:ascii="Cambria Math" w:hAnsi="Cambria Math" w:cs="Times New Roman"/>
                <w:i/>
                <w:color w:val="000000" w:themeColor="text1"/>
                <w:sz w:val="18"/>
                <w:szCs w:val="18"/>
              </w:rPr>
            </m:ctrlPr>
          </m:sSupPr>
          <m:e>
            <m:r>
              <w:rPr>
                <w:rFonts w:ascii="Cambria Math" w:hAnsi="Cambria Math" w:cs="Times New Roman"/>
                <w:color w:val="000000" w:themeColor="text1"/>
                <w:sz w:val="18"/>
                <w:szCs w:val="18"/>
              </w:rPr>
              <m:t>r</m:t>
            </m:r>
          </m:e>
          <m:sup>
            <m:r>
              <w:rPr>
                <w:rFonts w:ascii="Cambria Math" w:hAnsi="Cambria Math" w:cs="Times New Roman"/>
                <w:color w:val="000000" w:themeColor="text1"/>
                <w:sz w:val="18"/>
                <w:szCs w:val="18"/>
              </w:rPr>
              <m:t>2</m:t>
            </m:r>
          </m:sup>
        </m:sSup>
      </m:oMath>
      <w:r w:rsidRPr="00A203A6">
        <w:rPr>
          <w:rFonts w:cs="Times New Roman"/>
          <w:color w:val="000000" w:themeColor="text1"/>
          <w:sz w:val="18"/>
          <w:szCs w:val="18"/>
        </w:rPr>
        <w:t xml:space="preserve">) represents the percentage of the variance in the dependent variable that can be explained by changes in the independent variable, where all variables are associated with the same simple linear regression. See </w:t>
      </w:r>
      <w:proofErr w:type="spellStart"/>
      <w:r w:rsidRPr="00A203A6">
        <w:rPr>
          <w:rFonts w:eastAsia="Arial Unicode MS" w:cs="Times New Roman"/>
          <w:color w:val="000000" w:themeColor="text1"/>
          <w:sz w:val="18"/>
          <w:szCs w:val="18"/>
          <w:shd w:val="clear" w:color="auto" w:fill="FFFFFF"/>
        </w:rPr>
        <w:t>Sheskin</w:t>
      </w:r>
      <w:proofErr w:type="spellEnd"/>
      <w:r w:rsidRPr="00A203A6">
        <w:rPr>
          <w:rFonts w:eastAsia="Arial Unicode MS" w:cs="Times New Roman"/>
          <w:color w:val="000000" w:themeColor="text1"/>
          <w:sz w:val="18"/>
          <w:szCs w:val="18"/>
          <w:shd w:val="clear" w:color="auto" w:fill="FFFFFF"/>
        </w:rPr>
        <w:t xml:space="preserve">, </w:t>
      </w:r>
      <w:r w:rsidRPr="00A203A6">
        <w:rPr>
          <w:rFonts w:eastAsia="Arial Unicode MS" w:cs="Times New Roman"/>
          <w:i/>
          <w:iCs/>
          <w:color w:val="000000" w:themeColor="text1"/>
          <w:sz w:val="18"/>
          <w:szCs w:val="18"/>
        </w:rPr>
        <w:t>Handbook of Parametric and Nonparametric Statistical Procedures</w:t>
      </w:r>
      <w:r w:rsidRPr="00A203A6">
        <w:rPr>
          <w:rFonts w:eastAsia="Arial Unicode MS" w:cs="Times New Roman"/>
          <w:color w:val="000000" w:themeColor="text1"/>
          <w:sz w:val="18"/>
          <w:szCs w:val="18"/>
        </w:rPr>
        <w:t>, 1228-1231</w:t>
      </w:r>
      <w:r w:rsidRPr="00A203A6">
        <w:rPr>
          <w:rFonts w:cs="Times New Roman"/>
          <w:color w:val="000000" w:themeColor="text1"/>
          <w:sz w:val="18"/>
          <w:szCs w:val="18"/>
        </w:rPr>
        <w:t>.</w:t>
      </w:r>
    </w:p>
  </w:footnote>
  <w:footnote w:id="31">
    <w:p w14:paraId="3466FB9E"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Note that I do not focus on the </w:t>
      </w:r>
      <m:oMath>
        <m:sSup>
          <m:sSupPr>
            <m:ctrlPr>
              <w:rPr>
                <w:rFonts w:ascii="Cambria Math" w:hAnsi="Cambria Math" w:cs="Times New Roman"/>
                <w:i/>
                <w:color w:val="000000" w:themeColor="text1"/>
                <w:sz w:val="18"/>
                <w:szCs w:val="18"/>
              </w:rPr>
            </m:ctrlPr>
          </m:sSupPr>
          <m:e>
            <m:r>
              <w:rPr>
                <w:rFonts w:ascii="Cambria Math" w:hAnsi="Cambria Math" w:cs="Times New Roman"/>
                <w:color w:val="000000" w:themeColor="text1"/>
                <w:sz w:val="18"/>
                <w:szCs w:val="18"/>
              </w:rPr>
              <m:t>r</m:t>
            </m:r>
          </m:e>
          <m:sup>
            <m:r>
              <w:rPr>
                <w:rFonts w:ascii="Cambria Math" w:hAnsi="Cambria Math" w:cs="Times New Roman"/>
                <w:color w:val="000000" w:themeColor="text1"/>
                <w:sz w:val="18"/>
                <w:szCs w:val="18"/>
              </w:rPr>
              <m:t>2</m:t>
            </m:r>
          </m:sup>
        </m:sSup>
      </m:oMath>
      <w:r w:rsidRPr="00A203A6">
        <w:rPr>
          <w:rFonts w:cs="Times New Roman"/>
          <w:color w:val="000000" w:themeColor="text1"/>
          <w:sz w:val="18"/>
          <w:szCs w:val="18"/>
        </w:rPr>
        <w:t xml:space="preserve"> values because there are different schools of thought regarding the validity of </w:t>
      </w:r>
      <m:oMath>
        <m:sSup>
          <m:sSupPr>
            <m:ctrlPr>
              <w:rPr>
                <w:rFonts w:ascii="Cambria Math" w:hAnsi="Cambria Math" w:cs="Times New Roman"/>
                <w:i/>
                <w:color w:val="000000" w:themeColor="text1"/>
                <w:sz w:val="18"/>
                <w:szCs w:val="18"/>
              </w:rPr>
            </m:ctrlPr>
          </m:sSupPr>
          <m:e>
            <m:r>
              <w:rPr>
                <w:rFonts w:ascii="Cambria Math" w:hAnsi="Cambria Math" w:cs="Times New Roman"/>
                <w:color w:val="000000" w:themeColor="text1"/>
                <w:sz w:val="18"/>
                <w:szCs w:val="18"/>
              </w:rPr>
              <m:t>r</m:t>
            </m:r>
          </m:e>
          <m:sup>
            <m:r>
              <w:rPr>
                <w:rFonts w:ascii="Cambria Math" w:hAnsi="Cambria Math" w:cs="Times New Roman"/>
                <w:color w:val="000000" w:themeColor="text1"/>
                <w:sz w:val="18"/>
                <w:szCs w:val="18"/>
              </w:rPr>
              <m:t>2</m:t>
            </m:r>
          </m:sup>
        </m:sSup>
      </m:oMath>
      <w:r w:rsidRPr="00A203A6">
        <w:rPr>
          <w:rFonts w:eastAsiaTheme="minorEastAsia" w:cs="Times New Roman"/>
          <w:color w:val="000000" w:themeColor="text1"/>
          <w:sz w:val="18"/>
          <w:szCs w:val="18"/>
        </w:rPr>
        <w:t xml:space="preserve"> </w:t>
      </w:r>
      <w:r w:rsidRPr="00A203A6">
        <w:rPr>
          <w:rFonts w:cs="Times New Roman"/>
          <w:color w:val="000000" w:themeColor="text1"/>
          <w:sz w:val="18"/>
          <w:szCs w:val="18"/>
        </w:rPr>
        <w:t xml:space="preserve">as a measure of a statistical model’s goodness of fit. These differing opinions exist because a high </w:t>
      </w:r>
      <m:oMath>
        <m:sSup>
          <m:sSupPr>
            <m:ctrlPr>
              <w:rPr>
                <w:rFonts w:ascii="Cambria Math" w:hAnsi="Cambria Math" w:cs="Times New Roman"/>
                <w:i/>
                <w:color w:val="000000" w:themeColor="text1"/>
                <w:sz w:val="18"/>
                <w:szCs w:val="18"/>
              </w:rPr>
            </m:ctrlPr>
          </m:sSupPr>
          <m:e>
            <m:r>
              <w:rPr>
                <w:rFonts w:ascii="Cambria Math" w:hAnsi="Cambria Math" w:cs="Times New Roman"/>
                <w:color w:val="000000" w:themeColor="text1"/>
                <w:sz w:val="18"/>
                <w:szCs w:val="18"/>
              </w:rPr>
              <m:t>r</m:t>
            </m:r>
          </m:e>
          <m:sup>
            <m:r>
              <w:rPr>
                <w:rFonts w:ascii="Cambria Math" w:hAnsi="Cambria Math" w:cs="Times New Roman"/>
                <w:color w:val="000000" w:themeColor="text1"/>
                <w:sz w:val="18"/>
                <w:szCs w:val="18"/>
              </w:rPr>
              <m:t>2</m:t>
            </m:r>
          </m:sup>
        </m:sSup>
      </m:oMath>
      <w:r w:rsidRPr="00A203A6">
        <w:rPr>
          <w:rFonts w:cs="Times New Roman"/>
          <w:color w:val="000000" w:themeColor="text1"/>
          <w:sz w:val="18"/>
          <w:szCs w:val="18"/>
        </w:rPr>
        <w:t xml:space="preserve"> can occur either in the presence of misspecification of the functional form of a relationship, or due to outlier data that distorts the true relationship between the variables. See R. Arboretti Giancristofaro and L. Salmaso, “Model Performance Analysis and Model Validation in Logistic Regression,” </w:t>
      </w:r>
      <w:proofErr w:type="spellStart"/>
      <w:r w:rsidRPr="00A203A6">
        <w:rPr>
          <w:rFonts w:cs="Times New Roman"/>
          <w:i/>
          <w:iCs/>
          <w:color w:val="000000" w:themeColor="text1"/>
          <w:sz w:val="18"/>
          <w:szCs w:val="18"/>
        </w:rPr>
        <w:t>Statistica</w:t>
      </w:r>
      <w:proofErr w:type="spellEnd"/>
      <w:r w:rsidRPr="00A203A6">
        <w:rPr>
          <w:rFonts w:cs="Times New Roman"/>
          <w:color w:val="000000" w:themeColor="text1"/>
          <w:sz w:val="18"/>
          <w:szCs w:val="18"/>
        </w:rPr>
        <w:t xml:space="preserve"> 63 (2003): 375-396.</w:t>
      </w:r>
    </w:p>
  </w:footnote>
  <w:footnote w:id="32">
    <w:p w14:paraId="6DCFA168" w14:textId="02A9E943"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 control variable is </w:t>
      </w:r>
      <w:r w:rsidRPr="00A203A6">
        <w:rPr>
          <w:rFonts w:eastAsia="Times New Roman" w:cs="Times New Roman"/>
          <w:color w:val="000000" w:themeColor="text1"/>
          <w:sz w:val="18"/>
          <w:szCs w:val="18"/>
        </w:rPr>
        <w:t xml:space="preserve">a variable that is not of primary interest to the research in </w:t>
      </w:r>
      <w:r w:rsidR="00542581" w:rsidRPr="00A203A6">
        <w:rPr>
          <w:rFonts w:eastAsia="Times New Roman" w:cs="Times New Roman"/>
          <w:color w:val="000000" w:themeColor="text1"/>
          <w:sz w:val="18"/>
          <w:szCs w:val="18"/>
        </w:rPr>
        <w:t>question but</w:t>
      </w:r>
      <w:r w:rsidRPr="00A203A6">
        <w:rPr>
          <w:rFonts w:eastAsia="Times New Roman" w:cs="Times New Roman"/>
          <w:color w:val="000000" w:themeColor="text1"/>
          <w:sz w:val="18"/>
          <w:szCs w:val="18"/>
        </w:rPr>
        <w:t xml:space="preserve"> is measured to infer relationships between the main variables that the research seeks to analyze.</w:t>
      </w:r>
    </w:p>
  </w:footnote>
  <w:footnote w:id="33">
    <w:p w14:paraId="516FF7C9" w14:textId="77777777" w:rsidR="003B35D8" w:rsidRPr="00A203A6" w:rsidRDefault="003B35D8"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Masters and </w:t>
      </w:r>
      <w:proofErr w:type="spellStart"/>
      <w:r w:rsidRPr="00A203A6">
        <w:rPr>
          <w:color w:val="000000" w:themeColor="text1"/>
          <w:sz w:val="18"/>
          <w:szCs w:val="18"/>
        </w:rPr>
        <w:t>Hoen</w:t>
      </w:r>
      <w:proofErr w:type="spellEnd"/>
      <w:r w:rsidRPr="00A203A6">
        <w:rPr>
          <w:color w:val="000000" w:themeColor="text1"/>
          <w:sz w:val="18"/>
          <w:szCs w:val="18"/>
        </w:rPr>
        <w:t>, “State Legitimacy and Terrorism,” 348.</w:t>
      </w:r>
    </w:p>
  </w:footnote>
  <w:footnote w:id="34">
    <w:p w14:paraId="4F81AE2A" w14:textId="77777777" w:rsidR="003B35D8" w:rsidRPr="00A203A6" w:rsidRDefault="003B35D8"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Masters and </w:t>
      </w:r>
      <w:proofErr w:type="spellStart"/>
      <w:r w:rsidRPr="00A203A6">
        <w:rPr>
          <w:color w:val="000000" w:themeColor="text1"/>
          <w:sz w:val="18"/>
          <w:szCs w:val="18"/>
        </w:rPr>
        <w:t>Hoen</w:t>
      </w:r>
      <w:proofErr w:type="spellEnd"/>
      <w:r w:rsidRPr="00A203A6">
        <w:rPr>
          <w:color w:val="000000" w:themeColor="text1"/>
          <w:sz w:val="18"/>
          <w:szCs w:val="18"/>
        </w:rPr>
        <w:t xml:space="preserve"> operationally define </w:t>
      </w:r>
      <w:r w:rsidRPr="00A203A6">
        <w:rPr>
          <w:i/>
          <w:iCs/>
          <w:color w:val="000000" w:themeColor="text1"/>
          <w:sz w:val="18"/>
          <w:szCs w:val="18"/>
        </w:rPr>
        <w:t>durability</w:t>
      </w:r>
      <w:r w:rsidRPr="00A203A6">
        <w:rPr>
          <w:color w:val="000000" w:themeColor="text1"/>
          <w:sz w:val="18"/>
          <w:szCs w:val="18"/>
        </w:rPr>
        <w:t xml:space="preserve"> as “the measure of the years that the current [political] regime has held power,” conceptualizing it as inversely correlated with terrorist activity. They use </w:t>
      </w:r>
      <w:r w:rsidRPr="00A203A6">
        <w:rPr>
          <w:i/>
          <w:iCs/>
          <w:color w:val="000000" w:themeColor="text1"/>
          <w:sz w:val="18"/>
          <w:szCs w:val="18"/>
        </w:rPr>
        <w:t>ethnic fragmentation</w:t>
      </w:r>
      <w:r w:rsidRPr="00A203A6">
        <w:rPr>
          <w:color w:val="000000" w:themeColor="text1"/>
          <w:sz w:val="18"/>
          <w:szCs w:val="18"/>
        </w:rPr>
        <w:t xml:space="preserve"> to account for the total level of ethnic heterogeneity in a given country, calculated on the basis of the Ethnic Heterogeneity Index (EHI) and understood to positively correlate with domestic terrorist activity. See Masters and </w:t>
      </w:r>
      <w:proofErr w:type="spellStart"/>
      <w:r w:rsidRPr="00A203A6">
        <w:rPr>
          <w:color w:val="000000" w:themeColor="text1"/>
          <w:sz w:val="18"/>
          <w:szCs w:val="18"/>
        </w:rPr>
        <w:t>Hoen</w:t>
      </w:r>
      <w:proofErr w:type="spellEnd"/>
      <w:r w:rsidRPr="00A203A6">
        <w:rPr>
          <w:color w:val="000000" w:themeColor="text1"/>
          <w:sz w:val="18"/>
          <w:szCs w:val="18"/>
        </w:rPr>
        <w:t>. “State Legitimacy and Terrorism,” 349-350.</w:t>
      </w:r>
    </w:p>
  </w:footnote>
  <w:footnote w:id="35">
    <w:p w14:paraId="3D035A6C" w14:textId="77777777" w:rsidR="003B35D8" w:rsidRPr="00A203A6" w:rsidRDefault="003B35D8"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Krisztina </w:t>
      </w:r>
      <w:proofErr w:type="spellStart"/>
      <w:r w:rsidRPr="00A203A6">
        <w:rPr>
          <w:color w:val="000000" w:themeColor="text1"/>
          <w:sz w:val="18"/>
          <w:szCs w:val="18"/>
        </w:rPr>
        <w:t>Kis-Katos</w:t>
      </w:r>
      <w:proofErr w:type="spellEnd"/>
      <w:r w:rsidRPr="00A203A6">
        <w:rPr>
          <w:color w:val="000000" w:themeColor="text1"/>
          <w:sz w:val="18"/>
          <w:szCs w:val="18"/>
        </w:rPr>
        <w:t xml:space="preserve">, Helge Liebert, and Günther G. Schultz, “On the Origin of Domestic and International Terrorism,” </w:t>
      </w:r>
      <w:r w:rsidRPr="00A203A6">
        <w:rPr>
          <w:i/>
          <w:iCs/>
          <w:color w:val="000000" w:themeColor="text1"/>
          <w:sz w:val="18"/>
          <w:szCs w:val="18"/>
        </w:rPr>
        <w:t>European Journal of Political Economy</w:t>
      </w:r>
      <w:r w:rsidRPr="00A203A6">
        <w:rPr>
          <w:color w:val="000000" w:themeColor="text1"/>
          <w:sz w:val="18"/>
          <w:szCs w:val="18"/>
        </w:rPr>
        <w:t xml:space="preserve"> 27 (2011): 517-536, as cited in Masters and </w:t>
      </w:r>
      <w:proofErr w:type="spellStart"/>
      <w:r w:rsidRPr="00A203A6">
        <w:rPr>
          <w:color w:val="000000" w:themeColor="text1"/>
          <w:sz w:val="18"/>
          <w:szCs w:val="18"/>
        </w:rPr>
        <w:t>Hoen</w:t>
      </w:r>
      <w:proofErr w:type="spellEnd"/>
      <w:r w:rsidRPr="00A203A6">
        <w:rPr>
          <w:color w:val="000000" w:themeColor="text1"/>
          <w:sz w:val="18"/>
          <w:szCs w:val="18"/>
        </w:rPr>
        <w:t>. “State Legitimacy and Terrorism,” 349.</w:t>
      </w:r>
    </w:p>
  </w:footnote>
  <w:footnote w:id="36">
    <w:p w14:paraId="44B0C0EB" w14:textId="77777777" w:rsidR="003B35D8" w:rsidRPr="00A203A6" w:rsidRDefault="003B35D8" w:rsidP="00787EBB">
      <w:pPr>
        <w:spacing w:before="0" w:after="80"/>
        <w:rPr>
          <w:rFonts w:eastAsia="Times New Roman"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eastAsia="Times New Roman" w:cs="Times New Roman"/>
          <w:color w:val="000000" w:themeColor="text1"/>
          <w:sz w:val="18"/>
          <w:szCs w:val="18"/>
          <w:shd w:val="clear" w:color="auto" w:fill="FFFFFF"/>
        </w:rPr>
        <w:t>National Consortium for the Study of Terrorism and Responses to Terrorism (START). Global Terrorism Database Codebook: Inclusion criteria and variables. (College Park: University of Maryland, 2015): 8.</w:t>
      </w:r>
      <w:r w:rsidRPr="00A203A6">
        <w:rPr>
          <w:rFonts w:eastAsia="Times New Roman" w:cs="Times New Roman"/>
          <w:color w:val="000000" w:themeColor="text1"/>
          <w:sz w:val="18"/>
          <w:szCs w:val="18"/>
        </w:rPr>
        <w:t xml:space="preserve"> </w:t>
      </w:r>
    </w:p>
  </w:footnote>
  <w:footnote w:id="37">
    <w:p w14:paraId="4BE5CF7D" w14:textId="77777777" w:rsidR="003B35D8" w:rsidRPr="00A203A6" w:rsidRDefault="003B35D8"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w:t>
      </w:r>
      <w:proofErr w:type="spellStart"/>
      <w:r w:rsidRPr="00A203A6">
        <w:rPr>
          <w:color w:val="000000" w:themeColor="text1"/>
          <w:sz w:val="18"/>
          <w:szCs w:val="18"/>
        </w:rPr>
        <w:t>Jianbo</w:t>
      </w:r>
      <w:proofErr w:type="spellEnd"/>
      <w:r w:rsidRPr="00A203A6">
        <w:rPr>
          <w:color w:val="000000" w:themeColor="text1"/>
          <w:sz w:val="18"/>
          <w:szCs w:val="18"/>
        </w:rPr>
        <w:t xml:space="preserve"> Gao, Peng Fang and </w:t>
      </w:r>
      <w:proofErr w:type="spellStart"/>
      <w:r w:rsidRPr="00A203A6">
        <w:rPr>
          <w:color w:val="000000" w:themeColor="text1"/>
          <w:sz w:val="18"/>
          <w:szCs w:val="18"/>
        </w:rPr>
        <w:t>Feiyan</w:t>
      </w:r>
      <w:proofErr w:type="spellEnd"/>
      <w:r w:rsidRPr="00A203A6">
        <w:rPr>
          <w:color w:val="000000" w:themeColor="text1"/>
          <w:sz w:val="18"/>
          <w:szCs w:val="18"/>
        </w:rPr>
        <w:t xml:space="preserve"> Liu, “Empirical Scaling Law Connecting Persistence and Severity of Global Terrorism,” </w:t>
      </w:r>
      <w:proofErr w:type="spellStart"/>
      <w:r w:rsidRPr="00A203A6">
        <w:rPr>
          <w:i/>
          <w:iCs/>
          <w:color w:val="000000" w:themeColor="text1"/>
          <w:sz w:val="18"/>
          <w:szCs w:val="18"/>
        </w:rPr>
        <w:t>Physica</w:t>
      </w:r>
      <w:proofErr w:type="spellEnd"/>
      <w:r w:rsidRPr="00A203A6">
        <w:rPr>
          <w:i/>
          <w:iCs/>
          <w:color w:val="000000" w:themeColor="text1"/>
          <w:sz w:val="18"/>
          <w:szCs w:val="18"/>
        </w:rPr>
        <w:t xml:space="preserve"> A: Statistical Mechanics and its Applications</w:t>
      </w:r>
      <w:r w:rsidRPr="00A203A6">
        <w:rPr>
          <w:color w:val="000000" w:themeColor="text1"/>
          <w:sz w:val="18"/>
          <w:szCs w:val="18"/>
        </w:rPr>
        <w:t xml:space="preserve">, </w:t>
      </w:r>
      <w:r w:rsidRPr="00A203A6">
        <w:rPr>
          <w:i/>
          <w:iCs/>
          <w:color w:val="000000" w:themeColor="text1"/>
          <w:sz w:val="18"/>
          <w:szCs w:val="18"/>
        </w:rPr>
        <w:t>482</w:t>
      </w:r>
      <w:r w:rsidRPr="00A203A6">
        <w:rPr>
          <w:color w:val="000000" w:themeColor="text1"/>
          <w:sz w:val="18"/>
          <w:szCs w:val="18"/>
        </w:rPr>
        <w:t>, 74–86.</w:t>
      </w:r>
    </w:p>
    <w:p w14:paraId="4A55B943" w14:textId="77777777" w:rsidR="003B35D8" w:rsidRPr="00A203A6" w:rsidRDefault="003B35D8" w:rsidP="00787EBB">
      <w:pPr>
        <w:pStyle w:val="NormalWeb"/>
        <w:spacing w:before="0" w:beforeAutospacing="0" w:after="80" w:afterAutospacing="0"/>
        <w:rPr>
          <w:color w:val="000000" w:themeColor="text1"/>
          <w:sz w:val="18"/>
          <w:szCs w:val="18"/>
        </w:rPr>
      </w:pPr>
      <w:r w:rsidRPr="00A203A6">
        <w:rPr>
          <w:color w:val="000000" w:themeColor="text1"/>
          <w:sz w:val="18"/>
          <w:szCs w:val="18"/>
        </w:rPr>
        <w:t xml:space="preserve">See Gary </w:t>
      </w:r>
      <w:proofErr w:type="spellStart"/>
      <w:r w:rsidRPr="00A203A6">
        <w:rPr>
          <w:color w:val="000000" w:themeColor="text1"/>
          <w:sz w:val="18"/>
          <w:szCs w:val="18"/>
        </w:rPr>
        <w:t>LaFree</w:t>
      </w:r>
      <w:proofErr w:type="spellEnd"/>
      <w:r w:rsidRPr="00A203A6">
        <w:rPr>
          <w:color w:val="000000" w:themeColor="text1"/>
          <w:sz w:val="18"/>
          <w:szCs w:val="18"/>
        </w:rPr>
        <w:t>, Laura Dugan, Heather V. Fogg and Jeffrey Scott, “Building a Global Terrorism Database,” Federally Funded Grant Report Produced at the University of Maryland (2006) for an in-depth evaluation of the data collected by the GTD. This report also includes a comparison between GTD data and the other commonly referenced open-source datasets on terrorist activity (including, but not limited to, the International Terrorism: Attributes of Terrorist Events (ITERATE) project and the database maintained by the RAND corporation).</w:t>
      </w:r>
    </w:p>
  </w:footnote>
  <w:footnote w:id="38">
    <w:p w14:paraId="55B12AC9" w14:textId="77777777" w:rsidR="003B35D8" w:rsidRPr="00A203A6" w:rsidRDefault="003B35D8" w:rsidP="00787EBB">
      <w:pPr>
        <w:spacing w:before="0" w:after="80"/>
        <w:rPr>
          <w:rFonts w:cs="Times New Roman"/>
          <w:b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bCs/>
          <w:color w:val="000000" w:themeColor="text1"/>
          <w:sz w:val="18"/>
          <w:szCs w:val="18"/>
        </w:rPr>
        <w:t xml:space="preserve">In order to control for endogeneity, the </w:t>
      </w:r>
      <w:r w:rsidRPr="00A203A6">
        <w:rPr>
          <w:rFonts w:cs="Times New Roman"/>
          <w:bCs/>
          <w:i/>
          <w:iCs/>
          <w:color w:val="000000" w:themeColor="text1"/>
          <w:sz w:val="18"/>
          <w:szCs w:val="18"/>
        </w:rPr>
        <w:t>history of terrorism</w:t>
      </w:r>
      <w:r w:rsidRPr="00A203A6">
        <w:rPr>
          <w:rFonts w:cs="Times New Roman"/>
          <w:bCs/>
          <w:color w:val="000000" w:themeColor="text1"/>
          <w:sz w:val="18"/>
          <w:szCs w:val="18"/>
        </w:rPr>
        <w:t xml:space="preserve"> control variable is lagged </w:t>
      </w:r>
      <w:r w:rsidRPr="00A203A6">
        <w:rPr>
          <w:rFonts w:cs="Times New Roman"/>
          <w:color w:val="000000" w:themeColor="text1"/>
          <w:sz w:val="18"/>
          <w:szCs w:val="18"/>
        </w:rPr>
        <w:t>by an interval of one day (mirroring the calculation of media coverage of terrorism as the independent variable associated with this study). All other control variables (both capability variables, income, population) are constant, based on annual measurements from the sources indicated.</w:t>
      </w:r>
    </w:p>
  </w:footnote>
  <w:footnote w:id="39">
    <w:p w14:paraId="611324FD" w14:textId="7D665253" w:rsidR="00AC35F3" w:rsidRPr="00AC35F3" w:rsidRDefault="00AC35F3" w:rsidP="00AC35F3">
      <w:pPr>
        <w:spacing w:before="0"/>
        <w:rPr>
          <w:sz w:val="18"/>
          <w:szCs w:val="18"/>
        </w:rPr>
      </w:pPr>
      <w:r w:rsidRPr="00AC35F3">
        <w:rPr>
          <w:rStyle w:val="FootnoteReference"/>
          <w:sz w:val="18"/>
          <w:szCs w:val="18"/>
        </w:rPr>
        <w:footnoteRef/>
      </w:r>
      <w:r w:rsidRPr="00AC35F3">
        <w:rPr>
          <w:sz w:val="18"/>
          <w:szCs w:val="18"/>
        </w:rPr>
        <w:t xml:space="preserve"> “Operationalizing this study’s </w:t>
      </w:r>
      <w:r w:rsidRPr="00AC35F3">
        <w:rPr>
          <w:i/>
          <w:iCs/>
          <w:sz w:val="18"/>
          <w:szCs w:val="18"/>
        </w:rPr>
        <w:t xml:space="preserve">capability </w:t>
      </w:r>
      <w:r w:rsidRPr="00AC35F3">
        <w:rPr>
          <w:sz w:val="18"/>
          <w:szCs w:val="18"/>
        </w:rPr>
        <w:t>variable in this manner also assumes that I nominally define capability in the material sense of the term, and – to some extent – that I view Joseph Nye Jr’s understanding of hard power as necessarily foundational to how capability manifests in the practice of international relations. See Robert O. Keohane and Joseph S. Nye Jr.,</w:t>
      </w:r>
      <w:r w:rsidRPr="00AC35F3">
        <w:rPr>
          <w:i/>
          <w:iCs/>
          <w:sz w:val="18"/>
          <w:szCs w:val="18"/>
        </w:rPr>
        <w:t xml:space="preserve"> Power and Interdependence</w:t>
      </w:r>
      <w:r>
        <w:rPr>
          <w:sz w:val="18"/>
          <w:szCs w:val="18"/>
        </w:rPr>
        <w:t xml:space="preserve"> (4</w:t>
      </w:r>
      <w:r w:rsidRPr="00AC35F3">
        <w:rPr>
          <w:sz w:val="18"/>
          <w:szCs w:val="18"/>
          <w:vertAlign w:val="superscript"/>
        </w:rPr>
        <w:t>th</w:t>
      </w:r>
      <w:r>
        <w:rPr>
          <w:sz w:val="18"/>
          <w:szCs w:val="18"/>
        </w:rPr>
        <w:t xml:space="preserve"> </w:t>
      </w:r>
      <w:proofErr w:type="gramStart"/>
      <w:r>
        <w:rPr>
          <w:sz w:val="18"/>
          <w:szCs w:val="18"/>
        </w:rPr>
        <w:t>ed.)(</w:t>
      </w:r>
      <w:proofErr w:type="gramEnd"/>
      <w:r>
        <w:rPr>
          <w:sz w:val="18"/>
          <w:szCs w:val="18"/>
        </w:rPr>
        <w:t>Boston, MA: Longman, 2012).</w:t>
      </w:r>
    </w:p>
  </w:footnote>
  <w:footnote w:id="40">
    <w:p w14:paraId="08C34CFF"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 identify the following high coverage dates: 16 April 2013, 14 November 2015, 16 November 2015, 17 November 2015, 18 November 2015, 19 November 2015, 15 July 2016. Correspondingly, I also identify the following low coverage dates: 15 September 2013, 10 November 2013, 24 November 2013, 1 December 2013, 2 February 2014, 5 July 2014, 12 October 2014, 2 November 2014, 4 July 2015, 30 April 2016, 28 May 2016, 29 May 2016, 5 August 2017, 30 September 2017, 28 October 2017, 2 December 2017, 3 December 2017, 16 December 2017, 6 January 2018, 7 January 2018, 5 May 2018, 20 May 2018, 27 May 2018, 7 July 2018, 19 August 2018, 16 September 2018, 6 October 2018, 21 October 2018, 3 November 2018, 17 November 2018, 18 November 2018, 2 December 2018, 8 December 2018, and 9 December 2018.</w:t>
      </w:r>
    </w:p>
  </w:footnote>
  <w:footnote w:id="41">
    <w:p w14:paraId="476D7C4C" w14:textId="6A653671"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w:t>
      </w:r>
      <w:r w:rsidRPr="00A203A6">
        <w:rPr>
          <w:rFonts w:cs="Times New Roman"/>
          <w:i/>
          <w:iCs/>
          <w:color w:val="000000" w:themeColor="text1"/>
          <w:sz w:val="18"/>
          <w:szCs w:val="18"/>
        </w:rPr>
        <w:t>mean</w:t>
      </w:r>
      <w:r w:rsidRPr="00A203A6">
        <w:rPr>
          <w:rFonts w:cs="Times New Roman"/>
          <w:color w:val="000000" w:themeColor="text1"/>
          <w:sz w:val="18"/>
          <w:szCs w:val="18"/>
        </w:rPr>
        <w:t xml:space="preserve"> refers to the average of the scores provided in a dataset. </w:t>
      </w:r>
      <w:r w:rsidRPr="00A203A6">
        <w:rPr>
          <w:rFonts w:cs="Times New Roman"/>
          <w:i/>
          <w:iCs/>
          <w:color w:val="000000" w:themeColor="text1"/>
          <w:sz w:val="18"/>
          <w:szCs w:val="18"/>
        </w:rPr>
        <w:t>Standard deviation (</w:t>
      </w:r>
      <m:oMath>
        <m:r>
          <w:rPr>
            <w:rFonts w:ascii="Cambria Math" w:hAnsi="Cambria Math" w:cs="Times New Roman"/>
            <w:color w:val="000000" w:themeColor="text1"/>
            <w:sz w:val="18"/>
            <w:szCs w:val="18"/>
          </w:rPr>
          <m:t>s</m:t>
        </m:r>
      </m:oMath>
      <w:r w:rsidRPr="00A203A6">
        <w:rPr>
          <w:rFonts w:cs="Times New Roman"/>
          <w:i/>
          <w:iCs/>
          <w:color w:val="000000" w:themeColor="text1"/>
          <w:sz w:val="18"/>
          <w:szCs w:val="18"/>
        </w:rPr>
        <w:t>)</w:t>
      </w:r>
      <w:r w:rsidRPr="00A203A6">
        <w:rPr>
          <w:rFonts w:cs="Times New Roman"/>
          <w:color w:val="000000" w:themeColor="text1"/>
          <w:sz w:val="18"/>
          <w:szCs w:val="18"/>
        </w:rPr>
        <w:t xml:space="preserve"> indicates the average amount that a set of numerical values deviates from their mean. </w:t>
      </w:r>
      <m:oMath>
        <m:r>
          <w:rPr>
            <w:rFonts w:ascii="Cambria Math" w:hAnsi="Cambria Math" w:cs="Times New Roman"/>
            <w:color w:val="000000" w:themeColor="text1"/>
            <w:sz w:val="18"/>
            <w:szCs w:val="18"/>
          </w:rPr>
          <m:t>t</m:t>
        </m:r>
      </m:oMath>
      <w:r w:rsidRPr="00A203A6">
        <w:rPr>
          <w:rFonts w:cs="Times New Roman"/>
          <w:i/>
          <w:iCs/>
          <w:color w:val="000000" w:themeColor="text1"/>
          <w:sz w:val="18"/>
          <w:szCs w:val="18"/>
        </w:rPr>
        <w:t>-score</w:t>
      </w:r>
      <w:r w:rsidRPr="00A203A6">
        <w:rPr>
          <w:rFonts w:cs="Times New Roman"/>
          <w:color w:val="000000" w:themeColor="text1"/>
          <w:sz w:val="18"/>
          <w:szCs w:val="18"/>
        </w:rPr>
        <w:t xml:space="preserve"> describes the extent to which a specific piece of data in a dataset differs from the mean of that same dataset. Significantly, in any distribution (dataset), approximately 95% of the values (individual pieces of data) will fall within 2 </w:t>
      </w:r>
      <m:oMath>
        <m:r>
          <w:rPr>
            <w:rFonts w:ascii="Cambria Math" w:hAnsi="Cambria Math" w:cs="Times New Roman"/>
            <w:color w:val="000000" w:themeColor="text1"/>
            <w:sz w:val="18"/>
            <w:szCs w:val="18"/>
          </w:rPr>
          <m:t>s</m:t>
        </m:r>
      </m:oMath>
      <w:r w:rsidRPr="00A203A6">
        <w:rPr>
          <w:rFonts w:cs="Times New Roman"/>
          <w:color w:val="000000" w:themeColor="text1"/>
          <w:sz w:val="18"/>
          <w:szCs w:val="18"/>
        </w:rPr>
        <w:t xml:space="preserve">s of its mean. (This corresponds to a </w:t>
      </w:r>
      <m:oMath>
        <m:r>
          <w:rPr>
            <w:rFonts w:ascii="Cambria Math" w:hAnsi="Cambria Math" w:cs="Times New Roman"/>
            <w:color w:val="000000" w:themeColor="text1"/>
            <w:sz w:val="18"/>
            <w:szCs w:val="18"/>
          </w:rPr>
          <m:t>t</m:t>
        </m:r>
      </m:oMath>
      <w:r w:rsidRPr="00A203A6">
        <w:rPr>
          <w:rFonts w:cs="Times New Roman"/>
          <w:color w:val="000000" w:themeColor="text1"/>
          <w:sz w:val="18"/>
          <w:szCs w:val="18"/>
        </w:rPr>
        <w:t>-score of between 1.0 and 5.0.) Before calculating these statistics, I determined that these ratios are normally distributed using the standard, graphical method to assess normality. (So, I plotted the variable data on a histogram and compared it to a normal (Gaussian) approximation curve.)</w:t>
      </w:r>
    </w:p>
  </w:footnote>
  <w:footnote w:id="42">
    <w:p w14:paraId="4E464926"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QDAMiner</w:t>
      </w:r>
      <w:proofErr w:type="spellEnd"/>
      <w:r w:rsidRPr="00A203A6">
        <w:rPr>
          <w:rFonts w:cs="Times New Roman"/>
          <w:color w:val="000000" w:themeColor="text1"/>
          <w:sz w:val="18"/>
          <w:szCs w:val="18"/>
        </w:rPr>
        <w:t xml:space="preserve"> compares individual segments of text to determine the percentage of content that is shared between individual cases, assigning retrieved text segments a score that ranges from 0 (when the compared items share no features, and can thus be considered completely unique) to 1 (indicating that two features are identical to one another). See </w:t>
      </w:r>
      <w:proofErr w:type="spellStart"/>
      <w:r w:rsidRPr="00A203A6">
        <w:rPr>
          <w:rFonts w:cs="Times New Roman"/>
          <w:color w:val="000000" w:themeColor="text1"/>
          <w:sz w:val="18"/>
          <w:szCs w:val="18"/>
        </w:rPr>
        <w:t>Provalis</w:t>
      </w:r>
      <w:proofErr w:type="spellEnd"/>
      <w:r w:rsidRPr="00A203A6">
        <w:rPr>
          <w:rFonts w:cs="Times New Roman"/>
          <w:color w:val="000000" w:themeColor="text1"/>
          <w:sz w:val="18"/>
          <w:szCs w:val="18"/>
        </w:rPr>
        <w:t xml:space="preserve"> Research, “QDA Miner 6 User’s Guide.” </w:t>
      </w:r>
      <w:proofErr w:type="spellStart"/>
      <w:r w:rsidRPr="00A203A6">
        <w:rPr>
          <w:rFonts w:cs="Times New Roman"/>
          <w:color w:val="000000" w:themeColor="text1"/>
          <w:sz w:val="18"/>
          <w:szCs w:val="18"/>
        </w:rPr>
        <w:t>Provalis</w:t>
      </w:r>
      <w:proofErr w:type="spellEnd"/>
      <w:r w:rsidRPr="00A203A6">
        <w:rPr>
          <w:rFonts w:cs="Times New Roman"/>
          <w:color w:val="000000" w:themeColor="text1"/>
          <w:sz w:val="18"/>
          <w:szCs w:val="18"/>
        </w:rPr>
        <w:t xml:space="preserve"> Research, 2020. </w:t>
      </w:r>
      <w:r w:rsidRPr="00A203A6">
        <w:rPr>
          <w:rFonts w:cs="Times New Roman"/>
          <w:color w:val="000000" w:themeColor="text1"/>
          <w:sz w:val="18"/>
          <w:szCs w:val="18"/>
          <w:u w:val="single"/>
        </w:rPr>
        <w:t>https://q9j3s8w6.rocketcdn.me/Documents/QDAMiner6.pdf</w:t>
      </w:r>
      <w:r w:rsidRPr="00A203A6">
        <w:rPr>
          <w:rFonts w:cs="Times New Roman"/>
          <w:color w:val="000000" w:themeColor="text1"/>
          <w:sz w:val="18"/>
          <w:szCs w:val="18"/>
        </w:rPr>
        <w:t xml:space="preserve"> (accessed March 25, 2023).</w:t>
      </w:r>
    </w:p>
  </w:footnote>
  <w:footnote w:id="43">
    <w:p w14:paraId="797112F7"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WordStat</w:t>
      </w:r>
      <w:proofErr w:type="spellEnd"/>
      <w:r w:rsidRPr="00A203A6">
        <w:rPr>
          <w:rFonts w:cs="Times New Roman"/>
          <w:color w:val="000000" w:themeColor="text1"/>
          <w:sz w:val="18"/>
          <w:szCs w:val="18"/>
        </w:rPr>
        <w:t xml:space="preserve"> determines co-occurrence frequencies by calculating the Jaccard similarity coefficient associated with each type of bias in comparison with each of the other types of bias individually. (In order to compare the different types of bias, each is conceptualized as an individual dataset.) The Jaccard coefficient constitutes a numerical representation of a similarity comparison calculated as the size of the intersection between the two datasets (so, the number of elements included in </w:t>
      </w:r>
      <w:r w:rsidRPr="00A203A6">
        <w:rPr>
          <w:rFonts w:cs="Times New Roman"/>
          <w:i/>
          <w:iCs/>
          <w:color w:val="000000" w:themeColor="text1"/>
          <w:sz w:val="18"/>
          <w:szCs w:val="18"/>
        </w:rPr>
        <w:t>both</w:t>
      </w:r>
      <w:r w:rsidRPr="00A203A6">
        <w:rPr>
          <w:rFonts w:cs="Times New Roman"/>
          <w:color w:val="000000" w:themeColor="text1"/>
          <w:sz w:val="18"/>
          <w:szCs w:val="18"/>
        </w:rPr>
        <w:t xml:space="preserve"> Dataset A and Dataset B), divided by the size of the union of the two datasets (all of the elements included in </w:t>
      </w:r>
      <w:r w:rsidRPr="00A203A6">
        <w:rPr>
          <w:rFonts w:cs="Times New Roman"/>
          <w:i/>
          <w:iCs/>
          <w:color w:val="000000" w:themeColor="text1"/>
          <w:sz w:val="18"/>
          <w:szCs w:val="18"/>
        </w:rPr>
        <w:t>either</w:t>
      </w:r>
      <w:r w:rsidRPr="00A203A6">
        <w:rPr>
          <w:rFonts w:cs="Times New Roman"/>
          <w:color w:val="000000" w:themeColor="text1"/>
          <w:sz w:val="18"/>
          <w:szCs w:val="18"/>
        </w:rPr>
        <w:t xml:space="preserve"> Dataset A </w:t>
      </w:r>
      <w:r w:rsidRPr="00A203A6">
        <w:rPr>
          <w:rFonts w:cs="Times New Roman"/>
          <w:i/>
          <w:iCs/>
          <w:color w:val="000000" w:themeColor="text1"/>
          <w:sz w:val="18"/>
          <w:szCs w:val="18"/>
        </w:rPr>
        <w:t>or</w:t>
      </w:r>
      <w:r w:rsidRPr="00A203A6">
        <w:rPr>
          <w:rFonts w:cs="Times New Roman"/>
          <w:color w:val="000000" w:themeColor="text1"/>
          <w:sz w:val="18"/>
          <w:szCs w:val="18"/>
        </w:rPr>
        <w:t xml:space="preserve"> Dataset B). The value of a Jaccard coefficient can range from 0 (which indicates that there are elements common to the two datasets being compared) to 1 (which indicates that the two datasets are identical). See </w:t>
      </w:r>
      <w:proofErr w:type="spellStart"/>
      <w:r w:rsidRPr="00A203A6">
        <w:rPr>
          <w:rFonts w:cs="Times New Roman"/>
          <w:color w:val="000000" w:themeColor="text1"/>
          <w:sz w:val="18"/>
          <w:szCs w:val="18"/>
          <w:shd w:val="clear" w:color="auto" w:fill="FFFFFF"/>
        </w:rPr>
        <w:t>Suphakit</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Niwattanakul</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Jatsada</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Singthongchai</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Ekkachai</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Naenudorn</w:t>
      </w:r>
      <w:proofErr w:type="spellEnd"/>
      <w:r w:rsidRPr="00A203A6">
        <w:rPr>
          <w:rFonts w:cs="Times New Roman"/>
          <w:color w:val="000000" w:themeColor="text1"/>
          <w:sz w:val="18"/>
          <w:szCs w:val="18"/>
          <w:shd w:val="clear" w:color="auto" w:fill="FFFFFF"/>
        </w:rPr>
        <w:t xml:space="preserve">, and </w:t>
      </w:r>
      <w:proofErr w:type="spellStart"/>
      <w:r w:rsidRPr="00A203A6">
        <w:rPr>
          <w:rFonts w:cs="Times New Roman"/>
          <w:color w:val="000000" w:themeColor="text1"/>
          <w:sz w:val="18"/>
          <w:szCs w:val="18"/>
          <w:shd w:val="clear" w:color="auto" w:fill="FFFFFF"/>
        </w:rPr>
        <w:t>Supachanun</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Wanapu</w:t>
      </w:r>
      <w:proofErr w:type="spellEnd"/>
      <w:r w:rsidRPr="00A203A6">
        <w:rPr>
          <w:rFonts w:cs="Times New Roman"/>
          <w:color w:val="000000" w:themeColor="text1"/>
          <w:sz w:val="18"/>
          <w:szCs w:val="18"/>
          <w:shd w:val="clear" w:color="auto" w:fill="FFFFFF"/>
        </w:rPr>
        <w:t xml:space="preserve">, "Using of Jaccard Coefficient for Keywords Similarity." </w:t>
      </w:r>
      <w:r w:rsidRPr="00A203A6">
        <w:rPr>
          <w:rFonts w:cs="Times New Roman"/>
          <w:i/>
          <w:iCs/>
          <w:color w:val="000000" w:themeColor="text1"/>
          <w:sz w:val="18"/>
          <w:szCs w:val="18"/>
          <w:shd w:val="clear" w:color="auto" w:fill="FFFFFF"/>
        </w:rPr>
        <w:t>Proceedings of the International Multiconference of Engineers and Computer Scientists</w:t>
      </w:r>
      <w:r w:rsidRPr="00A203A6">
        <w:rPr>
          <w:rFonts w:cs="Times New Roman"/>
          <w:color w:val="000000" w:themeColor="text1"/>
          <w:sz w:val="18"/>
          <w:szCs w:val="18"/>
          <w:shd w:val="clear" w:color="auto" w:fill="FFFFFF"/>
        </w:rPr>
        <w:t xml:space="preserve"> 1, no. 6 (2013): 380-384.</w:t>
      </w:r>
    </w:p>
  </w:footnote>
  <w:footnote w:id="44">
    <w:p w14:paraId="01F1779C" w14:textId="5CD15212"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For the purposes of conducting keyword searches of the </w:t>
      </w:r>
      <w:proofErr w:type="spellStart"/>
      <w:r w:rsidRPr="00A203A6">
        <w:rPr>
          <w:rFonts w:cs="Times New Roman"/>
          <w:color w:val="000000" w:themeColor="text1"/>
          <w:sz w:val="18"/>
          <w:szCs w:val="18"/>
        </w:rPr>
        <w:t>NexisUni</w:t>
      </w:r>
      <w:proofErr w:type="spellEnd"/>
      <w:r w:rsidRPr="00A203A6">
        <w:rPr>
          <w:rFonts w:cs="Times New Roman"/>
          <w:color w:val="000000" w:themeColor="text1"/>
          <w:sz w:val="18"/>
          <w:szCs w:val="18"/>
        </w:rPr>
        <w:t xml:space="preserve"> and Dow Jones Factiva Service to identify </w:t>
      </w:r>
      <w:r w:rsidR="009571DA" w:rsidRPr="00A203A6">
        <w:rPr>
          <w:rFonts w:cs="Times New Roman"/>
          <w:color w:val="000000" w:themeColor="text1"/>
          <w:sz w:val="18"/>
          <w:szCs w:val="18"/>
        </w:rPr>
        <w:t>media</w:t>
      </w:r>
      <w:r w:rsidRPr="00A203A6">
        <w:rPr>
          <w:rFonts w:cs="Times New Roman"/>
          <w:color w:val="000000" w:themeColor="text1"/>
          <w:sz w:val="18"/>
          <w:szCs w:val="18"/>
        </w:rPr>
        <w:t xml:space="preserve"> bulletins produced by the Associated Press, </w:t>
      </w:r>
      <w:proofErr w:type="spellStart"/>
      <w:r w:rsidRPr="00A203A6">
        <w:rPr>
          <w:rFonts w:cs="Times New Roman"/>
          <w:color w:val="000000" w:themeColor="text1"/>
          <w:sz w:val="18"/>
          <w:szCs w:val="18"/>
        </w:rPr>
        <w:t>Agence</w:t>
      </w:r>
      <w:proofErr w:type="spellEnd"/>
      <w:r w:rsidRPr="00A203A6">
        <w:rPr>
          <w:rFonts w:cs="Times New Roman"/>
          <w:color w:val="000000" w:themeColor="text1"/>
          <w:sz w:val="18"/>
          <w:szCs w:val="18"/>
        </w:rPr>
        <w:t xml:space="preserve"> France Presse, and Thomson-Reuters during the relevant time period, I ran searches for the string “terror*.” Placing a wildcat symbol (“*”) at the end of the string returns results that involve all words beginning with the string “terror.”  This search thus returns results not only for obviously relevant keywords like “terrorism”, “terrorist”, and “terrorists,” but also “terrorize,” “terrorise,” “terrorizes,” terrorises,” “terrorist attack,” terrorist attacks”, “terror attack,” and “terror attacks.”</w:t>
      </w:r>
    </w:p>
  </w:footnote>
  <w:footnote w:id="45">
    <w:p w14:paraId="2786421D"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Yiwei</w:t>
      </w:r>
      <w:proofErr w:type="spellEnd"/>
      <w:r w:rsidRPr="00A203A6">
        <w:rPr>
          <w:rFonts w:cs="Times New Roman"/>
          <w:color w:val="000000" w:themeColor="text1"/>
          <w:sz w:val="18"/>
          <w:szCs w:val="18"/>
        </w:rPr>
        <w:t xml:space="preserve"> Luo, Dallas Card, and Dan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xml:space="preserve">, “Detecting Stance in Media on Global Warming.” </w:t>
      </w:r>
      <w:r w:rsidRPr="00A203A6">
        <w:rPr>
          <w:rFonts w:cs="Times New Roman"/>
          <w:i/>
          <w:iCs/>
          <w:color w:val="000000" w:themeColor="text1"/>
          <w:sz w:val="18"/>
          <w:szCs w:val="18"/>
        </w:rPr>
        <w:t>Findings of the Association for Computational Linguistics: EMNLP 2020</w:t>
      </w:r>
      <w:r w:rsidRPr="00A203A6">
        <w:rPr>
          <w:rFonts w:cs="Times New Roman"/>
          <w:color w:val="000000" w:themeColor="text1"/>
          <w:sz w:val="18"/>
          <w:szCs w:val="18"/>
        </w:rPr>
        <w:t>: 3296-3315.</w:t>
      </w:r>
    </w:p>
  </w:footnote>
  <w:footnote w:id="46">
    <w:p w14:paraId="64A30CFB"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Luo, Card, and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“Detecting Stance in Media on Global Warming,” 3301.</w:t>
      </w:r>
    </w:p>
  </w:footnote>
  <w:footnote w:id="47">
    <w:p w14:paraId="5E35DDBC"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Luo, Card, and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“Detecting Stance in Media on Global Warming,” 3301.</w:t>
      </w:r>
    </w:p>
  </w:footnote>
  <w:footnote w:id="48">
    <w:p w14:paraId="53886C5B"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Luo, Card, and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“Detecting Stance in Media on Global Warming,” 3301.</w:t>
      </w:r>
    </w:p>
  </w:footnote>
  <w:footnote w:id="49">
    <w:p w14:paraId="33B1D0F3"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Luo, Card, and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“Detecting Stance in Media on Global Warming,” 3301.</w:t>
      </w:r>
    </w:p>
  </w:footnote>
  <w:footnote w:id="50">
    <w:p w14:paraId="47A9D7B6"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Luo, Card, and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“Detecting Stance in Media on Global Warming,” 3301.</w:t>
      </w:r>
    </w:p>
  </w:footnote>
  <w:footnote w:id="51">
    <w:p w14:paraId="59C54E5D" w14:textId="36381A61"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Appendix </w:t>
      </w:r>
      <w:r w:rsidR="002D25A7">
        <w:rPr>
          <w:rFonts w:cs="Times New Roman"/>
          <w:color w:val="000000" w:themeColor="text1"/>
          <w:sz w:val="18"/>
          <w:szCs w:val="18"/>
        </w:rPr>
        <w:t>E</w:t>
      </w:r>
      <w:r w:rsidRPr="00A203A6">
        <w:rPr>
          <w:rFonts w:cs="Times New Roman"/>
          <w:color w:val="000000" w:themeColor="text1"/>
          <w:sz w:val="18"/>
          <w:szCs w:val="18"/>
        </w:rPr>
        <w:t xml:space="preserve"> for the full dictionary of bias indicators I derive from Luo, Card, and </w:t>
      </w:r>
      <w:proofErr w:type="spellStart"/>
      <w:r w:rsidRPr="00A203A6">
        <w:rPr>
          <w:rFonts w:cs="Times New Roman"/>
          <w:color w:val="000000" w:themeColor="text1"/>
          <w:sz w:val="18"/>
          <w:szCs w:val="18"/>
        </w:rPr>
        <w:t>Jurafsky’s</w:t>
      </w:r>
      <w:proofErr w:type="spellEnd"/>
      <w:r w:rsidRPr="00A203A6">
        <w:rPr>
          <w:rFonts w:cs="Times New Roman"/>
          <w:color w:val="000000" w:themeColor="text1"/>
          <w:sz w:val="18"/>
          <w:szCs w:val="18"/>
        </w:rPr>
        <w:t xml:space="preserve"> research.</w:t>
      </w:r>
    </w:p>
  </w:footnote>
  <w:footnote w:id="52">
    <w:p w14:paraId="015C192F"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Footnote 23 on the preceding page.</w:t>
      </w:r>
    </w:p>
  </w:footnote>
  <w:footnote w:id="53">
    <w:p w14:paraId="453ED9EB" w14:textId="65BFCB49"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For the purposes of conducting keyword searches of the </w:t>
      </w:r>
      <w:proofErr w:type="spellStart"/>
      <w:r w:rsidRPr="00A203A6">
        <w:rPr>
          <w:rFonts w:cs="Times New Roman"/>
          <w:color w:val="000000" w:themeColor="text1"/>
          <w:sz w:val="18"/>
          <w:szCs w:val="18"/>
        </w:rPr>
        <w:t>NexisUni</w:t>
      </w:r>
      <w:proofErr w:type="spellEnd"/>
      <w:r w:rsidRPr="00A203A6">
        <w:rPr>
          <w:rFonts w:cs="Times New Roman"/>
          <w:color w:val="000000" w:themeColor="text1"/>
          <w:sz w:val="18"/>
          <w:szCs w:val="18"/>
        </w:rPr>
        <w:t xml:space="preserve"> and Dow Jones Factiva Service to identify </w:t>
      </w:r>
      <w:r w:rsidR="00F74D09" w:rsidRPr="00A203A6">
        <w:rPr>
          <w:rFonts w:cs="Times New Roman"/>
          <w:color w:val="000000" w:themeColor="text1"/>
          <w:sz w:val="18"/>
          <w:szCs w:val="18"/>
        </w:rPr>
        <w:t>media</w:t>
      </w:r>
      <w:r w:rsidRPr="00A203A6">
        <w:rPr>
          <w:rFonts w:cs="Times New Roman"/>
          <w:color w:val="000000" w:themeColor="text1"/>
          <w:sz w:val="18"/>
          <w:szCs w:val="18"/>
        </w:rPr>
        <w:t xml:space="preserve"> bulletins produced by the Associated Press, </w:t>
      </w:r>
      <w:proofErr w:type="spellStart"/>
      <w:r w:rsidRPr="00A203A6">
        <w:rPr>
          <w:rFonts w:cs="Times New Roman"/>
          <w:color w:val="000000" w:themeColor="text1"/>
          <w:sz w:val="18"/>
          <w:szCs w:val="18"/>
        </w:rPr>
        <w:t>Agence</w:t>
      </w:r>
      <w:proofErr w:type="spellEnd"/>
      <w:r w:rsidRPr="00A203A6">
        <w:rPr>
          <w:rFonts w:cs="Times New Roman"/>
          <w:color w:val="000000" w:themeColor="text1"/>
          <w:sz w:val="18"/>
          <w:szCs w:val="18"/>
        </w:rPr>
        <w:t xml:space="preserve"> France Presse, and Thomson-Reuters during the relevant time period, I ran searches for the string “country OR countries OR state OR states OR government OR governments OR nation OR nations OR national.” I also ran a separate search with the names and demonyms of all 193 United Nations member states. (See Appendix </w:t>
      </w:r>
      <w:r w:rsidR="002D25A7">
        <w:rPr>
          <w:rFonts w:cs="Times New Roman"/>
          <w:color w:val="000000" w:themeColor="text1"/>
          <w:sz w:val="18"/>
          <w:szCs w:val="18"/>
        </w:rPr>
        <w:t>F</w:t>
      </w:r>
      <w:r w:rsidRPr="00A203A6">
        <w:rPr>
          <w:rFonts w:cs="Times New Roman"/>
          <w:color w:val="000000" w:themeColor="text1"/>
          <w:sz w:val="18"/>
          <w:szCs w:val="18"/>
        </w:rPr>
        <w:t xml:space="preserve"> for the full list of search terms.) The results of both of these searches are included in the data used for the qualitative analysis and subsequent comparative analysis of media coverage in Chapter 7.</w:t>
      </w:r>
    </w:p>
  </w:footnote>
  <w:footnote w:id="54">
    <w:p w14:paraId="173AEEE8" w14:textId="755E6EDE" w:rsidR="003B35D8" w:rsidRPr="00A203A6" w:rsidRDefault="003B35D8" w:rsidP="00787EBB">
      <w:pPr>
        <w:pStyle w:val="FootnoteText"/>
        <w:spacing w:before="0" w:after="80"/>
        <w:rPr>
          <w:rFonts w:cs="Times New Roman"/>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Focused case analysis is a research strategy, undertaken with a specific research objective in mind and appropriately related theoretical focus, that involves an empirical investigation of a particular phenomenon within its real-world context by using multiple sources of evidence. See George </w:t>
      </w:r>
      <w:r w:rsidR="002D25A7">
        <w:rPr>
          <w:rFonts w:cs="Times New Roman"/>
          <w:color w:val="000000" w:themeColor="text1"/>
          <w:sz w:val="18"/>
          <w:szCs w:val="18"/>
        </w:rPr>
        <w:t xml:space="preserve">and </w:t>
      </w:r>
      <w:r w:rsidRPr="00A203A6">
        <w:rPr>
          <w:rFonts w:cs="Times New Roman"/>
          <w:color w:val="000000" w:themeColor="text1"/>
          <w:sz w:val="18"/>
          <w:szCs w:val="18"/>
        </w:rPr>
        <w:t xml:space="preserve">Bennett, </w:t>
      </w:r>
      <w:r w:rsidRPr="00A203A6">
        <w:rPr>
          <w:rFonts w:cs="Times New Roman"/>
          <w:i/>
          <w:color w:val="000000" w:themeColor="text1"/>
          <w:sz w:val="18"/>
          <w:szCs w:val="18"/>
        </w:rPr>
        <w:t>Case Studies and Theory Development in the Social Sciences</w:t>
      </w:r>
      <w:r w:rsidR="002D25A7">
        <w:rPr>
          <w:rFonts w:cs="Times New Roman"/>
          <w:iCs/>
          <w:color w:val="000000" w:themeColor="text1"/>
          <w:sz w:val="18"/>
          <w:szCs w:val="18"/>
        </w:rPr>
        <w:t>.</w:t>
      </w:r>
    </w:p>
  </w:footnote>
  <w:footnote w:id="55">
    <w:p w14:paraId="4AEBF3C0"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 discussed in Chapter 3, the term terrorism is pejoratively and normatively loaded, analytically imprecise, historically indistinct, and legally vague and overbroad. See Christopher J. Finlay, “How to Do Things with the Word ‘Terrorist,’” </w:t>
      </w:r>
      <w:r w:rsidRPr="00A203A6">
        <w:rPr>
          <w:rFonts w:cs="Times New Roman"/>
          <w:i/>
          <w:iCs/>
          <w:color w:val="000000" w:themeColor="text1"/>
          <w:sz w:val="18"/>
          <w:szCs w:val="18"/>
        </w:rPr>
        <w:t>Review of International Studies</w:t>
      </w:r>
      <w:r w:rsidRPr="00A203A6">
        <w:rPr>
          <w:rFonts w:cs="Times New Roman"/>
          <w:color w:val="000000" w:themeColor="text1"/>
          <w:sz w:val="18"/>
          <w:szCs w:val="18"/>
        </w:rPr>
        <w:t xml:space="preserve"> 35, no. 4 (October 2009): 751-774.</w:t>
      </w:r>
    </w:p>
  </w:footnote>
  <w:footnote w:id="56">
    <w:p w14:paraId="58F2F2CD" w14:textId="77777777" w:rsidR="003B35D8" w:rsidRPr="00A203A6" w:rsidRDefault="003B35D8" w:rsidP="00787EBB">
      <w:pPr>
        <w:spacing w:before="0" w:after="80"/>
        <w:rPr>
          <w:rFonts w:cs="Times New Roman"/>
          <w:color w:val="000000" w:themeColor="text1"/>
          <w:sz w:val="18"/>
          <w:szCs w:val="18"/>
          <w:bdr w:val="none" w:sz="0" w:space="0" w:color="auto" w:frame="1"/>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bdr w:val="none" w:sz="0" w:space="0" w:color="auto" w:frame="1"/>
        </w:rPr>
        <w:t>Jörg</w:t>
      </w:r>
      <w:proofErr w:type="spellEnd"/>
      <w:r w:rsidRPr="00A203A6">
        <w:rPr>
          <w:rFonts w:cs="Times New Roman"/>
          <w:color w:val="000000" w:themeColor="text1"/>
          <w:sz w:val="18"/>
          <w:szCs w:val="18"/>
          <w:bdr w:val="none" w:sz="0" w:space="0" w:color="auto" w:frame="1"/>
        </w:rPr>
        <w:t xml:space="preserve"> </w:t>
      </w:r>
      <w:proofErr w:type="spellStart"/>
      <w:r w:rsidRPr="00A203A6">
        <w:rPr>
          <w:rFonts w:cs="Times New Roman"/>
          <w:color w:val="000000" w:themeColor="text1"/>
          <w:sz w:val="18"/>
          <w:szCs w:val="18"/>
          <w:bdr w:val="none" w:sz="0" w:space="0" w:color="auto" w:frame="1"/>
        </w:rPr>
        <w:t>Matthes</w:t>
      </w:r>
      <w:proofErr w:type="spellEnd"/>
      <w:r w:rsidRPr="00A203A6">
        <w:rPr>
          <w:rFonts w:cs="Times New Roman"/>
          <w:color w:val="000000" w:themeColor="text1"/>
          <w:sz w:val="18"/>
          <w:szCs w:val="18"/>
          <w:bdr w:val="none" w:sz="0" w:space="0" w:color="auto" w:frame="1"/>
        </w:rPr>
        <w:t xml:space="preserve">, “What’s in a Frame? A Content Analysis of Media Framing Studies in the World’s Leading Communication Journals,” </w:t>
      </w:r>
      <w:r w:rsidRPr="00A203A6">
        <w:rPr>
          <w:rFonts w:cs="Times New Roman"/>
          <w:i/>
          <w:iCs/>
          <w:color w:val="000000" w:themeColor="text1"/>
          <w:sz w:val="18"/>
          <w:szCs w:val="18"/>
          <w:bdr w:val="none" w:sz="0" w:space="0" w:color="auto" w:frame="1"/>
        </w:rPr>
        <w:t>J&amp;MC Quarterly</w:t>
      </w:r>
      <w:r w:rsidRPr="00A203A6">
        <w:rPr>
          <w:rFonts w:cs="Times New Roman"/>
          <w:color w:val="000000" w:themeColor="text1"/>
          <w:sz w:val="18"/>
          <w:szCs w:val="18"/>
          <w:bdr w:val="none" w:sz="0" w:space="0" w:color="auto" w:frame="1"/>
        </w:rPr>
        <w:t xml:space="preserve"> 86, no. 2 (Summer 2009): 349.</w:t>
      </w:r>
    </w:p>
  </w:footnote>
  <w:footnote w:id="57">
    <w:p w14:paraId="7B598B72" w14:textId="77777777" w:rsidR="003B35D8" w:rsidRPr="00A203A6" w:rsidRDefault="003B35D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w:t>
      </w:r>
      <w:proofErr w:type="spellStart"/>
      <w:r w:rsidRPr="00A203A6">
        <w:rPr>
          <w:rFonts w:cs="Times New Roman"/>
          <w:color w:val="000000" w:themeColor="text1"/>
          <w:sz w:val="18"/>
          <w:szCs w:val="18"/>
        </w:rPr>
        <w:t>Lazarsfeld</w:t>
      </w:r>
      <w:proofErr w:type="spellEnd"/>
      <w:r w:rsidRPr="00A203A6">
        <w:rPr>
          <w:rFonts w:cs="Times New Roman"/>
          <w:color w:val="000000" w:themeColor="text1"/>
          <w:sz w:val="18"/>
          <w:szCs w:val="18"/>
        </w:rPr>
        <w:t xml:space="preserve"> &amp; Merton, “Mass Communication, Popular Taste and Organized Social Action,” 457-473; Kotler &amp; </w:t>
      </w:r>
      <w:proofErr w:type="spellStart"/>
      <w:r w:rsidRPr="00A203A6">
        <w:rPr>
          <w:rFonts w:cs="Times New Roman"/>
          <w:color w:val="000000" w:themeColor="text1"/>
          <w:sz w:val="18"/>
          <w:szCs w:val="18"/>
        </w:rPr>
        <w:t>Zaltman</w:t>
      </w:r>
      <w:proofErr w:type="spellEnd"/>
      <w:r w:rsidRPr="00A203A6">
        <w:rPr>
          <w:rFonts w:cs="Times New Roman"/>
          <w:color w:val="000000" w:themeColor="text1"/>
          <w:sz w:val="18"/>
          <w:szCs w:val="18"/>
        </w:rPr>
        <w:t>, “Social Marketing,” 3-12.</w:t>
      </w:r>
    </w:p>
  </w:footnote>
  <w:footnote w:id="58">
    <w:p w14:paraId="3547809D" w14:textId="77777777" w:rsidR="003B35D8" w:rsidRPr="00A203A6" w:rsidRDefault="003B35D8"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Gail T. Fairhurst and Robert A. Star, </w:t>
      </w:r>
      <w:r w:rsidRPr="00A203A6">
        <w:rPr>
          <w:rFonts w:cs="Times New Roman"/>
          <w:i/>
          <w:iCs/>
          <w:color w:val="000000" w:themeColor="text1"/>
          <w:sz w:val="18"/>
          <w:szCs w:val="18"/>
        </w:rPr>
        <w:t>The Art of Framing</w:t>
      </w:r>
      <w:r w:rsidRPr="00A203A6">
        <w:rPr>
          <w:rFonts w:cs="Times New Roman"/>
          <w:color w:val="000000" w:themeColor="text1"/>
          <w:sz w:val="18"/>
          <w:szCs w:val="18"/>
        </w:rPr>
        <w:t xml:space="preserve"> (San Francisco: Jossey-Bass, 1996); Holli A. </w:t>
      </w:r>
      <w:proofErr w:type="spellStart"/>
      <w:r w:rsidRPr="00A203A6">
        <w:rPr>
          <w:rFonts w:cs="Times New Roman"/>
          <w:color w:val="000000" w:themeColor="text1"/>
          <w:sz w:val="18"/>
          <w:szCs w:val="18"/>
        </w:rPr>
        <w:t>Semetko</w:t>
      </w:r>
      <w:proofErr w:type="spellEnd"/>
      <w:r w:rsidRPr="00A203A6">
        <w:rPr>
          <w:rFonts w:cs="Times New Roman"/>
          <w:color w:val="000000" w:themeColor="text1"/>
          <w:sz w:val="18"/>
          <w:szCs w:val="18"/>
        </w:rPr>
        <w:t xml:space="preserve"> and Patti M. Valkenburg, “Framing European Politics: A Content Analysis of Press and Television Shows.” </w:t>
      </w:r>
      <w:r w:rsidRPr="00A203A6">
        <w:rPr>
          <w:rFonts w:cs="Times New Roman"/>
          <w:i/>
          <w:iCs/>
          <w:color w:val="000000" w:themeColor="text1"/>
          <w:sz w:val="18"/>
          <w:szCs w:val="18"/>
        </w:rPr>
        <w:t>Journal of Communication</w:t>
      </w:r>
      <w:r w:rsidRPr="00A203A6">
        <w:rPr>
          <w:rFonts w:cs="Times New Roman"/>
          <w:color w:val="000000" w:themeColor="text1"/>
          <w:sz w:val="18"/>
          <w:szCs w:val="18"/>
        </w:rPr>
        <w:t xml:space="preserve"> 50 (2000): 93-109.</w:t>
      </w:r>
    </w:p>
  </w:footnote>
  <w:footnote w:id="59">
    <w:p w14:paraId="75D901C6" w14:textId="6DDA5CBA" w:rsidR="00E754AA" w:rsidRPr="00A203A6" w:rsidRDefault="00E754AA" w:rsidP="00787EBB">
      <w:pPr>
        <w:pStyle w:val="FootnoteText"/>
        <w:spacing w:before="0" w:after="80"/>
        <w:rPr>
          <w:rFonts w:cs="Times New Roman"/>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w:t>
      </w:r>
      <w:r w:rsidRPr="00A203A6">
        <w:rPr>
          <w:rFonts w:cs="Times New Roman"/>
          <w:color w:val="000000" w:themeColor="text1"/>
          <w:sz w:val="18"/>
          <w:szCs w:val="18"/>
        </w:rPr>
        <w:t xml:space="preserve">Marshall McLuhan, </w:t>
      </w:r>
      <w:r w:rsidRPr="00A203A6">
        <w:rPr>
          <w:rFonts w:cs="Times New Roman"/>
          <w:i/>
          <w:iCs/>
          <w:color w:val="000000" w:themeColor="text1"/>
          <w:sz w:val="18"/>
          <w:szCs w:val="18"/>
        </w:rPr>
        <w:t>Understanding Media: The Extensions of Man</w:t>
      </w:r>
      <w:r w:rsidRPr="00A203A6">
        <w:rPr>
          <w:rFonts w:cs="Times New Roman"/>
          <w:color w:val="000000" w:themeColor="text1"/>
          <w:sz w:val="18"/>
          <w:szCs w:val="18"/>
        </w:rPr>
        <w:t xml:space="preserve"> (New York City: McGraw-Hill, 1964): 8.</w:t>
      </w:r>
    </w:p>
  </w:footnote>
  <w:footnote w:id="60">
    <w:p w14:paraId="131DC59A" w14:textId="51911F51" w:rsidR="003B35D8" w:rsidRPr="00A203A6" w:rsidRDefault="003B35D8" w:rsidP="00787EBB">
      <w:pPr>
        <w:spacing w:before="0" w:after="80"/>
        <w:rPr>
          <w:rFonts w:cs="Times New Roman"/>
          <w:color w:val="000000" w:themeColor="text1"/>
          <w:sz w:val="18"/>
          <w:szCs w:val="18"/>
          <w:shd w:val="clear" w:color="auto" w:fill="FFFFFF"/>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shd w:val="clear" w:color="auto" w:fill="FFFFFF"/>
        </w:rPr>
        <w:t>Shanto</w:t>
      </w:r>
      <w:proofErr w:type="spellEnd"/>
      <w:r w:rsidRPr="00A203A6">
        <w:rPr>
          <w:rFonts w:cs="Times New Roman"/>
          <w:color w:val="000000" w:themeColor="text1"/>
          <w:sz w:val="18"/>
          <w:szCs w:val="18"/>
          <w:shd w:val="clear" w:color="auto" w:fill="FFFFFF"/>
        </w:rPr>
        <w:t xml:space="preserve"> Iyengar, </w:t>
      </w:r>
      <w:r w:rsidRPr="00A203A6">
        <w:rPr>
          <w:rFonts w:cs="Times New Roman"/>
          <w:i/>
          <w:iCs/>
          <w:color w:val="000000" w:themeColor="text1"/>
          <w:sz w:val="18"/>
          <w:szCs w:val="18"/>
        </w:rPr>
        <w:t>Is Anyone Responsible? How Television Frames Political Issues</w:t>
      </w:r>
      <w:r w:rsidRPr="00A203A6">
        <w:rPr>
          <w:rFonts w:cs="Times New Roman"/>
          <w:color w:val="000000" w:themeColor="text1"/>
          <w:sz w:val="18"/>
          <w:szCs w:val="18"/>
          <w:shd w:val="clear" w:color="auto" w:fill="FFFFFF"/>
        </w:rPr>
        <w:t>. (Chicago: University of Chicago Press, 1991).</w:t>
      </w:r>
    </w:p>
  </w:footnote>
  <w:footnote w:id="61">
    <w:p w14:paraId="7832721E" w14:textId="77777777" w:rsidR="003B35D8" w:rsidRPr="00A203A6" w:rsidRDefault="003B35D8" w:rsidP="00787EBB">
      <w:pPr>
        <w:spacing w:before="0" w:after="80"/>
        <w:rPr>
          <w:rFonts w:cs="Times New Roman"/>
          <w:color w:val="000000" w:themeColor="text1"/>
          <w:sz w:val="18"/>
          <w:szCs w:val="18"/>
          <w:shd w:val="clear" w:color="auto" w:fill="FFFFFF"/>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color w:val="000000" w:themeColor="text1"/>
          <w:sz w:val="18"/>
          <w:szCs w:val="18"/>
          <w:shd w:val="clear" w:color="auto" w:fill="FFFFFF"/>
        </w:rPr>
        <w:t xml:space="preserve">Jennifer Milliken, “The Study of Discourse in International Relations: A Critique of Research and Methods.” </w:t>
      </w:r>
      <w:r w:rsidRPr="00A203A6">
        <w:rPr>
          <w:rFonts w:cs="Times New Roman"/>
          <w:i/>
          <w:iCs/>
          <w:color w:val="000000" w:themeColor="text1"/>
          <w:sz w:val="18"/>
          <w:szCs w:val="18"/>
          <w:shd w:val="clear" w:color="auto" w:fill="FFFFFF"/>
        </w:rPr>
        <w:t>European Journal of International Relations</w:t>
      </w:r>
      <w:r w:rsidRPr="00A203A6">
        <w:rPr>
          <w:rFonts w:cs="Times New Roman"/>
          <w:color w:val="000000" w:themeColor="text1"/>
          <w:sz w:val="18"/>
          <w:szCs w:val="18"/>
          <w:shd w:val="clear" w:color="auto" w:fill="FFFFFF"/>
        </w:rPr>
        <w:t xml:space="preserve"> 5, no. 2 (1999):</w:t>
      </w:r>
      <w:r w:rsidRPr="00A203A6">
        <w:rPr>
          <w:rFonts w:cs="Times New Roman"/>
          <w:color w:val="000000" w:themeColor="text1"/>
          <w:sz w:val="18"/>
          <w:szCs w:val="18"/>
        </w:rPr>
        <w:t xml:space="preserve"> 229.</w:t>
      </w:r>
    </w:p>
  </w:footnote>
  <w:footnote w:id="62">
    <w:p w14:paraId="4250EC8C" w14:textId="78AA0114" w:rsidR="003B35D8" w:rsidRPr="00A203A6" w:rsidRDefault="003B35D8"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color w:val="000000" w:themeColor="text1"/>
          <w:sz w:val="18"/>
          <w:szCs w:val="18"/>
          <w:bdr w:val="none" w:sz="0" w:space="0" w:color="auto" w:frame="1"/>
        </w:rPr>
        <w:t xml:space="preserve">Jacques Derrida, </w:t>
      </w:r>
      <w:r w:rsidRPr="00A203A6">
        <w:rPr>
          <w:rFonts w:cs="Times New Roman"/>
          <w:i/>
          <w:iCs/>
          <w:color w:val="000000" w:themeColor="text1"/>
          <w:sz w:val="18"/>
          <w:szCs w:val="18"/>
          <w:bdr w:val="none" w:sz="0" w:space="0" w:color="auto" w:frame="1"/>
        </w:rPr>
        <w:t>Of Grammatology.</w:t>
      </w:r>
      <w:r w:rsidRPr="00A203A6">
        <w:rPr>
          <w:rFonts w:cs="Times New Roman"/>
          <w:color w:val="000000" w:themeColor="text1"/>
          <w:sz w:val="18"/>
          <w:szCs w:val="18"/>
          <w:bdr w:val="none" w:sz="0" w:space="0" w:color="auto" w:frame="1"/>
        </w:rPr>
        <w:t xml:space="preserve"> (Paris: </w:t>
      </w:r>
      <w:r w:rsidRPr="00A203A6">
        <w:rPr>
          <w:rFonts w:cs="Times New Roman"/>
          <w:color w:val="000000" w:themeColor="text1"/>
          <w:sz w:val="18"/>
          <w:szCs w:val="18"/>
        </w:rPr>
        <w:t xml:space="preserve">Les Éditions de Minuit, 1976). Moreover, Heidegger conceptualized “deconstruction” as the delineating, explanation and contextualization of the categories and concepts that tradition has imposed on specific words and terms, and the history behind them. See Martin Heidegger and David Farrell Krell (trans.), </w:t>
      </w:r>
      <w:r w:rsidRPr="00A203A6">
        <w:rPr>
          <w:rFonts w:cs="Times New Roman"/>
          <w:i/>
          <w:iCs/>
          <w:color w:val="000000" w:themeColor="text1"/>
          <w:sz w:val="18"/>
          <w:szCs w:val="18"/>
        </w:rPr>
        <w:t>Basic Writings: From Being and Time (1927) to The Task of Thinking (1964)</w:t>
      </w:r>
      <w:r w:rsidRPr="00A203A6">
        <w:rPr>
          <w:rFonts w:cs="Times New Roman"/>
          <w:color w:val="000000" w:themeColor="text1"/>
          <w:sz w:val="18"/>
          <w:szCs w:val="18"/>
        </w:rPr>
        <w:t xml:space="preserve"> (London: Routledge Classics, 2011).</w:t>
      </w:r>
    </w:p>
  </w:footnote>
  <w:footnote w:id="63">
    <w:p w14:paraId="358F963E" w14:textId="77777777" w:rsidR="003B35D8" w:rsidRPr="00A203A6" w:rsidRDefault="003B35D8"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Norman Fairclough, “Discourse and Text: Linguistic and Intertextual Analysis within Discourse Analysis.”</w:t>
      </w:r>
      <w:r w:rsidRPr="00A203A6">
        <w:rPr>
          <w:i/>
          <w:iCs/>
          <w:color w:val="000000" w:themeColor="text1"/>
          <w:sz w:val="18"/>
          <w:szCs w:val="18"/>
        </w:rPr>
        <w:t xml:space="preserve"> Discourse &amp; Society</w:t>
      </w:r>
      <w:r w:rsidRPr="00A203A6">
        <w:rPr>
          <w:color w:val="000000" w:themeColor="text1"/>
          <w:sz w:val="18"/>
          <w:szCs w:val="18"/>
        </w:rPr>
        <w:t> 3, no. 2 (1992): 193-217.</w:t>
      </w:r>
    </w:p>
  </w:footnote>
  <w:footnote w:id="64">
    <w:p w14:paraId="6083AB21" w14:textId="0ED28F12" w:rsidR="003B35D8" w:rsidRPr="00A203A6" w:rsidRDefault="003B35D8" w:rsidP="00787EBB">
      <w:pPr>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Thomas Reid understands the existence of “social acts” as</w:t>
      </w:r>
      <w:r w:rsidRPr="00A203A6">
        <w:rPr>
          <w:rFonts w:cs="Times New Roman"/>
          <w:color w:val="000000" w:themeColor="text1"/>
          <w:sz w:val="18"/>
          <w:szCs w:val="18"/>
          <w:shd w:val="clear" w:color="auto" w:fill="FFFFFF"/>
        </w:rPr>
        <w:t xml:space="preserve"> necessitating not only “understanding and will but also ‘intercourse with some other intelligent being’” (</w:t>
      </w:r>
      <w:r w:rsidRPr="00A203A6">
        <w:rPr>
          <w:rFonts w:cs="Times New Roman"/>
          <w:color w:val="000000" w:themeColor="text1"/>
          <w:sz w:val="18"/>
          <w:szCs w:val="18"/>
          <w:bdr w:val="none" w:sz="0" w:space="0" w:color="auto" w:frame="1"/>
        </w:rPr>
        <w:t xml:space="preserve">C.A.J. </w:t>
      </w:r>
      <w:proofErr w:type="spellStart"/>
      <w:r w:rsidRPr="00A203A6">
        <w:rPr>
          <w:rFonts w:cs="Times New Roman"/>
          <w:color w:val="000000" w:themeColor="text1"/>
          <w:sz w:val="18"/>
          <w:szCs w:val="18"/>
          <w:bdr w:val="none" w:sz="0" w:space="0" w:color="auto" w:frame="1"/>
        </w:rPr>
        <w:t>Coady</w:t>
      </w:r>
      <w:proofErr w:type="spellEnd"/>
      <w:r w:rsidRPr="00A203A6">
        <w:rPr>
          <w:rFonts w:cs="Times New Roman"/>
          <w:color w:val="000000" w:themeColor="text1"/>
          <w:sz w:val="18"/>
          <w:szCs w:val="18"/>
          <w:bdr w:val="none" w:sz="0" w:space="0" w:color="auto" w:frame="1"/>
        </w:rPr>
        <w:t>, “</w:t>
      </w:r>
      <w:r w:rsidRPr="00A203A6">
        <w:rPr>
          <w:rFonts w:cs="Times New Roman"/>
          <w:color w:val="000000" w:themeColor="text1"/>
          <w:sz w:val="18"/>
          <w:szCs w:val="18"/>
          <w:shd w:val="clear" w:color="auto" w:fill="FFFFFF"/>
        </w:rPr>
        <w:t xml:space="preserve">Reid on Testimony.” In Melvin Dalgarno and Eric Matthews (eds.), “The Philosophy of Thomas Reid.” </w:t>
      </w:r>
      <w:r w:rsidRPr="00A203A6">
        <w:rPr>
          <w:rFonts w:cs="Times New Roman"/>
          <w:i/>
          <w:iCs/>
          <w:color w:val="000000" w:themeColor="text1"/>
          <w:sz w:val="18"/>
          <w:szCs w:val="18"/>
          <w:shd w:val="clear" w:color="auto" w:fill="FFFFFF"/>
        </w:rPr>
        <w:t>Philosophical Studies Series</w:t>
      </w:r>
      <w:r w:rsidRPr="00A203A6">
        <w:rPr>
          <w:rFonts w:cs="Times New Roman"/>
          <w:color w:val="000000" w:themeColor="text1"/>
          <w:sz w:val="18"/>
          <w:szCs w:val="18"/>
          <w:shd w:val="clear" w:color="auto" w:fill="FFFFFF"/>
        </w:rPr>
        <w:t xml:space="preserve"> 42 (Dordrecht: Springer, 1989).; </w:t>
      </w:r>
      <w:r w:rsidRPr="00A203A6">
        <w:rPr>
          <w:rFonts w:cs="Times New Roman"/>
          <w:color w:val="000000" w:themeColor="text1"/>
          <w:sz w:val="18"/>
          <w:szCs w:val="18"/>
        </w:rPr>
        <w:t xml:space="preserve">Thomas Reid, </w:t>
      </w:r>
      <w:r w:rsidRPr="00A203A6">
        <w:rPr>
          <w:rFonts w:cs="Times New Roman"/>
          <w:i/>
          <w:iCs/>
          <w:color w:val="000000" w:themeColor="text1"/>
          <w:sz w:val="18"/>
          <w:szCs w:val="18"/>
        </w:rPr>
        <w:t>Essays on the Active Powers of the Human Mind [Essays on the Active Powers of Man</w:t>
      </w:r>
      <w:r w:rsidRPr="00A203A6">
        <w:rPr>
          <w:rFonts w:cs="Times New Roman"/>
          <w:color w:val="000000" w:themeColor="text1"/>
          <w:sz w:val="18"/>
          <w:szCs w:val="18"/>
        </w:rPr>
        <w:t xml:space="preserve"> (1788)]. (Cambridge: M.I.T. Press, 1969)</w:t>
      </w:r>
      <w:r w:rsidRPr="00A203A6">
        <w:rPr>
          <w:rFonts w:cs="Times New Roman"/>
          <w:color w:val="000000" w:themeColor="text1"/>
          <w:sz w:val="18"/>
          <w:szCs w:val="18"/>
          <w:shd w:val="clear" w:color="auto" w:fill="FFFFFF"/>
        </w:rPr>
        <w:t xml:space="preserve">). J.L. Austin introduced the concept of illocutionary acts to linguistics, as acts the idea of which is best described as “by saying something, we </w:t>
      </w:r>
      <w:r w:rsidRPr="00A203A6">
        <w:rPr>
          <w:rFonts w:cs="Times New Roman"/>
          <w:i/>
          <w:iCs/>
          <w:color w:val="000000" w:themeColor="text1"/>
          <w:sz w:val="18"/>
          <w:szCs w:val="18"/>
          <w:shd w:val="clear" w:color="auto" w:fill="FFFFFF"/>
        </w:rPr>
        <w:t>do</w:t>
      </w:r>
      <w:r w:rsidRPr="00A203A6">
        <w:rPr>
          <w:rFonts w:cs="Times New Roman"/>
          <w:color w:val="000000" w:themeColor="text1"/>
          <w:sz w:val="18"/>
          <w:szCs w:val="18"/>
          <w:shd w:val="clear" w:color="auto" w:fill="FFFFFF"/>
        </w:rPr>
        <w:t xml:space="preserve"> something” (</w:t>
      </w:r>
      <w:r w:rsidRPr="00A203A6">
        <w:rPr>
          <w:rFonts w:eastAsia="Arial Unicode MS" w:cs="Times New Roman"/>
          <w:color w:val="000000" w:themeColor="text1"/>
          <w:sz w:val="18"/>
          <w:szCs w:val="18"/>
          <w:shd w:val="clear" w:color="auto" w:fill="FFFFFF"/>
        </w:rPr>
        <w:t xml:space="preserve">J. L. Austin, </w:t>
      </w:r>
      <w:r w:rsidRPr="00A203A6">
        <w:rPr>
          <w:rFonts w:eastAsia="Arial Unicode MS" w:cs="Times New Roman"/>
          <w:i/>
          <w:iCs/>
          <w:color w:val="000000" w:themeColor="text1"/>
          <w:sz w:val="18"/>
          <w:szCs w:val="18"/>
        </w:rPr>
        <w:t>How to Do Things with Words</w:t>
      </w:r>
      <w:r w:rsidRPr="00A203A6">
        <w:rPr>
          <w:rFonts w:eastAsia="Arial Unicode MS" w:cs="Times New Roman"/>
          <w:color w:val="000000" w:themeColor="text1"/>
          <w:sz w:val="18"/>
          <w:szCs w:val="18"/>
          <w:shd w:val="clear" w:color="auto" w:fill="FFFFFF"/>
        </w:rPr>
        <w:t xml:space="preserve"> (Cambridge: Harvard University Press, 1962)</w:t>
      </w:r>
      <w:r w:rsidRPr="00A203A6">
        <w:rPr>
          <w:rFonts w:cs="Times New Roman"/>
          <w:color w:val="000000" w:themeColor="text1"/>
          <w:sz w:val="18"/>
          <w:szCs w:val="18"/>
          <w:shd w:val="clear" w:color="auto" w:fill="FFFFFF"/>
        </w:rPr>
        <w:t>). J.R. Searle goes on to refine Austin’s definition of “speech acts,” arguing that speech acts are constituted by the rules of language (</w:t>
      </w:r>
      <w:r w:rsidRPr="00A203A6">
        <w:rPr>
          <w:rFonts w:eastAsia="Arial Unicode MS" w:cs="Times New Roman"/>
          <w:color w:val="000000" w:themeColor="text1"/>
          <w:sz w:val="18"/>
          <w:szCs w:val="18"/>
        </w:rPr>
        <w:t>John R. Searle,</w:t>
      </w:r>
      <w:r w:rsidRPr="00A203A6">
        <w:rPr>
          <w:rStyle w:val="apple-converted-space"/>
          <w:rFonts w:eastAsia="Arial Unicode MS" w:cs="Times New Roman"/>
          <w:color w:val="000000" w:themeColor="text1"/>
          <w:sz w:val="18"/>
          <w:szCs w:val="18"/>
        </w:rPr>
        <w:t> </w:t>
      </w:r>
      <w:r w:rsidRPr="00A203A6">
        <w:rPr>
          <w:rFonts w:eastAsia="Arial Unicode MS" w:cs="Times New Roman"/>
          <w:i/>
          <w:iCs/>
          <w:color w:val="000000" w:themeColor="text1"/>
          <w:sz w:val="18"/>
          <w:szCs w:val="18"/>
        </w:rPr>
        <w:t>Speech Acts: An Essay in the Philosophy of Language</w:t>
      </w:r>
      <w:r w:rsidRPr="00A203A6">
        <w:rPr>
          <w:rFonts w:eastAsia="Arial Unicode MS" w:cs="Times New Roman"/>
          <w:color w:val="000000" w:themeColor="text1"/>
          <w:sz w:val="18"/>
          <w:szCs w:val="18"/>
        </w:rPr>
        <w:t xml:space="preserve"> (London: Cambridge University Press, 1969</w:t>
      </w:r>
      <w:r w:rsidRPr="00A203A6">
        <w:rPr>
          <w:rFonts w:cs="Times New Roman"/>
          <w:color w:val="000000" w:themeColor="text1"/>
          <w:sz w:val="18"/>
          <w:szCs w:val="18"/>
        </w:rPr>
        <w:t>)</w:t>
      </w:r>
      <w:r w:rsidRPr="00A203A6">
        <w:rPr>
          <w:rFonts w:cs="Times New Roman"/>
          <w:color w:val="000000" w:themeColor="text1"/>
          <w:sz w:val="18"/>
          <w:szCs w:val="18"/>
          <w:shd w:val="clear" w:color="auto" w:fill="FFFFFF"/>
        </w:rPr>
        <w:t xml:space="preserve">). To that end, Austin and Searle collectively lay the foundation for Ole </w:t>
      </w:r>
      <w:r w:rsidRPr="00A203A6">
        <w:rPr>
          <w:rFonts w:cs="Times New Roman"/>
          <w:color w:val="000000" w:themeColor="text1"/>
          <w:sz w:val="18"/>
          <w:szCs w:val="18"/>
        </w:rPr>
        <w:t>Wæver’s</w:t>
      </w:r>
      <w:r w:rsidRPr="00A203A6">
        <w:rPr>
          <w:rFonts w:cs="Times New Roman"/>
          <w:color w:val="000000" w:themeColor="text1"/>
          <w:sz w:val="18"/>
          <w:szCs w:val="18"/>
          <w:shd w:val="clear" w:color="auto" w:fill="FFFFFF"/>
        </w:rPr>
        <w:t xml:space="preserve"> claim that “security is a speech act” (</w:t>
      </w:r>
      <w:r w:rsidRPr="00A203A6">
        <w:rPr>
          <w:rFonts w:cs="Times New Roman"/>
          <w:color w:val="000000" w:themeColor="text1"/>
          <w:sz w:val="18"/>
          <w:szCs w:val="18"/>
        </w:rPr>
        <w:t xml:space="preserve">Ole </w:t>
      </w:r>
      <w:proofErr w:type="spellStart"/>
      <w:r w:rsidRPr="00A203A6">
        <w:rPr>
          <w:rFonts w:cs="Times New Roman"/>
          <w:color w:val="000000" w:themeColor="text1"/>
          <w:sz w:val="18"/>
          <w:szCs w:val="18"/>
        </w:rPr>
        <w:t>Wæver</w:t>
      </w:r>
      <w:proofErr w:type="spellEnd"/>
      <w:r w:rsidRPr="00A203A6">
        <w:rPr>
          <w:rFonts w:cs="Times New Roman"/>
          <w:color w:val="000000" w:themeColor="text1"/>
          <w:sz w:val="18"/>
          <w:szCs w:val="18"/>
        </w:rPr>
        <w:t xml:space="preserve">, “Securitization and </w:t>
      </w:r>
      <w:proofErr w:type="spellStart"/>
      <w:r w:rsidRPr="00A203A6">
        <w:rPr>
          <w:rFonts w:cs="Times New Roman"/>
          <w:color w:val="000000" w:themeColor="text1"/>
          <w:sz w:val="18"/>
          <w:szCs w:val="18"/>
        </w:rPr>
        <w:t>Desecuritization</w:t>
      </w:r>
      <w:proofErr w:type="spellEnd"/>
      <w:r w:rsidRPr="00A203A6">
        <w:rPr>
          <w:rFonts w:cs="Times New Roman"/>
          <w:color w:val="000000" w:themeColor="text1"/>
          <w:sz w:val="18"/>
          <w:szCs w:val="18"/>
        </w:rPr>
        <w:t xml:space="preserve">.” In Ronnie D. </w:t>
      </w:r>
      <w:proofErr w:type="spellStart"/>
      <w:r w:rsidRPr="00A203A6">
        <w:rPr>
          <w:rFonts w:cs="Times New Roman"/>
          <w:color w:val="000000" w:themeColor="text1"/>
          <w:sz w:val="18"/>
          <w:szCs w:val="18"/>
        </w:rPr>
        <w:t>Lipschutz</w:t>
      </w:r>
      <w:proofErr w:type="spellEnd"/>
      <w:r w:rsidRPr="00A203A6">
        <w:rPr>
          <w:rFonts w:cs="Times New Roman"/>
          <w:color w:val="000000" w:themeColor="text1"/>
          <w:sz w:val="18"/>
          <w:szCs w:val="18"/>
        </w:rPr>
        <w:t xml:space="preserve"> (ed.), </w:t>
      </w:r>
      <w:r w:rsidRPr="00A203A6">
        <w:rPr>
          <w:rFonts w:cs="Times New Roman"/>
          <w:i/>
          <w:color w:val="000000" w:themeColor="text1"/>
          <w:sz w:val="18"/>
          <w:szCs w:val="18"/>
        </w:rPr>
        <w:t xml:space="preserve">On Security </w:t>
      </w:r>
      <w:r w:rsidRPr="00A203A6">
        <w:rPr>
          <w:rFonts w:cs="Times New Roman"/>
          <w:color w:val="000000" w:themeColor="text1"/>
          <w:sz w:val="18"/>
          <w:szCs w:val="18"/>
        </w:rPr>
        <w:t xml:space="preserve">(New York: Columbia University Press, 1995): 46-86), which ultimately facilitates </w:t>
      </w:r>
      <w:proofErr w:type="spellStart"/>
      <w:r w:rsidRPr="00A203A6">
        <w:rPr>
          <w:rFonts w:cs="Times New Roman"/>
          <w:color w:val="000000" w:themeColor="text1"/>
          <w:sz w:val="18"/>
          <w:szCs w:val="18"/>
        </w:rPr>
        <w:t>Wæver</w:t>
      </w:r>
      <w:proofErr w:type="spellEnd"/>
      <w:r w:rsidRPr="00A203A6">
        <w:rPr>
          <w:rFonts w:cs="Times New Roman"/>
          <w:color w:val="000000" w:themeColor="text1"/>
          <w:sz w:val="18"/>
          <w:szCs w:val="18"/>
          <w:shd w:val="clear" w:color="auto" w:fill="FFFFFF"/>
        </w:rPr>
        <w:t xml:space="preserve">, Barry Buzan, and Jaap de Wilde’s </w:t>
      </w:r>
      <w:r w:rsidRPr="00A203A6">
        <w:rPr>
          <w:rFonts w:cs="Times New Roman"/>
          <w:color w:val="000000" w:themeColor="text1"/>
          <w:sz w:val="18"/>
          <w:szCs w:val="18"/>
        </w:rPr>
        <w:t xml:space="preserve">definition of </w:t>
      </w:r>
      <w:r w:rsidRPr="00A203A6">
        <w:rPr>
          <w:rFonts w:cs="Times New Roman"/>
          <w:iCs/>
          <w:color w:val="000000" w:themeColor="text1"/>
          <w:sz w:val="18"/>
          <w:szCs w:val="18"/>
        </w:rPr>
        <w:t>‘securitization’ to suggest that security and the process of securitizing issues be understood as self-referential acts, performed entirely through spoken word (</w:t>
      </w:r>
      <w:r w:rsidRPr="00A203A6">
        <w:rPr>
          <w:rFonts w:cs="Times New Roman"/>
          <w:color w:val="000000" w:themeColor="text1"/>
          <w:sz w:val="18"/>
          <w:szCs w:val="18"/>
        </w:rPr>
        <w:t xml:space="preserve">Barry Buzan, Ole </w:t>
      </w:r>
      <w:proofErr w:type="spellStart"/>
      <w:r w:rsidRPr="00A203A6">
        <w:rPr>
          <w:rFonts w:cs="Times New Roman"/>
          <w:color w:val="000000" w:themeColor="text1"/>
          <w:sz w:val="18"/>
          <w:szCs w:val="18"/>
        </w:rPr>
        <w:t>Waever</w:t>
      </w:r>
      <w:proofErr w:type="spellEnd"/>
      <w:r w:rsidRPr="00A203A6">
        <w:rPr>
          <w:rFonts w:cs="Times New Roman"/>
          <w:color w:val="000000" w:themeColor="text1"/>
          <w:sz w:val="18"/>
          <w:szCs w:val="18"/>
        </w:rPr>
        <w:t xml:space="preserve"> and Jaap de Wilde,</w:t>
      </w:r>
      <w:r w:rsidRPr="00A203A6">
        <w:rPr>
          <w:rFonts w:cs="Times New Roman"/>
          <w:i/>
          <w:color w:val="000000" w:themeColor="text1"/>
          <w:sz w:val="18"/>
          <w:szCs w:val="18"/>
        </w:rPr>
        <w:t xml:space="preserve"> Security: A New Framework for Analysis</w:t>
      </w:r>
      <w:r w:rsidRPr="00A203A6">
        <w:rPr>
          <w:rFonts w:cs="Times New Roman"/>
          <w:iCs/>
          <w:color w:val="000000" w:themeColor="text1"/>
          <w:sz w:val="18"/>
          <w:szCs w:val="18"/>
        </w:rPr>
        <w:t xml:space="preserve"> (Boulder</w:t>
      </w:r>
      <w:r w:rsidRPr="00A203A6">
        <w:rPr>
          <w:rFonts w:cs="Times New Roman"/>
          <w:color w:val="000000" w:themeColor="text1"/>
          <w:sz w:val="18"/>
          <w:szCs w:val="18"/>
        </w:rPr>
        <w:t xml:space="preserve">: Lynne </w:t>
      </w:r>
      <w:proofErr w:type="spellStart"/>
      <w:r w:rsidRPr="00A203A6">
        <w:rPr>
          <w:rFonts w:cs="Times New Roman"/>
          <w:color w:val="000000" w:themeColor="text1"/>
          <w:sz w:val="18"/>
          <w:szCs w:val="18"/>
        </w:rPr>
        <w:t>Rienner</w:t>
      </w:r>
      <w:proofErr w:type="spellEnd"/>
      <w:r w:rsidRPr="00A203A6">
        <w:rPr>
          <w:rFonts w:cs="Times New Roman"/>
          <w:color w:val="000000" w:themeColor="text1"/>
          <w:sz w:val="18"/>
          <w:szCs w:val="18"/>
        </w:rPr>
        <w:t xml:space="preserve"> Publishers, 1998)</w:t>
      </w:r>
      <w:r w:rsidRPr="00A203A6">
        <w:rPr>
          <w:rFonts w:cs="Times New Roman"/>
          <w:iCs/>
          <w:color w:val="000000" w:themeColor="text1"/>
          <w:sz w:val="18"/>
          <w:szCs w:val="18"/>
        </w:rPr>
        <w:t>). This represents the suggestion that issues become security issues not because they are inherently threats, but because they are conceived of as such due to words spoken. The concept of “securitization” can thus be understood as the declaration of the ‘referent object’ as existentially threatened, to a point that necessitates some degree of the suspension of normal political functions (</w:t>
      </w:r>
      <w:r w:rsidRPr="00A203A6">
        <w:rPr>
          <w:rFonts w:cs="Times New Roman"/>
          <w:color w:val="000000" w:themeColor="text1"/>
          <w:sz w:val="18"/>
          <w:szCs w:val="18"/>
          <w:bdr w:val="none" w:sz="0" w:space="0" w:color="auto" w:frame="1"/>
        </w:rPr>
        <w:t xml:space="preserve">Thierry </w:t>
      </w:r>
      <w:proofErr w:type="spellStart"/>
      <w:r w:rsidRPr="00A203A6">
        <w:rPr>
          <w:rFonts w:cs="Times New Roman"/>
          <w:color w:val="000000" w:themeColor="text1"/>
          <w:sz w:val="18"/>
          <w:szCs w:val="18"/>
          <w:bdr w:val="none" w:sz="0" w:space="0" w:color="auto" w:frame="1"/>
        </w:rPr>
        <w:t>Balzacq</w:t>
      </w:r>
      <w:proofErr w:type="spellEnd"/>
      <w:r w:rsidRPr="00A203A6">
        <w:rPr>
          <w:rFonts w:cs="Times New Roman"/>
          <w:color w:val="000000" w:themeColor="text1"/>
          <w:sz w:val="18"/>
          <w:szCs w:val="18"/>
          <w:bdr w:val="none" w:sz="0" w:space="0" w:color="auto" w:frame="1"/>
        </w:rPr>
        <w:t xml:space="preserve">, </w:t>
      </w:r>
      <w:r w:rsidRPr="00A203A6">
        <w:rPr>
          <w:rFonts w:cs="Times New Roman"/>
          <w:i/>
          <w:iCs/>
          <w:color w:val="000000" w:themeColor="text1"/>
          <w:sz w:val="18"/>
          <w:szCs w:val="18"/>
          <w:bdr w:val="none" w:sz="0" w:space="0" w:color="auto" w:frame="1"/>
        </w:rPr>
        <w:t>Securitization Theory: How Security Problems Emerge and Dissolve</w:t>
      </w:r>
      <w:r w:rsidRPr="00A203A6">
        <w:rPr>
          <w:rFonts w:cs="Times New Roman"/>
          <w:color w:val="000000" w:themeColor="text1"/>
          <w:sz w:val="18"/>
          <w:szCs w:val="18"/>
          <w:bdr w:val="none" w:sz="0" w:space="0" w:color="auto" w:frame="1"/>
        </w:rPr>
        <w:t xml:space="preserve"> (London: Routledge, 2011).</w:t>
      </w:r>
    </w:p>
  </w:footnote>
  <w:footnote w:id="65">
    <w:p w14:paraId="6C911942" w14:textId="77777777" w:rsidR="0051124B" w:rsidRPr="00A203A6" w:rsidRDefault="0051124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Michael Gold-</w:t>
      </w:r>
      <w:proofErr w:type="spellStart"/>
      <w:r w:rsidRPr="00A203A6">
        <w:rPr>
          <w:color w:val="000000" w:themeColor="text1"/>
          <w:sz w:val="18"/>
          <w:szCs w:val="18"/>
        </w:rPr>
        <w:t>Biss</w:t>
      </w:r>
      <w:proofErr w:type="spellEnd"/>
      <w:r w:rsidRPr="00A203A6">
        <w:rPr>
          <w:color w:val="000000" w:themeColor="text1"/>
          <w:sz w:val="18"/>
          <w:szCs w:val="18"/>
        </w:rPr>
        <w:t>, “The Discourse on Terrorism: Political Violence and the Subcommittee on Security and Terrorism,” Ph.D. diss., The American University</w:t>
      </w:r>
      <w:r w:rsidRPr="00A203A6">
        <w:rPr>
          <w:i/>
          <w:iCs/>
          <w:color w:val="000000" w:themeColor="text1"/>
          <w:sz w:val="18"/>
          <w:szCs w:val="18"/>
        </w:rPr>
        <w:t xml:space="preserve"> </w:t>
      </w:r>
      <w:r w:rsidRPr="00A203A6">
        <w:rPr>
          <w:color w:val="000000" w:themeColor="text1"/>
          <w:sz w:val="18"/>
          <w:szCs w:val="18"/>
        </w:rPr>
        <w:t>(1992): 108.</w:t>
      </w:r>
    </w:p>
  </w:footnote>
  <w:footnote w:id="66">
    <w:p w14:paraId="1582DF1B" w14:textId="77777777" w:rsidR="0051124B" w:rsidRPr="00A203A6" w:rsidRDefault="0051124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See Christopher J. Finlay, “How to Do Things with the Word ‘Terrorist,’” </w:t>
      </w:r>
      <w:r w:rsidRPr="00A203A6">
        <w:rPr>
          <w:i/>
          <w:iCs/>
          <w:color w:val="000000" w:themeColor="text1"/>
          <w:sz w:val="18"/>
          <w:szCs w:val="18"/>
        </w:rPr>
        <w:t>Review of International Studies</w:t>
      </w:r>
      <w:r w:rsidRPr="00A203A6">
        <w:rPr>
          <w:color w:val="000000" w:themeColor="text1"/>
          <w:sz w:val="18"/>
          <w:szCs w:val="18"/>
        </w:rPr>
        <w:t xml:space="preserve"> 35, no. 4 (October 2009): 751-774 for a comprehensive overview of the existing literature that specifically addresses this subject matter.</w:t>
      </w:r>
    </w:p>
  </w:footnote>
  <w:footnote w:id="67">
    <w:p w14:paraId="58B5D876"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Nicholas J. Perry, “The Numerous Federal Legal Definitions of Terrorism: The Problem of too Many Grails,” </w:t>
      </w:r>
      <w:r w:rsidRPr="00A203A6">
        <w:rPr>
          <w:rFonts w:cs="Times New Roman"/>
          <w:i/>
          <w:iCs/>
          <w:color w:val="000000" w:themeColor="text1"/>
          <w:sz w:val="18"/>
          <w:szCs w:val="18"/>
        </w:rPr>
        <w:t xml:space="preserve">Journal of Legislation </w:t>
      </w:r>
      <w:r w:rsidRPr="00A203A6">
        <w:rPr>
          <w:rFonts w:cs="Times New Roman"/>
          <w:color w:val="000000" w:themeColor="text1"/>
          <w:sz w:val="18"/>
          <w:szCs w:val="18"/>
        </w:rPr>
        <w:t xml:space="preserve">30, no. 2 (May 1, 2004): 249-274; Sam Jackson, “Non-normative Political Extremism: Reclaiming a Concept’s Analytical Utility,” </w:t>
      </w:r>
      <w:r w:rsidRPr="00A203A6">
        <w:rPr>
          <w:rFonts w:cs="Times New Roman"/>
          <w:i/>
          <w:iCs/>
          <w:color w:val="000000" w:themeColor="text1"/>
          <w:sz w:val="18"/>
          <w:szCs w:val="18"/>
        </w:rPr>
        <w:t xml:space="preserve">Terrorism and Political Violence </w:t>
      </w:r>
      <w:r w:rsidRPr="00A203A6">
        <w:rPr>
          <w:rFonts w:cs="Times New Roman"/>
          <w:color w:val="000000" w:themeColor="text1"/>
          <w:sz w:val="18"/>
          <w:szCs w:val="18"/>
        </w:rPr>
        <w:t xml:space="preserve">(2016): 1-16; Conor Cruise O’Brien, </w:t>
      </w:r>
      <w:r w:rsidRPr="00A203A6">
        <w:rPr>
          <w:rFonts w:cs="Times New Roman"/>
          <w:i/>
          <w:iCs/>
          <w:color w:val="000000" w:themeColor="text1"/>
          <w:sz w:val="18"/>
          <w:szCs w:val="18"/>
        </w:rPr>
        <w:t xml:space="preserve">Herod: Reflections on Political Violence </w:t>
      </w:r>
      <w:r w:rsidRPr="00A203A6">
        <w:rPr>
          <w:rFonts w:cs="Times New Roman"/>
          <w:color w:val="000000" w:themeColor="text1"/>
          <w:sz w:val="18"/>
          <w:szCs w:val="18"/>
        </w:rPr>
        <w:t>(London: Hutchison, 1978).</w:t>
      </w:r>
    </w:p>
  </w:footnote>
  <w:footnote w:id="68">
    <w:p w14:paraId="533E15E9"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 select sampling of this literature includes (but is not limited to) the following publications: Alex P. Schmid, A.J. Jongman and Michael </w:t>
      </w:r>
      <w:proofErr w:type="spellStart"/>
      <w:r w:rsidRPr="00A203A6">
        <w:rPr>
          <w:rFonts w:cs="Times New Roman"/>
          <w:color w:val="000000" w:themeColor="text1"/>
          <w:sz w:val="18"/>
          <w:szCs w:val="18"/>
        </w:rPr>
        <w:t>Stohl</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 xml:space="preserve">Political Terrorism: A New Guide to Actors, Authors, Concepts, Data Bases, Theories, and Literature </w:t>
      </w:r>
      <w:r w:rsidRPr="00A203A6">
        <w:rPr>
          <w:rFonts w:cs="Times New Roman"/>
          <w:color w:val="000000" w:themeColor="text1"/>
          <w:sz w:val="18"/>
          <w:szCs w:val="18"/>
        </w:rPr>
        <w:t xml:space="preserve">(Amsterdam: North-Holland Pub. Co., 1988); Jack P. Gibbs, “Conceptualization of Terrorism,” </w:t>
      </w:r>
      <w:r w:rsidRPr="00A203A6">
        <w:rPr>
          <w:rFonts w:cs="Times New Roman"/>
          <w:i/>
          <w:iCs/>
          <w:color w:val="000000" w:themeColor="text1"/>
          <w:sz w:val="18"/>
          <w:szCs w:val="18"/>
        </w:rPr>
        <w:t xml:space="preserve">American Sociological Review </w:t>
      </w:r>
      <w:r w:rsidRPr="00A203A6">
        <w:rPr>
          <w:rFonts w:cs="Times New Roman"/>
          <w:color w:val="000000" w:themeColor="text1"/>
          <w:sz w:val="18"/>
          <w:szCs w:val="18"/>
        </w:rPr>
        <w:t xml:space="preserve">54, no. 3 (1989): 329-340; Alex P. Schmid, “Terrorism and Democracy,” </w:t>
      </w:r>
      <w:r w:rsidRPr="00A203A6">
        <w:rPr>
          <w:rFonts w:cs="Times New Roman"/>
          <w:i/>
          <w:iCs/>
          <w:color w:val="000000" w:themeColor="text1"/>
          <w:sz w:val="18"/>
          <w:szCs w:val="18"/>
        </w:rPr>
        <w:t xml:space="preserve">Terrorism and Political Violence </w:t>
      </w:r>
      <w:r w:rsidRPr="00A203A6">
        <w:rPr>
          <w:rFonts w:cs="Times New Roman"/>
          <w:color w:val="000000" w:themeColor="text1"/>
          <w:sz w:val="18"/>
          <w:szCs w:val="18"/>
        </w:rPr>
        <w:t xml:space="preserve">4, Issue 4 (1992): 14-25; Louise Richardson, “Terrorists as Transnational Actors,” </w:t>
      </w:r>
      <w:r w:rsidRPr="00A203A6">
        <w:rPr>
          <w:rFonts w:cs="Times New Roman"/>
          <w:i/>
          <w:iCs/>
          <w:color w:val="000000" w:themeColor="text1"/>
          <w:sz w:val="18"/>
          <w:szCs w:val="18"/>
        </w:rPr>
        <w:t xml:space="preserve">Terrorism and Political Violence </w:t>
      </w:r>
      <w:r w:rsidRPr="00A203A6">
        <w:rPr>
          <w:rFonts w:cs="Times New Roman"/>
          <w:color w:val="000000" w:themeColor="text1"/>
          <w:sz w:val="18"/>
          <w:szCs w:val="18"/>
        </w:rPr>
        <w:t xml:space="preserve">11, no. 4 (1999): 209-219; Andrew Byrnes, “Apocalyptic Visions and the Law: The Legacy of September 11,” Professional Address at the ANU Law School for the Faculty’s ‘Inaugural and Valedictory Lecture Series. (May 30, 2002); Walter Laqueur, </w:t>
      </w:r>
      <w:r w:rsidRPr="00A203A6">
        <w:rPr>
          <w:rFonts w:cs="Times New Roman"/>
          <w:i/>
          <w:iCs/>
          <w:color w:val="000000" w:themeColor="text1"/>
          <w:sz w:val="18"/>
          <w:szCs w:val="18"/>
        </w:rPr>
        <w:t xml:space="preserve">A History of Terrorism </w:t>
      </w:r>
      <w:r w:rsidRPr="00A203A6">
        <w:rPr>
          <w:rFonts w:cs="Times New Roman"/>
          <w:color w:val="000000" w:themeColor="text1"/>
          <w:sz w:val="18"/>
          <w:szCs w:val="18"/>
        </w:rPr>
        <w:t xml:space="preserve">(New Brunswick, NJ: Transaction: 2001); Bruce Hoffman, </w:t>
      </w:r>
      <w:r w:rsidRPr="00A203A6">
        <w:rPr>
          <w:rFonts w:cs="Times New Roman"/>
          <w:i/>
          <w:iCs/>
          <w:color w:val="000000" w:themeColor="text1"/>
          <w:sz w:val="18"/>
          <w:szCs w:val="18"/>
        </w:rPr>
        <w:t xml:space="preserve">Inside Terrorism </w:t>
      </w:r>
      <w:r w:rsidRPr="00A203A6">
        <w:rPr>
          <w:rFonts w:cs="Times New Roman"/>
          <w:color w:val="000000" w:themeColor="text1"/>
          <w:sz w:val="18"/>
          <w:szCs w:val="18"/>
        </w:rPr>
        <w:t xml:space="preserve">(New York, NY: Columbia University Press, 2006); Boaz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 xml:space="preserve">The Counter- Terrorism Puzzle </w:t>
      </w:r>
      <w:r w:rsidRPr="00A203A6">
        <w:rPr>
          <w:rFonts w:cs="Times New Roman"/>
          <w:color w:val="000000" w:themeColor="text1"/>
          <w:sz w:val="18"/>
          <w:szCs w:val="18"/>
        </w:rPr>
        <w:t>(Herzliya: Transaction Publishers, 2005).</w:t>
      </w:r>
    </w:p>
  </w:footnote>
  <w:footnote w:id="69">
    <w:p w14:paraId="0FDB6CD4"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Counter-Terrorism Puzzle</w:t>
      </w:r>
      <w:r w:rsidRPr="00A203A6">
        <w:rPr>
          <w:rFonts w:cs="Times New Roman"/>
          <w:color w:val="000000" w:themeColor="text1"/>
          <w:sz w:val="18"/>
          <w:szCs w:val="18"/>
        </w:rPr>
        <w:t>,</w:t>
      </w:r>
      <w:r w:rsidRPr="00A203A6">
        <w:rPr>
          <w:rFonts w:cs="Times New Roman"/>
          <w:i/>
          <w:iCs/>
          <w:color w:val="000000" w:themeColor="text1"/>
          <w:sz w:val="18"/>
          <w:szCs w:val="18"/>
        </w:rPr>
        <w:t xml:space="preserve"> </w:t>
      </w:r>
      <w:r w:rsidRPr="00A203A6">
        <w:rPr>
          <w:rFonts w:cs="Times New Roman"/>
          <w:color w:val="000000" w:themeColor="text1"/>
          <w:sz w:val="18"/>
          <w:szCs w:val="18"/>
        </w:rPr>
        <w:t>7.</w:t>
      </w:r>
    </w:p>
  </w:footnote>
  <w:footnote w:id="70">
    <w:p w14:paraId="6FEACB0B"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Alex P. Schmid, “The Definition of Terrorism.” In Alex P. Schmid (ed.), </w:t>
      </w:r>
      <w:r w:rsidRPr="00A203A6">
        <w:rPr>
          <w:rFonts w:cs="Times New Roman"/>
          <w:i/>
          <w:iCs/>
          <w:color w:val="000000" w:themeColor="text1"/>
          <w:sz w:val="18"/>
          <w:szCs w:val="18"/>
        </w:rPr>
        <w:t>The Routledge Handbook of Terrorism</w:t>
      </w:r>
      <w:r w:rsidRPr="00A203A6">
        <w:rPr>
          <w:rFonts w:cs="Times New Roman"/>
          <w:color w:val="000000" w:themeColor="text1"/>
          <w:sz w:val="18"/>
          <w:szCs w:val="18"/>
        </w:rPr>
        <w:t xml:space="preserve"> (New York, NY: Routledge, 2011): 39.</w:t>
      </w:r>
    </w:p>
    <w:p w14:paraId="1D7C5085" w14:textId="77777777" w:rsidR="0051124B" w:rsidRPr="00A203A6" w:rsidRDefault="0051124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The problems associated with a failure to operationally define specific terms for the purposes of academic research stem from the critical role that definitions play in limiting the specific actions and activities under examination. To that end, explicitly defining specific terms serves to bring precision and clarity to otherwise contestable subjects.</w:t>
      </w:r>
    </w:p>
  </w:footnote>
  <w:footnote w:id="71">
    <w:p w14:paraId="4529CAF8"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Jeffrey D. Simon, </w:t>
      </w:r>
      <w:r w:rsidRPr="00A203A6">
        <w:rPr>
          <w:rFonts w:cs="Times New Roman"/>
          <w:i/>
          <w:iCs/>
          <w:color w:val="000000" w:themeColor="text1"/>
          <w:sz w:val="18"/>
          <w:szCs w:val="18"/>
        </w:rPr>
        <w:t>The Terrorist Trap</w:t>
      </w:r>
      <w:r w:rsidRPr="00A203A6">
        <w:rPr>
          <w:rFonts w:cs="Times New Roman"/>
          <w:color w:val="000000" w:themeColor="text1"/>
          <w:sz w:val="18"/>
          <w:szCs w:val="18"/>
        </w:rPr>
        <w:t xml:space="preserve"> (Bloomington, IN: Indiana University Press, 1994).</w:t>
      </w:r>
    </w:p>
  </w:footnote>
  <w:footnote w:id="72">
    <w:p w14:paraId="36695217" w14:textId="77777777" w:rsidR="00280554" w:rsidRPr="004C7B2C" w:rsidRDefault="00280554" w:rsidP="00280554">
      <w:pPr>
        <w:pStyle w:val="FootnoteText"/>
        <w:spacing w:before="0" w:after="0"/>
        <w:rPr>
          <w:rFonts w:cs="Times New Roman"/>
          <w:sz w:val="18"/>
          <w:szCs w:val="18"/>
        </w:rPr>
      </w:pPr>
      <w:r w:rsidRPr="004C7B2C">
        <w:rPr>
          <w:rStyle w:val="FootnoteReference"/>
          <w:rFonts w:cs="Times New Roman"/>
          <w:sz w:val="18"/>
          <w:szCs w:val="18"/>
        </w:rPr>
        <w:footnoteRef/>
      </w:r>
      <w:r w:rsidRPr="004C7B2C">
        <w:rPr>
          <w:rFonts w:cs="Times New Roman"/>
          <w:sz w:val="18"/>
          <w:szCs w:val="18"/>
        </w:rPr>
        <w:t xml:space="preserve"> M.J. Peterson, “Using the General Assembly.” In Jane Boulden and Thomas G. Weiss, eds. </w:t>
      </w:r>
      <w:r w:rsidRPr="004C7B2C">
        <w:rPr>
          <w:rFonts w:cs="Times New Roman"/>
          <w:i/>
          <w:iCs/>
          <w:sz w:val="18"/>
          <w:szCs w:val="18"/>
        </w:rPr>
        <w:t>Terrorism and the UN: Before and After September 11.</w:t>
      </w:r>
      <w:r w:rsidRPr="004C7B2C">
        <w:rPr>
          <w:rFonts w:cs="Times New Roman"/>
          <w:sz w:val="18"/>
          <w:szCs w:val="18"/>
        </w:rPr>
        <w:t xml:space="preserve"> (Indianapolis, IN: Indiana University Press, 2004): 178.</w:t>
      </w:r>
    </w:p>
  </w:footnote>
  <w:footnote w:id="73">
    <w:p w14:paraId="017F1766" w14:textId="77777777" w:rsidR="00280554" w:rsidRPr="004C7B2C" w:rsidRDefault="00280554" w:rsidP="00280554">
      <w:pPr>
        <w:pStyle w:val="NormalWeb"/>
        <w:spacing w:before="0" w:beforeAutospacing="0" w:after="0" w:afterAutospacing="0"/>
        <w:rPr>
          <w:sz w:val="18"/>
          <w:szCs w:val="18"/>
        </w:rPr>
      </w:pPr>
      <w:r w:rsidRPr="004C7B2C">
        <w:rPr>
          <w:rStyle w:val="FootnoteReference"/>
          <w:sz w:val="18"/>
          <w:szCs w:val="18"/>
        </w:rPr>
        <w:footnoteRef/>
      </w:r>
      <w:r w:rsidRPr="004C7B2C">
        <w:rPr>
          <w:sz w:val="18"/>
          <w:szCs w:val="18"/>
        </w:rPr>
        <w:t xml:space="preserve">Final Act of the United Nations Diplomatic Conference of Plenipotentiaries on the Establishment of an International Criminal Court, A/CONF.183/10 (17 July 1998), available from </w:t>
      </w:r>
      <w:hyperlink r:id="rId1" w:history="1">
        <w:r w:rsidRPr="004C7B2C">
          <w:rPr>
            <w:rStyle w:val="Hyperlink"/>
            <w:color w:val="auto"/>
            <w:sz w:val="18"/>
            <w:szCs w:val="18"/>
          </w:rPr>
          <w:t>https://documents.un.org/doc/undoc/gen/n98/241/85/pdf/n9824185.pdf?OpenElement</w:t>
        </w:r>
      </w:hyperlink>
      <w:r w:rsidRPr="004C7B2C">
        <w:rPr>
          <w:sz w:val="18"/>
          <w:szCs w:val="18"/>
        </w:rPr>
        <w:t xml:space="preserve">. </w:t>
      </w:r>
    </w:p>
  </w:footnote>
  <w:footnote w:id="74">
    <w:p w14:paraId="03B14BC5" w14:textId="77777777" w:rsidR="00280554" w:rsidRPr="004C7B2C" w:rsidRDefault="00280554" w:rsidP="00280554">
      <w:pPr>
        <w:pStyle w:val="FootnoteText"/>
        <w:rPr>
          <w:rFonts w:cs="Times New Roman"/>
          <w:sz w:val="18"/>
          <w:szCs w:val="18"/>
        </w:rPr>
      </w:pPr>
      <w:r w:rsidRPr="004C7B2C">
        <w:rPr>
          <w:rStyle w:val="FootnoteReference"/>
          <w:rFonts w:cs="Times New Roman"/>
          <w:sz w:val="18"/>
          <w:szCs w:val="18"/>
        </w:rPr>
        <w:footnoteRef/>
      </w:r>
      <w:r w:rsidRPr="004C7B2C">
        <w:rPr>
          <w:rFonts w:cs="Times New Roman"/>
          <w:sz w:val="18"/>
          <w:szCs w:val="18"/>
        </w:rPr>
        <w:t xml:space="preserve"> For a more in-depth discussion about the lack of an internationally accepted definition of terrorism, see Marcello Di Filippo, “The definition(s) of terrorism in international law.” In Ben Saul, </w:t>
      </w:r>
      <w:r w:rsidRPr="004C7B2C">
        <w:rPr>
          <w:rFonts w:cs="Times New Roman"/>
          <w:i/>
          <w:iCs/>
          <w:sz w:val="18"/>
          <w:szCs w:val="18"/>
        </w:rPr>
        <w:t xml:space="preserve">Research Handbook on International Law and Terrorism. </w:t>
      </w:r>
      <w:r w:rsidRPr="004C7B2C">
        <w:rPr>
          <w:rFonts w:cs="Times New Roman"/>
          <w:sz w:val="18"/>
          <w:szCs w:val="18"/>
        </w:rPr>
        <w:t xml:space="preserve">(Northampton, MA: Edward Elgar Publishing, 2020) and Alexandra V. Orlova and James W. Moore, </w:t>
      </w:r>
      <w:proofErr w:type="gramStart"/>
      <w:r w:rsidRPr="004C7B2C">
        <w:rPr>
          <w:rFonts w:cs="Times New Roman"/>
          <w:sz w:val="18"/>
          <w:szCs w:val="18"/>
        </w:rPr>
        <w:t>“”Umbrellas</w:t>
      </w:r>
      <w:proofErr w:type="gramEnd"/>
      <w:r w:rsidRPr="004C7B2C">
        <w:rPr>
          <w:rFonts w:cs="Times New Roman"/>
          <w:sz w:val="18"/>
          <w:szCs w:val="18"/>
        </w:rPr>
        <w:t>” or “Building Blocks”?: Defining International Terrorism and Transnational Organized Crime in International Law.”</w:t>
      </w:r>
      <w:r w:rsidRPr="004C7B2C">
        <w:rPr>
          <w:rFonts w:cs="Times New Roman"/>
          <w:i/>
          <w:iCs/>
          <w:sz w:val="18"/>
          <w:szCs w:val="18"/>
        </w:rPr>
        <w:t xml:space="preserve"> Houston Journal of International Law</w:t>
      </w:r>
      <w:r w:rsidRPr="004C7B2C">
        <w:rPr>
          <w:rFonts w:cs="Times New Roman"/>
          <w:sz w:val="18"/>
          <w:szCs w:val="18"/>
        </w:rPr>
        <w:t>, 27, No. 2 (2005).</w:t>
      </w:r>
    </w:p>
  </w:footnote>
  <w:footnote w:id="75">
    <w:p w14:paraId="6F5C5EF6"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Schmid, Jongman &amp; </w:t>
      </w:r>
      <w:proofErr w:type="spellStart"/>
      <w:r w:rsidRPr="00A203A6">
        <w:rPr>
          <w:rFonts w:cs="Times New Roman"/>
          <w:color w:val="000000" w:themeColor="text1"/>
          <w:sz w:val="18"/>
          <w:szCs w:val="18"/>
        </w:rPr>
        <w:t>Stohl</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Political Terrorism,</w:t>
      </w:r>
      <w:r w:rsidRPr="00A203A6">
        <w:rPr>
          <w:rFonts w:cs="Times New Roman"/>
          <w:color w:val="000000" w:themeColor="text1"/>
          <w:sz w:val="18"/>
          <w:szCs w:val="18"/>
        </w:rPr>
        <w:t xml:space="preserve"> 28.</w:t>
      </w:r>
    </w:p>
  </w:footnote>
  <w:footnote w:id="76">
    <w:p w14:paraId="45B3FF86"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Leonard Weinberg, Ami </w:t>
      </w:r>
      <w:proofErr w:type="spellStart"/>
      <w:r w:rsidRPr="00A203A6">
        <w:rPr>
          <w:rFonts w:cs="Times New Roman"/>
          <w:color w:val="000000" w:themeColor="text1"/>
          <w:sz w:val="18"/>
          <w:szCs w:val="18"/>
        </w:rPr>
        <w:t>Pedahzur</w:t>
      </w:r>
      <w:proofErr w:type="spellEnd"/>
      <w:r w:rsidRPr="00A203A6">
        <w:rPr>
          <w:rFonts w:cs="Times New Roman"/>
          <w:color w:val="000000" w:themeColor="text1"/>
          <w:sz w:val="18"/>
          <w:szCs w:val="18"/>
        </w:rPr>
        <w:t>, Sivan Hirsch-</w:t>
      </w:r>
      <w:proofErr w:type="spellStart"/>
      <w:r w:rsidRPr="00A203A6">
        <w:rPr>
          <w:rFonts w:cs="Times New Roman"/>
          <w:color w:val="000000" w:themeColor="text1"/>
          <w:sz w:val="18"/>
          <w:szCs w:val="18"/>
        </w:rPr>
        <w:t>Hoefler</w:t>
      </w:r>
      <w:proofErr w:type="spellEnd"/>
      <w:r w:rsidRPr="00A203A6">
        <w:rPr>
          <w:rFonts w:cs="Times New Roman"/>
          <w:color w:val="000000" w:themeColor="text1"/>
          <w:sz w:val="18"/>
          <w:szCs w:val="18"/>
        </w:rPr>
        <w:t xml:space="preserve">, “The Challenges of Conceptualizing Terrorism.” </w:t>
      </w:r>
      <w:r w:rsidRPr="00A203A6">
        <w:rPr>
          <w:rFonts w:cs="Times New Roman"/>
          <w:i/>
          <w:iCs/>
          <w:color w:val="000000" w:themeColor="text1"/>
          <w:sz w:val="18"/>
          <w:szCs w:val="18"/>
        </w:rPr>
        <w:t>Terrorism and Political Violence</w:t>
      </w:r>
      <w:r w:rsidRPr="00A203A6">
        <w:rPr>
          <w:rFonts w:cs="Times New Roman"/>
          <w:color w:val="000000" w:themeColor="text1"/>
          <w:sz w:val="18"/>
          <w:szCs w:val="18"/>
        </w:rPr>
        <w:t xml:space="preserve"> 16, no. 4 (Winter 2004): 780.</w:t>
      </w:r>
    </w:p>
  </w:footnote>
  <w:footnote w:id="77">
    <w:p w14:paraId="255E90C5"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Bruce Jenkins, “The Study of Terrorism: Definitional Problems.” Presented at the 1978 meeting of The Institute of Management Sciences and Operations Research Society of America in New York, NY on May 3, 1978.</w:t>
      </w:r>
    </w:p>
  </w:footnote>
  <w:footnote w:id="78">
    <w:p w14:paraId="37E4AE48"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Hoffman, </w:t>
      </w:r>
      <w:r w:rsidRPr="00A203A6">
        <w:rPr>
          <w:rFonts w:cs="Times New Roman"/>
          <w:i/>
          <w:color w:val="000000" w:themeColor="text1"/>
          <w:sz w:val="18"/>
          <w:szCs w:val="18"/>
        </w:rPr>
        <w:t>Inside Terrorism</w:t>
      </w:r>
      <w:r w:rsidRPr="00A203A6">
        <w:rPr>
          <w:rFonts w:cs="Times New Roman"/>
          <w:color w:val="000000" w:themeColor="text1"/>
          <w:sz w:val="18"/>
          <w:szCs w:val="18"/>
        </w:rPr>
        <w:t>, 43.</w:t>
      </w:r>
    </w:p>
  </w:footnote>
  <w:footnote w:id="79">
    <w:p w14:paraId="5AFEDC64" w14:textId="77777777" w:rsidR="0051124B" w:rsidRPr="00A203A6" w:rsidRDefault="0051124B" w:rsidP="00787EBB">
      <w:pPr>
        <w:pStyle w:val="FootnoteText"/>
        <w:spacing w:before="0" w:after="80"/>
        <w:rPr>
          <w:rFonts w:cs="Times New Roman"/>
          <w:color w:val="000000" w:themeColor="text1"/>
          <w:sz w:val="18"/>
          <w:szCs w:val="18"/>
          <w:shd w:val="clear" w:color="auto" w:fill="FFFFFF"/>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Richard Little, “Ideology and Change.” In Barry Buzan and R.J. Jones (eds.), </w:t>
      </w:r>
      <w:r w:rsidRPr="00A203A6">
        <w:rPr>
          <w:rFonts w:cs="Times New Roman"/>
          <w:i/>
          <w:iCs/>
          <w:color w:val="000000" w:themeColor="text1"/>
          <w:sz w:val="18"/>
          <w:szCs w:val="18"/>
        </w:rPr>
        <w:t>Change and the Study of International Relations</w:t>
      </w:r>
      <w:r w:rsidRPr="00A203A6">
        <w:rPr>
          <w:rFonts w:cs="Times New Roman"/>
          <w:color w:val="000000" w:themeColor="text1"/>
          <w:sz w:val="18"/>
          <w:szCs w:val="18"/>
        </w:rPr>
        <w:t xml:space="preserve"> (London: Pinter,</w:t>
      </w:r>
      <w:r w:rsidRPr="00A203A6">
        <w:rPr>
          <w:rFonts w:cs="Times New Roman"/>
          <w:i/>
          <w:iCs/>
          <w:color w:val="000000" w:themeColor="text1"/>
          <w:sz w:val="18"/>
          <w:szCs w:val="18"/>
        </w:rPr>
        <w:t xml:space="preserve"> </w:t>
      </w:r>
      <w:r w:rsidRPr="00A203A6">
        <w:rPr>
          <w:rFonts w:cs="Times New Roman"/>
          <w:color w:val="000000" w:themeColor="text1"/>
          <w:sz w:val="18"/>
          <w:szCs w:val="18"/>
        </w:rPr>
        <w:t xml:space="preserve">1981): 30-39; </w:t>
      </w:r>
      <w:r w:rsidRPr="00A203A6">
        <w:rPr>
          <w:rFonts w:cs="Times New Roman"/>
          <w:color w:val="000000" w:themeColor="text1"/>
          <w:sz w:val="18"/>
          <w:szCs w:val="18"/>
          <w:shd w:val="clear" w:color="auto" w:fill="FFFFFF"/>
        </w:rPr>
        <w:t>Barry Buzan,</w:t>
      </w:r>
      <w:r w:rsidRPr="00A203A6">
        <w:rPr>
          <w:rStyle w:val="apple-converted-space"/>
          <w:rFonts w:cs="Times New Roman"/>
          <w:color w:val="000000" w:themeColor="text1"/>
          <w:sz w:val="18"/>
          <w:szCs w:val="18"/>
          <w:shd w:val="clear" w:color="auto" w:fill="FFFFFF"/>
        </w:rPr>
        <w:t> </w:t>
      </w:r>
      <w:r w:rsidRPr="00A203A6">
        <w:rPr>
          <w:rStyle w:val="Emphasis"/>
          <w:rFonts w:cs="Times New Roman"/>
          <w:color w:val="000000" w:themeColor="text1"/>
          <w:sz w:val="18"/>
          <w:szCs w:val="18"/>
        </w:rPr>
        <w:t>People, States and Fear: An Agenda for International Security Studies in the Post Cold War Era</w:t>
      </w:r>
      <w:r w:rsidRPr="00A203A6">
        <w:rPr>
          <w:rFonts w:cs="Times New Roman"/>
          <w:color w:val="000000" w:themeColor="text1"/>
          <w:sz w:val="18"/>
          <w:szCs w:val="18"/>
          <w:shd w:val="clear" w:color="auto" w:fill="FFFFFF"/>
        </w:rPr>
        <w:t xml:space="preserve"> (London: Harvester Wheatsheaf, 1991)</w:t>
      </w:r>
      <w:r w:rsidRPr="00A203A6">
        <w:rPr>
          <w:rFonts w:cs="Times New Roman"/>
          <w:color w:val="000000" w:themeColor="text1"/>
          <w:sz w:val="18"/>
          <w:szCs w:val="18"/>
        </w:rPr>
        <w:t xml:space="preserve">: 6; </w:t>
      </w:r>
      <w:r w:rsidRPr="00A203A6">
        <w:rPr>
          <w:rFonts w:cs="Times New Roman"/>
          <w:color w:val="000000" w:themeColor="text1"/>
          <w:sz w:val="18"/>
          <w:szCs w:val="18"/>
          <w:shd w:val="clear" w:color="auto" w:fill="FFFFFF"/>
        </w:rPr>
        <w:t>Steve Smith, “The Contested Concept of Security.” In</w:t>
      </w:r>
      <w:r w:rsidRPr="00A203A6">
        <w:rPr>
          <w:rStyle w:val="apple-converted-space"/>
          <w:rFonts w:cs="Times New Roman"/>
          <w:color w:val="000000" w:themeColor="text1"/>
          <w:sz w:val="18"/>
          <w:szCs w:val="18"/>
          <w:shd w:val="clear" w:color="auto" w:fill="FFFFFF"/>
        </w:rPr>
        <w:t xml:space="preserve"> Ken Booth (ed.), </w:t>
      </w:r>
      <w:r w:rsidRPr="00A203A6">
        <w:rPr>
          <w:rStyle w:val="Emphasis"/>
          <w:rFonts w:cs="Times New Roman"/>
          <w:color w:val="000000" w:themeColor="text1"/>
          <w:sz w:val="18"/>
          <w:szCs w:val="18"/>
        </w:rPr>
        <w:t>Critical Security Studies and World Politics</w:t>
      </w:r>
      <w:r w:rsidRPr="00A203A6">
        <w:rPr>
          <w:rFonts w:cs="Times New Roman"/>
          <w:color w:val="000000" w:themeColor="text1"/>
          <w:sz w:val="18"/>
          <w:szCs w:val="18"/>
          <w:shd w:val="clear" w:color="auto" w:fill="FFFFFF"/>
        </w:rPr>
        <w:t xml:space="preserve"> (Boulder: Lynne </w:t>
      </w:r>
      <w:proofErr w:type="spellStart"/>
      <w:r w:rsidRPr="00A203A6">
        <w:rPr>
          <w:rFonts w:cs="Times New Roman"/>
          <w:color w:val="000000" w:themeColor="text1"/>
          <w:sz w:val="18"/>
          <w:szCs w:val="18"/>
          <w:shd w:val="clear" w:color="auto" w:fill="FFFFFF"/>
        </w:rPr>
        <w:t>Rienner</w:t>
      </w:r>
      <w:proofErr w:type="spellEnd"/>
      <w:r w:rsidRPr="00A203A6">
        <w:rPr>
          <w:rFonts w:cs="Times New Roman"/>
          <w:color w:val="000000" w:themeColor="text1"/>
          <w:sz w:val="18"/>
          <w:szCs w:val="18"/>
          <w:shd w:val="clear" w:color="auto" w:fill="FFFFFF"/>
        </w:rPr>
        <w:t xml:space="preserve"> Publishers, 2005).</w:t>
      </w:r>
    </w:p>
    <w:p w14:paraId="422DBC25" w14:textId="5ABAFC27" w:rsidR="0051124B" w:rsidRPr="00A203A6" w:rsidRDefault="0051124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shd w:val="clear" w:color="auto" w:fill="FFFFFF"/>
        </w:rPr>
        <w:t xml:space="preserve"> </w:t>
      </w:r>
      <w:r w:rsidRPr="00A203A6">
        <w:rPr>
          <w:rFonts w:cs="Times New Roman"/>
          <w:color w:val="000000" w:themeColor="text1"/>
          <w:sz w:val="18"/>
          <w:szCs w:val="18"/>
        </w:rPr>
        <w:t xml:space="preserve">Gallie conceives of an essentially contested concept as a term so normatively loaded that no amount of debate or evidence will lead to agreement on its “correct or standard use.” As such, his original 1956 article predicates the use of this classification on seven prerequisite conditions: the first five of these are primarily descriptive in nature, and the final two serve to explicitly differentiate “essentially contested concept[s]” from “radically confused” concepts.” First: the concept must be “appraisive, in the sense that it signifies or accredits some kind of valued achievement.” To that end, using an essentially contested concept must suggest a tacit value judgement. Second: the concept must have an “internally complex character.” That is, to be considered “essentially contested,” a concept must comprise multiple separate components that interact with one another in their separate capacities as elements of a whole. This interaction must ultimately constitute the concept’s character in order for it to be </w:t>
      </w:r>
      <w:r w:rsidR="00E24F15" w:rsidRPr="00A203A6">
        <w:rPr>
          <w:rFonts w:cs="Times New Roman"/>
          <w:color w:val="000000" w:themeColor="text1"/>
          <w:sz w:val="18"/>
          <w:szCs w:val="18"/>
        </w:rPr>
        <w:t>labeled</w:t>
      </w:r>
      <w:r w:rsidRPr="00A203A6">
        <w:rPr>
          <w:rFonts w:cs="Times New Roman"/>
          <w:color w:val="000000" w:themeColor="text1"/>
          <w:sz w:val="18"/>
          <w:szCs w:val="18"/>
        </w:rPr>
        <w:t xml:space="preserve"> “essentially contested.” Third: any explanation of the concept’s worth must necessitate references to both the individual, and the collective contributions of its components. Fourth: the achievement that the concept connotes must not be able to be predicted or prescribed. Fifth: in order for a concept to be classified “essentially contested,” parties that dispute one another’s use of the concept in question must acknowledge and appreciate its “contested-ness.” Sixth: to claim the ‘essentially contested’ label, a concept must have been derived from an exemplar whose authority is claimed on the basis of all of the disputing parties’ acknowledgement of its authority. Finally, Gallie’s seventh and last criterion argues that it must be plausible that the ‘contested-</w:t>
      </w:r>
      <w:proofErr w:type="gramStart"/>
      <w:r w:rsidRPr="00A203A6">
        <w:rPr>
          <w:rFonts w:cs="Times New Roman"/>
          <w:color w:val="000000" w:themeColor="text1"/>
          <w:sz w:val="18"/>
          <w:szCs w:val="18"/>
        </w:rPr>
        <w:t>ness’</w:t>
      </w:r>
      <w:proofErr w:type="gramEnd"/>
      <w:r w:rsidRPr="00A203A6">
        <w:rPr>
          <w:rFonts w:cs="Times New Roman"/>
          <w:color w:val="000000" w:themeColor="text1"/>
          <w:sz w:val="18"/>
          <w:szCs w:val="18"/>
        </w:rPr>
        <w:t xml:space="preserve"> of the concept in question enables the original exemplar’s achievement to be best sustained or developed. (W.B. Gallie, “Essentially Contested Concepts,” </w:t>
      </w:r>
      <w:r w:rsidRPr="00A203A6">
        <w:rPr>
          <w:rFonts w:cs="Times New Roman"/>
          <w:i/>
          <w:iCs/>
          <w:color w:val="000000" w:themeColor="text1"/>
          <w:sz w:val="18"/>
          <w:szCs w:val="18"/>
        </w:rPr>
        <w:t>Proceedings of the Aristotelian Society</w:t>
      </w:r>
      <w:r w:rsidRPr="00A203A6">
        <w:rPr>
          <w:rFonts w:cs="Times New Roman"/>
          <w:color w:val="000000" w:themeColor="text1"/>
          <w:sz w:val="18"/>
          <w:szCs w:val="18"/>
        </w:rPr>
        <w:t xml:space="preserve"> 56 (1956): 167-198.)</w:t>
      </w:r>
    </w:p>
  </w:footnote>
  <w:footnote w:id="80">
    <w:p w14:paraId="6F97AC8F"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Terrorism scholars like J.A.S. Wild claim that there is philosophical utility to approach exemplified by Gallie’s “essentially contested concepts” as “the rejection of all forms of universalism,” the ‘essentially contested concept’ classification only serves to provide for the emergence of competing conceptions that are ultimately “equally inadequate as final explanatory frameworks… [because] they use universalist rhetoric to protect provincial practices.” Wild’s point mirrors similar claims made by scholars like John N. Gray and Christine Swanton in opposition to literature that describes the term ‘security’ as an ‘essentially contested concept.’ In the context of the security debate, however, some scholars advocate for a “weaker variant of the essential contestedness hypothesis” that allows for differentiation between its “more and less problematic conceptualizations.”</w:t>
      </w: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Specifically, Swanton justifies this position by arguing that “stronger variants” of the ‘essential contestedness’ position seemingly invalidate any in-depth conceptual analysis.</w:t>
      </w:r>
    </w:p>
    <w:p w14:paraId="28C3D0FA" w14:textId="77777777" w:rsidR="0051124B" w:rsidRPr="00A203A6" w:rsidRDefault="0051124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(David A. Baldwin, “The Concept of Security,” </w:t>
      </w:r>
      <w:r w:rsidRPr="00A203A6">
        <w:rPr>
          <w:rFonts w:cs="Times New Roman"/>
          <w:i/>
          <w:iCs/>
          <w:color w:val="000000" w:themeColor="text1"/>
          <w:sz w:val="18"/>
          <w:szCs w:val="18"/>
        </w:rPr>
        <w:t xml:space="preserve">Review of International Studies </w:t>
      </w:r>
      <w:r w:rsidRPr="00A203A6">
        <w:rPr>
          <w:rFonts w:cs="Times New Roman"/>
          <w:color w:val="000000" w:themeColor="text1"/>
          <w:sz w:val="18"/>
          <w:szCs w:val="18"/>
        </w:rPr>
        <w:t xml:space="preserve">23 (1997):10-12; Christine Swanton, “On the ‘Essential Contestedness’ of Political Concepts,” </w:t>
      </w:r>
      <w:r w:rsidRPr="00A203A6">
        <w:rPr>
          <w:rFonts w:cs="Times New Roman"/>
          <w:i/>
          <w:iCs/>
          <w:color w:val="000000" w:themeColor="text1"/>
          <w:sz w:val="18"/>
          <w:szCs w:val="18"/>
        </w:rPr>
        <w:t>Ethics</w:t>
      </w:r>
      <w:r w:rsidRPr="00A203A6">
        <w:rPr>
          <w:rFonts w:cs="Times New Roman"/>
          <w:color w:val="000000" w:themeColor="text1"/>
          <w:sz w:val="18"/>
          <w:szCs w:val="18"/>
        </w:rPr>
        <w:t xml:space="preserve"> 95 (1985): 811-827; John N. Gray, “On the Contestability of Social and Political Concepts,” </w:t>
      </w:r>
      <w:r w:rsidRPr="00A203A6">
        <w:rPr>
          <w:rFonts w:cs="Times New Roman"/>
          <w:i/>
          <w:iCs/>
          <w:color w:val="000000" w:themeColor="text1"/>
          <w:sz w:val="18"/>
          <w:szCs w:val="18"/>
        </w:rPr>
        <w:t>Political Theory</w:t>
      </w:r>
      <w:r w:rsidRPr="00A203A6">
        <w:rPr>
          <w:rFonts w:cs="Times New Roman"/>
          <w:color w:val="000000" w:themeColor="text1"/>
          <w:sz w:val="18"/>
          <w:szCs w:val="18"/>
        </w:rPr>
        <w:t xml:space="preserve"> 5 (1977): 331-348.)</w:t>
      </w:r>
    </w:p>
    <w:p w14:paraId="7B34D75D" w14:textId="77777777" w:rsidR="0051124B" w:rsidRPr="00A203A6" w:rsidRDefault="0051124B" w:rsidP="00787EBB">
      <w:pPr>
        <w:spacing w:before="0" w:after="80"/>
        <w:rPr>
          <w:rFonts w:cs="Times New Roman"/>
          <w:color w:val="000000" w:themeColor="text1"/>
          <w:sz w:val="18"/>
          <w:szCs w:val="18"/>
        </w:rPr>
      </w:pPr>
      <w:r w:rsidRPr="00A203A6">
        <w:rPr>
          <w:rFonts w:cs="Times New Roman"/>
          <w:color w:val="000000" w:themeColor="text1"/>
          <w:sz w:val="18"/>
          <w:szCs w:val="18"/>
        </w:rPr>
        <w:t>David A. Baldwin describes the interaction between Swanton and Gray’s observations of “essentially contested concepts” and concludes that there are both “stronger variants” and “weaker variants” of Gallie’s “essentially contested concepts” classification. (Baldwin, “The Concept of Security,” 10-12)</w:t>
      </w:r>
    </w:p>
  </w:footnote>
  <w:footnote w:id="81">
    <w:p w14:paraId="3537151B"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Baldwin, “The Concept of Security,” 10-12; Swanton, “On the ‘Essential Contestedness’ of Political Concepts,” 811-827; Gray, “On the Contestability of Social and Political Concepts,” 331-348.</w:t>
      </w:r>
    </w:p>
  </w:footnote>
  <w:footnote w:id="82">
    <w:p w14:paraId="1D316C46"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Harvey Boulay. “Essentially Contested Concepts and the Teaching of Political Science.” </w:t>
      </w:r>
      <w:r w:rsidRPr="00A203A6">
        <w:rPr>
          <w:rFonts w:cs="Times New Roman"/>
          <w:i/>
          <w:iCs/>
          <w:color w:val="000000" w:themeColor="text1"/>
          <w:sz w:val="18"/>
          <w:szCs w:val="18"/>
        </w:rPr>
        <w:t xml:space="preserve">Teaching Political </w:t>
      </w:r>
      <w:r w:rsidRPr="00A203A6">
        <w:rPr>
          <w:rFonts w:cs="Times New Roman"/>
          <w:color w:val="000000" w:themeColor="text1"/>
          <w:sz w:val="18"/>
          <w:szCs w:val="18"/>
        </w:rPr>
        <w:t>Science, Volume 4, Issue 4 (1977): 425.</w:t>
      </w:r>
    </w:p>
  </w:footnote>
  <w:footnote w:id="83">
    <w:p w14:paraId="0C138D81"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Swanton, “On the ‘Essential Contestedness’ of Political Concepts,” 811-827.</w:t>
      </w:r>
    </w:p>
  </w:footnote>
  <w:footnote w:id="84">
    <w:p w14:paraId="652839B2"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Baldwin, “The Concept of Security,” 11.</w:t>
      </w:r>
    </w:p>
  </w:footnote>
  <w:footnote w:id="85">
    <w:p w14:paraId="533A4578"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Baldwin, “The Concept of Security,” 11.</w:t>
      </w:r>
    </w:p>
  </w:footnote>
  <w:footnote w:id="86">
    <w:p w14:paraId="7D87E455"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This example is inspired by a 2019 article in </w:t>
      </w:r>
      <w:r w:rsidRPr="00A203A6">
        <w:rPr>
          <w:rFonts w:cs="Times New Roman"/>
          <w:i/>
          <w:iCs/>
          <w:color w:val="000000" w:themeColor="text1"/>
          <w:sz w:val="18"/>
          <w:szCs w:val="18"/>
        </w:rPr>
        <w:t>The Athletic</w:t>
      </w:r>
      <w:r w:rsidRPr="00A203A6">
        <w:rPr>
          <w:rFonts w:cs="Times New Roman"/>
          <w:color w:val="000000" w:themeColor="text1"/>
          <w:sz w:val="18"/>
          <w:szCs w:val="18"/>
        </w:rPr>
        <w:t xml:space="preserve">, in which Sean McIndoe argued against viewing the Stanley Cup Final as the tournament that reveals the identity of the best NHL team in a given year. McIndoe’s article was written in the context of the upset in the first round of the 2019 Stanley Cup Playoffs, which saw the team that tied for the most regular season wins in NHL history in the 2018-2019 season (the Tampa Bay Lightning) lose to the team that it had beaten by a combined margin of 17-3 in the three regular season meetings between the two teams (the Columbus Blue Jackets). </w:t>
      </w:r>
    </w:p>
    <w:p w14:paraId="614F859E" w14:textId="77777777" w:rsidR="0051124B" w:rsidRPr="00A203A6" w:rsidRDefault="0051124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(Sean McIndoe, “Down Goes Brown: The 2019 playoffs are total chaos. Is that good? It depends on your door,” </w:t>
      </w:r>
      <w:r w:rsidRPr="00A203A6">
        <w:rPr>
          <w:rFonts w:cs="Times New Roman"/>
          <w:i/>
          <w:iCs/>
          <w:color w:val="000000" w:themeColor="text1"/>
          <w:sz w:val="18"/>
          <w:szCs w:val="18"/>
        </w:rPr>
        <w:t>The Athletic</w:t>
      </w:r>
      <w:r w:rsidRPr="00A203A6">
        <w:rPr>
          <w:rFonts w:cs="Times New Roman"/>
          <w:color w:val="000000" w:themeColor="text1"/>
          <w:sz w:val="18"/>
          <w:szCs w:val="18"/>
        </w:rPr>
        <w:t xml:space="preserve"> (April 22, 2019).)</w:t>
      </w:r>
    </w:p>
  </w:footnote>
  <w:footnote w:id="87">
    <w:p w14:paraId="42C5D83D"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McIndoe. “Down Goes Brown.”</w:t>
      </w:r>
    </w:p>
  </w:footnote>
  <w:footnote w:id="88">
    <w:p w14:paraId="3B056DD5"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McIndoe. “Down Goes Brown.”</w:t>
      </w:r>
    </w:p>
  </w:footnote>
  <w:footnote w:id="89">
    <w:p w14:paraId="5A535DC4"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McIndoe. “Down Goes Brown.”</w:t>
      </w:r>
    </w:p>
  </w:footnote>
  <w:footnote w:id="90">
    <w:p w14:paraId="4B411CCB"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Jessie </w:t>
      </w:r>
      <w:proofErr w:type="spellStart"/>
      <w:r w:rsidRPr="00A203A6">
        <w:rPr>
          <w:rFonts w:cs="Times New Roman"/>
          <w:color w:val="000000" w:themeColor="text1"/>
          <w:sz w:val="18"/>
          <w:szCs w:val="18"/>
        </w:rPr>
        <w:t>Blackbourn</w:t>
      </w:r>
      <w:proofErr w:type="spellEnd"/>
      <w:r w:rsidRPr="00A203A6">
        <w:rPr>
          <w:rFonts w:cs="Times New Roman"/>
          <w:color w:val="000000" w:themeColor="text1"/>
          <w:sz w:val="18"/>
          <w:szCs w:val="18"/>
        </w:rPr>
        <w:t xml:space="preserve">, Fergal F. Davis and Natasha C. Taylor, “Academic Consensus and Legislative Definitions of Terrorism: Applying Schmid and Jongman,” </w:t>
      </w:r>
      <w:r w:rsidRPr="00A203A6">
        <w:rPr>
          <w:rFonts w:cs="Times New Roman"/>
          <w:i/>
          <w:iCs/>
          <w:color w:val="000000" w:themeColor="text1"/>
          <w:sz w:val="18"/>
          <w:szCs w:val="18"/>
        </w:rPr>
        <w:t>Statute Law Review</w:t>
      </w:r>
      <w:r w:rsidRPr="00A203A6">
        <w:rPr>
          <w:rFonts w:cs="Times New Roman"/>
          <w:color w:val="000000" w:themeColor="text1"/>
          <w:sz w:val="18"/>
          <w:szCs w:val="18"/>
        </w:rPr>
        <w:t xml:space="preserve"> 34, Issue 3 (October 1, 2013): 239–261.</w:t>
      </w:r>
    </w:p>
  </w:footnote>
  <w:footnote w:id="91">
    <w:p w14:paraId="1BFA6380"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Blackbourn</w:t>
      </w:r>
      <w:proofErr w:type="spellEnd"/>
      <w:r w:rsidRPr="00A203A6">
        <w:rPr>
          <w:rFonts w:cs="Times New Roman"/>
          <w:color w:val="000000" w:themeColor="text1"/>
          <w:sz w:val="18"/>
          <w:szCs w:val="18"/>
        </w:rPr>
        <w:t>, David &amp; Taylor, “Academic Consensus and Legislative Definitions of Terrorism,” 239-261.</w:t>
      </w:r>
    </w:p>
  </w:footnote>
  <w:footnote w:id="92">
    <w:p w14:paraId="6FC7F17A"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Weinberg, </w:t>
      </w:r>
      <w:proofErr w:type="spellStart"/>
      <w:r w:rsidRPr="00A203A6">
        <w:rPr>
          <w:rFonts w:cs="Times New Roman"/>
          <w:color w:val="000000" w:themeColor="text1"/>
          <w:sz w:val="18"/>
          <w:szCs w:val="18"/>
        </w:rPr>
        <w:t>Pedahzur</w:t>
      </w:r>
      <w:proofErr w:type="spellEnd"/>
      <w:r w:rsidRPr="00A203A6">
        <w:rPr>
          <w:rFonts w:cs="Times New Roman"/>
          <w:color w:val="000000" w:themeColor="text1"/>
          <w:sz w:val="18"/>
          <w:szCs w:val="18"/>
        </w:rPr>
        <w:t xml:space="preserve"> &amp; Hirsch-</w:t>
      </w:r>
      <w:proofErr w:type="spellStart"/>
      <w:r w:rsidRPr="00A203A6">
        <w:rPr>
          <w:rFonts w:cs="Times New Roman"/>
          <w:color w:val="000000" w:themeColor="text1"/>
          <w:sz w:val="18"/>
          <w:szCs w:val="18"/>
        </w:rPr>
        <w:t>Hoefler</w:t>
      </w:r>
      <w:proofErr w:type="spellEnd"/>
      <w:r w:rsidRPr="00A203A6">
        <w:rPr>
          <w:rFonts w:cs="Times New Roman"/>
          <w:color w:val="000000" w:themeColor="text1"/>
          <w:sz w:val="18"/>
          <w:szCs w:val="18"/>
        </w:rPr>
        <w:t>, “The Challenges of Conceptualizing Terrorism,” 780.</w:t>
      </w:r>
    </w:p>
  </w:footnote>
  <w:footnote w:id="93">
    <w:p w14:paraId="6487B633"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Alex Schmid, “Terrorism – The Definitional Problem,” </w:t>
      </w:r>
      <w:r w:rsidRPr="00A203A6">
        <w:rPr>
          <w:rFonts w:cs="Times New Roman"/>
          <w:i/>
          <w:iCs/>
          <w:color w:val="000000" w:themeColor="text1"/>
          <w:sz w:val="18"/>
          <w:szCs w:val="18"/>
        </w:rPr>
        <w:t>Case Western Reserve Journal of International Law</w:t>
      </w:r>
      <w:r w:rsidRPr="00A203A6">
        <w:rPr>
          <w:rFonts w:cs="Times New Roman"/>
          <w:color w:val="000000" w:themeColor="text1"/>
          <w:sz w:val="18"/>
          <w:szCs w:val="18"/>
        </w:rPr>
        <w:t xml:space="preserve"> 2, No. 36 (2004): 382.</w:t>
      </w:r>
    </w:p>
  </w:footnote>
  <w:footnote w:id="94">
    <w:p w14:paraId="4565BD7C"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Weinberg, </w:t>
      </w:r>
      <w:proofErr w:type="spellStart"/>
      <w:r w:rsidRPr="00A203A6">
        <w:rPr>
          <w:rFonts w:cs="Times New Roman"/>
          <w:color w:val="000000" w:themeColor="text1"/>
          <w:sz w:val="18"/>
          <w:szCs w:val="18"/>
        </w:rPr>
        <w:t>Pedahzur</w:t>
      </w:r>
      <w:proofErr w:type="spellEnd"/>
      <w:r w:rsidRPr="00A203A6">
        <w:rPr>
          <w:rFonts w:cs="Times New Roman"/>
          <w:color w:val="000000" w:themeColor="text1"/>
          <w:sz w:val="18"/>
          <w:szCs w:val="18"/>
        </w:rPr>
        <w:t xml:space="preserve"> and Hirsch-</w:t>
      </w:r>
      <w:proofErr w:type="spellStart"/>
      <w:r w:rsidRPr="00A203A6">
        <w:rPr>
          <w:rFonts w:cs="Times New Roman"/>
          <w:color w:val="000000" w:themeColor="text1"/>
          <w:sz w:val="18"/>
          <w:szCs w:val="18"/>
        </w:rPr>
        <w:t>Hoefler</w:t>
      </w:r>
      <w:proofErr w:type="spellEnd"/>
      <w:r w:rsidRPr="00A203A6">
        <w:rPr>
          <w:rFonts w:cs="Times New Roman"/>
          <w:color w:val="000000" w:themeColor="text1"/>
          <w:sz w:val="18"/>
          <w:szCs w:val="18"/>
        </w:rPr>
        <w:t>, “The Challenges of Conceptualizing Terrorism,” 777-794.</w:t>
      </w:r>
    </w:p>
  </w:footnote>
  <w:footnote w:id="95">
    <w:p w14:paraId="6B231AA8"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significance of the 50 percent frequency of recurrence lower limit that a definitional element must display to be included in the </w:t>
      </w:r>
      <w:r w:rsidRPr="00A203A6">
        <w:rPr>
          <w:rFonts w:cs="Times New Roman"/>
          <w:i/>
          <w:iCs/>
          <w:color w:val="000000" w:themeColor="text1"/>
          <w:sz w:val="18"/>
          <w:szCs w:val="18"/>
        </w:rPr>
        <w:t>de minimis</w:t>
      </w:r>
      <w:r w:rsidRPr="00A203A6">
        <w:rPr>
          <w:rFonts w:cs="Times New Roman"/>
          <w:color w:val="000000" w:themeColor="text1"/>
          <w:sz w:val="18"/>
          <w:szCs w:val="18"/>
        </w:rPr>
        <w:t xml:space="preserve"> definition suggested herein is its signifying that the element in question is present in at least half of the definitions of terrorism surveyed in each study.</w:t>
      </w:r>
    </w:p>
  </w:footnote>
  <w:footnote w:id="96">
    <w:p w14:paraId="3CC28C5A" w14:textId="6C6F9D3F"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1988 Schmid and Jongman study also identifies [3] fear, terror (rank as per Schmid &amp; Jongman, 1988) as having a greater than 50 percent frequency of recurrence. I have chosen to omit this definitional element from the proposed </w:t>
      </w:r>
      <w:r w:rsidRPr="00A203A6">
        <w:rPr>
          <w:rFonts w:cs="Times New Roman"/>
          <w:i/>
          <w:iCs/>
          <w:color w:val="000000" w:themeColor="text1"/>
          <w:sz w:val="18"/>
          <w:szCs w:val="18"/>
        </w:rPr>
        <w:t xml:space="preserve">de minimis </w:t>
      </w:r>
      <w:r w:rsidRPr="00A203A6">
        <w:rPr>
          <w:rFonts w:cs="Times New Roman"/>
          <w:color w:val="000000" w:themeColor="text1"/>
          <w:sz w:val="18"/>
          <w:szCs w:val="18"/>
        </w:rPr>
        <w:t xml:space="preserve">definition of terrorism implicit to the scholarly literature due to the significant discrepancy between Schmid and Jongman’s calculation of this element’s recurrence frequency at fifty-one (51) percent, and Weinberg, </w:t>
      </w:r>
      <w:proofErr w:type="spellStart"/>
      <w:r w:rsidRPr="00A203A6">
        <w:rPr>
          <w:rFonts w:cs="Times New Roman"/>
          <w:color w:val="000000" w:themeColor="text1"/>
          <w:sz w:val="18"/>
          <w:szCs w:val="18"/>
        </w:rPr>
        <w:t>Pedahzur</w:t>
      </w:r>
      <w:proofErr w:type="spellEnd"/>
      <w:r w:rsidRPr="00A203A6">
        <w:rPr>
          <w:rFonts w:cs="Times New Roman"/>
          <w:color w:val="000000" w:themeColor="text1"/>
          <w:sz w:val="18"/>
          <w:szCs w:val="18"/>
        </w:rPr>
        <w:t xml:space="preserve"> and Hirsch-</w:t>
      </w:r>
      <w:proofErr w:type="spellStart"/>
      <w:r w:rsidRPr="00A203A6">
        <w:rPr>
          <w:rFonts w:cs="Times New Roman"/>
          <w:color w:val="000000" w:themeColor="text1"/>
          <w:sz w:val="18"/>
          <w:szCs w:val="18"/>
        </w:rPr>
        <w:t>Hoefler’s</w:t>
      </w:r>
      <w:proofErr w:type="spellEnd"/>
      <w:r w:rsidRPr="00A203A6">
        <w:rPr>
          <w:rFonts w:cs="Times New Roman"/>
          <w:color w:val="000000" w:themeColor="text1"/>
          <w:sz w:val="18"/>
          <w:szCs w:val="18"/>
        </w:rPr>
        <w:t xml:space="preserve"> 2004 calculation of this element’s recurrence frequency at twenty-two (22) percent. It should be noted that this discrepancy is well outside the margin of error identified by either study. (See Appendix </w:t>
      </w:r>
      <w:r w:rsidR="002D25A7">
        <w:rPr>
          <w:rFonts w:cs="Times New Roman"/>
          <w:color w:val="000000" w:themeColor="text1"/>
          <w:sz w:val="18"/>
          <w:szCs w:val="18"/>
        </w:rPr>
        <w:t>D</w:t>
      </w:r>
      <w:r w:rsidRPr="00A203A6">
        <w:rPr>
          <w:rFonts w:cs="Times New Roman"/>
          <w:color w:val="000000" w:themeColor="text1"/>
          <w:sz w:val="18"/>
          <w:szCs w:val="18"/>
        </w:rPr>
        <w:t xml:space="preserve"> for the detailed breakdown and comparison of the results of the 1988 Schmid and Jongman study and the 2004 Weinberg, </w:t>
      </w:r>
      <w:proofErr w:type="spellStart"/>
      <w:r w:rsidRPr="00A203A6">
        <w:rPr>
          <w:rFonts w:cs="Times New Roman"/>
          <w:color w:val="000000" w:themeColor="text1"/>
          <w:sz w:val="18"/>
          <w:szCs w:val="18"/>
        </w:rPr>
        <w:t>Pedahzur</w:t>
      </w:r>
      <w:proofErr w:type="spellEnd"/>
      <w:r w:rsidRPr="00A203A6">
        <w:rPr>
          <w:rFonts w:cs="Times New Roman"/>
          <w:color w:val="000000" w:themeColor="text1"/>
          <w:sz w:val="18"/>
          <w:szCs w:val="18"/>
        </w:rPr>
        <w:t xml:space="preserve"> and Hirsch-</w:t>
      </w:r>
      <w:proofErr w:type="spellStart"/>
      <w:r w:rsidRPr="00A203A6">
        <w:rPr>
          <w:rFonts w:cs="Times New Roman"/>
          <w:color w:val="000000" w:themeColor="text1"/>
          <w:sz w:val="18"/>
          <w:szCs w:val="18"/>
        </w:rPr>
        <w:t>Hoefler</w:t>
      </w:r>
      <w:proofErr w:type="spellEnd"/>
      <w:r w:rsidRPr="00A203A6">
        <w:rPr>
          <w:rFonts w:cs="Times New Roman"/>
          <w:color w:val="000000" w:themeColor="text1"/>
          <w:sz w:val="18"/>
          <w:szCs w:val="18"/>
        </w:rPr>
        <w:t xml:space="preserve"> study.)</w:t>
      </w:r>
    </w:p>
  </w:footnote>
  <w:footnote w:id="97">
    <w:p w14:paraId="0E8F3323"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While I use the definitions of terrorism present in states’ domestic legislation to derive my de minimis definition of terrorism, I am not a legal scholar. As such, my dissertation is premised on the policy debate (not law and policy).</w:t>
      </w:r>
    </w:p>
  </w:footnote>
  <w:footnote w:id="98">
    <w:p w14:paraId="26A98269"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Footnote 15 (Chapter 1, Page 9) for clarification as to my use of the term International Relations (or IR) to refer to the academic discipline, and ‘international relations’ to describe real-world conduct and policies.</w:t>
      </w:r>
    </w:p>
  </w:footnote>
  <w:footnote w:id="99">
    <w:p w14:paraId="4FFCAE91"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All of the United Nations member states’ domestic terrorism legislation was taken into account in conceiving of the proposed </w:t>
      </w:r>
      <w:r w:rsidRPr="00A203A6">
        <w:rPr>
          <w:rFonts w:cs="Times New Roman"/>
          <w:i/>
          <w:iCs/>
          <w:color w:val="000000" w:themeColor="text1"/>
          <w:sz w:val="18"/>
          <w:szCs w:val="18"/>
        </w:rPr>
        <w:t>de minimis</w:t>
      </w:r>
      <w:r w:rsidRPr="00A203A6">
        <w:rPr>
          <w:rFonts w:cs="Times New Roman"/>
          <w:color w:val="000000" w:themeColor="text1"/>
          <w:sz w:val="18"/>
          <w:szCs w:val="18"/>
        </w:rPr>
        <w:t xml:space="preserve"> definition of terrorism, with the sole exception of the Republic of Nauru. The Republic of Nauru does explicitly account for terrorism as an offence, and to that end, specifies a definition of terrorism in its 2004 Counter Terrorism and Transnational Organized Crime Act. Unfortunately, the Government of the Republic of Nauru’s online repository of legislation has been experiencing server problems since 2019, and as of the competition of this research, the complete text of the Act has not been successfully located. (As well, the government of the Republic of Nauru failed to respond to any request for the full text of the Act.)</w:t>
      </w:r>
    </w:p>
  </w:footnote>
  <w:footnote w:id="100">
    <w:p w14:paraId="2BC1C1E6" w14:textId="7260AEEE"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Appendix </w:t>
      </w:r>
      <w:r w:rsidR="002D25A7">
        <w:rPr>
          <w:rFonts w:cs="Times New Roman"/>
          <w:color w:val="000000" w:themeColor="text1"/>
          <w:sz w:val="18"/>
          <w:szCs w:val="18"/>
        </w:rPr>
        <w:t>E</w:t>
      </w:r>
      <w:r w:rsidRPr="00A203A6">
        <w:rPr>
          <w:rFonts w:cs="Times New Roman"/>
          <w:color w:val="000000" w:themeColor="text1"/>
          <w:sz w:val="18"/>
          <w:szCs w:val="18"/>
        </w:rPr>
        <w:t xml:space="preserve"> for a breakdown as to the recurrence frequencies of each of the identified definitional elements.</w:t>
      </w:r>
    </w:p>
  </w:footnote>
  <w:footnote w:id="101">
    <w:p w14:paraId="43386A7F"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Note that the numbers in [square brackets] that precede each definitional element in this list represent the elements’ initial coding in the context of this study.</w:t>
      </w:r>
    </w:p>
  </w:footnote>
  <w:footnote w:id="102">
    <w:p w14:paraId="665A7116" w14:textId="3440D929"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Appendix </w:t>
      </w:r>
      <w:r w:rsidR="002D25A7">
        <w:rPr>
          <w:rFonts w:cs="Times New Roman"/>
          <w:color w:val="000000" w:themeColor="text1"/>
          <w:sz w:val="18"/>
          <w:szCs w:val="18"/>
        </w:rPr>
        <w:t>F</w:t>
      </w:r>
      <w:r w:rsidRPr="00A203A6">
        <w:rPr>
          <w:rFonts w:cs="Times New Roman"/>
          <w:color w:val="000000" w:themeColor="text1"/>
          <w:sz w:val="18"/>
          <w:szCs w:val="18"/>
        </w:rPr>
        <w:t xml:space="preserve"> for a visual depiction of the overlapping classification of the identified definitional elements, in relation to the categories of ‘means,’ ‘mode,’ ‘target,’ and ‘objective’ of terrorist activity perpetrated.</w:t>
      </w:r>
    </w:p>
  </w:footnote>
  <w:footnote w:id="103">
    <w:p w14:paraId="36B148DC"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This dissertation understands and frames post-modern warfare as a macro-level process that necessarily affects the evolving character of the international system and the conduct of international relations. Specific instances of terrorist activity can also be understood as having a situation (or conflict)-specific, micro-level ‘means’ and ‘ends.’ As such, conceiving of terrorism as involving its own ‘means’, ‘mode’ and objective (‘ends’) does not contradict this chapter’s framing of terrorism itself as the ‘means’ of post-modern warfare. See Michael Sheehan, “The Evolution of Modern Warfare.” In John Baylis, James J. Wirtz and Colin S. Gray (eds.), </w:t>
      </w:r>
      <w:r w:rsidRPr="00A203A6">
        <w:rPr>
          <w:rFonts w:cs="Times New Roman"/>
          <w:i/>
          <w:iCs/>
          <w:color w:val="000000" w:themeColor="text1"/>
          <w:sz w:val="18"/>
          <w:szCs w:val="18"/>
        </w:rPr>
        <w:t>Strategy in the Contemporary World.</w:t>
      </w:r>
      <w:r w:rsidRPr="00A203A6">
        <w:rPr>
          <w:rFonts w:cs="Times New Roman"/>
          <w:color w:val="000000" w:themeColor="text1"/>
          <w:sz w:val="18"/>
          <w:szCs w:val="18"/>
        </w:rPr>
        <w:t xml:space="preserve"> (6</w:t>
      </w:r>
      <w:r w:rsidRPr="00A203A6">
        <w:rPr>
          <w:rFonts w:cs="Times New Roman"/>
          <w:color w:val="000000" w:themeColor="text1"/>
          <w:sz w:val="18"/>
          <w:szCs w:val="18"/>
          <w:vertAlign w:val="superscript"/>
        </w:rPr>
        <w:t>th</w:t>
      </w:r>
      <w:r w:rsidRPr="00A203A6">
        <w:rPr>
          <w:rFonts w:cs="Times New Roman"/>
          <w:color w:val="000000" w:themeColor="text1"/>
          <w:sz w:val="18"/>
          <w:szCs w:val="18"/>
        </w:rPr>
        <w:t xml:space="preserve"> edition). (Oxford: Oxford University Press, 2019): 36-52.</w:t>
      </w:r>
    </w:p>
  </w:footnote>
  <w:footnote w:id="104">
    <w:p w14:paraId="4A450107" w14:textId="77777777" w:rsidR="0051124B" w:rsidRPr="00A203A6" w:rsidRDefault="0051124B" w:rsidP="00787EBB">
      <w:pPr>
        <w:pStyle w:val="FootnoteText"/>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Edward Said, “American Intellectuals and Middle East Politics,” (Interview). In Bruce Robbins (ed.), </w:t>
      </w:r>
      <w:r w:rsidRPr="00A203A6">
        <w:rPr>
          <w:rFonts w:cs="Times New Roman"/>
          <w:i/>
          <w:iCs/>
          <w:color w:val="000000" w:themeColor="text1"/>
          <w:sz w:val="18"/>
          <w:szCs w:val="18"/>
        </w:rPr>
        <w:t>Intellectuals: Aesthetics, Politics, Academics</w:t>
      </w:r>
      <w:r w:rsidRPr="00A203A6">
        <w:rPr>
          <w:rFonts w:cs="Times New Roman"/>
          <w:color w:val="000000" w:themeColor="text1"/>
          <w:sz w:val="18"/>
          <w:szCs w:val="18"/>
        </w:rPr>
        <w:t xml:space="preserve"> (Minneapolis: University of Minnesota Press, 1990): 140.</w:t>
      </w:r>
    </w:p>
  </w:footnote>
  <w:footnote w:id="105">
    <w:p w14:paraId="544552F7"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Anthony Richards, </w:t>
      </w:r>
      <w:r w:rsidRPr="00A203A6">
        <w:rPr>
          <w:rFonts w:cs="Times New Roman"/>
          <w:i/>
          <w:iCs/>
          <w:color w:val="000000" w:themeColor="text1"/>
          <w:sz w:val="18"/>
          <w:szCs w:val="18"/>
        </w:rPr>
        <w:t>Conceptualizing Terrorism</w:t>
      </w:r>
      <w:r w:rsidRPr="00A203A6">
        <w:rPr>
          <w:rFonts w:cs="Times New Roman"/>
          <w:color w:val="000000" w:themeColor="text1"/>
          <w:sz w:val="18"/>
          <w:szCs w:val="18"/>
        </w:rPr>
        <w:t xml:space="preserve"> (Oxford: Oxford University Press, 2014): 214.</w:t>
      </w:r>
    </w:p>
  </w:footnote>
  <w:footnote w:id="106">
    <w:p w14:paraId="028CBD61" w14:textId="77777777" w:rsidR="0051124B" w:rsidRPr="00A203A6" w:rsidRDefault="0051124B" w:rsidP="00787EBB">
      <w:pPr>
        <w:spacing w:before="0" w:after="80"/>
        <w:rPr>
          <w:rFonts w:cs="Times New Roman"/>
          <w:b/>
          <w:b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One prominent, Canadian example of the clear difference between the policy definition of terrorism, and other types of de minimis definitions of terrorism that I establish in this dissertation is in the Crown’s refusal to lay a terrorism charge on the perpetrator of the 2018 Toronto van attack. For a more fulsome discussion of this, see Chapter 7, “Assessing the </w:t>
      </w:r>
      <w:r w:rsidRPr="00A203A6">
        <w:rPr>
          <w:rFonts w:cs="Times New Roman"/>
          <w:i/>
          <w:iCs/>
          <w:color w:val="000000" w:themeColor="text1"/>
          <w:sz w:val="18"/>
          <w:szCs w:val="18"/>
        </w:rPr>
        <w:t xml:space="preserve">De Minimis </w:t>
      </w:r>
      <w:r w:rsidRPr="00A203A6">
        <w:rPr>
          <w:rFonts w:cs="Times New Roman"/>
          <w:color w:val="000000" w:themeColor="text1"/>
          <w:sz w:val="18"/>
          <w:szCs w:val="18"/>
        </w:rPr>
        <w:t xml:space="preserve">Media Coverage Definition of Terrorism in Relation to the </w:t>
      </w:r>
      <w:r w:rsidRPr="00A203A6">
        <w:rPr>
          <w:rFonts w:cs="Times New Roman"/>
          <w:i/>
          <w:iCs/>
          <w:color w:val="000000" w:themeColor="text1"/>
          <w:sz w:val="18"/>
          <w:szCs w:val="18"/>
        </w:rPr>
        <w:t>De Minimis</w:t>
      </w:r>
      <w:r w:rsidRPr="00A203A6">
        <w:rPr>
          <w:rFonts w:cs="Times New Roman"/>
          <w:color w:val="000000" w:themeColor="text1"/>
          <w:sz w:val="18"/>
          <w:szCs w:val="18"/>
        </w:rPr>
        <w:t xml:space="preserve"> Policy Definition of Terrorism.”</w:t>
      </w:r>
    </w:p>
  </w:footnote>
  <w:footnote w:id="107">
    <w:p w14:paraId="6C49D813"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Thomas G. Weiss and </w:t>
      </w:r>
      <w:proofErr w:type="spellStart"/>
      <w:r w:rsidRPr="00A203A6">
        <w:rPr>
          <w:rFonts w:cs="Times New Roman"/>
          <w:color w:val="000000" w:themeColor="text1"/>
          <w:sz w:val="18"/>
          <w:szCs w:val="18"/>
        </w:rPr>
        <w:t>Anoulak</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Kittikhoun</w:t>
      </w:r>
      <w:proofErr w:type="spellEnd"/>
      <w:r w:rsidRPr="00A203A6">
        <w:rPr>
          <w:rFonts w:cs="Times New Roman"/>
          <w:color w:val="000000" w:themeColor="text1"/>
          <w:sz w:val="18"/>
          <w:szCs w:val="18"/>
        </w:rPr>
        <w:t xml:space="preserve">, “Theory vs. Practice: A Symposium,” </w:t>
      </w:r>
      <w:r w:rsidRPr="00A203A6">
        <w:rPr>
          <w:rFonts w:cs="Times New Roman"/>
          <w:i/>
          <w:iCs/>
          <w:color w:val="000000" w:themeColor="text1"/>
          <w:sz w:val="18"/>
          <w:szCs w:val="18"/>
        </w:rPr>
        <w:t>International Studies Review</w:t>
      </w:r>
      <w:r w:rsidRPr="00A203A6">
        <w:rPr>
          <w:rFonts w:cs="Times New Roman"/>
          <w:color w:val="000000" w:themeColor="text1"/>
          <w:sz w:val="18"/>
          <w:szCs w:val="18"/>
        </w:rPr>
        <w:t xml:space="preserve"> 13, no. 1 (2011): 1-5.</w:t>
      </w:r>
    </w:p>
  </w:footnote>
  <w:footnote w:id="108">
    <w:p w14:paraId="67F346B1"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Michel Girard, Wolf-Dieter </w:t>
      </w:r>
      <w:proofErr w:type="spellStart"/>
      <w:r w:rsidRPr="00A203A6">
        <w:rPr>
          <w:rFonts w:cs="Times New Roman"/>
          <w:color w:val="000000" w:themeColor="text1"/>
          <w:sz w:val="18"/>
          <w:szCs w:val="18"/>
        </w:rPr>
        <w:t>Eberwein</w:t>
      </w:r>
      <w:proofErr w:type="spellEnd"/>
      <w:r w:rsidRPr="00A203A6">
        <w:rPr>
          <w:rFonts w:cs="Times New Roman"/>
          <w:color w:val="000000" w:themeColor="text1"/>
          <w:sz w:val="18"/>
          <w:szCs w:val="18"/>
        </w:rPr>
        <w:t xml:space="preserve"> and Keith Webb, </w:t>
      </w:r>
      <w:r w:rsidRPr="00A203A6">
        <w:rPr>
          <w:rFonts w:cs="Times New Roman"/>
          <w:i/>
          <w:iCs/>
          <w:color w:val="000000" w:themeColor="text1"/>
          <w:sz w:val="18"/>
          <w:szCs w:val="18"/>
        </w:rPr>
        <w:t>Theory and Practice in Foreign Policy Making: National Perspectives on Academics and Professionals in International Relations</w:t>
      </w:r>
      <w:r w:rsidRPr="00A203A6">
        <w:rPr>
          <w:rFonts w:cs="Times New Roman"/>
          <w:color w:val="000000" w:themeColor="text1"/>
          <w:sz w:val="18"/>
          <w:szCs w:val="18"/>
        </w:rPr>
        <w:t xml:space="preserve"> (London: Pinter, 1994); Joseph </w:t>
      </w:r>
      <w:proofErr w:type="spellStart"/>
      <w:r w:rsidRPr="00A203A6">
        <w:rPr>
          <w:rFonts w:cs="Times New Roman"/>
          <w:color w:val="000000" w:themeColor="text1"/>
          <w:sz w:val="18"/>
          <w:szCs w:val="18"/>
        </w:rPr>
        <w:t>Lepgold</w:t>
      </w:r>
      <w:proofErr w:type="spellEnd"/>
      <w:r w:rsidRPr="00A203A6">
        <w:rPr>
          <w:rFonts w:cs="Times New Roman"/>
          <w:color w:val="000000" w:themeColor="text1"/>
          <w:sz w:val="18"/>
          <w:szCs w:val="18"/>
        </w:rPr>
        <w:t xml:space="preserve"> and Miroslav </w:t>
      </w:r>
      <w:proofErr w:type="spellStart"/>
      <w:r w:rsidRPr="00A203A6">
        <w:rPr>
          <w:rFonts w:cs="Times New Roman"/>
          <w:color w:val="000000" w:themeColor="text1"/>
          <w:sz w:val="18"/>
          <w:szCs w:val="18"/>
        </w:rPr>
        <w:t>Nincic</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Beyond the Ivory Tower: International Relations Theory and the Issue of Policy Relevance</w:t>
      </w:r>
      <w:r w:rsidRPr="00A203A6">
        <w:rPr>
          <w:rFonts w:cs="Times New Roman"/>
          <w:color w:val="000000" w:themeColor="text1"/>
          <w:sz w:val="18"/>
          <w:szCs w:val="18"/>
        </w:rPr>
        <w:t xml:space="preserve"> (New York: Columbia University Press, 2001); Weiss and </w:t>
      </w:r>
      <w:proofErr w:type="spellStart"/>
      <w:r w:rsidRPr="00A203A6">
        <w:rPr>
          <w:rFonts w:cs="Times New Roman"/>
          <w:color w:val="000000" w:themeColor="text1"/>
          <w:sz w:val="18"/>
          <w:szCs w:val="18"/>
        </w:rPr>
        <w:t>Kittikhoun</w:t>
      </w:r>
      <w:proofErr w:type="spellEnd"/>
      <w:r w:rsidRPr="00A203A6">
        <w:rPr>
          <w:rFonts w:cs="Times New Roman"/>
          <w:color w:val="000000" w:themeColor="text1"/>
          <w:sz w:val="18"/>
          <w:szCs w:val="18"/>
        </w:rPr>
        <w:t xml:space="preserve">, “Theory vs. Practice,” 1-5; Bettina </w:t>
      </w:r>
      <w:proofErr w:type="spellStart"/>
      <w:r w:rsidRPr="00A203A6">
        <w:rPr>
          <w:rFonts w:cs="Times New Roman"/>
          <w:color w:val="000000" w:themeColor="text1"/>
          <w:sz w:val="18"/>
          <w:szCs w:val="18"/>
        </w:rPr>
        <w:t>Trueb</w:t>
      </w:r>
      <w:proofErr w:type="spellEnd"/>
      <w:r w:rsidRPr="00A203A6">
        <w:rPr>
          <w:rFonts w:cs="Times New Roman"/>
          <w:color w:val="000000" w:themeColor="text1"/>
          <w:sz w:val="18"/>
          <w:szCs w:val="18"/>
        </w:rPr>
        <w:t>, “Teaching Students to Write for ‘Real Life’: Policy Paper Writing in the Classroom,”</w:t>
      </w:r>
      <w:r w:rsidRPr="00A203A6">
        <w:rPr>
          <w:rFonts w:cs="Times New Roman"/>
          <w:i/>
          <w:iCs/>
          <w:color w:val="000000" w:themeColor="text1"/>
          <w:sz w:val="18"/>
          <w:szCs w:val="18"/>
        </w:rPr>
        <w:t xml:space="preserve"> PS:</w:t>
      </w:r>
      <w:r w:rsidRPr="00A203A6">
        <w:rPr>
          <w:rFonts w:cs="Times New Roman"/>
          <w:color w:val="000000" w:themeColor="text1"/>
          <w:sz w:val="18"/>
          <w:szCs w:val="18"/>
        </w:rPr>
        <w:t xml:space="preserve"> </w:t>
      </w:r>
      <w:r w:rsidRPr="00A203A6">
        <w:rPr>
          <w:rFonts w:cs="Times New Roman"/>
          <w:i/>
          <w:iCs/>
          <w:color w:val="000000" w:themeColor="text1"/>
          <w:sz w:val="18"/>
          <w:szCs w:val="18"/>
        </w:rPr>
        <w:t>Political Science &amp; Politics</w:t>
      </w:r>
      <w:r w:rsidRPr="00A203A6">
        <w:rPr>
          <w:rFonts w:cs="Times New Roman"/>
          <w:color w:val="000000" w:themeColor="text1"/>
          <w:sz w:val="18"/>
          <w:szCs w:val="18"/>
        </w:rPr>
        <w:t xml:space="preserve"> 46 (2013): 137.</w:t>
      </w:r>
    </w:p>
  </w:footnote>
  <w:footnote w:id="109">
    <w:p w14:paraId="7AEBD388"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There is a broad literature addressing the notion of theory vs. practice in the context of International Relations that is beyond the scope of this dissertation. Both Weiss and </w:t>
      </w:r>
      <w:proofErr w:type="spellStart"/>
      <w:r w:rsidRPr="00A203A6">
        <w:rPr>
          <w:rFonts w:cs="Times New Roman"/>
          <w:color w:val="000000" w:themeColor="text1"/>
          <w:sz w:val="18"/>
          <w:szCs w:val="18"/>
        </w:rPr>
        <w:t>Kittikhoun’s</w:t>
      </w:r>
      <w:proofErr w:type="spellEnd"/>
      <w:r w:rsidRPr="00A203A6">
        <w:rPr>
          <w:rFonts w:cs="Times New Roman"/>
          <w:color w:val="000000" w:themeColor="text1"/>
          <w:sz w:val="18"/>
          <w:szCs w:val="18"/>
        </w:rPr>
        <w:t xml:space="preserve"> special issue of </w:t>
      </w:r>
      <w:r w:rsidRPr="00A203A6">
        <w:rPr>
          <w:rFonts w:cs="Times New Roman"/>
          <w:i/>
          <w:iCs/>
          <w:color w:val="000000" w:themeColor="text1"/>
          <w:sz w:val="18"/>
          <w:szCs w:val="18"/>
        </w:rPr>
        <w:t xml:space="preserve">International Studies Review </w:t>
      </w:r>
      <w:r w:rsidRPr="00A203A6">
        <w:rPr>
          <w:rFonts w:cs="Times New Roman"/>
          <w:color w:val="000000" w:themeColor="text1"/>
          <w:sz w:val="18"/>
          <w:szCs w:val="18"/>
        </w:rPr>
        <w:t xml:space="preserve">on Theory vs. Practice and </w:t>
      </w:r>
      <w:proofErr w:type="spellStart"/>
      <w:r w:rsidRPr="00A203A6">
        <w:rPr>
          <w:rFonts w:cs="Times New Roman"/>
          <w:color w:val="000000" w:themeColor="text1"/>
          <w:sz w:val="18"/>
          <w:szCs w:val="18"/>
        </w:rPr>
        <w:t>Lepgold</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Nincic’s</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Beyond the Ivory Tower: International Relations Theory and the Issue of Policy Relevance</w:t>
      </w:r>
      <w:r w:rsidRPr="00A203A6">
        <w:rPr>
          <w:rFonts w:cs="Times New Roman"/>
          <w:color w:val="000000" w:themeColor="text1"/>
          <w:sz w:val="18"/>
          <w:szCs w:val="18"/>
        </w:rPr>
        <w:t xml:space="preserve"> provide good basic overviews of the discussion on this topic.</w:t>
      </w:r>
    </w:p>
  </w:footnote>
  <w:footnote w:id="110">
    <w:p w14:paraId="441F0370"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Weinberg, </w:t>
      </w:r>
      <w:proofErr w:type="spellStart"/>
      <w:r w:rsidRPr="00A203A6">
        <w:rPr>
          <w:rFonts w:cs="Times New Roman"/>
          <w:color w:val="000000" w:themeColor="text1"/>
          <w:sz w:val="18"/>
          <w:szCs w:val="18"/>
        </w:rPr>
        <w:t>Pedahzur</w:t>
      </w:r>
      <w:proofErr w:type="spellEnd"/>
      <w:r w:rsidRPr="00A203A6">
        <w:rPr>
          <w:rFonts w:cs="Times New Roman"/>
          <w:color w:val="000000" w:themeColor="text1"/>
          <w:sz w:val="18"/>
          <w:szCs w:val="18"/>
        </w:rPr>
        <w:t xml:space="preserve"> &amp; Hirsch-</w:t>
      </w:r>
      <w:proofErr w:type="spellStart"/>
      <w:r w:rsidRPr="00A203A6">
        <w:rPr>
          <w:rFonts w:cs="Times New Roman"/>
          <w:color w:val="000000" w:themeColor="text1"/>
          <w:sz w:val="18"/>
          <w:szCs w:val="18"/>
        </w:rPr>
        <w:t>Hoefler</w:t>
      </w:r>
      <w:proofErr w:type="spellEnd"/>
      <w:r w:rsidRPr="00A203A6">
        <w:rPr>
          <w:rFonts w:cs="Times New Roman"/>
          <w:color w:val="000000" w:themeColor="text1"/>
          <w:sz w:val="18"/>
          <w:szCs w:val="18"/>
        </w:rPr>
        <w:t>, “The Challenges of Conceptualizing Terrorism,” 777-794.</w:t>
      </w:r>
    </w:p>
  </w:footnote>
  <w:footnote w:id="111">
    <w:p w14:paraId="74D3C36A"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Michel Foucault understands power as inherently relational: as the influence that an action exerts on other actions. Similarly, Steven Lukes “define[s] the concept of power by saying that A exercises power over B when A affects B in a manner contrary to B’s interests.” (Lukes, </w:t>
      </w:r>
      <w:r w:rsidRPr="00A203A6">
        <w:rPr>
          <w:rFonts w:cs="Times New Roman"/>
          <w:i/>
          <w:iCs/>
          <w:color w:val="000000" w:themeColor="text1"/>
          <w:sz w:val="18"/>
          <w:szCs w:val="18"/>
        </w:rPr>
        <w:t>Power,</w:t>
      </w:r>
      <w:r w:rsidRPr="00A203A6">
        <w:rPr>
          <w:rFonts w:cs="Times New Roman"/>
          <w:color w:val="000000" w:themeColor="text1"/>
          <w:sz w:val="18"/>
          <w:szCs w:val="18"/>
        </w:rPr>
        <w:t xml:space="preserve"> 37)</w:t>
      </w:r>
    </w:p>
    <w:p w14:paraId="7AFCB0A4" w14:textId="77777777" w:rsidR="0051124B" w:rsidRPr="00A203A6" w:rsidRDefault="0051124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(Michel Foucault, </w:t>
      </w:r>
      <w:r w:rsidRPr="00A203A6">
        <w:rPr>
          <w:rFonts w:cs="Times New Roman"/>
          <w:i/>
          <w:color w:val="000000" w:themeColor="text1"/>
          <w:sz w:val="18"/>
          <w:szCs w:val="18"/>
        </w:rPr>
        <w:t>Security, Territory, Population: Lectures at the College De France, 1977-78.</w:t>
      </w:r>
      <w:r w:rsidRPr="00A203A6">
        <w:rPr>
          <w:rFonts w:cs="Times New Roman"/>
          <w:iCs/>
          <w:color w:val="000000" w:themeColor="text1"/>
          <w:sz w:val="18"/>
          <w:szCs w:val="18"/>
        </w:rPr>
        <w:t xml:space="preserve"> (London: Palgrave Macmillan, 2009)</w:t>
      </w:r>
      <w:r w:rsidRPr="00A203A6">
        <w:rPr>
          <w:rFonts w:cs="Times New Roman"/>
          <w:color w:val="000000" w:themeColor="text1"/>
          <w:sz w:val="18"/>
          <w:szCs w:val="18"/>
        </w:rPr>
        <w:t xml:space="preserve">; Steven Lukes, </w:t>
      </w:r>
      <w:r w:rsidRPr="00A203A6">
        <w:rPr>
          <w:rFonts w:cs="Times New Roman"/>
          <w:i/>
          <w:iCs/>
          <w:color w:val="000000" w:themeColor="text1"/>
          <w:sz w:val="18"/>
          <w:szCs w:val="18"/>
        </w:rPr>
        <w:t>Power: A Radical View</w:t>
      </w:r>
      <w:r w:rsidRPr="00A203A6">
        <w:rPr>
          <w:rFonts w:cs="Times New Roman"/>
          <w:color w:val="000000" w:themeColor="text1"/>
          <w:sz w:val="18"/>
          <w:szCs w:val="18"/>
        </w:rPr>
        <w:t xml:space="preserve"> (2</w:t>
      </w:r>
      <w:r w:rsidRPr="00A203A6">
        <w:rPr>
          <w:rFonts w:cs="Times New Roman"/>
          <w:color w:val="000000" w:themeColor="text1"/>
          <w:sz w:val="18"/>
          <w:szCs w:val="18"/>
          <w:vertAlign w:val="superscript"/>
        </w:rPr>
        <w:t>nd</w:t>
      </w:r>
      <w:r w:rsidRPr="00A203A6">
        <w:rPr>
          <w:rFonts w:cs="Times New Roman"/>
          <w:color w:val="000000" w:themeColor="text1"/>
          <w:sz w:val="18"/>
          <w:szCs w:val="18"/>
        </w:rPr>
        <w:t xml:space="preserve"> ed.). (London: Palgrave Macmillan, 2005).)</w:t>
      </w:r>
    </w:p>
  </w:footnote>
  <w:footnote w:id="112">
    <w:p w14:paraId="4B117C96"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Constructivism understands the nature of the state as governed by James March and Johan P. Olsen’s proposal for the “logic of appropriateness”: heavily mediated by social norms, and innately affected by perceptions of its interaction and relationships with other actors. Moreover, constructivist scholars like Alexander Wendt argue that state identities are shaped and transformed within the international system, an ongoing and reciprocal process that is based on the principle that individuals act towards objects, including other actors, on the basis of the meaning that they read into said objects. Given its ontological opposition to the establishment of objective definitions, Peter Katzenstein asserts that constructivism emphasizes “varying identities and beliefs” as underpinning state actions, motivations and decision-making processes, claiming that, within international relations, interests are constructed through a process of social interaction. Further, he argues that international regimes acquire their own dynamic over time; this process of social change engenders self-reflections, which, in turn, inspires political actions that are shaped by collectively-held norms. Notions of power in international relations are also fundamentally ideational; Emmanuel Adler, Martha </w:t>
      </w:r>
      <w:proofErr w:type="spellStart"/>
      <w:r w:rsidRPr="00A203A6">
        <w:rPr>
          <w:rFonts w:cs="Times New Roman"/>
          <w:color w:val="000000" w:themeColor="text1"/>
          <w:sz w:val="18"/>
          <w:szCs w:val="18"/>
        </w:rPr>
        <w:t>Finnemore</w:t>
      </w:r>
      <w:proofErr w:type="spellEnd"/>
      <w:r w:rsidRPr="00A203A6">
        <w:rPr>
          <w:rFonts w:cs="Times New Roman"/>
          <w:color w:val="000000" w:themeColor="text1"/>
          <w:sz w:val="18"/>
          <w:szCs w:val="18"/>
        </w:rPr>
        <w:t xml:space="preserve"> and Kathryn </w:t>
      </w:r>
      <w:proofErr w:type="spellStart"/>
      <w:r w:rsidRPr="00A203A6">
        <w:rPr>
          <w:rFonts w:cs="Times New Roman"/>
          <w:color w:val="000000" w:themeColor="text1"/>
          <w:sz w:val="18"/>
          <w:szCs w:val="18"/>
        </w:rPr>
        <w:t>Sikkink</w:t>
      </w:r>
      <w:proofErr w:type="spellEnd"/>
      <w:r w:rsidRPr="00A203A6">
        <w:rPr>
          <w:rFonts w:cs="Times New Roman"/>
          <w:color w:val="000000" w:themeColor="text1"/>
          <w:sz w:val="18"/>
          <w:szCs w:val="18"/>
        </w:rPr>
        <w:t xml:space="preserve"> emphasize the constitution of international relations as based on primarily social “facts,” which are “facts” only by social emergence, suggesting the importance of generating a historical and sociological understanding of how power is constructed through international relations. (James March and Johan P. Olsen, </w:t>
      </w:r>
      <w:r w:rsidRPr="00A203A6">
        <w:rPr>
          <w:rFonts w:cs="Times New Roman"/>
          <w:i/>
          <w:iCs/>
          <w:color w:val="000000" w:themeColor="text1"/>
          <w:sz w:val="18"/>
          <w:szCs w:val="18"/>
        </w:rPr>
        <w:t>Rediscovering Institutions: The Organizational Basis of Politics</w:t>
      </w:r>
      <w:r w:rsidRPr="00A203A6">
        <w:rPr>
          <w:rFonts w:cs="Times New Roman"/>
          <w:color w:val="000000" w:themeColor="text1"/>
          <w:sz w:val="18"/>
          <w:szCs w:val="18"/>
        </w:rPr>
        <w:t xml:space="preserve"> (New York: The Free Press, 1989); Alexander Wendt, “Anarchy is What States Make of It: The Social Construction of Power Politics,” </w:t>
      </w:r>
      <w:r w:rsidRPr="00A203A6">
        <w:rPr>
          <w:rFonts w:cs="Times New Roman"/>
          <w:i/>
          <w:iCs/>
          <w:color w:val="000000" w:themeColor="text1"/>
          <w:sz w:val="18"/>
          <w:szCs w:val="18"/>
        </w:rPr>
        <w:t>International Organization</w:t>
      </w:r>
      <w:r w:rsidRPr="00A203A6">
        <w:rPr>
          <w:rFonts w:cs="Times New Roman"/>
          <w:color w:val="000000" w:themeColor="text1"/>
          <w:sz w:val="18"/>
          <w:szCs w:val="18"/>
        </w:rPr>
        <w:t xml:space="preserve"> 46, no. 2 (1992): 391-425; Peter Katzenstein, </w:t>
      </w:r>
      <w:r w:rsidRPr="00A203A6">
        <w:rPr>
          <w:rFonts w:cs="Times New Roman"/>
          <w:i/>
          <w:iCs/>
          <w:color w:val="000000" w:themeColor="text1"/>
          <w:sz w:val="18"/>
          <w:szCs w:val="18"/>
        </w:rPr>
        <w:t>The Culture of National Security: Norms and Identity in World Politics</w:t>
      </w:r>
      <w:r w:rsidRPr="00A203A6">
        <w:rPr>
          <w:rFonts w:cs="Times New Roman"/>
          <w:color w:val="000000" w:themeColor="text1"/>
          <w:sz w:val="18"/>
          <w:szCs w:val="18"/>
        </w:rPr>
        <w:t xml:space="preserve">. (New York: Columbia University Press, 1996); Emmanuel Adler, “Seizing the Middle Ground: Constructivism in World Politics,” </w:t>
      </w:r>
      <w:r w:rsidRPr="00A203A6">
        <w:rPr>
          <w:rFonts w:cs="Times New Roman"/>
          <w:i/>
          <w:iCs/>
          <w:color w:val="000000" w:themeColor="text1"/>
          <w:sz w:val="18"/>
          <w:szCs w:val="18"/>
        </w:rPr>
        <w:t>European Journal of International Relations</w:t>
      </w:r>
      <w:r w:rsidRPr="00A203A6">
        <w:rPr>
          <w:rFonts w:cs="Times New Roman"/>
          <w:color w:val="000000" w:themeColor="text1"/>
          <w:sz w:val="18"/>
          <w:szCs w:val="18"/>
        </w:rPr>
        <w:t xml:space="preserve"> 3, no. 3 (1997): 319-363; Martha </w:t>
      </w:r>
      <w:proofErr w:type="spellStart"/>
      <w:r w:rsidRPr="00A203A6">
        <w:rPr>
          <w:rFonts w:cs="Times New Roman"/>
          <w:color w:val="000000" w:themeColor="text1"/>
          <w:sz w:val="18"/>
          <w:szCs w:val="18"/>
        </w:rPr>
        <w:t>Finnemore</w:t>
      </w:r>
      <w:proofErr w:type="spellEnd"/>
      <w:r w:rsidRPr="00A203A6">
        <w:rPr>
          <w:rFonts w:cs="Times New Roman"/>
          <w:color w:val="000000" w:themeColor="text1"/>
          <w:sz w:val="18"/>
          <w:szCs w:val="18"/>
        </w:rPr>
        <w:t xml:space="preserve"> and Kathryn </w:t>
      </w:r>
      <w:proofErr w:type="spellStart"/>
      <w:r w:rsidRPr="00A203A6">
        <w:rPr>
          <w:rFonts w:cs="Times New Roman"/>
          <w:color w:val="000000" w:themeColor="text1"/>
          <w:sz w:val="18"/>
          <w:szCs w:val="18"/>
        </w:rPr>
        <w:t>Sikkink</w:t>
      </w:r>
      <w:proofErr w:type="spellEnd"/>
      <w:r w:rsidRPr="00A203A6">
        <w:rPr>
          <w:rFonts w:cs="Times New Roman"/>
          <w:color w:val="000000" w:themeColor="text1"/>
          <w:sz w:val="18"/>
          <w:szCs w:val="18"/>
        </w:rPr>
        <w:t>, “Taking Stock: The Constructivist Research Program in International Relations and Comparative Politics,”</w:t>
      </w:r>
      <w:r w:rsidRPr="00A203A6">
        <w:rPr>
          <w:rFonts w:cs="Times New Roman"/>
          <w:i/>
          <w:iCs/>
          <w:color w:val="000000" w:themeColor="text1"/>
          <w:sz w:val="18"/>
          <w:szCs w:val="18"/>
          <w:shd w:val="clear" w:color="auto" w:fill="FFFFFF"/>
        </w:rPr>
        <w:t xml:space="preserve"> Annual Review of Political Science</w:t>
      </w:r>
      <w:r w:rsidRPr="00A203A6">
        <w:rPr>
          <w:rFonts w:cs="Times New Roman"/>
          <w:color w:val="000000" w:themeColor="text1"/>
          <w:sz w:val="18"/>
          <w:szCs w:val="18"/>
          <w:shd w:val="clear" w:color="auto" w:fill="FFFFFF"/>
        </w:rPr>
        <w:t xml:space="preserve"> 4 (2001): 391–416).</w:t>
      </w:r>
    </w:p>
  </w:footnote>
  <w:footnote w:id="113">
    <w:p w14:paraId="78E56DD1" w14:textId="77777777" w:rsidR="0051124B" w:rsidRPr="00A203A6" w:rsidRDefault="0051124B"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Colin Wight, “Theorising Terrorism: The State, Structure, and History,” </w:t>
      </w:r>
      <w:r w:rsidRPr="00A203A6">
        <w:rPr>
          <w:rFonts w:cs="Times New Roman"/>
          <w:i/>
          <w:iCs/>
          <w:color w:val="000000" w:themeColor="text1"/>
          <w:sz w:val="18"/>
          <w:szCs w:val="18"/>
        </w:rPr>
        <w:t>International Relations</w:t>
      </w:r>
      <w:r w:rsidRPr="00A203A6">
        <w:rPr>
          <w:rFonts w:cs="Times New Roman"/>
          <w:color w:val="000000" w:themeColor="text1"/>
          <w:sz w:val="18"/>
          <w:szCs w:val="18"/>
        </w:rPr>
        <w:t xml:space="preserve"> 23, no. 1 (2009): 99; Ayşe Zarakol, “What Makes Terrorism Modern? Terrorism, Legitimacy, and the International System,” </w:t>
      </w:r>
      <w:r w:rsidRPr="00A203A6">
        <w:rPr>
          <w:rFonts w:cs="Times New Roman"/>
          <w:i/>
          <w:color w:val="000000" w:themeColor="text1"/>
          <w:sz w:val="18"/>
          <w:szCs w:val="18"/>
        </w:rPr>
        <w:t>Review of International Studies</w:t>
      </w:r>
      <w:r w:rsidRPr="00A203A6">
        <w:rPr>
          <w:rFonts w:cs="Times New Roman"/>
          <w:color w:val="000000" w:themeColor="text1"/>
          <w:sz w:val="18"/>
          <w:szCs w:val="18"/>
        </w:rPr>
        <w:t xml:space="preserve"> 37, no. 5 (2011): 2312.</w:t>
      </w:r>
    </w:p>
  </w:footnote>
  <w:footnote w:id="114">
    <w:p w14:paraId="14B2D746"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Zarakol, “What Makes Terrorism Modern?”, 2318. </w:t>
      </w:r>
    </w:p>
    <w:p w14:paraId="2BF96515" w14:textId="77777777" w:rsidR="0051124B" w:rsidRPr="00A203A6" w:rsidRDefault="0051124B" w:rsidP="00787EBB">
      <w:pPr>
        <w:pStyle w:val="FootnoteText"/>
        <w:spacing w:before="0" w:after="80"/>
        <w:rPr>
          <w:rFonts w:cs="Times New Roman"/>
          <w:color w:val="000000" w:themeColor="text1"/>
          <w:sz w:val="18"/>
          <w:szCs w:val="18"/>
        </w:rPr>
      </w:pPr>
      <w:proofErr w:type="spellStart"/>
      <w:r w:rsidRPr="00A203A6">
        <w:rPr>
          <w:rFonts w:cs="Times New Roman"/>
          <w:color w:val="000000" w:themeColor="text1"/>
          <w:sz w:val="18"/>
          <w:szCs w:val="18"/>
        </w:rPr>
        <w:t>Zarakol’s</w:t>
      </w:r>
      <w:proofErr w:type="spellEnd"/>
      <w:r w:rsidRPr="00A203A6">
        <w:rPr>
          <w:rFonts w:cs="Times New Roman"/>
          <w:color w:val="000000" w:themeColor="text1"/>
          <w:sz w:val="18"/>
          <w:szCs w:val="18"/>
        </w:rPr>
        <w:t xml:space="preserve"> claim that the Westphalian state “displaced… religious, localised and personal [authority]” is in accordance with arguments made by the subset of interdisciplinary scholarship that Scott Abramson terms the “</w:t>
      </w:r>
      <w:proofErr w:type="spellStart"/>
      <w:r w:rsidRPr="00A203A6">
        <w:rPr>
          <w:rFonts w:cs="Times New Roman"/>
          <w:color w:val="000000" w:themeColor="text1"/>
          <w:sz w:val="18"/>
          <w:szCs w:val="18"/>
        </w:rPr>
        <w:t>bellicist</w:t>
      </w:r>
      <w:proofErr w:type="spellEnd"/>
      <w:r w:rsidRPr="00A203A6">
        <w:rPr>
          <w:rFonts w:cs="Times New Roman"/>
          <w:color w:val="000000" w:themeColor="text1"/>
          <w:sz w:val="18"/>
          <w:szCs w:val="18"/>
        </w:rPr>
        <w:t xml:space="preserve"> theories of state formation” (Zarakol, “What Makes Terrorism Modern?”, 2316). Abramson amalgamates aspects of political philosophy, historical sociology and IR to suggest that warfare established the conditions necessary to allow for the emergence of the modern state. As such, both a Darwinian logic of competition and survival of the fittest, and Weber’s definition of the state as “the human community that successfully claims the monopoly of the legitimate use of physical force” undergird the </w:t>
      </w:r>
      <w:proofErr w:type="spellStart"/>
      <w:r w:rsidRPr="00A203A6">
        <w:rPr>
          <w:rFonts w:cs="Times New Roman"/>
          <w:color w:val="000000" w:themeColor="text1"/>
          <w:sz w:val="18"/>
          <w:szCs w:val="18"/>
        </w:rPr>
        <w:t>bellicist</w:t>
      </w:r>
      <w:proofErr w:type="spellEnd"/>
      <w:r w:rsidRPr="00A203A6">
        <w:rPr>
          <w:rFonts w:cs="Times New Roman"/>
          <w:color w:val="000000" w:themeColor="text1"/>
          <w:sz w:val="18"/>
          <w:szCs w:val="18"/>
        </w:rPr>
        <w:t xml:space="preserve"> theories of state formation literature. Notably, Richard Bean’s argument that there is a correlation between early European state formation and changes in the frequency and modes of warfare, and Charles Tilly’s claim that “states make war and wars make states” fall under the auspices of this literature. (Scott Abramson, “The Economic Origins of the Territorial State,” </w:t>
      </w:r>
      <w:r w:rsidRPr="00A203A6">
        <w:rPr>
          <w:rFonts w:cs="Times New Roman"/>
          <w:i/>
          <w:iCs/>
          <w:color w:val="000000" w:themeColor="text1"/>
          <w:sz w:val="18"/>
          <w:szCs w:val="18"/>
        </w:rPr>
        <w:t>International Organization</w:t>
      </w:r>
      <w:r w:rsidRPr="00A203A6">
        <w:rPr>
          <w:rFonts w:cs="Times New Roman"/>
          <w:color w:val="000000" w:themeColor="text1"/>
          <w:sz w:val="18"/>
          <w:szCs w:val="18"/>
        </w:rPr>
        <w:t xml:space="preserve"> 71, no. 1 (2017): 97-130; Richard Bean, “War and the Birth of the Nation State,” </w:t>
      </w:r>
      <w:r w:rsidRPr="00A203A6">
        <w:rPr>
          <w:rFonts w:cs="Times New Roman"/>
          <w:i/>
          <w:iCs/>
          <w:color w:val="000000" w:themeColor="text1"/>
          <w:sz w:val="18"/>
          <w:szCs w:val="18"/>
        </w:rPr>
        <w:t xml:space="preserve">The Journal of Economic History </w:t>
      </w:r>
      <w:r w:rsidRPr="00A203A6">
        <w:rPr>
          <w:rFonts w:cs="Times New Roman"/>
          <w:color w:val="000000" w:themeColor="text1"/>
          <w:sz w:val="18"/>
          <w:szCs w:val="18"/>
        </w:rPr>
        <w:t xml:space="preserve">33, no. 1 (1973): 203-221; Charles Tilly, </w:t>
      </w:r>
      <w:r w:rsidRPr="00A203A6">
        <w:rPr>
          <w:rFonts w:cs="Times New Roman"/>
          <w:i/>
          <w:iCs/>
          <w:color w:val="000000" w:themeColor="text1"/>
          <w:sz w:val="18"/>
          <w:szCs w:val="18"/>
        </w:rPr>
        <w:t>Coercion, Capital and European States, AD 900-1992</w:t>
      </w:r>
      <w:r w:rsidRPr="00A203A6">
        <w:rPr>
          <w:rFonts w:cs="Times New Roman"/>
          <w:color w:val="000000" w:themeColor="text1"/>
          <w:sz w:val="18"/>
          <w:szCs w:val="18"/>
        </w:rPr>
        <w:t xml:space="preserve"> (Cambridge: Basil Blackwell, 1992).</w:t>
      </w:r>
    </w:p>
  </w:footnote>
  <w:footnote w:id="115">
    <w:p w14:paraId="19A7A981" w14:textId="77777777" w:rsidR="0051124B" w:rsidRPr="00A203A6" w:rsidRDefault="0051124B" w:rsidP="00787EBB">
      <w:pPr>
        <w:pStyle w:val="FootnoteText"/>
        <w:spacing w:before="0" w:after="80"/>
        <w:rPr>
          <w:rStyle w:val="Hyperlink"/>
          <w:rFonts w:eastAsia="Times New Roman"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1948 Convention on the Prevention and Punishment of the Crime of Genocide defines genocide as an act committed with the specific intent to destroy, in whole or in part, a national, ethnical, racial or religious group.” (See United Nations General Assembly, </w:t>
      </w:r>
      <w:r w:rsidRPr="00A203A6">
        <w:rPr>
          <w:rFonts w:cs="Times New Roman"/>
          <w:i/>
          <w:iCs/>
          <w:color w:val="000000" w:themeColor="text1"/>
          <w:sz w:val="18"/>
          <w:szCs w:val="18"/>
        </w:rPr>
        <w:t>Convention on the Prevention and Punishment of the Crime of Genocide</w:t>
      </w:r>
      <w:r w:rsidRPr="00A203A6">
        <w:rPr>
          <w:rFonts w:cs="Times New Roman"/>
          <w:color w:val="000000" w:themeColor="text1"/>
          <w:sz w:val="18"/>
          <w:szCs w:val="18"/>
        </w:rPr>
        <w:t xml:space="preserve"> (December 9, 1948), </w:t>
      </w:r>
      <w:r w:rsidRPr="00A203A6">
        <w:rPr>
          <w:rFonts w:eastAsia="Times New Roman" w:cs="Times New Roman"/>
          <w:color w:val="000000" w:themeColor="text1"/>
          <w:sz w:val="18"/>
          <w:szCs w:val="18"/>
        </w:rPr>
        <w:t xml:space="preserve">available at </w:t>
      </w:r>
      <w:r w:rsidRPr="00A203A6">
        <w:rPr>
          <w:rFonts w:eastAsia="Times New Roman" w:cs="Times New Roman"/>
          <w:color w:val="000000" w:themeColor="text1"/>
          <w:sz w:val="18"/>
          <w:szCs w:val="18"/>
          <w:u w:val="single"/>
        </w:rPr>
        <w:t>http://www.refworld.org/docid/3ae6b3ac0.html</w:t>
      </w:r>
      <w:r w:rsidRPr="00A203A6">
        <w:rPr>
          <w:rStyle w:val="Hyperlink"/>
          <w:rFonts w:eastAsia="Times New Roman" w:cs="Times New Roman"/>
          <w:color w:val="000000" w:themeColor="text1"/>
          <w:sz w:val="18"/>
          <w:szCs w:val="18"/>
        </w:rPr>
        <w:t xml:space="preserve">.) </w:t>
      </w:r>
    </w:p>
    <w:p w14:paraId="501E694B" w14:textId="77777777" w:rsidR="0051124B" w:rsidRPr="00A203A6" w:rsidRDefault="0051124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While the 1998 Rome Statute established the International Criminal Court’s jurisdiction over war crimes, genocide, and crimes against humanity</w:t>
      </w:r>
      <w:r w:rsidRPr="00A203A6">
        <w:rPr>
          <w:rFonts w:cs="Times New Roman"/>
          <w:i/>
          <w:iCs/>
          <w:color w:val="000000" w:themeColor="text1"/>
          <w:sz w:val="18"/>
          <w:szCs w:val="18"/>
        </w:rPr>
        <w:t xml:space="preserve"> </w:t>
      </w:r>
      <w:r w:rsidRPr="00A203A6">
        <w:rPr>
          <w:rFonts w:cs="Times New Roman"/>
          <w:color w:val="000000" w:themeColor="text1"/>
          <w:sz w:val="18"/>
          <w:szCs w:val="18"/>
        </w:rPr>
        <w:t xml:space="preserve">as </w:t>
      </w:r>
      <w:r w:rsidRPr="00A203A6">
        <w:rPr>
          <w:rFonts w:cs="Times New Roman"/>
          <w:i/>
          <w:iCs/>
          <w:color w:val="000000" w:themeColor="text1"/>
          <w:sz w:val="18"/>
          <w:szCs w:val="18"/>
        </w:rPr>
        <w:t xml:space="preserve">delicta juris gentium </w:t>
      </w:r>
      <w:r w:rsidRPr="00A203A6">
        <w:rPr>
          <w:rFonts w:cs="Times New Roman"/>
          <w:color w:val="000000" w:themeColor="text1"/>
          <w:sz w:val="18"/>
          <w:szCs w:val="18"/>
        </w:rPr>
        <w:t>(the most serious crimes of concern to the international community), failure to reach international consensus on “generally acceptable” definitions of other offenses of similar magnitude prevented their being accounted for as offenses in their own right. (</w:t>
      </w:r>
      <w:r w:rsidRPr="00A203A6">
        <w:rPr>
          <w:rFonts w:eastAsia="Times New Roman" w:cs="Times New Roman"/>
          <w:color w:val="000000" w:themeColor="text1"/>
          <w:sz w:val="18"/>
          <w:szCs w:val="18"/>
        </w:rPr>
        <w:t>United Nations General Assembly, </w:t>
      </w:r>
      <w:r w:rsidRPr="00A203A6">
        <w:rPr>
          <w:rFonts w:eastAsia="Times New Roman" w:cs="Times New Roman"/>
          <w:i/>
          <w:iCs/>
          <w:color w:val="000000" w:themeColor="text1"/>
          <w:sz w:val="18"/>
          <w:szCs w:val="18"/>
        </w:rPr>
        <w:t>Rome Statute of the International Criminal Court (last amended 2010)</w:t>
      </w:r>
      <w:r w:rsidRPr="00A203A6">
        <w:rPr>
          <w:rFonts w:cs="Times New Roman"/>
          <w:color w:val="000000" w:themeColor="text1"/>
          <w:sz w:val="18"/>
          <w:szCs w:val="18"/>
        </w:rPr>
        <w:t xml:space="preserve"> (</w:t>
      </w:r>
      <w:r w:rsidRPr="00A203A6">
        <w:rPr>
          <w:rFonts w:eastAsia="Times New Roman" w:cs="Times New Roman"/>
          <w:color w:val="000000" w:themeColor="text1"/>
          <w:sz w:val="18"/>
          <w:szCs w:val="18"/>
        </w:rPr>
        <w:t>July 17, 1998</w:t>
      </w:r>
      <w:r w:rsidRPr="00A203A6">
        <w:rPr>
          <w:rFonts w:cs="Times New Roman"/>
          <w:color w:val="000000" w:themeColor="text1"/>
          <w:sz w:val="18"/>
          <w:szCs w:val="18"/>
        </w:rPr>
        <w:t>)</w:t>
      </w:r>
      <w:r w:rsidRPr="00A203A6">
        <w:rPr>
          <w:rFonts w:eastAsia="Times New Roman" w:cs="Times New Roman"/>
          <w:color w:val="000000" w:themeColor="text1"/>
          <w:sz w:val="18"/>
          <w:szCs w:val="18"/>
        </w:rPr>
        <w:t xml:space="preserve">, available at </w:t>
      </w:r>
      <w:r w:rsidRPr="00A203A6">
        <w:rPr>
          <w:rFonts w:eastAsia="Times New Roman" w:cs="Times New Roman"/>
          <w:color w:val="000000" w:themeColor="text1"/>
          <w:sz w:val="18"/>
          <w:szCs w:val="18"/>
          <w:u w:val="single"/>
        </w:rPr>
        <w:t>http://www.refworld.org/docid/3ae6b3a84.html</w:t>
      </w:r>
      <w:r w:rsidRPr="00A203A6">
        <w:rPr>
          <w:rFonts w:eastAsia="Times New Roman" w:cs="Times New Roman"/>
          <w:color w:val="000000" w:themeColor="text1"/>
          <w:sz w:val="18"/>
          <w:szCs w:val="18"/>
        </w:rPr>
        <w:t xml:space="preserve">; Final Act of the United Nations Diplomatic Conference of Plenipotentiaries on the Establishment of an International Criminal Court, A/CONF.183/10 (July 17, 1998), available at </w:t>
      </w:r>
      <w:r w:rsidRPr="00A203A6">
        <w:rPr>
          <w:rFonts w:eastAsia="Times New Roman" w:cs="Times New Roman"/>
          <w:color w:val="000000" w:themeColor="text1"/>
          <w:sz w:val="18"/>
          <w:szCs w:val="18"/>
          <w:u w:val="single"/>
        </w:rPr>
        <w:t>http://www.documents-dds-ny.un.org/doc/UNDOC/GEN/N98/241/85/PDF/N9824185.pdf?OpenElement</w:t>
      </w:r>
      <w:r w:rsidRPr="00A203A6">
        <w:rPr>
          <w:rFonts w:eastAsia="Times New Roman" w:cs="Times New Roman"/>
          <w:color w:val="000000" w:themeColor="text1"/>
          <w:sz w:val="18"/>
          <w:szCs w:val="18"/>
        </w:rPr>
        <w:t>.</w:t>
      </w:r>
      <w:r w:rsidRPr="00A203A6">
        <w:rPr>
          <w:rFonts w:cs="Times New Roman"/>
          <w:color w:val="000000" w:themeColor="text1"/>
          <w:sz w:val="18"/>
          <w:szCs w:val="18"/>
        </w:rPr>
        <w:t xml:space="preserve">) </w:t>
      </w:r>
    </w:p>
    <w:p w14:paraId="39BA3B43" w14:textId="77777777" w:rsidR="0051124B" w:rsidRPr="00A203A6" w:rsidRDefault="0051124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See also United Nations Office on Drugs and Crime, </w:t>
      </w:r>
      <w:r w:rsidRPr="00A203A6">
        <w:rPr>
          <w:rFonts w:cs="Times New Roman"/>
          <w:i/>
          <w:iCs/>
          <w:color w:val="000000" w:themeColor="text1"/>
          <w:sz w:val="18"/>
          <w:szCs w:val="18"/>
        </w:rPr>
        <w:t>Frequently Asked Questions on International Law Aspects of Countering Terrorism</w:t>
      </w:r>
      <w:r w:rsidRPr="00A203A6">
        <w:rPr>
          <w:rFonts w:cs="Times New Roman"/>
          <w:color w:val="000000" w:themeColor="text1"/>
          <w:sz w:val="18"/>
          <w:szCs w:val="18"/>
        </w:rPr>
        <w:t xml:space="preserve"> (2009), available at </w:t>
      </w:r>
      <w:r w:rsidRPr="00A203A6">
        <w:rPr>
          <w:rFonts w:cs="Times New Roman"/>
          <w:color w:val="000000" w:themeColor="text1"/>
          <w:sz w:val="18"/>
          <w:szCs w:val="18"/>
          <w:u w:val="single"/>
        </w:rPr>
        <w:t>http://www.unodc.org/documents/terrorism/Publications/FAQ/English.pdf</w:t>
      </w:r>
      <w:r w:rsidRPr="00A203A6">
        <w:rPr>
          <w:rFonts w:cs="Times New Roman"/>
          <w:color w:val="000000" w:themeColor="text1"/>
          <w:sz w:val="18"/>
          <w:szCs w:val="18"/>
        </w:rPr>
        <w:t>.</w:t>
      </w:r>
    </w:p>
  </w:footnote>
  <w:footnote w:id="116">
    <w:p w14:paraId="38804B16"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Richards, </w:t>
      </w:r>
      <w:r w:rsidRPr="00A203A6">
        <w:rPr>
          <w:rFonts w:cs="Times New Roman"/>
          <w:i/>
          <w:iCs/>
          <w:color w:val="000000" w:themeColor="text1"/>
          <w:sz w:val="18"/>
          <w:szCs w:val="18"/>
        </w:rPr>
        <w:t>Conceptualizing Terrorism</w:t>
      </w:r>
      <w:r w:rsidRPr="00A203A6">
        <w:rPr>
          <w:rFonts w:cs="Times New Roman"/>
          <w:color w:val="000000" w:themeColor="text1"/>
          <w:sz w:val="18"/>
          <w:szCs w:val="18"/>
        </w:rPr>
        <w:t>, 214.</w:t>
      </w:r>
    </w:p>
  </w:footnote>
  <w:footnote w:id="117">
    <w:p w14:paraId="2CCD6B5A" w14:textId="46A88ED9"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Andrew </w:t>
      </w:r>
      <w:proofErr w:type="spellStart"/>
      <w:r w:rsidRPr="00A203A6">
        <w:rPr>
          <w:rFonts w:cs="Times New Roman"/>
          <w:color w:val="000000" w:themeColor="text1"/>
          <w:sz w:val="18"/>
          <w:szCs w:val="18"/>
        </w:rPr>
        <w:t>Moravcsik</w:t>
      </w:r>
      <w:proofErr w:type="spellEnd"/>
      <w:r w:rsidRPr="00A203A6">
        <w:rPr>
          <w:rFonts w:cs="Times New Roman"/>
          <w:color w:val="000000" w:themeColor="text1"/>
          <w:sz w:val="18"/>
          <w:szCs w:val="18"/>
        </w:rPr>
        <w:t xml:space="preserve">, “Taking Preferences Seriously: A Liberal Theory of International Politics,” </w:t>
      </w:r>
      <w:r w:rsidRPr="00A203A6">
        <w:rPr>
          <w:rFonts w:cs="Times New Roman"/>
          <w:i/>
          <w:iCs/>
          <w:color w:val="000000" w:themeColor="text1"/>
          <w:sz w:val="18"/>
          <w:szCs w:val="18"/>
        </w:rPr>
        <w:t>International Organization</w:t>
      </w:r>
      <w:r w:rsidRPr="00A203A6">
        <w:rPr>
          <w:rFonts w:cs="Times New Roman"/>
          <w:color w:val="000000" w:themeColor="text1"/>
          <w:sz w:val="18"/>
          <w:szCs w:val="18"/>
        </w:rPr>
        <w:t xml:space="preserve"> 51, no. 4 (Autumn 1997): 513-553 for an overview of three core theoretical assumptions that </w:t>
      </w:r>
      <w:proofErr w:type="gramStart"/>
      <w:r w:rsidR="00E24F15" w:rsidRPr="00A203A6">
        <w:rPr>
          <w:rFonts w:cs="Times New Roman"/>
          <w:color w:val="000000" w:themeColor="text1"/>
          <w:sz w:val="18"/>
          <w:szCs w:val="18"/>
        </w:rPr>
        <w:t xml:space="preserve">undergird </w:t>
      </w:r>
      <w:r w:rsidRPr="00A203A6">
        <w:rPr>
          <w:rFonts w:cs="Times New Roman"/>
          <w:color w:val="000000" w:themeColor="text1"/>
          <w:sz w:val="18"/>
          <w:szCs w:val="18"/>
        </w:rPr>
        <w:t xml:space="preserve"> the</w:t>
      </w:r>
      <w:proofErr w:type="gramEnd"/>
      <w:r w:rsidRPr="00A203A6">
        <w:rPr>
          <w:rFonts w:cs="Times New Roman"/>
          <w:color w:val="000000" w:themeColor="text1"/>
          <w:sz w:val="18"/>
          <w:szCs w:val="18"/>
        </w:rPr>
        <w:t xml:space="preserve"> basic propositions of the liberal paradigm associated with the academic discipline of International Relations.</w:t>
      </w:r>
    </w:p>
  </w:footnote>
  <w:footnote w:id="118">
    <w:p w14:paraId="5F9C25CC"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It is noteworthy that ideology (definitional element 18) is not a factor in my abovementioned </w:t>
      </w:r>
      <w:r w:rsidRPr="00A203A6">
        <w:rPr>
          <w:rFonts w:cs="Times New Roman"/>
          <w:i/>
          <w:iCs/>
          <w:color w:val="000000" w:themeColor="text1"/>
          <w:sz w:val="18"/>
          <w:szCs w:val="18"/>
        </w:rPr>
        <w:t>de minimis</w:t>
      </w:r>
      <w:r w:rsidRPr="00A203A6">
        <w:rPr>
          <w:rFonts w:cs="Times New Roman"/>
          <w:color w:val="000000" w:themeColor="text1"/>
          <w:sz w:val="18"/>
          <w:szCs w:val="18"/>
        </w:rPr>
        <w:t xml:space="preserve"> policy definition of terrorism. That definition is not a reflection of mine nor anyone else’s personal opinion as to how terrorism </w:t>
      </w:r>
      <w:r w:rsidRPr="00A203A6">
        <w:rPr>
          <w:rFonts w:cs="Times New Roman"/>
          <w:i/>
          <w:iCs/>
          <w:color w:val="000000" w:themeColor="text1"/>
          <w:sz w:val="18"/>
          <w:szCs w:val="18"/>
        </w:rPr>
        <w:t>should</w:t>
      </w:r>
      <w:r w:rsidRPr="00A203A6">
        <w:rPr>
          <w:rFonts w:cs="Times New Roman"/>
          <w:color w:val="000000" w:themeColor="text1"/>
          <w:sz w:val="18"/>
          <w:szCs w:val="18"/>
        </w:rPr>
        <w:t xml:space="preserve"> be defined. Instead, that definition reflects those components of terrorism that the majority of states decided were important enough to include in the definitions of terrorism they established.</w:t>
      </w:r>
    </w:p>
  </w:footnote>
  <w:footnote w:id="119">
    <w:p w14:paraId="0462F59B" w14:textId="77777777" w:rsidR="0051124B" w:rsidRPr="00A203A6" w:rsidRDefault="0051124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There are also several differences between the GTD definition of terrorism and the </w:t>
      </w:r>
      <w:r w:rsidRPr="00A203A6">
        <w:rPr>
          <w:rFonts w:cs="Times New Roman"/>
          <w:i/>
          <w:iCs/>
          <w:color w:val="000000" w:themeColor="text1"/>
          <w:sz w:val="18"/>
          <w:szCs w:val="18"/>
        </w:rPr>
        <w:t>de minimis</w:t>
      </w:r>
      <w:r w:rsidRPr="00A203A6">
        <w:rPr>
          <w:rFonts w:cs="Times New Roman"/>
          <w:color w:val="000000" w:themeColor="text1"/>
          <w:sz w:val="18"/>
          <w:szCs w:val="18"/>
        </w:rPr>
        <w:t xml:space="preserve"> policy definition of terrorism proposed in this dissertation. First and foremost, the GTD definition fails to provide for the </w:t>
      </w:r>
      <w:r w:rsidRPr="00A203A6">
        <w:rPr>
          <w:rFonts w:cs="Times New Roman"/>
          <w:i/>
          <w:iCs/>
          <w:color w:val="000000" w:themeColor="text1"/>
          <w:sz w:val="18"/>
          <w:szCs w:val="18"/>
        </w:rPr>
        <w:t>de minimis</w:t>
      </w:r>
      <w:r w:rsidRPr="00A203A6">
        <w:rPr>
          <w:rFonts w:cs="Times New Roman"/>
          <w:color w:val="000000" w:themeColor="text1"/>
          <w:sz w:val="18"/>
          <w:szCs w:val="18"/>
        </w:rPr>
        <w:t xml:space="preserve"> policy definition’s stipulation that any action or threatened action that constitutes terrorist activity be “intentional” on the part of its perpetrator(s) (definitional element [14]). As well, the GTD incorporates four (4) additional definitional elements, three (3) of which relate to the nature of the overall objective of terrorist activity: “political” (definitional element [16]), “economic” (definitional element [25]), “religious” (definitional element [17]). The GTD definition also specifies that the criminal action constituted by terrorist activity constitute “force and violence” (definitional element [1]).</w:t>
      </w:r>
    </w:p>
  </w:footnote>
  <w:footnote w:id="120">
    <w:p w14:paraId="6374DD66" w14:textId="77777777" w:rsidR="0051124B" w:rsidRPr="00A203A6" w:rsidRDefault="0051124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The coherence between the GTD definition of terrorism and the definition of terrorism that I establish in this chapter is ultimately critical because it enables my use of the GTD dataset, which has achieved widespread acknowledgement as “the most comprehensive database on terrorist events around the world from 1970 [onwards].” (See </w:t>
      </w:r>
      <w:proofErr w:type="spellStart"/>
      <w:r w:rsidRPr="00A203A6">
        <w:rPr>
          <w:color w:val="000000" w:themeColor="text1"/>
          <w:sz w:val="18"/>
          <w:szCs w:val="18"/>
        </w:rPr>
        <w:t>Jianbo</w:t>
      </w:r>
      <w:proofErr w:type="spellEnd"/>
      <w:r w:rsidRPr="00A203A6">
        <w:rPr>
          <w:color w:val="000000" w:themeColor="text1"/>
          <w:sz w:val="18"/>
          <w:szCs w:val="18"/>
        </w:rPr>
        <w:t xml:space="preserve"> Gao, Peng Fang and </w:t>
      </w:r>
      <w:proofErr w:type="spellStart"/>
      <w:r w:rsidRPr="00A203A6">
        <w:rPr>
          <w:color w:val="000000" w:themeColor="text1"/>
          <w:sz w:val="18"/>
          <w:szCs w:val="18"/>
        </w:rPr>
        <w:t>Feiyan</w:t>
      </w:r>
      <w:proofErr w:type="spellEnd"/>
      <w:r w:rsidRPr="00A203A6">
        <w:rPr>
          <w:color w:val="000000" w:themeColor="text1"/>
          <w:sz w:val="18"/>
          <w:szCs w:val="18"/>
        </w:rPr>
        <w:t xml:space="preserve"> Liu, “Empirical Scaling Law Connecting Persistence and Severity of Global Terrorism,” </w:t>
      </w:r>
      <w:proofErr w:type="spellStart"/>
      <w:r w:rsidRPr="00A203A6">
        <w:rPr>
          <w:i/>
          <w:iCs/>
          <w:color w:val="000000" w:themeColor="text1"/>
          <w:sz w:val="18"/>
          <w:szCs w:val="18"/>
        </w:rPr>
        <w:t>Physica</w:t>
      </w:r>
      <w:proofErr w:type="spellEnd"/>
      <w:r w:rsidRPr="00A203A6">
        <w:rPr>
          <w:i/>
          <w:iCs/>
          <w:color w:val="000000" w:themeColor="text1"/>
          <w:sz w:val="18"/>
          <w:szCs w:val="18"/>
        </w:rPr>
        <w:t xml:space="preserve"> A: Statistical Mechanics and its Applications</w:t>
      </w:r>
      <w:r w:rsidRPr="00A203A6">
        <w:rPr>
          <w:color w:val="000000" w:themeColor="text1"/>
          <w:sz w:val="18"/>
          <w:szCs w:val="18"/>
        </w:rPr>
        <w:t xml:space="preserve">, </w:t>
      </w:r>
      <w:r w:rsidRPr="00A203A6">
        <w:rPr>
          <w:i/>
          <w:iCs/>
          <w:color w:val="000000" w:themeColor="text1"/>
          <w:sz w:val="18"/>
          <w:szCs w:val="18"/>
        </w:rPr>
        <w:t>482</w:t>
      </w:r>
      <w:r w:rsidRPr="00A203A6">
        <w:rPr>
          <w:color w:val="000000" w:themeColor="text1"/>
          <w:sz w:val="18"/>
          <w:szCs w:val="18"/>
        </w:rPr>
        <w:t xml:space="preserve">, 74–86 for an in-depth evaluation of the data collected by the GTD.) </w:t>
      </w:r>
    </w:p>
    <w:p w14:paraId="155E84B3" w14:textId="77777777" w:rsidR="0051124B" w:rsidRPr="00A203A6" w:rsidRDefault="0051124B" w:rsidP="00787EBB">
      <w:pPr>
        <w:pStyle w:val="NormalWeb"/>
        <w:spacing w:before="0" w:beforeAutospacing="0" w:after="80" w:afterAutospacing="0"/>
        <w:rPr>
          <w:color w:val="000000" w:themeColor="text1"/>
          <w:sz w:val="18"/>
          <w:szCs w:val="18"/>
        </w:rPr>
      </w:pPr>
      <w:r w:rsidRPr="00A203A6">
        <w:rPr>
          <w:color w:val="000000" w:themeColor="text1"/>
          <w:sz w:val="18"/>
          <w:szCs w:val="18"/>
        </w:rPr>
        <w:t xml:space="preserve">For a comparison between GTD data and the other commonly referenced open-source datasets on terrorist activity (including, but not limited to, the International Terrorism: Attributes of Terrorist Events (ITERATE) project and the database maintained by the RAND corporation), see Gary </w:t>
      </w:r>
      <w:proofErr w:type="spellStart"/>
      <w:r w:rsidRPr="00A203A6">
        <w:rPr>
          <w:color w:val="000000" w:themeColor="text1"/>
          <w:sz w:val="18"/>
          <w:szCs w:val="18"/>
        </w:rPr>
        <w:t>LaFree</w:t>
      </w:r>
      <w:proofErr w:type="spellEnd"/>
      <w:r w:rsidRPr="00A203A6">
        <w:rPr>
          <w:color w:val="000000" w:themeColor="text1"/>
          <w:sz w:val="18"/>
          <w:szCs w:val="18"/>
        </w:rPr>
        <w:t>, Laura Dugan, Heather V. Fogg and Jeffrey Scott, “Building a Global Terrorism Database.” Federally Funded Grant Report Produced at the University of Maryland (2006).</w:t>
      </w:r>
    </w:p>
  </w:footnote>
  <w:footnote w:id="121">
    <w:p w14:paraId="2D31A663"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Footnote 15 (Chapter 1, Page 9) for clarification as to my use of the term International Relations (or IR) to refer to the academic discipline, and ‘international relations’ to describe real-world conduct and policies.</w:t>
      </w:r>
    </w:p>
  </w:footnote>
  <w:footnote w:id="122">
    <w:p w14:paraId="64C90033"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Max Weber, Tony Waters (trans.) and Dagmar Waters (ed.), </w:t>
      </w:r>
      <w:r w:rsidRPr="00A203A6">
        <w:rPr>
          <w:rFonts w:cs="Times New Roman"/>
          <w:i/>
          <w:iCs/>
          <w:color w:val="000000" w:themeColor="text1"/>
          <w:sz w:val="18"/>
          <w:szCs w:val="18"/>
        </w:rPr>
        <w:t>Weber’s Rationalism and Modern Society.</w:t>
      </w:r>
      <w:r w:rsidRPr="00A203A6">
        <w:rPr>
          <w:rFonts w:cs="Times New Roman"/>
          <w:color w:val="000000" w:themeColor="text1"/>
          <w:sz w:val="18"/>
          <w:szCs w:val="18"/>
        </w:rPr>
        <w:t xml:space="preserve"> (New York: Palgrave Books, 2015): 129-198.</w:t>
      </w:r>
    </w:p>
  </w:footnote>
  <w:footnote w:id="123">
    <w:p w14:paraId="0E19955F"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Martha </w:t>
      </w:r>
      <w:proofErr w:type="spellStart"/>
      <w:r w:rsidRPr="00A203A6">
        <w:rPr>
          <w:rFonts w:cs="Times New Roman"/>
          <w:color w:val="000000" w:themeColor="text1"/>
          <w:sz w:val="18"/>
          <w:szCs w:val="18"/>
        </w:rPr>
        <w:t>Finnemore</w:t>
      </w:r>
      <w:proofErr w:type="spellEnd"/>
      <w:r w:rsidRPr="00A203A6">
        <w:rPr>
          <w:rFonts w:cs="Times New Roman"/>
          <w:color w:val="000000" w:themeColor="text1"/>
          <w:sz w:val="18"/>
          <w:szCs w:val="18"/>
        </w:rPr>
        <w:t xml:space="preserve"> and Kathryn </w:t>
      </w:r>
      <w:proofErr w:type="spellStart"/>
      <w:r w:rsidRPr="00A203A6">
        <w:rPr>
          <w:rFonts w:cs="Times New Roman"/>
          <w:color w:val="000000" w:themeColor="text1"/>
          <w:sz w:val="18"/>
          <w:szCs w:val="18"/>
        </w:rPr>
        <w:t>Sikkink</w:t>
      </w:r>
      <w:proofErr w:type="spellEnd"/>
      <w:r w:rsidRPr="00A203A6">
        <w:rPr>
          <w:rFonts w:cs="Times New Roman"/>
          <w:color w:val="000000" w:themeColor="text1"/>
          <w:sz w:val="18"/>
          <w:szCs w:val="18"/>
        </w:rPr>
        <w:t xml:space="preserve">, “Taking Stock: The Constructivist Research Program in International Relations and Comparative Politics,” </w:t>
      </w:r>
      <w:r w:rsidRPr="00A203A6">
        <w:rPr>
          <w:rFonts w:cs="Times New Roman"/>
          <w:i/>
          <w:iCs/>
          <w:color w:val="000000" w:themeColor="text1"/>
          <w:sz w:val="18"/>
          <w:szCs w:val="18"/>
        </w:rPr>
        <w:t>Annual Review of Political Science</w:t>
      </w:r>
      <w:r w:rsidRPr="00A203A6">
        <w:rPr>
          <w:rFonts w:cs="Times New Roman"/>
          <w:color w:val="000000" w:themeColor="text1"/>
          <w:sz w:val="18"/>
          <w:szCs w:val="18"/>
        </w:rPr>
        <w:t xml:space="preserve"> 4 (2001): 391-416; Peter Katzenstein, </w:t>
      </w:r>
      <w:r w:rsidRPr="00A203A6">
        <w:rPr>
          <w:rFonts w:cs="Times New Roman"/>
          <w:i/>
          <w:iCs/>
          <w:color w:val="000000" w:themeColor="text1"/>
          <w:sz w:val="18"/>
          <w:szCs w:val="18"/>
        </w:rPr>
        <w:t>The Culture of National Security: Norms and Identity in World Politics.</w:t>
      </w:r>
      <w:r w:rsidRPr="00A203A6">
        <w:rPr>
          <w:rFonts w:cs="Times New Roman"/>
          <w:color w:val="000000" w:themeColor="text1"/>
          <w:sz w:val="18"/>
          <w:szCs w:val="18"/>
        </w:rPr>
        <w:t xml:space="preserve"> (New York: Columbia University Press, 1996): 1-72; Emmanuel Adler, “Seizing the Middle Ground: Constructivism in World Politics,” </w:t>
      </w:r>
      <w:r w:rsidRPr="00A203A6">
        <w:rPr>
          <w:rFonts w:cs="Times New Roman"/>
          <w:i/>
          <w:iCs/>
          <w:color w:val="000000" w:themeColor="text1"/>
          <w:sz w:val="18"/>
          <w:szCs w:val="18"/>
        </w:rPr>
        <w:t>European Journal of International Relations</w:t>
      </w:r>
      <w:r w:rsidRPr="00A203A6">
        <w:rPr>
          <w:rFonts w:cs="Times New Roman"/>
          <w:color w:val="000000" w:themeColor="text1"/>
          <w:sz w:val="18"/>
          <w:szCs w:val="18"/>
        </w:rPr>
        <w:t xml:space="preserve"> 3, no. 3 (2013): 319-363; Sarina </w:t>
      </w:r>
      <w:proofErr w:type="spellStart"/>
      <w:r w:rsidRPr="00A203A6">
        <w:rPr>
          <w:rFonts w:cs="Times New Roman"/>
          <w:color w:val="000000" w:themeColor="text1"/>
          <w:sz w:val="18"/>
          <w:szCs w:val="18"/>
        </w:rPr>
        <w:t>Theys</w:t>
      </w:r>
      <w:proofErr w:type="spellEnd"/>
      <w:r w:rsidRPr="00A203A6">
        <w:rPr>
          <w:rFonts w:cs="Times New Roman"/>
          <w:color w:val="000000" w:themeColor="text1"/>
          <w:sz w:val="18"/>
          <w:szCs w:val="18"/>
        </w:rPr>
        <w:t xml:space="preserve">, “Constructivism.” In Stephen McGlinchey, Rosie Walters and Christian </w:t>
      </w:r>
      <w:proofErr w:type="spellStart"/>
      <w:r w:rsidRPr="00A203A6">
        <w:rPr>
          <w:rFonts w:cs="Times New Roman"/>
          <w:color w:val="000000" w:themeColor="text1"/>
          <w:sz w:val="18"/>
          <w:szCs w:val="18"/>
        </w:rPr>
        <w:t>Scheinpflug</w:t>
      </w:r>
      <w:proofErr w:type="spellEnd"/>
      <w:r w:rsidRPr="00A203A6">
        <w:rPr>
          <w:rFonts w:cs="Times New Roman"/>
          <w:color w:val="000000" w:themeColor="text1"/>
          <w:sz w:val="18"/>
          <w:szCs w:val="18"/>
        </w:rPr>
        <w:t xml:space="preserve"> (eds.), </w:t>
      </w:r>
      <w:r w:rsidRPr="00A203A6">
        <w:rPr>
          <w:rFonts w:cs="Times New Roman"/>
          <w:i/>
          <w:iCs/>
          <w:color w:val="000000" w:themeColor="text1"/>
          <w:sz w:val="18"/>
          <w:szCs w:val="18"/>
        </w:rPr>
        <w:t>International Relations Theory.</w:t>
      </w:r>
      <w:r w:rsidRPr="00A203A6">
        <w:rPr>
          <w:rFonts w:cs="Times New Roman"/>
          <w:color w:val="000000" w:themeColor="text1"/>
          <w:sz w:val="18"/>
          <w:szCs w:val="18"/>
        </w:rPr>
        <w:t xml:space="preserve"> (Bristol: E-International Relations Publishing, 2017): 36-41.</w:t>
      </w:r>
    </w:p>
  </w:footnote>
  <w:footnote w:id="124">
    <w:p w14:paraId="0684261F"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David Held and Anthony McGrew, “The Great Globalization Debate: An Introduction.” In David Held and Anthony McGrew (eds.), </w:t>
      </w:r>
      <w:r w:rsidRPr="00A203A6">
        <w:rPr>
          <w:rFonts w:cs="Times New Roman"/>
          <w:i/>
          <w:iCs/>
          <w:color w:val="000000" w:themeColor="text1"/>
          <w:sz w:val="18"/>
          <w:szCs w:val="18"/>
        </w:rPr>
        <w:t>The Global Transformations Reader</w:t>
      </w:r>
      <w:r w:rsidRPr="00A203A6">
        <w:rPr>
          <w:rFonts w:cs="Times New Roman"/>
          <w:color w:val="000000" w:themeColor="text1"/>
          <w:sz w:val="18"/>
          <w:szCs w:val="18"/>
        </w:rPr>
        <w:t xml:space="preserve"> (2</w:t>
      </w:r>
      <w:r w:rsidRPr="00A203A6">
        <w:rPr>
          <w:rFonts w:cs="Times New Roman"/>
          <w:color w:val="000000" w:themeColor="text1"/>
          <w:sz w:val="18"/>
          <w:szCs w:val="18"/>
          <w:vertAlign w:val="superscript"/>
        </w:rPr>
        <w:t>nd</w:t>
      </w:r>
      <w:r w:rsidRPr="00A203A6">
        <w:rPr>
          <w:rFonts w:cs="Times New Roman"/>
          <w:color w:val="000000" w:themeColor="text1"/>
          <w:sz w:val="18"/>
          <w:szCs w:val="18"/>
        </w:rPr>
        <w:t xml:space="preserve"> ed.) (London: Polity Press, 2003).</w:t>
      </w:r>
    </w:p>
  </w:footnote>
  <w:footnote w:id="125">
    <w:p w14:paraId="16B7271D"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Weber, </w:t>
      </w:r>
      <w:r w:rsidRPr="00A203A6">
        <w:rPr>
          <w:rFonts w:cs="Times New Roman"/>
          <w:i/>
          <w:iCs/>
          <w:color w:val="000000" w:themeColor="text1"/>
          <w:sz w:val="18"/>
          <w:szCs w:val="18"/>
        </w:rPr>
        <w:t>Weber's Rationalism and Modern Society</w:t>
      </w:r>
      <w:r w:rsidRPr="00A203A6">
        <w:rPr>
          <w:rFonts w:cs="Times New Roman"/>
          <w:color w:val="000000" w:themeColor="text1"/>
          <w:sz w:val="18"/>
          <w:szCs w:val="18"/>
        </w:rPr>
        <w:t xml:space="preserve">, 129-198; Brian Downing, </w:t>
      </w:r>
      <w:r w:rsidRPr="00A203A6">
        <w:rPr>
          <w:rFonts w:cs="Times New Roman"/>
          <w:i/>
          <w:iCs/>
          <w:color w:val="000000" w:themeColor="text1"/>
          <w:sz w:val="18"/>
          <w:szCs w:val="18"/>
        </w:rPr>
        <w:t>The Military Revolution and Political Change: Origins of Democracy and Autocracy in Early Modern Europe</w:t>
      </w:r>
      <w:r w:rsidRPr="00A203A6">
        <w:rPr>
          <w:rFonts w:cs="Times New Roman"/>
          <w:color w:val="000000" w:themeColor="text1"/>
          <w:sz w:val="18"/>
          <w:szCs w:val="18"/>
        </w:rPr>
        <w:t xml:space="preserve"> (Princeton: Princeton University Press, 1992); Thomas Ertman, </w:t>
      </w:r>
      <w:r w:rsidRPr="00A203A6">
        <w:rPr>
          <w:rFonts w:cs="Times New Roman"/>
          <w:i/>
          <w:iCs/>
          <w:color w:val="000000" w:themeColor="text1"/>
          <w:sz w:val="18"/>
          <w:szCs w:val="18"/>
        </w:rPr>
        <w:t>Birth of the Leviathan: Building States and Regimes in Medieval and Early Modern Europe</w:t>
      </w:r>
      <w:r w:rsidRPr="00A203A6">
        <w:rPr>
          <w:rFonts w:cs="Times New Roman"/>
          <w:color w:val="000000" w:themeColor="text1"/>
          <w:sz w:val="18"/>
          <w:szCs w:val="18"/>
        </w:rPr>
        <w:t xml:space="preserve"> (Cambridge: Cambridge University Press, 1997); Manfred B. Steger, </w:t>
      </w:r>
      <w:r w:rsidRPr="00A203A6">
        <w:rPr>
          <w:rFonts w:cs="Times New Roman"/>
          <w:i/>
          <w:iCs/>
          <w:color w:val="000000" w:themeColor="text1"/>
          <w:sz w:val="18"/>
          <w:szCs w:val="18"/>
        </w:rPr>
        <w:t>Globalization: A Very Short Introduction</w:t>
      </w:r>
      <w:r w:rsidRPr="00A203A6">
        <w:rPr>
          <w:rFonts w:cs="Times New Roman"/>
          <w:color w:val="000000" w:themeColor="text1"/>
          <w:sz w:val="18"/>
          <w:szCs w:val="18"/>
        </w:rPr>
        <w:t xml:space="preserve"> (Oxford: Oxford University Press, 2003).</w:t>
      </w:r>
    </w:p>
  </w:footnote>
  <w:footnote w:id="126">
    <w:p w14:paraId="0B6451B0" w14:textId="77777777" w:rsidR="006C485E" w:rsidRPr="00A203A6" w:rsidRDefault="006C485E" w:rsidP="00787EBB">
      <w:pPr>
        <w:pStyle w:val="Comment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 use the term constituents to refer to actors that are subject to the authority of the regime (or institution) in question. The modern state as an institution does not have subordinates. At least, not in sense that one traditionally conceives of the word ‘subordinate’ to refer to a person that is under the control or authority of another in the context of some organization or system. Legitimacy is a “symbolic representation of the collective evaluation of an institution, as evidenced to both observers and participants perhaps most convincingly by the flow of resources.” (Ralph C. Hybels, “On legitimacy, legitimation, and organizations: a critical review and integrative theoretical model.” </w:t>
      </w:r>
      <w:r w:rsidRPr="00A203A6">
        <w:rPr>
          <w:rFonts w:cs="Times New Roman"/>
          <w:i/>
          <w:iCs/>
          <w:color w:val="000000" w:themeColor="text1"/>
          <w:sz w:val="18"/>
          <w:szCs w:val="18"/>
        </w:rPr>
        <w:t xml:space="preserve">Academy of Management, </w:t>
      </w:r>
      <w:r w:rsidRPr="00A203A6">
        <w:rPr>
          <w:rFonts w:cs="Times New Roman"/>
          <w:color w:val="000000" w:themeColor="text1"/>
          <w:sz w:val="18"/>
          <w:szCs w:val="18"/>
        </w:rPr>
        <w:t xml:space="preserve">Special Issue: Best Papers Proceedings (1995): 243) To that end, the consent component of the state’s international legitimacy is predicated on specific actors’ support (tacit or explicit) for its continued primacy in international politics. My use of the term constituents is also a reference to the verbiage used in the organization science literature, which conceives of legitimacy as garnered from an organization’s constituents’ and stakeholders’ support (in both a tangible, practical sense – so, through the provision of material resources – and a more nebulous theoretical sense – the “generalized perception or assumption that [its]… actions… are socially desirable, proper or appropriate”). (Mark C. </w:t>
      </w:r>
      <w:proofErr w:type="spellStart"/>
      <w:r w:rsidRPr="00A203A6">
        <w:rPr>
          <w:rFonts w:cs="Times New Roman"/>
          <w:color w:val="000000" w:themeColor="text1"/>
          <w:sz w:val="18"/>
          <w:szCs w:val="18"/>
        </w:rPr>
        <w:t>Suchman</w:t>
      </w:r>
      <w:proofErr w:type="spellEnd"/>
      <w:r w:rsidRPr="00A203A6">
        <w:rPr>
          <w:rFonts w:cs="Times New Roman"/>
          <w:color w:val="000000" w:themeColor="text1"/>
          <w:sz w:val="18"/>
          <w:szCs w:val="18"/>
        </w:rPr>
        <w:t xml:space="preserve">, “Managing legitimacy: strategic and institutional approaches.” </w:t>
      </w:r>
      <w:r w:rsidRPr="00A203A6">
        <w:rPr>
          <w:rFonts w:cs="Times New Roman"/>
          <w:i/>
          <w:iCs/>
          <w:color w:val="000000" w:themeColor="text1"/>
          <w:sz w:val="18"/>
          <w:szCs w:val="18"/>
        </w:rPr>
        <w:t>Academy of Management Review</w:t>
      </w:r>
      <w:r w:rsidRPr="00A203A6">
        <w:rPr>
          <w:rFonts w:cs="Times New Roman"/>
          <w:color w:val="000000" w:themeColor="text1"/>
          <w:sz w:val="18"/>
          <w:szCs w:val="18"/>
        </w:rPr>
        <w:t xml:space="preserve"> 20, no. 3: 574.) This allusion to organization science scholarship on legitimacy is particularly appropriate because my conception of international (state) legitimacy comes from an organizational perspective, in that it is predicated on the idea that the contemporary international political system is a “(modern) ordering activity” (</w:t>
      </w:r>
      <w:proofErr w:type="spellStart"/>
      <w:r w:rsidRPr="00A203A6">
        <w:rPr>
          <w:rFonts w:cs="Times New Roman"/>
          <w:color w:val="000000" w:themeColor="text1"/>
          <w:sz w:val="18"/>
          <w:szCs w:val="18"/>
        </w:rPr>
        <w:t>Jef</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Husymans</w:t>
      </w:r>
      <w:proofErr w:type="spellEnd"/>
      <w:r w:rsidRPr="00A203A6">
        <w:rPr>
          <w:rFonts w:cs="Times New Roman"/>
          <w:color w:val="000000" w:themeColor="text1"/>
          <w:sz w:val="18"/>
          <w:szCs w:val="18"/>
        </w:rPr>
        <w:t xml:space="preserve">, “Security! What Do You Mean? From Concept to Thick Signifier,” </w:t>
      </w:r>
      <w:r w:rsidRPr="00A203A6">
        <w:rPr>
          <w:rFonts w:cs="Times New Roman"/>
          <w:i/>
          <w:iCs/>
          <w:color w:val="000000" w:themeColor="text1"/>
          <w:sz w:val="18"/>
          <w:szCs w:val="18"/>
        </w:rPr>
        <w:t>European Journal of International Relations</w:t>
      </w:r>
      <w:r w:rsidRPr="00A203A6">
        <w:rPr>
          <w:rFonts w:cs="Times New Roman"/>
          <w:color w:val="000000" w:themeColor="text1"/>
          <w:sz w:val="18"/>
          <w:szCs w:val="18"/>
        </w:rPr>
        <w:t xml:space="preserve"> 4, no. 2 (1998): 242). See also Blake E. </w:t>
      </w:r>
      <w:proofErr w:type="spellStart"/>
      <w:r w:rsidRPr="00A203A6">
        <w:rPr>
          <w:rFonts w:cs="Times New Roman"/>
          <w:color w:val="000000" w:themeColor="text1"/>
          <w:sz w:val="18"/>
          <w:szCs w:val="18"/>
        </w:rPr>
        <w:t>Ashforth</w:t>
      </w:r>
      <w:proofErr w:type="spellEnd"/>
      <w:r w:rsidRPr="00A203A6">
        <w:rPr>
          <w:rFonts w:cs="Times New Roman"/>
          <w:color w:val="000000" w:themeColor="text1"/>
          <w:sz w:val="18"/>
          <w:szCs w:val="18"/>
        </w:rPr>
        <w:t xml:space="preserve"> and Barrie W. Gibbs, “The Double-Edge of Organizational Legitimation.” </w:t>
      </w:r>
      <w:r w:rsidRPr="00A203A6">
        <w:rPr>
          <w:rFonts w:cs="Times New Roman"/>
          <w:i/>
          <w:iCs/>
          <w:color w:val="000000" w:themeColor="text1"/>
          <w:sz w:val="18"/>
          <w:szCs w:val="18"/>
        </w:rPr>
        <w:t xml:space="preserve">Organization Science </w:t>
      </w:r>
      <w:r w:rsidRPr="00A203A6">
        <w:rPr>
          <w:rFonts w:cs="Times New Roman"/>
          <w:color w:val="000000" w:themeColor="text1"/>
          <w:sz w:val="18"/>
          <w:szCs w:val="18"/>
        </w:rPr>
        <w:t xml:space="preserve">1, no. 2 (May 1990): 177-194; David Sarpong and Clayton Davies, “Managerial organizing practices and legitimacy seeking in social enterprises.” </w:t>
      </w:r>
      <w:r w:rsidRPr="00A203A6">
        <w:rPr>
          <w:rFonts w:cs="Times New Roman"/>
          <w:i/>
          <w:iCs/>
          <w:color w:val="000000" w:themeColor="text1"/>
          <w:sz w:val="18"/>
          <w:szCs w:val="18"/>
        </w:rPr>
        <w:t xml:space="preserve">Social Enterprise Journal </w:t>
      </w:r>
      <w:r w:rsidRPr="00A203A6">
        <w:rPr>
          <w:rFonts w:cs="Times New Roman"/>
          <w:color w:val="000000" w:themeColor="text1"/>
          <w:sz w:val="18"/>
          <w:szCs w:val="18"/>
        </w:rPr>
        <w:t>10, no. 1 (2014): 21-37.</w:t>
      </w:r>
    </w:p>
  </w:footnote>
  <w:footnote w:id="127">
    <w:p w14:paraId="229E91B9" w14:textId="18DDE2FE"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Subsequent IR frameworks expand the understanding as to the types of actors, actions and interactions that constitute international relations. English School IR theory (sometimes referred to as “liberal realism”) amalgamates classical realist and liberal perspectives, premising itself on the claim that the international system, while anarchical in structure, forms a “society of states” wherein interests play integral roles in shaping international politics. Most importantly, the English School conceives of its “triad,” consisting of a realist “international system,” a rationalist “international society,” and a revolutionist “world society” as three distinct but interconnected spheres that operate simultaneously to constitute international relations. In this way, the English School expands the classical realist and liberal conceptions of the material capabilities of states as constituting the center of the international system, providing for the roles played by ideas, norms</w:t>
      </w:r>
      <w:r w:rsidR="00525937" w:rsidRPr="00A203A6">
        <w:rPr>
          <w:rFonts w:cs="Times New Roman"/>
          <w:color w:val="000000" w:themeColor="text1"/>
          <w:sz w:val="18"/>
          <w:szCs w:val="18"/>
        </w:rPr>
        <w:t>,</w:t>
      </w:r>
      <w:r w:rsidRPr="00A203A6">
        <w:rPr>
          <w:rFonts w:cs="Times New Roman"/>
          <w:color w:val="000000" w:themeColor="text1"/>
          <w:sz w:val="18"/>
          <w:szCs w:val="18"/>
        </w:rPr>
        <w:t xml:space="preserve"> and interests to be taken into account. Constructivist IR theory further extends the roles of the factors identified by the English School, reframing the manner in which they interact with states with the claim that interests and norms are constructed and constituted on the basis of social interaction. As such, constructivist scholarship constitutes international relations as based on primarily social “facts”, which are “facts” only by social emergence, suggesting a historical and sociological understanding of how power is constructed through international relations. Thus, constructivism conceives of states and other international regimes as ideational constructs, predicated on factors like identity, belief, and social norms and dynamics that constitute an understanding of the reciprocally transformative nature of relationship between social and ideational forces and international relations.</w:t>
      </w:r>
    </w:p>
    <w:p w14:paraId="3849364E" w14:textId="77777777" w:rsidR="006C485E" w:rsidRPr="00A203A6" w:rsidRDefault="006C485E"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See Jens </w:t>
      </w:r>
      <w:proofErr w:type="spellStart"/>
      <w:r w:rsidRPr="00A203A6">
        <w:rPr>
          <w:rFonts w:cs="Times New Roman"/>
          <w:color w:val="000000" w:themeColor="text1"/>
          <w:sz w:val="18"/>
          <w:szCs w:val="18"/>
        </w:rPr>
        <w:t>Steffek</w:t>
      </w:r>
      <w:proofErr w:type="spellEnd"/>
      <w:r w:rsidRPr="00A203A6">
        <w:rPr>
          <w:rFonts w:cs="Times New Roman"/>
          <w:color w:val="000000" w:themeColor="text1"/>
          <w:sz w:val="18"/>
          <w:szCs w:val="18"/>
        </w:rPr>
        <w:t xml:space="preserve">, “Legitimacy in International Relations: From State Compliance to Citizen Consensus.” In Achim </w:t>
      </w:r>
      <w:proofErr w:type="spellStart"/>
      <w:r w:rsidRPr="00A203A6">
        <w:rPr>
          <w:rFonts w:cs="Times New Roman"/>
          <w:color w:val="000000" w:themeColor="text1"/>
          <w:sz w:val="18"/>
          <w:szCs w:val="18"/>
        </w:rPr>
        <w:t>Hurrelman</w:t>
      </w:r>
      <w:proofErr w:type="spellEnd"/>
      <w:r w:rsidRPr="00A203A6">
        <w:rPr>
          <w:rFonts w:cs="Times New Roman"/>
          <w:color w:val="000000" w:themeColor="text1"/>
          <w:sz w:val="18"/>
          <w:szCs w:val="18"/>
        </w:rPr>
        <w:t xml:space="preserve">, Steffen Schneider and Jens </w:t>
      </w:r>
      <w:proofErr w:type="spellStart"/>
      <w:r w:rsidRPr="00A203A6">
        <w:rPr>
          <w:rFonts w:cs="Times New Roman"/>
          <w:color w:val="000000" w:themeColor="text1"/>
          <w:sz w:val="18"/>
          <w:szCs w:val="18"/>
        </w:rPr>
        <w:t>Steffek</w:t>
      </w:r>
      <w:proofErr w:type="spellEnd"/>
      <w:r w:rsidRPr="00A203A6">
        <w:rPr>
          <w:rFonts w:cs="Times New Roman"/>
          <w:color w:val="000000" w:themeColor="text1"/>
          <w:sz w:val="18"/>
          <w:szCs w:val="18"/>
        </w:rPr>
        <w:t xml:space="preserve"> (eds.), </w:t>
      </w:r>
      <w:r w:rsidRPr="00A203A6">
        <w:rPr>
          <w:rFonts w:cs="Times New Roman"/>
          <w:i/>
          <w:iCs/>
          <w:color w:val="000000" w:themeColor="text1"/>
          <w:sz w:val="18"/>
          <w:szCs w:val="18"/>
        </w:rPr>
        <w:t>Legitimacy in an Age of Global Politics. Transformations of the State</w:t>
      </w:r>
      <w:r w:rsidRPr="00A203A6">
        <w:rPr>
          <w:rFonts w:cs="Times New Roman"/>
          <w:color w:val="000000" w:themeColor="text1"/>
          <w:sz w:val="18"/>
          <w:szCs w:val="18"/>
        </w:rPr>
        <w:t xml:space="preserve"> (London: Palgrave Macmillan, 2007): 175-192; Andrew </w:t>
      </w:r>
      <w:proofErr w:type="spellStart"/>
      <w:r w:rsidRPr="00A203A6">
        <w:rPr>
          <w:rFonts w:cs="Times New Roman"/>
          <w:color w:val="000000" w:themeColor="text1"/>
          <w:sz w:val="18"/>
          <w:szCs w:val="18"/>
        </w:rPr>
        <w:t>Moravcsik</w:t>
      </w:r>
      <w:proofErr w:type="spellEnd"/>
      <w:r w:rsidRPr="00A203A6">
        <w:rPr>
          <w:rFonts w:cs="Times New Roman"/>
          <w:color w:val="000000" w:themeColor="text1"/>
          <w:sz w:val="18"/>
          <w:szCs w:val="18"/>
        </w:rPr>
        <w:t xml:space="preserve">, “Taking Preferences Seriously: A Liberal Theory of International Politics,” </w:t>
      </w:r>
      <w:r w:rsidRPr="00A203A6">
        <w:rPr>
          <w:rStyle w:val="None"/>
          <w:rFonts w:cs="Times New Roman"/>
          <w:i/>
          <w:iCs/>
          <w:color w:val="000000" w:themeColor="text1"/>
          <w:sz w:val="18"/>
          <w:szCs w:val="18"/>
        </w:rPr>
        <w:t>International Organization</w:t>
      </w:r>
      <w:r w:rsidRPr="00A203A6">
        <w:rPr>
          <w:rStyle w:val="None"/>
          <w:rFonts w:cs="Times New Roman"/>
          <w:color w:val="000000" w:themeColor="text1"/>
          <w:sz w:val="18"/>
          <w:szCs w:val="18"/>
        </w:rPr>
        <w:t xml:space="preserve"> 51, no. 4 (1997): 513-553; </w:t>
      </w:r>
      <w:r w:rsidRPr="00A203A6">
        <w:rPr>
          <w:rFonts w:cs="Times New Roman"/>
          <w:color w:val="000000" w:themeColor="text1"/>
          <w:sz w:val="18"/>
          <w:szCs w:val="18"/>
        </w:rPr>
        <w:t xml:space="preserve">Hedley Bull, </w:t>
      </w:r>
      <w:r w:rsidRPr="00A203A6">
        <w:rPr>
          <w:rFonts w:cs="Times New Roman"/>
          <w:i/>
          <w:iCs/>
          <w:color w:val="000000" w:themeColor="text1"/>
          <w:sz w:val="18"/>
          <w:szCs w:val="18"/>
        </w:rPr>
        <w:t>The Anarchical Society</w:t>
      </w:r>
      <w:r w:rsidRPr="00A203A6">
        <w:rPr>
          <w:rFonts w:cs="Times New Roman"/>
          <w:color w:val="000000" w:themeColor="text1"/>
          <w:sz w:val="18"/>
          <w:szCs w:val="18"/>
        </w:rPr>
        <w:t xml:space="preserve">. (New York: Columbia University Press, 1977): 3-229; Barry Buzan, </w:t>
      </w:r>
      <w:r w:rsidRPr="00A203A6">
        <w:rPr>
          <w:rFonts w:cs="Times New Roman"/>
          <w:i/>
          <w:iCs/>
          <w:color w:val="000000" w:themeColor="text1"/>
          <w:sz w:val="18"/>
          <w:szCs w:val="18"/>
        </w:rPr>
        <w:t>From International Society to World Society? English School Theory and the Social Structure of Globalization.</w:t>
      </w:r>
      <w:r w:rsidRPr="00A203A6">
        <w:rPr>
          <w:rFonts w:cs="Times New Roman"/>
          <w:color w:val="000000" w:themeColor="text1"/>
          <w:sz w:val="18"/>
          <w:szCs w:val="18"/>
        </w:rPr>
        <w:t xml:space="preserve"> (Cambridge: Cambridge University Press, 2004); Michael Sheehan, “The Evolution of Modern Warfare.” In John Baylis, James J. Wirtz and Colin S. Gray (eds.), </w:t>
      </w:r>
      <w:r w:rsidRPr="00A203A6">
        <w:rPr>
          <w:rFonts w:cs="Times New Roman"/>
          <w:i/>
          <w:iCs/>
          <w:color w:val="000000" w:themeColor="text1"/>
          <w:sz w:val="18"/>
          <w:szCs w:val="18"/>
        </w:rPr>
        <w:t>Strategy in the Contemporary World.</w:t>
      </w:r>
      <w:r w:rsidRPr="00A203A6">
        <w:rPr>
          <w:rFonts w:cs="Times New Roman"/>
          <w:color w:val="000000" w:themeColor="text1"/>
          <w:sz w:val="18"/>
          <w:szCs w:val="18"/>
        </w:rPr>
        <w:t xml:space="preserve"> (6</w:t>
      </w:r>
      <w:r w:rsidRPr="00A203A6">
        <w:rPr>
          <w:rFonts w:cs="Times New Roman"/>
          <w:color w:val="000000" w:themeColor="text1"/>
          <w:sz w:val="18"/>
          <w:szCs w:val="18"/>
          <w:vertAlign w:val="superscript"/>
        </w:rPr>
        <w:t>th</w:t>
      </w:r>
      <w:r w:rsidRPr="00A203A6">
        <w:rPr>
          <w:rFonts w:cs="Times New Roman"/>
          <w:color w:val="000000" w:themeColor="text1"/>
          <w:sz w:val="18"/>
          <w:szCs w:val="18"/>
        </w:rPr>
        <w:t xml:space="preserve"> edition). (Oxford: Oxford University Press, 2019): 36-52; Katzenstein, </w:t>
      </w:r>
      <w:r w:rsidRPr="00A203A6">
        <w:rPr>
          <w:rFonts w:cs="Times New Roman"/>
          <w:i/>
          <w:iCs/>
          <w:color w:val="000000" w:themeColor="text1"/>
          <w:sz w:val="18"/>
          <w:szCs w:val="18"/>
        </w:rPr>
        <w:t>The Culture of National Security</w:t>
      </w:r>
      <w:r w:rsidRPr="00A203A6">
        <w:rPr>
          <w:rFonts w:cs="Times New Roman"/>
          <w:color w:val="000000" w:themeColor="text1"/>
          <w:sz w:val="18"/>
          <w:szCs w:val="18"/>
        </w:rPr>
        <w:t xml:space="preserve">, 1-73; Adler, “Seizing the Middle Ground,” 319-363; </w:t>
      </w:r>
      <w:proofErr w:type="spellStart"/>
      <w:r w:rsidRPr="00A203A6">
        <w:rPr>
          <w:rFonts w:cs="Times New Roman"/>
          <w:color w:val="000000" w:themeColor="text1"/>
          <w:sz w:val="18"/>
          <w:szCs w:val="18"/>
        </w:rPr>
        <w:t>Finnemore</w:t>
      </w:r>
      <w:proofErr w:type="spellEnd"/>
      <w:r w:rsidRPr="00A203A6">
        <w:rPr>
          <w:rFonts w:cs="Times New Roman"/>
          <w:color w:val="000000" w:themeColor="text1"/>
          <w:sz w:val="18"/>
          <w:szCs w:val="18"/>
        </w:rPr>
        <w:t xml:space="preserve"> &amp; </w:t>
      </w:r>
      <w:proofErr w:type="spellStart"/>
      <w:r w:rsidRPr="00A203A6">
        <w:rPr>
          <w:rFonts w:cs="Times New Roman"/>
          <w:color w:val="000000" w:themeColor="text1"/>
          <w:sz w:val="18"/>
          <w:szCs w:val="18"/>
        </w:rPr>
        <w:t>Sikkink</w:t>
      </w:r>
      <w:proofErr w:type="spellEnd"/>
      <w:r w:rsidRPr="00A203A6">
        <w:rPr>
          <w:rFonts w:cs="Times New Roman"/>
          <w:color w:val="000000" w:themeColor="text1"/>
          <w:sz w:val="18"/>
          <w:szCs w:val="18"/>
        </w:rPr>
        <w:t>, “Taking Stock,” 391-416.</w:t>
      </w:r>
    </w:p>
  </w:footnote>
  <w:footnote w:id="128">
    <w:p w14:paraId="6BB52ED7" w14:textId="77777777" w:rsidR="006C485E" w:rsidRPr="00A203A6" w:rsidRDefault="006C485E"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Steffek</w:t>
      </w:r>
      <w:proofErr w:type="spellEnd"/>
      <w:r w:rsidRPr="00A203A6">
        <w:rPr>
          <w:rFonts w:cs="Times New Roman"/>
          <w:color w:val="000000" w:themeColor="text1"/>
          <w:sz w:val="18"/>
          <w:szCs w:val="18"/>
        </w:rPr>
        <w:t xml:space="preserve">, “Legitimacy in International Relations,” 175-192; </w:t>
      </w:r>
      <w:proofErr w:type="spellStart"/>
      <w:r w:rsidRPr="00A203A6">
        <w:rPr>
          <w:rFonts w:cs="Times New Roman"/>
          <w:color w:val="000000" w:themeColor="text1"/>
          <w:sz w:val="18"/>
          <w:szCs w:val="18"/>
        </w:rPr>
        <w:t>Moravcsik</w:t>
      </w:r>
      <w:proofErr w:type="spellEnd"/>
      <w:r w:rsidRPr="00A203A6">
        <w:rPr>
          <w:rFonts w:cs="Times New Roman"/>
          <w:color w:val="000000" w:themeColor="text1"/>
          <w:sz w:val="18"/>
          <w:szCs w:val="18"/>
        </w:rPr>
        <w:t xml:space="preserve">, “Taking Preferences Seriously,” </w:t>
      </w:r>
      <w:r w:rsidRPr="00A203A6">
        <w:rPr>
          <w:rStyle w:val="None"/>
          <w:rFonts w:cs="Times New Roman"/>
          <w:color w:val="000000" w:themeColor="text1"/>
          <w:sz w:val="18"/>
          <w:szCs w:val="18"/>
        </w:rPr>
        <w:t xml:space="preserve">513-553; </w:t>
      </w:r>
      <w:r w:rsidRPr="00A203A6">
        <w:rPr>
          <w:rFonts w:cs="Times New Roman"/>
          <w:color w:val="000000" w:themeColor="text1"/>
          <w:sz w:val="18"/>
          <w:szCs w:val="18"/>
        </w:rPr>
        <w:t xml:space="preserve">Anne Marie Slaughter, “International Relations, Principal Theories.” In </w:t>
      </w:r>
      <w:proofErr w:type="spellStart"/>
      <w:r w:rsidRPr="00A203A6">
        <w:rPr>
          <w:rFonts w:cs="Times New Roman"/>
          <w:color w:val="000000" w:themeColor="text1"/>
          <w:sz w:val="18"/>
          <w:szCs w:val="18"/>
        </w:rPr>
        <w:t>Rüdiger</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Wolfrum</w:t>
      </w:r>
      <w:proofErr w:type="spellEnd"/>
      <w:r w:rsidRPr="00A203A6">
        <w:rPr>
          <w:rFonts w:cs="Times New Roman"/>
          <w:color w:val="000000" w:themeColor="text1"/>
          <w:sz w:val="18"/>
          <w:szCs w:val="18"/>
        </w:rPr>
        <w:t xml:space="preserve"> (ed.), </w:t>
      </w:r>
      <w:r w:rsidRPr="00A203A6">
        <w:rPr>
          <w:rFonts w:cs="Times New Roman"/>
          <w:i/>
          <w:iCs/>
          <w:color w:val="000000" w:themeColor="text1"/>
          <w:sz w:val="18"/>
          <w:szCs w:val="18"/>
        </w:rPr>
        <w:t xml:space="preserve">Max Planck Encyclopedia of Public International Law </w:t>
      </w:r>
      <w:r w:rsidRPr="00A203A6">
        <w:rPr>
          <w:rFonts w:cs="Times New Roman"/>
          <w:color w:val="000000" w:themeColor="text1"/>
          <w:sz w:val="18"/>
          <w:szCs w:val="18"/>
        </w:rPr>
        <w:t xml:space="preserve">(Oxford: Oxford University Press, 2011). Accessed February 15, 2020, from </w:t>
      </w:r>
      <w:r w:rsidRPr="00A203A6">
        <w:rPr>
          <w:rFonts w:cs="Times New Roman"/>
          <w:color w:val="000000" w:themeColor="text1"/>
          <w:sz w:val="18"/>
          <w:szCs w:val="18"/>
          <w:u w:val="single"/>
        </w:rPr>
        <w:t>https://opil.ouplaw.com/view/10.1093/law:epil/9780199231690/law-9780199231690-e722?rskey=cImTQ0&amp;result=1&amp;prd=MPIL.</w:t>
      </w:r>
    </w:p>
  </w:footnote>
  <w:footnote w:id="129">
    <w:p w14:paraId="20D2EC83"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Jef</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Husymans</w:t>
      </w:r>
      <w:proofErr w:type="spellEnd"/>
      <w:r w:rsidRPr="00A203A6">
        <w:rPr>
          <w:rFonts w:cs="Times New Roman"/>
          <w:color w:val="000000" w:themeColor="text1"/>
          <w:sz w:val="18"/>
          <w:szCs w:val="18"/>
        </w:rPr>
        <w:t xml:space="preserve">, “Security! What Do You Mean? From Concept to Thick Signifier,” </w:t>
      </w:r>
      <w:r w:rsidRPr="00A203A6">
        <w:rPr>
          <w:rFonts w:cs="Times New Roman"/>
          <w:i/>
          <w:iCs/>
          <w:color w:val="000000" w:themeColor="text1"/>
          <w:sz w:val="18"/>
          <w:szCs w:val="18"/>
        </w:rPr>
        <w:t>European Journal of International Relations</w:t>
      </w:r>
      <w:r w:rsidRPr="00A203A6">
        <w:rPr>
          <w:rFonts w:cs="Times New Roman"/>
          <w:color w:val="000000" w:themeColor="text1"/>
          <w:sz w:val="18"/>
          <w:szCs w:val="18"/>
        </w:rPr>
        <w:t xml:space="preserve"> 4, no. 2 (1998): 242.</w:t>
      </w:r>
    </w:p>
  </w:footnote>
  <w:footnote w:id="130">
    <w:p w14:paraId="56C8218C"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James Anderson, “The Shifting Stage of Politics: New Medieval and Postmodern Territorialities?”, </w:t>
      </w:r>
      <w:r w:rsidRPr="00A203A6">
        <w:rPr>
          <w:rFonts w:cs="Times New Roman"/>
          <w:i/>
          <w:iCs/>
          <w:color w:val="000000" w:themeColor="text1"/>
          <w:sz w:val="18"/>
          <w:szCs w:val="18"/>
        </w:rPr>
        <w:t>Environment and Planning D: Society and Space</w:t>
      </w:r>
      <w:r w:rsidRPr="00A203A6">
        <w:rPr>
          <w:rFonts w:cs="Times New Roman"/>
          <w:color w:val="000000" w:themeColor="text1"/>
          <w:sz w:val="18"/>
          <w:szCs w:val="18"/>
        </w:rPr>
        <w:t xml:space="preserve">, no. 14 (2) (April 1996): 133-153; Roland </w:t>
      </w:r>
      <w:proofErr w:type="spellStart"/>
      <w:r w:rsidRPr="00A203A6">
        <w:rPr>
          <w:rFonts w:cs="Times New Roman"/>
          <w:color w:val="000000" w:themeColor="text1"/>
          <w:sz w:val="18"/>
          <w:szCs w:val="18"/>
        </w:rPr>
        <w:t>Axtmann</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Liberal Democracy into the Twenty First Century: Globalization, Integration and the Nation-State</w:t>
      </w:r>
      <w:r w:rsidRPr="00A203A6">
        <w:rPr>
          <w:rFonts w:cs="Times New Roman"/>
          <w:color w:val="000000" w:themeColor="text1"/>
          <w:sz w:val="18"/>
          <w:szCs w:val="18"/>
        </w:rPr>
        <w:t xml:space="preserve"> (Manchester: Manchester University Press, 1996).</w:t>
      </w:r>
    </w:p>
  </w:footnote>
  <w:footnote w:id="131">
    <w:p w14:paraId="56BBEE65" w14:textId="77777777" w:rsidR="006C485E" w:rsidRPr="00A203A6" w:rsidRDefault="006C485E" w:rsidP="00787EBB">
      <w:pPr>
        <w:pStyle w:val="FootnoteText"/>
        <w:spacing w:before="0" w:after="80"/>
        <w:rPr>
          <w:rFonts w:eastAsia="Times New Roman" w:cs="Times New Roman"/>
          <w:color w:val="000000" w:themeColor="text1"/>
          <w:sz w:val="18"/>
          <w:szCs w:val="18"/>
          <w:shd w:val="clear" w:color="auto" w:fill="FFFFFF"/>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Article 2(7) of the Charter of the United Nations asserts, “</w:t>
      </w:r>
      <w:r w:rsidRPr="00A203A6">
        <w:rPr>
          <w:rFonts w:eastAsia="Times New Roman" w:cs="Times New Roman"/>
          <w:color w:val="000000" w:themeColor="text1"/>
          <w:sz w:val="18"/>
          <w:szCs w:val="18"/>
        </w:rPr>
        <w:t>Nothing contained in the present Charter shall authorize the United Nations to intervene in matters which are essentially within the domestic jurisdiction of any state.</w:t>
      </w:r>
      <w:r w:rsidRPr="00A203A6">
        <w:rPr>
          <w:rFonts w:cs="Times New Roman"/>
          <w:color w:val="000000" w:themeColor="text1"/>
          <w:sz w:val="18"/>
          <w:szCs w:val="18"/>
        </w:rPr>
        <w:t>” (</w:t>
      </w:r>
      <w:r w:rsidRPr="00A203A6">
        <w:rPr>
          <w:rFonts w:eastAsia="Times New Roman" w:cs="Times New Roman"/>
          <w:color w:val="000000" w:themeColor="text1"/>
          <w:sz w:val="18"/>
          <w:szCs w:val="18"/>
          <w:shd w:val="clear" w:color="auto" w:fill="FFFFFF"/>
        </w:rPr>
        <w:t>U.N. Charter [1945] art. 2,</w:t>
      </w:r>
      <w:r w:rsidRPr="00A203A6">
        <w:rPr>
          <w:rFonts w:eastAsia="Times New Roman" w:cs="Times New Roman"/>
          <w:color w:val="000000" w:themeColor="text1"/>
          <w:sz w:val="18"/>
          <w:szCs w:val="18"/>
        </w:rPr>
        <w:t xml:space="preserve"> </w:t>
      </w:r>
      <w:r w:rsidRPr="00A203A6">
        <w:rPr>
          <w:rFonts w:eastAsia="Times New Roman" w:cs="Times New Roman"/>
          <w:color w:val="000000" w:themeColor="text1"/>
          <w:sz w:val="18"/>
          <w:szCs w:val="18"/>
          <w:shd w:val="clear" w:color="auto" w:fill="FFFFFF"/>
        </w:rPr>
        <w:t>7.</w:t>
      </w:r>
      <w:r w:rsidRPr="00A203A6">
        <w:rPr>
          <w:rFonts w:cs="Times New Roman"/>
          <w:color w:val="000000" w:themeColor="text1"/>
          <w:sz w:val="18"/>
          <w:szCs w:val="18"/>
        </w:rPr>
        <w:t>)</w:t>
      </w:r>
    </w:p>
  </w:footnote>
  <w:footnote w:id="132">
    <w:p w14:paraId="02B5802C"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 John </w:t>
      </w:r>
      <w:proofErr w:type="spellStart"/>
      <w:r w:rsidRPr="00A203A6">
        <w:rPr>
          <w:rFonts w:cs="Times New Roman"/>
          <w:color w:val="000000" w:themeColor="text1"/>
          <w:sz w:val="18"/>
          <w:szCs w:val="18"/>
        </w:rPr>
        <w:t>Ikenberry</w:t>
      </w:r>
      <w:proofErr w:type="spellEnd"/>
      <w:r w:rsidRPr="00A203A6">
        <w:rPr>
          <w:rFonts w:cs="Times New Roman"/>
          <w:color w:val="000000" w:themeColor="text1"/>
          <w:sz w:val="18"/>
          <w:szCs w:val="18"/>
        </w:rPr>
        <w:t xml:space="preserve">, “The Future of the Liberal World Order,” </w:t>
      </w:r>
      <w:r w:rsidRPr="00A203A6">
        <w:rPr>
          <w:rFonts w:cs="Times New Roman"/>
          <w:i/>
          <w:iCs/>
          <w:color w:val="000000" w:themeColor="text1"/>
          <w:sz w:val="18"/>
          <w:szCs w:val="18"/>
        </w:rPr>
        <w:t>Foreign Affairs</w:t>
      </w:r>
      <w:r w:rsidRPr="00A203A6">
        <w:rPr>
          <w:rFonts w:cs="Times New Roman"/>
          <w:color w:val="000000" w:themeColor="text1"/>
          <w:sz w:val="18"/>
          <w:szCs w:val="18"/>
        </w:rPr>
        <w:t xml:space="preserve"> (May/June 2011): 56-68.</w:t>
      </w:r>
    </w:p>
  </w:footnote>
  <w:footnote w:id="133">
    <w:p w14:paraId="0802C58B"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 Harrison Thomson, </w:t>
      </w:r>
      <w:r w:rsidRPr="00A203A6">
        <w:rPr>
          <w:rFonts w:cs="Times New Roman"/>
          <w:i/>
          <w:iCs/>
          <w:color w:val="000000" w:themeColor="text1"/>
          <w:sz w:val="18"/>
          <w:szCs w:val="18"/>
        </w:rPr>
        <w:t>Europe in Renaissance and Reformation</w:t>
      </w:r>
      <w:r w:rsidRPr="00A203A6">
        <w:rPr>
          <w:rFonts w:cs="Times New Roman"/>
          <w:color w:val="000000" w:themeColor="text1"/>
          <w:sz w:val="18"/>
          <w:szCs w:val="18"/>
        </w:rPr>
        <w:t xml:space="preserve"> (New York: Harcourt, Brace and World, 1963): 814; George Pages, David </w:t>
      </w:r>
      <w:proofErr w:type="spellStart"/>
      <w:r w:rsidRPr="00A203A6">
        <w:rPr>
          <w:rFonts w:cs="Times New Roman"/>
          <w:color w:val="000000" w:themeColor="text1"/>
          <w:sz w:val="18"/>
          <w:szCs w:val="18"/>
        </w:rPr>
        <w:t>Maland</w:t>
      </w:r>
      <w:proofErr w:type="spellEnd"/>
      <w:r w:rsidRPr="00A203A6">
        <w:rPr>
          <w:rFonts w:cs="Times New Roman"/>
          <w:color w:val="000000" w:themeColor="text1"/>
          <w:sz w:val="18"/>
          <w:szCs w:val="18"/>
        </w:rPr>
        <w:t xml:space="preserve"> (trans.) and John Hooper (trans.), </w:t>
      </w:r>
      <w:r w:rsidRPr="00A203A6">
        <w:rPr>
          <w:rFonts w:cs="Times New Roman"/>
          <w:i/>
          <w:iCs/>
          <w:color w:val="000000" w:themeColor="text1"/>
          <w:sz w:val="18"/>
          <w:szCs w:val="18"/>
        </w:rPr>
        <w:t>The Thirty Years’ War.</w:t>
      </w:r>
      <w:r w:rsidRPr="00A203A6">
        <w:rPr>
          <w:rFonts w:cs="Times New Roman"/>
          <w:color w:val="000000" w:themeColor="text1"/>
          <w:sz w:val="18"/>
          <w:szCs w:val="18"/>
        </w:rPr>
        <w:t xml:space="preserve"> (New York: Harper and Row, 1970): 250; Bull, The Anarchical Society, 27-38; Hans J. Morgenthau, </w:t>
      </w:r>
      <w:r w:rsidRPr="00A203A6">
        <w:rPr>
          <w:rFonts w:cs="Times New Roman"/>
          <w:i/>
          <w:iCs/>
          <w:color w:val="000000" w:themeColor="text1"/>
          <w:sz w:val="18"/>
          <w:szCs w:val="18"/>
        </w:rPr>
        <w:t>Politics Among Nations: The Struggle for Power and Peace.</w:t>
      </w:r>
      <w:r w:rsidRPr="00A203A6">
        <w:rPr>
          <w:rFonts w:cs="Times New Roman"/>
          <w:color w:val="000000" w:themeColor="text1"/>
          <w:sz w:val="18"/>
          <w:szCs w:val="18"/>
        </w:rPr>
        <w:t xml:space="preserve"> (New York: Free Press, 1967): 299; John G. </w:t>
      </w:r>
      <w:proofErr w:type="spellStart"/>
      <w:r w:rsidRPr="00A203A6">
        <w:rPr>
          <w:rFonts w:cs="Times New Roman"/>
          <w:color w:val="000000" w:themeColor="text1"/>
          <w:sz w:val="18"/>
          <w:szCs w:val="18"/>
        </w:rPr>
        <w:t>Ruggie</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Constructing the World Polity.</w:t>
      </w:r>
      <w:r w:rsidRPr="00A203A6">
        <w:rPr>
          <w:rFonts w:cs="Times New Roman"/>
          <w:color w:val="000000" w:themeColor="text1"/>
          <w:sz w:val="18"/>
          <w:szCs w:val="18"/>
        </w:rPr>
        <w:t xml:space="preserve"> (New York: Routledge, 1998): 188; Hendrik </w:t>
      </w:r>
      <w:proofErr w:type="spellStart"/>
      <w:r w:rsidRPr="00A203A6">
        <w:rPr>
          <w:rFonts w:cs="Times New Roman"/>
          <w:color w:val="000000" w:themeColor="text1"/>
          <w:sz w:val="18"/>
          <w:szCs w:val="18"/>
        </w:rPr>
        <w:t>Spruyt</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Sovereign State and Its Competitors.</w:t>
      </w:r>
      <w:r w:rsidRPr="00A203A6">
        <w:rPr>
          <w:rFonts w:cs="Times New Roman"/>
          <w:color w:val="000000" w:themeColor="text1"/>
          <w:sz w:val="18"/>
          <w:szCs w:val="18"/>
        </w:rPr>
        <w:t xml:space="preserve"> (Princeton: Princeton University Press, 1994; 178-179, 191-192.</w:t>
      </w:r>
    </w:p>
    <w:p w14:paraId="6D6129C1" w14:textId="77777777" w:rsidR="006C485E" w:rsidRPr="00A203A6" w:rsidRDefault="006C485E"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For a detailed overview of the IR literature that assumes the 1648 Peace of Westphalia to constitute the beginning of the international system, see Andreas </w:t>
      </w:r>
      <w:proofErr w:type="spellStart"/>
      <w:r w:rsidRPr="00A203A6">
        <w:rPr>
          <w:rFonts w:cs="Times New Roman"/>
          <w:color w:val="000000" w:themeColor="text1"/>
          <w:sz w:val="18"/>
          <w:szCs w:val="18"/>
        </w:rPr>
        <w:t>Osinder</w:t>
      </w:r>
      <w:proofErr w:type="spellEnd"/>
      <w:r w:rsidRPr="00A203A6">
        <w:rPr>
          <w:rFonts w:cs="Times New Roman"/>
          <w:color w:val="000000" w:themeColor="text1"/>
          <w:sz w:val="18"/>
          <w:szCs w:val="18"/>
        </w:rPr>
        <w:t xml:space="preserve">, “Sovereignty, International Relations, and the Westphalian Myth,” </w:t>
      </w:r>
      <w:r w:rsidRPr="00A203A6">
        <w:rPr>
          <w:rFonts w:cs="Times New Roman"/>
          <w:i/>
          <w:iCs/>
          <w:color w:val="000000" w:themeColor="text1"/>
          <w:sz w:val="18"/>
          <w:szCs w:val="18"/>
        </w:rPr>
        <w:t>International Organization</w:t>
      </w:r>
      <w:r w:rsidRPr="00A203A6">
        <w:rPr>
          <w:rFonts w:cs="Times New Roman"/>
          <w:color w:val="000000" w:themeColor="text1"/>
          <w:sz w:val="18"/>
          <w:szCs w:val="18"/>
        </w:rPr>
        <w:t xml:space="preserve"> 55, no. 2 (2001):251-287. Notably, </w:t>
      </w:r>
      <w:proofErr w:type="spellStart"/>
      <w:r w:rsidRPr="00A203A6">
        <w:rPr>
          <w:rFonts w:cs="Times New Roman"/>
          <w:color w:val="000000" w:themeColor="text1"/>
          <w:sz w:val="18"/>
          <w:szCs w:val="18"/>
        </w:rPr>
        <w:t>Osinder</w:t>
      </w:r>
      <w:proofErr w:type="spellEnd"/>
      <w:r w:rsidRPr="00A203A6">
        <w:rPr>
          <w:rFonts w:cs="Times New Roman"/>
          <w:color w:val="000000" w:themeColor="text1"/>
          <w:sz w:val="18"/>
          <w:szCs w:val="18"/>
        </w:rPr>
        <w:t xml:space="preserve"> characterizes “the standard view” of the Thirty Years’ War as “a struggle between… the “universalist” actors: the emperor and the Spanish King… [who asserted their right… to control Christendom in its entirety… [and] the “particularist” actors… Denmark, the Dutch Republic, France and Sweden… [who] rejected imperial lordship… upholding instead the right of all states to…full independence (“sovereignty”).” (</w:t>
      </w:r>
      <w:proofErr w:type="spellStart"/>
      <w:r w:rsidRPr="00A203A6">
        <w:rPr>
          <w:rFonts w:cs="Times New Roman"/>
          <w:color w:val="000000" w:themeColor="text1"/>
          <w:sz w:val="18"/>
          <w:szCs w:val="18"/>
        </w:rPr>
        <w:t>Osinder</w:t>
      </w:r>
      <w:proofErr w:type="spellEnd"/>
      <w:r w:rsidRPr="00A203A6">
        <w:rPr>
          <w:rFonts w:cs="Times New Roman"/>
          <w:color w:val="000000" w:themeColor="text1"/>
          <w:sz w:val="18"/>
          <w:szCs w:val="18"/>
        </w:rPr>
        <w:t>, “Sovereignty, International Relations, and the Westphalian Myth,” 252).</w:t>
      </w:r>
    </w:p>
  </w:footnote>
  <w:footnote w:id="134">
    <w:p w14:paraId="438BD427"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Geoffrey Parker. </w:t>
      </w:r>
      <w:r w:rsidRPr="00A203A6">
        <w:rPr>
          <w:rFonts w:cs="Times New Roman"/>
          <w:i/>
          <w:iCs/>
          <w:color w:val="000000" w:themeColor="text1"/>
          <w:sz w:val="18"/>
          <w:szCs w:val="18"/>
        </w:rPr>
        <w:t xml:space="preserve">The Thirty Years’ War, </w:t>
      </w:r>
      <w:r w:rsidRPr="00A203A6">
        <w:rPr>
          <w:rFonts w:cs="Times New Roman"/>
          <w:color w:val="000000" w:themeColor="text1"/>
          <w:sz w:val="18"/>
          <w:szCs w:val="18"/>
        </w:rPr>
        <w:t>2</w:t>
      </w:r>
      <w:r w:rsidRPr="00A203A6">
        <w:rPr>
          <w:rFonts w:cs="Times New Roman"/>
          <w:color w:val="000000" w:themeColor="text1"/>
          <w:sz w:val="18"/>
          <w:szCs w:val="18"/>
          <w:vertAlign w:val="superscript"/>
        </w:rPr>
        <w:t>nd</w:t>
      </w:r>
      <w:r w:rsidRPr="00A203A6">
        <w:rPr>
          <w:rFonts w:cs="Times New Roman"/>
          <w:color w:val="000000" w:themeColor="text1"/>
          <w:sz w:val="18"/>
          <w:szCs w:val="18"/>
        </w:rPr>
        <w:t xml:space="preserve"> ed</w:t>
      </w:r>
      <w:r w:rsidRPr="00A203A6">
        <w:rPr>
          <w:rFonts w:cs="Times New Roman"/>
          <w:i/>
          <w:iCs/>
          <w:color w:val="000000" w:themeColor="text1"/>
          <w:sz w:val="18"/>
          <w:szCs w:val="18"/>
        </w:rPr>
        <w:t>.</w:t>
      </w:r>
      <w:r w:rsidRPr="00A203A6">
        <w:rPr>
          <w:rFonts w:cs="Times New Roman"/>
          <w:color w:val="000000" w:themeColor="text1"/>
          <w:sz w:val="18"/>
          <w:szCs w:val="18"/>
        </w:rPr>
        <w:t xml:space="preserve"> (New York: Routledge, 1997): 189.</w:t>
      </w:r>
    </w:p>
  </w:footnote>
  <w:footnote w:id="135">
    <w:p w14:paraId="6656C13F"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Quentin Outram. “The Demographic Impact of Early Modern Warfare.” </w:t>
      </w:r>
      <w:r w:rsidRPr="00A203A6">
        <w:rPr>
          <w:rFonts w:cs="Times New Roman"/>
          <w:i/>
          <w:iCs/>
          <w:color w:val="000000" w:themeColor="text1"/>
          <w:sz w:val="18"/>
          <w:szCs w:val="18"/>
        </w:rPr>
        <w:t xml:space="preserve">Social Science History </w:t>
      </w:r>
      <w:r w:rsidRPr="00A203A6">
        <w:rPr>
          <w:rFonts w:cs="Times New Roman"/>
          <w:color w:val="000000" w:themeColor="text1"/>
          <w:sz w:val="18"/>
          <w:szCs w:val="18"/>
        </w:rPr>
        <w:t>26, no. 2 (2002): 245-272.</w:t>
      </w:r>
    </w:p>
  </w:footnote>
  <w:footnote w:id="136">
    <w:p w14:paraId="29406900"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Scholars such as Bruce </w:t>
      </w:r>
      <w:proofErr w:type="spellStart"/>
      <w:r w:rsidRPr="00A203A6">
        <w:rPr>
          <w:rFonts w:cs="Times New Roman"/>
          <w:color w:val="000000" w:themeColor="text1"/>
          <w:sz w:val="18"/>
          <w:szCs w:val="18"/>
        </w:rPr>
        <w:t>Russett</w:t>
      </w:r>
      <w:proofErr w:type="spellEnd"/>
      <w:r w:rsidRPr="00A203A6">
        <w:rPr>
          <w:rFonts w:cs="Times New Roman"/>
          <w:color w:val="000000" w:themeColor="text1"/>
          <w:sz w:val="18"/>
          <w:szCs w:val="18"/>
        </w:rPr>
        <w:t xml:space="preserve"> and Harvey Starr allege that Westphalia served as the “decisive final step towards eliminating the </w:t>
      </w:r>
      <w:proofErr w:type="gramStart"/>
      <w:r w:rsidRPr="00A203A6">
        <w:rPr>
          <w:rFonts w:cs="Times New Roman"/>
          <w:color w:val="000000" w:themeColor="text1"/>
          <w:sz w:val="18"/>
          <w:szCs w:val="18"/>
        </w:rPr>
        <w:t>Emperor’s</w:t>
      </w:r>
      <w:proofErr w:type="gramEnd"/>
      <w:r w:rsidRPr="00A203A6">
        <w:rPr>
          <w:rFonts w:cs="Times New Roman"/>
          <w:color w:val="000000" w:themeColor="text1"/>
          <w:sz w:val="18"/>
          <w:szCs w:val="18"/>
        </w:rPr>
        <w:t xml:space="preserve"> universal pretensions.” As such, the principle “rex </w:t>
      </w:r>
      <w:proofErr w:type="spellStart"/>
      <w:r w:rsidRPr="00A203A6">
        <w:rPr>
          <w:rFonts w:cs="Times New Roman"/>
          <w:color w:val="000000" w:themeColor="text1"/>
          <w:sz w:val="18"/>
          <w:szCs w:val="18"/>
        </w:rPr>
        <w:t>est</w:t>
      </w:r>
      <w:proofErr w:type="spellEnd"/>
      <w:r w:rsidRPr="00A203A6">
        <w:rPr>
          <w:rFonts w:cs="Times New Roman"/>
          <w:color w:val="000000" w:themeColor="text1"/>
          <w:sz w:val="18"/>
          <w:szCs w:val="18"/>
        </w:rPr>
        <w:t xml:space="preserve"> imperator in regno </w:t>
      </w:r>
      <w:proofErr w:type="spellStart"/>
      <w:r w:rsidRPr="00A203A6">
        <w:rPr>
          <w:rFonts w:cs="Times New Roman"/>
          <w:color w:val="000000" w:themeColor="text1"/>
          <w:sz w:val="18"/>
          <w:szCs w:val="18"/>
        </w:rPr>
        <w:t>suo</w:t>
      </w:r>
      <w:proofErr w:type="spellEnd"/>
      <w:r w:rsidRPr="00A203A6">
        <w:rPr>
          <w:rFonts w:cs="Times New Roman"/>
          <w:color w:val="000000" w:themeColor="text1"/>
          <w:sz w:val="18"/>
          <w:szCs w:val="18"/>
        </w:rPr>
        <w:t xml:space="preserve">” further concretized the Golden Bull of 1356’s codification of “electoral procedure that made it clear that the pope played in role in selecting the </w:t>
      </w:r>
      <w:proofErr w:type="gramStart"/>
      <w:r w:rsidRPr="00A203A6">
        <w:rPr>
          <w:rFonts w:cs="Times New Roman"/>
          <w:color w:val="000000" w:themeColor="text1"/>
          <w:sz w:val="18"/>
          <w:szCs w:val="18"/>
        </w:rPr>
        <w:t>Emperor</w:t>
      </w:r>
      <w:proofErr w:type="gramEnd"/>
      <w:r w:rsidRPr="00A203A6">
        <w:rPr>
          <w:rFonts w:cs="Times New Roman"/>
          <w:color w:val="000000" w:themeColor="text1"/>
          <w:sz w:val="18"/>
          <w:szCs w:val="18"/>
        </w:rPr>
        <w:t xml:space="preserve">.” (Maximilian I’s formal endorsement of this notion by adding the word “elected” to his title in 1506 notwithstanding.) Moreover, the 1486 expansion of the title “Holy Roman Empire” to “Holy Roman Empire of the German Nation” had already expanded on the Golden Bull by “particularizing… and separating [the Empire] from the universality of the Church.” See Derek </w:t>
      </w:r>
      <w:proofErr w:type="spellStart"/>
      <w:r w:rsidRPr="00A203A6">
        <w:rPr>
          <w:rFonts w:cs="Times New Roman"/>
          <w:color w:val="000000" w:themeColor="text1"/>
          <w:sz w:val="18"/>
          <w:szCs w:val="18"/>
        </w:rPr>
        <w:t>Croxton</w:t>
      </w:r>
      <w:proofErr w:type="spellEnd"/>
      <w:r w:rsidRPr="00A203A6">
        <w:rPr>
          <w:rFonts w:cs="Times New Roman"/>
          <w:color w:val="000000" w:themeColor="text1"/>
          <w:sz w:val="18"/>
          <w:szCs w:val="18"/>
        </w:rPr>
        <w:t xml:space="preserve">, “The Peace of Westphalia of 1648 and the Origins of Sovereignty,” </w:t>
      </w:r>
      <w:r w:rsidRPr="00A203A6">
        <w:rPr>
          <w:rFonts w:cs="Times New Roman"/>
          <w:i/>
          <w:iCs/>
          <w:color w:val="000000" w:themeColor="text1"/>
          <w:sz w:val="18"/>
          <w:szCs w:val="18"/>
        </w:rPr>
        <w:t xml:space="preserve">The International History Review </w:t>
      </w:r>
      <w:r w:rsidRPr="00A203A6">
        <w:rPr>
          <w:rFonts w:cs="Times New Roman"/>
          <w:color w:val="000000" w:themeColor="text1"/>
          <w:sz w:val="18"/>
          <w:szCs w:val="18"/>
        </w:rPr>
        <w:t xml:space="preserve">21, no. 3 (1999): 572-573; Bruce Martin </w:t>
      </w:r>
      <w:proofErr w:type="spellStart"/>
      <w:r w:rsidRPr="00A203A6">
        <w:rPr>
          <w:rFonts w:cs="Times New Roman"/>
          <w:color w:val="000000" w:themeColor="text1"/>
          <w:sz w:val="18"/>
          <w:szCs w:val="18"/>
        </w:rPr>
        <w:t>Russett</w:t>
      </w:r>
      <w:proofErr w:type="spellEnd"/>
      <w:r w:rsidRPr="00A203A6">
        <w:rPr>
          <w:rFonts w:cs="Times New Roman"/>
          <w:color w:val="000000" w:themeColor="text1"/>
          <w:sz w:val="18"/>
          <w:szCs w:val="18"/>
        </w:rPr>
        <w:t xml:space="preserve">, David Todd Kinsella, and Harvey Starr, </w:t>
      </w:r>
      <w:r w:rsidRPr="00A203A6">
        <w:rPr>
          <w:rFonts w:cs="Times New Roman"/>
          <w:i/>
          <w:iCs/>
          <w:color w:val="000000" w:themeColor="text1"/>
          <w:sz w:val="18"/>
          <w:szCs w:val="18"/>
        </w:rPr>
        <w:t>World Politics: The Menu for Choice</w:t>
      </w:r>
      <w:r w:rsidRPr="00A203A6">
        <w:rPr>
          <w:rFonts w:cs="Times New Roman"/>
          <w:color w:val="000000" w:themeColor="text1"/>
          <w:sz w:val="18"/>
          <w:szCs w:val="18"/>
        </w:rPr>
        <w:t xml:space="preserve"> (San Francisco: Wadsworth Publishing, 1981): 47. As cited in </w:t>
      </w:r>
      <w:proofErr w:type="spellStart"/>
      <w:r w:rsidRPr="00A203A6">
        <w:rPr>
          <w:rFonts w:cs="Times New Roman"/>
          <w:color w:val="000000" w:themeColor="text1"/>
          <w:sz w:val="18"/>
          <w:szCs w:val="18"/>
        </w:rPr>
        <w:t>Croxton</w:t>
      </w:r>
      <w:proofErr w:type="spellEnd"/>
      <w:r w:rsidRPr="00A203A6">
        <w:rPr>
          <w:rFonts w:cs="Times New Roman"/>
          <w:color w:val="000000" w:themeColor="text1"/>
          <w:sz w:val="18"/>
          <w:szCs w:val="18"/>
        </w:rPr>
        <w:t xml:space="preserve">, “The Peace of Westphalia of 1648 and the Origins of Sovereignty,” 573. </w:t>
      </w:r>
    </w:p>
  </w:footnote>
  <w:footnote w:id="137">
    <w:p w14:paraId="2708FA0C" w14:textId="77777777" w:rsidR="006C485E" w:rsidRPr="00A203A6" w:rsidRDefault="006C485E" w:rsidP="00787EBB">
      <w:pPr>
        <w:spacing w:before="0" w:after="80"/>
        <w:rPr>
          <w:rFonts w:eastAsia="Times New Roman"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This “right of reformation” was originally granted to German estates through the 1555 Peace of Augsburg. Notwithstanding, Westphalia qualified this right by expanding it to include that “all subjects were guaranteed not only the right to emigrate, but also to freedom of conscience, to worship in neighboring territories, and to send their children abroad to school or educate them at home.” See “Treaty of Münster.” In Clive Parry (ed.), </w:t>
      </w:r>
      <w:r w:rsidRPr="00A203A6">
        <w:rPr>
          <w:rFonts w:cs="Times New Roman"/>
          <w:i/>
          <w:iCs/>
          <w:color w:val="000000" w:themeColor="text1"/>
          <w:sz w:val="18"/>
          <w:szCs w:val="18"/>
        </w:rPr>
        <w:t>Consolidated Treaty Series, 1648-9</w:t>
      </w:r>
      <w:r w:rsidRPr="00A203A6">
        <w:rPr>
          <w:rFonts w:cs="Times New Roman"/>
          <w:color w:val="000000" w:themeColor="text1"/>
          <w:sz w:val="18"/>
          <w:szCs w:val="18"/>
        </w:rPr>
        <w:t xml:space="preserve"> (Dobbs Ferry: Oceana Publications 1969): 148-149; 228-30; Fritz Dickman, </w:t>
      </w:r>
      <w:r w:rsidRPr="00A203A6">
        <w:rPr>
          <w:rFonts w:cs="Times New Roman"/>
          <w:i/>
          <w:iCs/>
          <w:color w:val="000000" w:themeColor="text1"/>
          <w:sz w:val="18"/>
          <w:szCs w:val="18"/>
        </w:rPr>
        <w:t xml:space="preserve">Der </w:t>
      </w:r>
      <w:proofErr w:type="spellStart"/>
      <w:r w:rsidRPr="00A203A6">
        <w:rPr>
          <w:rFonts w:cs="Times New Roman"/>
          <w:i/>
          <w:iCs/>
          <w:color w:val="000000" w:themeColor="text1"/>
          <w:sz w:val="18"/>
          <w:szCs w:val="18"/>
        </w:rPr>
        <w:t>Westfälische</w:t>
      </w:r>
      <w:proofErr w:type="spellEnd"/>
      <w:r w:rsidRPr="00A203A6">
        <w:rPr>
          <w:rFonts w:cs="Times New Roman"/>
          <w:i/>
          <w:iCs/>
          <w:color w:val="000000" w:themeColor="text1"/>
          <w:sz w:val="18"/>
          <w:szCs w:val="18"/>
        </w:rPr>
        <w:t xml:space="preserve"> Frieden (</w:t>
      </w:r>
      <w:r w:rsidRPr="00A203A6">
        <w:rPr>
          <w:rFonts w:eastAsia="Times New Roman" w:cs="Times New Roman"/>
          <w:color w:val="000000" w:themeColor="text1"/>
          <w:sz w:val="18"/>
          <w:szCs w:val="18"/>
        </w:rPr>
        <w:t>Münster: </w:t>
      </w:r>
      <w:proofErr w:type="spellStart"/>
      <w:r w:rsidRPr="00A203A6">
        <w:rPr>
          <w:rFonts w:eastAsia="Times New Roman" w:cs="Times New Roman"/>
          <w:color w:val="000000" w:themeColor="text1"/>
          <w:sz w:val="18"/>
          <w:szCs w:val="18"/>
        </w:rPr>
        <w:t>Aschendorff</w:t>
      </w:r>
      <w:proofErr w:type="spellEnd"/>
      <w:r w:rsidRPr="00A203A6">
        <w:rPr>
          <w:rFonts w:eastAsia="Times New Roman" w:cs="Times New Roman"/>
          <w:color w:val="000000" w:themeColor="text1"/>
          <w:sz w:val="18"/>
          <w:szCs w:val="18"/>
          <w:u w:val="single"/>
        </w:rPr>
        <w:t>,</w:t>
      </w:r>
      <w:r w:rsidRPr="00A203A6">
        <w:rPr>
          <w:rFonts w:eastAsia="Times New Roman" w:cs="Times New Roman"/>
          <w:color w:val="000000" w:themeColor="text1"/>
          <w:sz w:val="18"/>
          <w:szCs w:val="18"/>
        </w:rPr>
        <w:t xml:space="preserve"> 1959</w:t>
      </w:r>
      <w:r w:rsidRPr="00A203A6">
        <w:rPr>
          <w:rFonts w:eastAsia="Times New Roman" w:cs="Times New Roman"/>
          <w:color w:val="000000" w:themeColor="text1"/>
          <w:sz w:val="18"/>
          <w:szCs w:val="18"/>
          <w:shd w:val="clear" w:color="auto" w:fill="FFFFFF"/>
        </w:rPr>
        <w:t>)</w:t>
      </w:r>
      <w:r w:rsidRPr="00A203A6">
        <w:rPr>
          <w:rFonts w:cs="Times New Roman"/>
          <w:color w:val="000000" w:themeColor="text1"/>
          <w:sz w:val="18"/>
          <w:szCs w:val="18"/>
        </w:rPr>
        <w:t xml:space="preserve">: 460-463. </w:t>
      </w:r>
      <w:proofErr w:type="spellStart"/>
      <w:r w:rsidRPr="00A203A6">
        <w:rPr>
          <w:rFonts w:cs="Times New Roman"/>
          <w:color w:val="000000" w:themeColor="text1"/>
          <w:sz w:val="18"/>
          <w:szCs w:val="18"/>
        </w:rPr>
        <w:t>Croxton</w:t>
      </w:r>
      <w:proofErr w:type="spellEnd"/>
      <w:r w:rsidRPr="00A203A6">
        <w:rPr>
          <w:rFonts w:cs="Times New Roman"/>
          <w:color w:val="000000" w:themeColor="text1"/>
          <w:sz w:val="18"/>
          <w:szCs w:val="18"/>
        </w:rPr>
        <w:t xml:space="preserve">, 575. As cited in </w:t>
      </w:r>
      <w:proofErr w:type="spellStart"/>
      <w:r w:rsidRPr="00A203A6">
        <w:rPr>
          <w:rFonts w:cs="Times New Roman"/>
          <w:color w:val="000000" w:themeColor="text1"/>
          <w:sz w:val="18"/>
          <w:szCs w:val="18"/>
        </w:rPr>
        <w:t>Croxton</w:t>
      </w:r>
      <w:proofErr w:type="spellEnd"/>
      <w:r w:rsidRPr="00A203A6">
        <w:rPr>
          <w:rFonts w:cs="Times New Roman"/>
          <w:color w:val="000000" w:themeColor="text1"/>
          <w:sz w:val="18"/>
          <w:szCs w:val="18"/>
        </w:rPr>
        <w:t>, “The Peace of Westphalia of 1648 and the Origins of Sovereignty,” 575.</w:t>
      </w:r>
    </w:p>
  </w:footnote>
  <w:footnote w:id="138">
    <w:p w14:paraId="1E6D580E" w14:textId="77777777" w:rsidR="006C485E" w:rsidRPr="00A203A6" w:rsidRDefault="006C485E"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Ronald </w:t>
      </w:r>
      <w:proofErr w:type="spellStart"/>
      <w:r w:rsidRPr="00A203A6">
        <w:rPr>
          <w:rFonts w:cs="Times New Roman"/>
          <w:color w:val="000000" w:themeColor="text1"/>
          <w:sz w:val="18"/>
          <w:szCs w:val="18"/>
        </w:rPr>
        <w:t>Asche</w:t>
      </w:r>
      <w:proofErr w:type="spellEnd"/>
      <w:r w:rsidRPr="00A203A6">
        <w:rPr>
          <w:rFonts w:cs="Times New Roman"/>
          <w:color w:val="000000" w:themeColor="text1"/>
          <w:sz w:val="18"/>
          <w:szCs w:val="18"/>
        </w:rPr>
        <w:t xml:space="preserve"> suggests that the Treaty of Münster granted independence to the Swiss and the Dutch and thus served as “the decisive moment in the separation of the United Provinces from the [Holy Roman] Empire.” Scholars also point to the territorial transfers stipulated in the peace of Westphalia as facilitating the recognition of sovereignty, citing the prominent use of the Latin term </w:t>
      </w:r>
      <w:r w:rsidRPr="00A203A6">
        <w:rPr>
          <w:rFonts w:cs="Times New Roman"/>
          <w:i/>
          <w:iCs/>
          <w:color w:val="000000" w:themeColor="text1"/>
          <w:sz w:val="18"/>
          <w:szCs w:val="18"/>
        </w:rPr>
        <w:t>supremum dominium</w:t>
      </w:r>
      <w:r w:rsidRPr="00A203A6">
        <w:rPr>
          <w:rFonts w:cs="Times New Roman"/>
          <w:color w:val="000000" w:themeColor="text1"/>
          <w:sz w:val="18"/>
          <w:szCs w:val="18"/>
        </w:rPr>
        <w:t xml:space="preserve"> (commonly translated as “sovereignty”) as playing a role in establishing a “new and more sharply defined notion of sovereignty.” Similarly, Justin Rosenberg, Stephen D. Krasner and Janice E. Thomson support the notion that the peace of Westphalia began “an overt process of reflexive territorial ordering of the state-system” in the “alternation of war and diplomacy.” Guido Braun, “Les </w:t>
      </w:r>
      <w:proofErr w:type="spellStart"/>
      <w:r w:rsidRPr="00A203A6">
        <w:rPr>
          <w:rFonts w:cs="Times New Roman"/>
          <w:color w:val="000000" w:themeColor="text1"/>
          <w:sz w:val="18"/>
          <w:szCs w:val="18"/>
        </w:rPr>
        <w:t>traductions</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françaises</w:t>
      </w:r>
      <w:proofErr w:type="spellEnd"/>
      <w:r w:rsidRPr="00A203A6">
        <w:rPr>
          <w:rFonts w:cs="Times New Roman"/>
          <w:color w:val="000000" w:themeColor="text1"/>
          <w:sz w:val="18"/>
          <w:szCs w:val="18"/>
        </w:rPr>
        <w:t xml:space="preserve"> des </w:t>
      </w:r>
      <w:proofErr w:type="spellStart"/>
      <w:r w:rsidRPr="00A203A6">
        <w:rPr>
          <w:rFonts w:cs="Times New Roman"/>
          <w:color w:val="000000" w:themeColor="text1"/>
          <w:sz w:val="18"/>
          <w:szCs w:val="18"/>
        </w:rPr>
        <w:t>traités</w:t>
      </w:r>
      <w:proofErr w:type="spellEnd"/>
      <w:r w:rsidRPr="00A203A6">
        <w:rPr>
          <w:rFonts w:cs="Times New Roman"/>
          <w:color w:val="000000" w:themeColor="text1"/>
          <w:sz w:val="18"/>
          <w:szCs w:val="18"/>
        </w:rPr>
        <w:t xml:space="preserve"> de </w:t>
      </w:r>
      <w:proofErr w:type="spellStart"/>
      <w:r w:rsidRPr="00A203A6">
        <w:rPr>
          <w:rFonts w:cs="Times New Roman"/>
          <w:color w:val="000000" w:themeColor="text1"/>
          <w:sz w:val="18"/>
          <w:szCs w:val="18"/>
        </w:rPr>
        <w:t>Westphalie</w:t>
      </w:r>
      <w:proofErr w:type="spellEnd"/>
      <w:r w:rsidRPr="00A203A6">
        <w:rPr>
          <w:rFonts w:cs="Times New Roman"/>
          <w:color w:val="000000" w:themeColor="text1"/>
          <w:sz w:val="18"/>
          <w:szCs w:val="18"/>
        </w:rPr>
        <w:t xml:space="preserve"> de 1648 à la fin de </w:t>
      </w:r>
      <w:proofErr w:type="spellStart"/>
      <w:r w:rsidRPr="00A203A6">
        <w:rPr>
          <w:rFonts w:cs="Times New Roman"/>
          <w:color w:val="000000" w:themeColor="text1"/>
          <w:sz w:val="18"/>
          <w:szCs w:val="18"/>
        </w:rPr>
        <w:t>l’Ancien</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Régime</w:t>
      </w:r>
      <w:proofErr w:type="spellEnd"/>
      <w:r w:rsidRPr="00A203A6">
        <w:rPr>
          <w:rFonts w:cs="Times New Roman"/>
          <w:color w:val="000000" w:themeColor="text1"/>
          <w:sz w:val="18"/>
          <w:szCs w:val="18"/>
        </w:rPr>
        <w:t xml:space="preserve">,” </w:t>
      </w:r>
      <w:proofErr w:type="spellStart"/>
      <w:r w:rsidRPr="00A203A6">
        <w:rPr>
          <w:rFonts w:cs="Times New Roman"/>
          <w:i/>
          <w:iCs/>
          <w:color w:val="000000" w:themeColor="text1"/>
          <w:sz w:val="18"/>
          <w:szCs w:val="18"/>
        </w:rPr>
        <w:t>XVIIe</w:t>
      </w:r>
      <w:proofErr w:type="spellEnd"/>
      <w:r w:rsidRPr="00A203A6">
        <w:rPr>
          <w:rFonts w:cs="Times New Roman"/>
          <w:i/>
          <w:iCs/>
          <w:color w:val="000000" w:themeColor="text1"/>
          <w:sz w:val="18"/>
          <w:szCs w:val="18"/>
        </w:rPr>
        <w:t xml:space="preserve"> Siècle,</w:t>
      </w:r>
      <w:r w:rsidRPr="00A203A6">
        <w:rPr>
          <w:rFonts w:cs="Times New Roman"/>
          <w:color w:val="000000" w:themeColor="text1"/>
          <w:sz w:val="18"/>
          <w:szCs w:val="18"/>
        </w:rPr>
        <w:t xml:space="preserve"> cxc (1995): 111-113. As cited in </w:t>
      </w:r>
      <w:proofErr w:type="spellStart"/>
      <w:r w:rsidRPr="00A203A6">
        <w:rPr>
          <w:rFonts w:cs="Times New Roman"/>
          <w:color w:val="000000" w:themeColor="text1"/>
          <w:sz w:val="18"/>
          <w:szCs w:val="18"/>
        </w:rPr>
        <w:t>Croxton</w:t>
      </w:r>
      <w:proofErr w:type="spellEnd"/>
      <w:r w:rsidRPr="00A203A6">
        <w:rPr>
          <w:rFonts w:cs="Times New Roman"/>
          <w:color w:val="000000" w:themeColor="text1"/>
          <w:sz w:val="18"/>
          <w:szCs w:val="18"/>
        </w:rPr>
        <w:t xml:space="preserve">, “The Peace of Westphalia of 1648 and the Origins of Sovereignty,” 577; Justin Rosenberg, “A Non-Realist Theory of Sovereignty? Giddens’ “The Nation-State and Violence,”” </w:t>
      </w:r>
      <w:r w:rsidRPr="00A203A6">
        <w:rPr>
          <w:rFonts w:cs="Times New Roman"/>
          <w:i/>
          <w:iCs/>
          <w:color w:val="000000" w:themeColor="text1"/>
          <w:sz w:val="18"/>
          <w:szCs w:val="18"/>
        </w:rPr>
        <w:t>Millennium</w:t>
      </w:r>
      <w:r w:rsidRPr="00A203A6">
        <w:rPr>
          <w:rFonts w:cs="Times New Roman"/>
          <w:color w:val="000000" w:themeColor="text1"/>
          <w:sz w:val="18"/>
          <w:szCs w:val="18"/>
        </w:rPr>
        <w:t xml:space="preserve">, xix (1990): 253; Stephen D. Krasner and Janice E. Thomson, “Global Transactions and Consolidation of Sovereignty.” In Ernst-Otto </w:t>
      </w:r>
      <w:proofErr w:type="spellStart"/>
      <w:r w:rsidRPr="00A203A6">
        <w:rPr>
          <w:rFonts w:cs="Times New Roman"/>
          <w:color w:val="000000" w:themeColor="text1"/>
          <w:sz w:val="18"/>
          <w:szCs w:val="18"/>
        </w:rPr>
        <w:t>Czempiel</w:t>
      </w:r>
      <w:proofErr w:type="spellEnd"/>
      <w:r w:rsidRPr="00A203A6">
        <w:rPr>
          <w:rFonts w:cs="Times New Roman"/>
          <w:color w:val="000000" w:themeColor="text1"/>
          <w:sz w:val="18"/>
          <w:szCs w:val="18"/>
        </w:rPr>
        <w:t xml:space="preserve"> and James N. Rosenau (eds.), </w:t>
      </w:r>
      <w:r w:rsidRPr="00A203A6">
        <w:rPr>
          <w:rFonts w:cs="Times New Roman"/>
          <w:i/>
          <w:iCs/>
          <w:color w:val="000000" w:themeColor="text1"/>
          <w:sz w:val="18"/>
          <w:szCs w:val="18"/>
        </w:rPr>
        <w:t>Global Changes and Theoretical Challenges</w:t>
      </w:r>
      <w:r w:rsidRPr="00A203A6">
        <w:rPr>
          <w:rFonts w:cs="Times New Roman"/>
          <w:color w:val="000000" w:themeColor="text1"/>
          <w:sz w:val="18"/>
          <w:szCs w:val="18"/>
        </w:rPr>
        <w:t xml:space="preserve"> (Lexington: Lexington Books, 1989): 198. See also Nicholas </w:t>
      </w:r>
      <w:proofErr w:type="spellStart"/>
      <w:r w:rsidRPr="00A203A6">
        <w:rPr>
          <w:rFonts w:cs="Times New Roman"/>
          <w:color w:val="000000" w:themeColor="text1"/>
          <w:sz w:val="18"/>
          <w:szCs w:val="18"/>
        </w:rPr>
        <w:t>Onuf</w:t>
      </w:r>
      <w:proofErr w:type="spellEnd"/>
      <w:r w:rsidRPr="00A203A6">
        <w:rPr>
          <w:rFonts w:cs="Times New Roman"/>
          <w:color w:val="000000" w:themeColor="text1"/>
          <w:sz w:val="18"/>
          <w:szCs w:val="18"/>
        </w:rPr>
        <w:t xml:space="preserve">, “Sovereignty: Outline of a Conceptual History,” </w:t>
      </w:r>
      <w:r w:rsidRPr="00A203A6">
        <w:rPr>
          <w:rFonts w:cs="Times New Roman"/>
          <w:i/>
          <w:iCs/>
          <w:color w:val="000000" w:themeColor="text1"/>
          <w:sz w:val="18"/>
          <w:szCs w:val="18"/>
        </w:rPr>
        <w:t>Alternatives</w:t>
      </w:r>
      <w:r w:rsidRPr="00A203A6">
        <w:rPr>
          <w:rFonts w:cs="Times New Roman"/>
          <w:color w:val="000000" w:themeColor="text1"/>
          <w:sz w:val="18"/>
          <w:szCs w:val="18"/>
        </w:rPr>
        <w:t xml:space="preserve"> xvi (1991): 435-437.</w:t>
      </w:r>
    </w:p>
    <w:p w14:paraId="63D7E5AE" w14:textId="77777777" w:rsidR="006C485E" w:rsidRPr="00A203A6" w:rsidRDefault="006C485E" w:rsidP="00787EBB">
      <w:pPr>
        <w:spacing w:before="0" w:after="80"/>
        <w:rPr>
          <w:rFonts w:eastAsia="Times New Roman" w:cs="Times New Roman"/>
          <w:color w:val="000000" w:themeColor="text1"/>
          <w:sz w:val="18"/>
          <w:szCs w:val="18"/>
        </w:rPr>
      </w:pPr>
      <w:r w:rsidRPr="00A203A6">
        <w:rPr>
          <w:rFonts w:cs="Times New Roman"/>
          <w:color w:val="000000" w:themeColor="text1"/>
          <w:sz w:val="18"/>
          <w:szCs w:val="18"/>
        </w:rPr>
        <w:t xml:space="preserve">See also </w:t>
      </w:r>
      <w:proofErr w:type="spellStart"/>
      <w:r w:rsidRPr="00A203A6">
        <w:rPr>
          <w:rFonts w:cs="Times New Roman"/>
          <w:color w:val="000000" w:themeColor="text1"/>
          <w:sz w:val="18"/>
          <w:szCs w:val="18"/>
        </w:rPr>
        <w:t>Axtmann</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Liberal Democracy into the Twenty First Century</w:t>
      </w:r>
      <w:r w:rsidRPr="00A203A6">
        <w:rPr>
          <w:rFonts w:cs="Times New Roman"/>
          <w:color w:val="000000" w:themeColor="text1"/>
          <w:sz w:val="18"/>
          <w:szCs w:val="18"/>
        </w:rPr>
        <w:t xml:space="preserve">, 115-143; Thomson, </w:t>
      </w:r>
      <w:r w:rsidRPr="00A203A6">
        <w:rPr>
          <w:rFonts w:cs="Times New Roman"/>
          <w:i/>
          <w:iCs/>
          <w:color w:val="000000" w:themeColor="text1"/>
          <w:sz w:val="18"/>
          <w:szCs w:val="18"/>
        </w:rPr>
        <w:t>Europe in Renaissance and Reformation</w:t>
      </w:r>
      <w:r w:rsidRPr="00A203A6">
        <w:rPr>
          <w:rFonts w:cs="Times New Roman"/>
          <w:color w:val="000000" w:themeColor="text1"/>
          <w:sz w:val="18"/>
          <w:szCs w:val="18"/>
        </w:rPr>
        <w:t xml:space="preserve">, 814.; Pages, </w:t>
      </w:r>
      <w:r w:rsidRPr="00A203A6">
        <w:rPr>
          <w:rFonts w:cs="Times New Roman"/>
          <w:i/>
          <w:iCs/>
          <w:color w:val="000000" w:themeColor="text1"/>
          <w:sz w:val="18"/>
          <w:szCs w:val="18"/>
        </w:rPr>
        <w:t>The Thirty Years' War</w:t>
      </w:r>
      <w:r w:rsidRPr="00A203A6">
        <w:rPr>
          <w:rFonts w:cs="Times New Roman"/>
          <w:color w:val="000000" w:themeColor="text1"/>
          <w:sz w:val="18"/>
          <w:szCs w:val="18"/>
        </w:rPr>
        <w:t>, 250.</w:t>
      </w:r>
    </w:p>
  </w:footnote>
  <w:footnote w:id="139">
    <w:p w14:paraId="6C9320D2" w14:textId="2355C19C"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previous footnote (Footnote 128) for a more detailed overview of the development of the modern state from the Westphalian consensus. See also Roland Robertson, “After Nostalgia? Wilful Nostalgia and the Phases of Globalization” in Bryan Turner (ed.), </w:t>
      </w:r>
      <w:r w:rsidRPr="00A203A6">
        <w:rPr>
          <w:rFonts w:cs="Times New Roman"/>
          <w:i/>
          <w:iCs/>
          <w:color w:val="000000" w:themeColor="text1"/>
          <w:sz w:val="18"/>
          <w:szCs w:val="18"/>
        </w:rPr>
        <w:t xml:space="preserve">Theories of Modernity and Postmodernity </w:t>
      </w:r>
      <w:r w:rsidRPr="00A203A6">
        <w:rPr>
          <w:rFonts w:cs="Times New Roman"/>
          <w:color w:val="000000" w:themeColor="text1"/>
          <w:sz w:val="18"/>
          <w:szCs w:val="18"/>
        </w:rPr>
        <w:t xml:space="preserve">(London: Sage, 1990): 45-61; Weber, </w:t>
      </w:r>
      <w:r w:rsidRPr="00A203A6">
        <w:rPr>
          <w:rFonts w:cs="Times New Roman"/>
          <w:i/>
          <w:iCs/>
          <w:color w:val="000000" w:themeColor="text1"/>
          <w:sz w:val="18"/>
          <w:szCs w:val="18"/>
        </w:rPr>
        <w:t>Weber’s Rationalism and Modern Society</w:t>
      </w:r>
      <w:r w:rsidRPr="00A203A6">
        <w:rPr>
          <w:rFonts w:cs="Times New Roman"/>
          <w:color w:val="000000" w:themeColor="text1"/>
          <w:sz w:val="18"/>
          <w:szCs w:val="18"/>
        </w:rPr>
        <w:t>, 129-198.</w:t>
      </w:r>
    </w:p>
  </w:footnote>
  <w:footnote w:id="140">
    <w:p w14:paraId="635F059C" w14:textId="5CAE4BF7" w:rsidR="006C485E" w:rsidRPr="00A203A6" w:rsidRDefault="006C485E" w:rsidP="00787EBB">
      <w:pPr>
        <w:pStyle w:val="Heading1"/>
        <w:spacing w:before="0" w:beforeAutospacing="0" w:after="80" w:afterAutospacing="0"/>
        <w:rPr>
          <w:b w:val="0"/>
          <w:bCs w:val="0"/>
          <w:color w:val="000000" w:themeColor="text1"/>
          <w:sz w:val="18"/>
          <w:szCs w:val="18"/>
        </w:rPr>
      </w:pPr>
      <w:r w:rsidRPr="00A203A6">
        <w:rPr>
          <w:rStyle w:val="FootnoteReference"/>
          <w:b w:val="0"/>
          <w:bCs w:val="0"/>
          <w:color w:val="000000" w:themeColor="text1"/>
          <w:sz w:val="18"/>
          <w:szCs w:val="18"/>
        </w:rPr>
        <w:footnoteRef/>
      </w:r>
      <w:r w:rsidRPr="00A203A6">
        <w:rPr>
          <w:b w:val="0"/>
          <w:bCs w:val="0"/>
          <w:color w:val="000000" w:themeColor="text1"/>
          <w:sz w:val="18"/>
          <w:szCs w:val="18"/>
        </w:rPr>
        <w:t xml:space="preserve"> Steger, </w:t>
      </w:r>
      <w:r w:rsidRPr="00A203A6">
        <w:rPr>
          <w:b w:val="0"/>
          <w:bCs w:val="0"/>
          <w:i/>
          <w:iCs/>
          <w:color w:val="000000" w:themeColor="text1"/>
          <w:sz w:val="18"/>
          <w:szCs w:val="18"/>
        </w:rPr>
        <w:t>Globalization</w:t>
      </w:r>
      <w:r w:rsidRPr="00A203A6">
        <w:rPr>
          <w:b w:val="0"/>
          <w:bCs w:val="0"/>
          <w:color w:val="000000" w:themeColor="text1"/>
          <w:sz w:val="18"/>
          <w:szCs w:val="18"/>
        </w:rPr>
        <w:t>, 37-55. Moreover, the understanding that the Peace of Westphalia facilitated the sharing of political authority immediately succeeding the Thirty Years’ War by serving as the first formal, codified legitimization of the theory of sovereignty, which “claim[s] the supremacy of the govern[</w:t>
      </w:r>
      <w:proofErr w:type="spellStart"/>
      <w:r w:rsidRPr="00A203A6">
        <w:rPr>
          <w:b w:val="0"/>
          <w:bCs w:val="0"/>
          <w:color w:val="000000" w:themeColor="text1"/>
          <w:sz w:val="18"/>
          <w:szCs w:val="18"/>
        </w:rPr>
        <w:t>ing</w:t>
      </w:r>
      <w:proofErr w:type="spellEnd"/>
      <w:r w:rsidRPr="00A203A6">
        <w:rPr>
          <w:b w:val="0"/>
          <w:bCs w:val="0"/>
          <w:color w:val="000000" w:themeColor="text1"/>
          <w:sz w:val="18"/>
          <w:szCs w:val="18"/>
        </w:rPr>
        <w:t xml:space="preserve"> authority]… over the people, resources, and ultimately, over all other authorities within the territory it control[s]” is pervasive in classical realist and liberal IR scholarship. </w:t>
      </w:r>
    </w:p>
  </w:footnote>
  <w:footnote w:id="141">
    <w:p w14:paraId="4F670C1C"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Rationalism provides the basis for much of classical IR theory, accounting for change and variation by analyzing shifts in the distribution of material capabilities. As such, rationalists assert that actors take specific actions and inactions directly as a result of pre-existing assumptions and structures. Conversely, reflectivist IR theories understand “intersubjective meanings” of international institutional activity to be of critical importance to international relations. Thus, reflectivist scholars like Friedrich </w:t>
      </w:r>
      <w:proofErr w:type="spellStart"/>
      <w:r w:rsidRPr="00A203A6">
        <w:rPr>
          <w:rFonts w:cs="Times New Roman"/>
          <w:color w:val="000000" w:themeColor="text1"/>
          <w:sz w:val="18"/>
          <w:szCs w:val="18"/>
        </w:rPr>
        <w:t>Kratochwil</w:t>
      </w:r>
      <w:proofErr w:type="spellEnd"/>
      <w:r w:rsidRPr="00A203A6">
        <w:rPr>
          <w:rFonts w:cs="Times New Roman"/>
          <w:color w:val="000000" w:themeColor="text1"/>
          <w:sz w:val="18"/>
          <w:szCs w:val="18"/>
        </w:rPr>
        <w:t xml:space="preserve"> and John </w:t>
      </w:r>
      <w:proofErr w:type="spellStart"/>
      <w:r w:rsidRPr="00A203A6">
        <w:rPr>
          <w:rFonts w:cs="Times New Roman"/>
          <w:color w:val="000000" w:themeColor="text1"/>
          <w:sz w:val="18"/>
          <w:szCs w:val="18"/>
        </w:rPr>
        <w:t>Ruggie</w:t>
      </w:r>
      <w:proofErr w:type="spellEnd"/>
      <w:r w:rsidRPr="00A203A6">
        <w:rPr>
          <w:rFonts w:cs="Times New Roman"/>
          <w:color w:val="000000" w:themeColor="text1"/>
          <w:sz w:val="18"/>
          <w:szCs w:val="18"/>
        </w:rPr>
        <w:t xml:space="preserve"> argue that understanding </w:t>
      </w:r>
      <w:r w:rsidRPr="00A203A6">
        <w:rPr>
          <w:rFonts w:cs="Times New Roman"/>
          <w:i/>
          <w:iCs/>
          <w:color w:val="000000" w:themeColor="text1"/>
          <w:sz w:val="18"/>
          <w:szCs w:val="18"/>
        </w:rPr>
        <w:t>how</w:t>
      </w:r>
      <w:r w:rsidRPr="00A203A6">
        <w:rPr>
          <w:rFonts w:cs="Times New Roman"/>
          <w:color w:val="000000" w:themeColor="text1"/>
          <w:sz w:val="18"/>
          <w:szCs w:val="18"/>
        </w:rPr>
        <w:t xml:space="preserve"> individuals understand and perceive institutional norms and rules, as well as overarching societal discourse, is as critical to analyzing norms as measuring the effect that invoking norms has on behavior and behavioral trends. See Ian Hurd, “Constructivism.” In eds. Christian Reus-Smit and Duncan Snidal, </w:t>
      </w:r>
      <w:r w:rsidRPr="00A203A6">
        <w:rPr>
          <w:rFonts w:cs="Times New Roman"/>
          <w:i/>
          <w:iCs/>
          <w:color w:val="000000" w:themeColor="text1"/>
          <w:sz w:val="18"/>
          <w:szCs w:val="18"/>
        </w:rPr>
        <w:t>The Oxford Handbook of International Relations</w:t>
      </w:r>
      <w:r w:rsidRPr="00A203A6">
        <w:rPr>
          <w:rFonts w:cs="Times New Roman"/>
          <w:color w:val="000000" w:themeColor="text1"/>
          <w:sz w:val="18"/>
          <w:szCs w:val="18"/>
        </w:rPr>
        <w:t xml:space="preserve">. (New York: Oxford University Press, 2008); Friedrich </w:t>
      </w:r>
      <w:proofErr w:type="spellStart"/>
      <w:r w:rsidRPr="00A203A6">
        <w:rPr>
          <w:rFonts w:cs="Times New Roman"/>
          <w:color w:val="000000" w:themeColor="text1"/>
          <w:sz w:val="18"/>
          <w:szCs w:val="18"/>
        </w:rPr>
        <w:t>Kratochwil</w:t>
      </w:r>
      <w:proofErr w:type="spellEnd"/>
      <w:r w:rsidRPr="00A203A6">
        <w:rPr>
          <w:rFonts w:cs="Times New Roman"/>
          <w:color w:val="000000" w:themeColor="text1"/>
          <w:sz w:val="18"/>
          <w:szCs w:val="18"/>
        </w:rPr>
        <w:t xml:space="preserve"> and John G. </w:t>
      </w:r>
      <w:proofErr w:type="spellStart"/>
      <w:r w:rsidRPr="00A203A6">
        <w:rPr>
          <w:rFonts w:cs="Times New Roman"/>
          <w:color w:val="000000" w:themeColor="text1"/>
          <w:sz w:val="18"/>
          <w:szCs w:val="18"/>
        </w:rPr>
        <w:t>Ruggie</w:t>
      </w:r>
      <w:proofErr w:type="spellEnd"/>
      <w:r w:rsidRPr="00A203A6">
        <w:rPr>
          <w:rFonts w:cs="Times New Roman"/>
          <w:color w:val="000000" w:themeColor="text1"/>
          <w:sz w:val="18"/>
          <w:szCs w:val="18"/>
        </w:rPr>
        <w:t xml:space="preserve">, “The State of the Art, or the Art of the State,” </w:t>
      </w:r>
      <w:r w:rsidRPr="00A203A6">
        <w:rPr>
          <w:rFonts w:cs="Times New Roman"/>
          <w:i/>
          <w:iCs/>
          <w:color w:val="000000" w:themeColor="text1"/>
          <w:sz w:val="18"/>
          <w:szCs w:val="18"/>
        </w:rPr>
        <w:t xml:space="preserve">International Organization </w:t>
      </w:r>
      <w:r w:rsidRPr="00A203A6">
        <w:rPr>
          <w:rFonts w:cs="Times New Roman"/>
          <w:color w:val="000000" w:themeColor="text1"/>
          <w:sz w:val="18"/>
          <w:szCs w:val="18"/>
        </w:rPr>
        <w:t>40 (1986): 765.</w:t>
      </w:r>
    </w:p>
  </w:footnote>
  <w:footnote w:id="142">
    <w:p w14:paraId="3F48713A"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Mark Shirk, “Pirates, Anarchists, and Terrorists: Violence and the Boundaries of Sovereign Authority,” Ph.D. diss., University of Maryland (2014): 38.</w:t>
      </w:r>
    </w:p>
  </w:footnote>
  <w:footnote w:id="143">
    <w:p w14:paraId="592C9CDA"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Constructivist IR scholarship constitutes interests and identities continually evolving, reciprocally-influencing processes that cannot be understood as exogenous variables outside of state control that are immune to transformation. See Adler, “Seizing the Middle Ground,” 319-363; </w:t>
      </w:r>
      <w:proofErr w:type="spellStart"/>
      <w:r w:rsidRPr="00A203A6">
        <w:rPr>
          <w:rFonts w:cs="Times New Roman"/>
          <w:color w:val="000000" w:themeColor="text1"/>
          <w:sz w:val="18"/>
          <w:szCs w:val="18"/>
        </w:rPr>
        <w:t>Finnemore</w:t>
      </w:r>
      <w:proofErr w:type="spellEnd"/>
      <w:r w:rsidRPr="00A203A6">
        <w:rPr>
          <w:rFonts w:cs="Times New Roman"/>
          <w:color w:val="000000" w:themeColor="text1"/>
          <w:sz w:val="18"/>
          <w:szCs w:val="18"/>
        </w:rPr>
        <w:t xml:space="preserve"> &amp; </w:t>
      </w:r>
      <w:proofErr w:type="spellStart"/>
      <w:r w:rsidRPr="00A203A6">
        <w:rPr>
          <w:rFonts w:cs="Times New Roman"/>
          <w:color w:val="000000" w:themeColor="text1"/>
          <w:sz w:val="18"/>
          <w:szCs w:val="18"/>
        </w:rPr>
        <w:t>Sikkink</w:t>
      </w:r>
      <w:proofErr w:type="spellEnd"/>
      <w:r w:rsidRPr="00A203A6">
        <w:rPr>
          <w:rFonts w:cs="Times New Roman"/>
          <w:color w:val="000000" w:themeColor="text1"/>
          <w:sz w:val="18"/>
          <w:szCs w:val="18"/>
        </w:rPr>
        <w:t>, “Taking Stock,” 391-416.</w:t>
      </w:r>
    </w:p>
  </w:footnote>
  <w:footnote w:id="144">
    <w:p w14:paraId="1F8A4EC8"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Michel Foucault, </w:t>
      </w:r>
      <w:r w:rsidRPr="00A203A6">
        <w:rPr>
          <w:i/>
          <w:iCs/>
          <w:color w:val="000000" w:themeColor="text1"/>
          <w:sz w:val="18"/>
          <w:szCs w:val="18"/>
        </w:rPr>
        <w:t xml:space="preserve">Security, Territory, Population: Lectures at the </w:t>
      </w:r>
      <w:proofErr w:type="spellStart"/>
      <w:r w:rsidRPr="00A203A6">
        <w:rPr>
          <w:i/>
          <w:iCs/>
          <w:color w:val="000000" w:themeColor="text1"/>
          <w:sz w:val="18"/>
          <w:szCs w:val="18"/>
        </w:rPr>
        <w:t>Collège</w:t>
      </w:r>
      <w:proofErr w:type="spellEnd"/>
      <w:r w:rsidRPr="00A203A6">
        <w:rPr>
          <w:i/>
          <w:iCs/>
          <w:color w:val="000000" w:themeColor="text1"/>
          <w:sz w:val="18"/>
          <w:szCs w:val="18"/>
        </w:rPr>
        <w:t xml:space="preserve"> de France 1977-78</w:t>
      </w:r>
      <w:r w:rsidRPr="00A203A6">
        <w:rPr>
          <w:color w:val="000000" w:themeColor="text1"/>
          <w:sz w:val="18"/>
          <w:szCs w:val="18"/>
        </w:rPr>
        <w:t xml:space="preserve"> (Basingstoke: Palgrave Macmillan, 2009): 10-11, as cited in Mark Shirk, “Pirates, Anarchists, and Terrorists: Violence and the Boundaries of Sovereign Authority,” Ph.D. diss., University of Maryland</w:t>
      </w:r>
      <w:r w:rsidRPr="00A203A6">
        <w:rPr>
          <w:i/>
          <w:iCs/>
          <w:color w:val="000000" w:themeColor="text1"/>
          <w:sz w:val="18"/>
          <w:szCs w:val="18"/>
        </w:rPr>
        <w:t xml:space="preserve"> </w:t>
      </w:r>
      <w:r w:rsidRPr="00A203A6">
        <w:rPr>
          <w:color w:val="000000" w:themeColor="text1"/>
          <w:sz w:val="18"/>
          <w:szCs w:val="18"/>
        </w:rPr>
        <w:t xml:space="preserve">(2014): 39; Christian Reus-Smit, </w:t>
      </w:r>
      <w:r w:rsidRPr="00A203A6">
        <w:rPr>
          <w:i/>
          <w:iCs/>
          <w:color w:val="000000" w:themeColor="text1"/>
          <w:sz w:val="18"/>
          <w:szCs w:val="18"/>
        </w:rPr>
        <w:t>The Moral Purpose of the State.</w:t>
      </w:r>
      <w:r w:rsidRPr="00A203A6">
        <w:rPr>
          <w:color w:val="000000" w:themeColor="text1"/>
          <w:sz w:val="18"/>
          <w:szCs w:val="18"/>
        </w:rPr>
        <w:t xml:space="preserve"> (Princeton: Princeton University Press, 1996):26, as cited in Ayşe Zarakol, “What Makes Terrorism Modern? Terrorism, Legitimacy, and the International System,” </w:t>
      </w:r>
      <w:r w:rsidRPr="00A203A6">
        <w:rPr>
          <w:i/>
          <w:color w:val="000000" w:themeColor="text1"/>
          <w:sz w:val="18"/>
          <w:szCs w:val="18"/>
        </w:rPr>
        <w:t>Review of International Studies</w:t>
      </w:r>
      <w:r w:rsidRPr="00A203A6">
        <w:rPr>
          <w:color w:val="000000" w:themeColor="text1"/>
          <w:sz w:val="18"/>
          <w:szCs w:val="18"/>
        </w:rPr>
        <w:t xml:space="preserve"> 37, no. 5 (2011): 2313.</w:t>
      </w:r>
    </w:p>
  </w:footnote>
  <w:footnote w:id="145">
    <w:p w14:paraId="17FD249A"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Foucault, </w:t>
      </w:r>
      <w:r w:rsidRPr="00A203A6">
        <w:rPr>
          <w:rFonts w:cs="Times New Roman"/>
          <w:i/>
          <w:iCs/>
          <w:color w:val="000000" w:themeColor="text1"/>
          <w:sz w:val="18"/>
          <w:szCs w:val="18"/>
        </w:rPr>
        <w:t>Security, Territory, Population</w:t>
      </w:r>
      <w:r w:rsidRPr="00A203A6">
        <w:rPr>
          <w:rFonts w:cs="Times New Roman"/>
          <w:color w:val="000000" w:themeColor="text1"/>
          <w:sz w:val="18"/>
          <w:szCs w:val="18"/>
        </w:rPr>
        <w:t xml:space="preserve">, 10-11; Reus-Smit, </w:t>
      </w:r>
      <w:r w:rsidRPr="00A203A6">
        <w:rPr>
          <w:rFonts w:cs="Times New Roman"/>
          <w:i/>
          <w:iCs/>
          <w:color w:val="000000" w:themeColor="text1"/>
          <w:sz w:val="18"/>
          <w:szCs w:val="18"/>
        </w:rPr>
        <w:t>The Moral Purpose of the State</w:t>
      </w:r>
      <w:r w:rsidRPr="00A203A6">
        <w:rPr>
          <w:rFonts w:cs="Times New Roman"/>
          <w:color w:val="000000" w:themeColor="text1"/>
          <w:sz w:val="18"/>
          <w:szCs w:val="18"/>
        </w:rPr>
        <w:t>, 26.</w:t>
      </w:r>
    </w:p>
  </w:footnote>
  <w:footnote w:id="146">
    <w:p w14:paraId="6571E888"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Husymans</w:t>
      </w:r>
      <w:proofErr w:type="spellEnd"/>
      <w:r w:rsidRPr="00A203A6">
        <w:rPr>
          <w:rFonts w:cs="Times New Roman"/>
          <w:color w:val="000000" w:themeColor="text1"/>
          <w:sz w:val="18"/>
          <w:szCs w:val="18"/>
        </w:rPr>
        <w:t xml:space="preserve">, “Security!”, 242. </w:t>
      </w:r>
    </w:p>
  </w:footnote>
  <w:footnote w:id="147">
    <w:p w14:paraId="5DF29946"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w:t>
      </w:r>
      <w:r w:rsidRPr="00A203A6">
        <w:rPr>
          <w:rFonts w:cs="Times New Roman"/>
          <w:i/>
          <w:iCs/>
          <w:color w:val="000000" w:themeColor="text1"/>
          <w:sz w:val="18"/>
          <w:szCs w:val="18"/>
        </w:rPr>
        <w:t xml:space="preserve">anarchy </w:t>
      </w:r>
      <w:proofErr w:type="spellStart"/>
      <w:r w:rsidRPr="00A203A6">
        <w:rPr>
          <w:rFonts w:cs="Times New Roman"/>
          <w:i/>
          <w:iCs/>
          <w:color w:val="000000" w:themeColor="text1"/>
          <w:sz w:val="18"/>
          <w:szCs w:val="18"/>
        </w:rPr>
        <w:t>problematique</w:t>
      </w:r>
      <w:proofErr w:type="spellEnd"/>
      <w:r w:rsidRPr="00A203A6">
        <w:rPr>
          <w:rFonts w:cs="Times New Roman"/>
          <w:color w:val="000000" w:themeColor="text1"/>
          <w:sz w:val="18"/>
          <w:szCs w:val="18"/>
        </w:rPr>
        <w:t xml:space="preserve"> is the name that Richard Ashley gives to scholarly conceptions of international relations as characterized by the absence of “a supreme sovereign authority.” (Richard </w:t>
      </w:r>
      <w:proofErr w:type="spellStart"/>
      <w:r w:rsidRPr="00A203A6">
        <w:rPr>
          <w:rFonts w:cs="Times New Roman"/>
          <w:color w:val="000000" w:themeColor="text1"/>
          <w:sz w:val="18"/>
          <w:szCs w:val="18"/>
        </w:rPr>
        <w:t>Devetak</w:t>
      </w:r>
      <w:proofErr w:type="spellEnd"/>
      <w:r w:rsidRPr="00A203A6">
        <w:rPr>
          <w:rFonts w:cs="Times New Roman"/>
          <w:color w:val="000000" w:themeColor="text1"/>
          <w:sz w:val="18"/>
          <w:szCs w:val="18"/>
        </w:rPr>
        <w:t xml:space="preserve">, “Postmodernism.” In Scott Burchill, Andrew Linklater, Richard </w:t>
      </w:r>
      <w:proofErr w:type="spellStart"/>
      <w:r w:rsidRPr="00A203A6">
        <w:rPr>
          <w:rFonts w:cs="Times New Roman"/>
          <w:color w:val="000000" w:themeColor="text1"/>
          <w:sz w:val="18"/>
          <w:szCs w:val="18"/>
        </w:rPr>
        <w:t>Devetak</w:t>
      </w:r>
      <w:proofErr w:type="spellEnd"/>
      <w:r w:rsidRPr="00A203A6">
        <w:rPr>
          <w:rFonts w:cs="Times New Roman"/>
          <w:color w:val="000000" w:themeColor="text1"/>
          <w:sz w:val="18"/>
          <w:szCs w:val="18"/>
        </w:rPr>
        <w:t xml:space="preserve">, Jack Donnelly, Matthew Paterson, Christian Reus-Smit, and Jacqui True (eds.), </w:t>
      </w:r>
      <w:r w:rsidRPr="00A203A6">
        <w:rPr>
          <w:rFonts w:cs="Times New Roman"/>
          <w:i/>
          <w:iCs/>
          <w:color w:val="000000" w:themeColor="text1"/>
          <w:sz w:val="18"/>
          <w:szCs w:val="18"/>
        </w:rPr>
        <w:t xml:space="preserve">Theories of International Relations. </w:t>
      </w:r>
      <w:r w:rsidRPr="00A203A6">
        <w:rPr>
          <w:rFonts w:cs="Times New Roman"/>
          <w:color w:val="000000" w:themeColor="text1"/>
          <w:sz w:val="18"/>
          <w:szCs w:val="18"/>
        </w:rPr>
        <w:t xml:space="preserve">(3rd edition) (New York City: Palgrave Macmillan, 2005): 171; Daniel F. </w:t>
      </w:r>
      <w:proofErr w:type="spellStart"/>
      <w:r w:rsidRPr="00A203A6">
        <w:rPr>
          <w:rFonts w:cs="Times New Roman"/>
          <w:color w:val="000000" w:themeColor="text1"/>
          <w:sz w:val="18"/>
          <w:szCs w:val="18"/>
        </w:rPr>
        <w:t>Wajner</w:t>
      </w:r>
      <w:proofErr w:type="spellEnd"/>
      <w:r w:rsidRPr="00A203A6">
        <w:rPr>
          <w:rFonts w:cs="Times New Roman"/>
          <w:color w:val="000000" w:themeColor="text1"/>
          <w:sz w:val="18"/>
          <w:szCs w:val="18"/>
        </w:rPr>
        <w:t xml:space="preserve">, ““Battling” for Legitimacy: Analyzing Performative Contests in the Gaza Flotilla Paradigmatic Case,” </w:t>
      </w:r>
      <w:r w:rsidRPr="00A203A6">
        <w:rPr>
          <w:rFonts w:cs="Times New Roman"/>
          <w:i/>
          <w:iCs/>
          <w:color w:val="000000" w:themeColor="text1"/>
          <w:sz w:val="18"/>
          <w:szCs w:val="18"/>
        </w:rPr>
        <w:t>International Studies Quarterly</w:t>
      </w:r>
      <w:r w:rsidRPr="00A203A6">
        <w:rPr>
          <w:rFonts w:cs="Times New Roman"/>
          <w:color w:val="000000" w:themeColor="text1"/>
          <w:sz w:val="18"/>
          <w:szCs w:val="18"/>
        </w:rPr>
        <w:t xml:space="preserve"> 63 (July 2019): 1037).)</w:t>
      </w:r>
    </w:p>
    <w:p w14:paraId="3EEEF38A" w14:textId="77777777" w:rsidR="006C485E" w:rsidRPr="00A203A6" w:rsidRDefault="006C485E"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See Slaughter, “International Relations,” 1-7 for a more comprehensive overview of the role that anarchy plays in IR theory.</w:t>
      </w:r>
    </w:p>
  </w:footnote>
  <w:footnote w:id="148">
    <w:p w14:paraId="7001B831"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Husymans</w:t>
      </w:r>
      <w:proofErr w:type="spellEnd"/>
      <w:r w:rsidRPr="00A203A6">
        <w:rPr>
          <w:rFonts w:cs="Times New Roman"/>
          <w:color w:val="000000" w:themeColor="text1"/>
          <w:sz w:val="18"/>
          <w:szCs w:val="18"/>
        </w:rPr>
        <w:t xml:space="preserve">, “Security!”, 242; </w:t>
      </w:r>
      <w:proofErr w:type="spellStart"/>
      <w:r w:rsidRPr="00A203A6">
        <w:rPr>
          <w:rFonts w:cs="Times New Roman"/>
          <w:color w:val="000000" w:themeColor="text1"/>
          <w:sz w:val="18"/>
          <w:szCs w:val="18"/>
        </w:rPr>
        <w:t>Devetak</w:t>
      </w:r>
      <w:proofErr w:type="spellEnd"/>
      <w:r w:rsidRPr="00A203A6">
        <w:rPr>
          <w:rFonts w:cs="Times New Roman"/>
          <w:color w:val="000000" w:themeColor="text1"/>
          <w:sz w:val="18"/>
          <w:szCs w:val="18"/>
        </w:rPr>
        <w:t>, “Postmodernism,” 171.</w:t>
      </w:r>
    </w:p>
  </w:footnote>
  <w:footnote w:id="149">
    <w:p w14:paraId="0D041F73"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Richard K. Ashley, “Untying the Sovereign State: A Double Reading of the Anarchy </w:t>
      </w:r>
      <w:proofErr w:type="spellStart"/>
      <w:r w:rsidRPr="00A203A6">
        <w:rPr>
          <w:rFonts w:cs="Times New Roman"/>
          <w:color w:val="000000" w:themeColor="text1"/>
          <w:sz w:val="18"/>
          <w:szCs w:val="18"/>
        </w:rPr>
        <w:t>Problematique</w:t>
      </w:r>
      <w:proofErr w:type="spellEnd"/>
      <w:r w:rsidRPr="00A203A6">
        <w:rPr>
          <w:rFonts w:cs="Times New Roman"/>
          <w:color w:val="000000" w:themeColor="text1"/>
          <w:sz w:val="18"/>
          <w:szCs w:val="18"/>
        </w:rPr>
        <w:t xml:space="preserve">,” </w:t>
      </w:r>
      <w:proofErr w:type="spellStart"/>
      <w:r w:rsidRPr="00A203A6">
        <w:rPr>
          <w:rFonts w:cs="Times New Roman"/>
          <w:i/>
          <w:iCs/>
          <w:color w:val="000000" w:themeColor="text1"/>
          <w:sz w:val="18"/>
          <w:szCs w:val="18"/>
        </w:rPr>
        <w:t>Millenium</w:t>
      </w:r>
      <w:proofErr w:type="spellEnd"/>
      <w:r w:rsidRPr="00A203A6">
        <w:rPr>
          <w:rFonts w:cs="Times New Roman"/>
          <w:color w:val="000000" w:themeColor="text1"/>
          <w:sz w:val="18"/>
          <w:szCs w:val="18"/>
        </w:rPr>
        <w:t xml:space="preserve"> 17, no. 2 (1988): 257.</w:t>
      </w:r>
    </w:p>
  </w:footnote>
  <w:footnote w:id="150">
    <w:p w14:paraId="723724C3"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Devetak</w:t>
      </w:r>
      <w:proofErr w:type="spellEnd"/>
      <w:r w:rsidRPr="00A203A6">
        <w:rPr>
          <w:rFonts w:cs="Times New Roman"/>
          <w:color w:val="000000" w:themeColor="text1"/>
          <w:sz w:val="18"/>
          <w:szCs w:val="18"/>
        </w:rPr>
        <w:t>, “Postmodernism,” 171.</w:t>
      </w:r>
    </w:p>
  </w:footnote>
  <w:footnote w:id="151">
    <w:p w14:paraId="488A5090"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Ashley, “Untying the Sovereign State,” 257. As cited in </w:t>
      </w:r>
      <w:proofErr w:type="spellStart"/>
      <w:r w:rsidRPr="00A203A6">
        <w:rPr>
          <w:rFonts w:cs="Times New Roman"/>
          <w:color w:val="000000" w:themeColor="text1"/>
          <w:sz w:val="18"/>
          <w:szCs w:val="18"/>
        </w:rPr>
        <w:t>Devetak</w:t>
      </w:r>
      <w:proofErr w:type="spellEnd"/>
      <w:r w:rsidRPr="00A203A6">
        <w:rPr>
          <w:rFonts w:cs="Times New Roman"/>
          <w:color w:val="000000" w:themeColor="text1"/>
          <w:sz w:val="18"/>
          <w:szCs w:val="18"/>
        </w:rPr>
        <w:t>, “Postmodernism,” 171.</w:t>
      </w:r>
    </w:p>
  </w:footnote>
  <w:footnote w:id="152">
    <w:p w14:paraId="7D418ABC"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Richard K. Ashley, “The Geopolitics of Geopolitical Space: Toward a Critical Social Theory of International Politics,” </w:t>
      </w:r>
      <w:r w:rsidRPr="00A203A6">
        <w:rPr>
          <w:rFonts w:cs="Times New Roman"/>
          <w:i/>
          <w:iCs/>
          <w:color w:val="000000" w:themeColor="text1"/>
          <w:sz w:val="18"/>
          <w:szCs w:val="18"/>
        </w:rPr>
        <w:t>Alternatives</w:t>
      </w:r>
      <w:r w:rsidRPr="00A203A6">
        <w:rPr>
          <w:rFonts w:cs="Times New Roman"/>
          <w:color w:val="000000" w:themeColor="text1"/>
          <w:sz w:val="18"/>
          <w:szCs w:val="18"/>
        </w:rPr>
        <w:t xml:space="preserve"> 12, no. 4 (1987): 403-434. As cited in in </w:t>
      </w:r>
      <w:proofErr w:type="spellStart"/>
      <w:r w:rsidRPr="00A203A6">
        <w:rPr>
          <w:rFonts w:cs="Times New Roman"/>
          <w:color w:val="000000" w:themeColor="text1"/>
          <w:sz w:val="18"/>
          <w:szCs w:val="18"/>
        </w:rPr>
        <w:t>Devetak</w:t>
      </w:r>
      <w:proofErr w:type="spellEnd"/>
      <w:r w:rsidRPr="00A203A6">
        <w:rPr>
          <w:rFonts w:cs="Times New Roman"/>
          <w:color w:val="000000" w:themeColor="text1"/>
          <w:sz w:val="18"/>
          <w:szCs w:val="18"/>
        </w:rPr>
        <w:t xml:space="preserve">, “Postmodernism,” 171; Richard K. Ashley, “Imposing International Purpose: Notes on a Problematic of Governance.” In Ernst Otto </w:t>
      </w:r>
      <w:proofErr w:type="spellStart"/>
      <w:r w:rsidRPr="00A203A6">
        <w:rPr>
          <w:rFonts w:cs="Times New Roman"/>
          <w:color w:val="000000" w:themeColor="text1"/>
          <w:sz w:val="18"/>
          <w:szCs w:val="18"/>
        </w:rPr>
        <w:t>Czempiel</w:t>
      </w:r>
      <w:proofErr w:type="spellEnd"/>
      <w:r w:rsidRPr="00A203A6">
        <w:rPr>
          <w:rFonts w:cs="Times New Roman"/>
          <w:color w:val="000000" w:themeColor="text1"/>
          <w:sz w:val="18"/>
          <w:szCs w:val="18"/>
        </w:rPr>
        <w:t xml:space="preserve"> and James N. Rosenau (eds.) </w:t>
      </w:r>
      <w:r w:rsidRPr="00A203A6">
        <w:rPr>
          <w:rFonts w:cs="Times New Roman"/>
          <w:i/>
          <w:iCs/>
          <w:color w:val="000000" w:themeColor="text1"/>
          <w:sz w:val="18"/>
          <w:szCs w:val="18"/>
        </w:rPr>
        <w:t>Global Changes and Theoretical Challenges: Approaches to World Politics for the 1990s.</w:t>
      </w:r>
      <w:r w:rsidRPr="00A203A6">
        <w:rPr>
          <w:rFonts w:cs="Times New Roman"/>
          <w:color w:val="000000" w:themeColor="text1"/>
          <w:sz w:val="18"/>
          <w:szCs w:val="18"/>
        </w:rPr>
        <w:t xml:space="preserve"> (Lexington: Lexington Books, 1989): 251-290. As cited in in </w:t>
      </w:r>
      <w:proofErr w:type="spellStart"/>
      <w:r w:rsidRPr="00A203A6">
        <w:rPr>
          <w:rFonts w:cs="Times New Roman"/>
          <w:color w:val="000000" w:themeColor="text1"/>
          <w:sz w:val="18"/>
          <w:szCs w:val="18"/>
        </w:rPr>
        <w:t>Devetak</w:t>
      </w:r>
      <w:proofErr w:type="spellEnd"/>
      <w:r w:rsidRPr="00A203A6">
        <w:rPr>
          <w:rFonts w:cs="Times New Roman"/>
          <w:color w:val="000000" w:themeColor="text1"/>
          <w:sz w:val="18"/>
          <w:szCs w:val="18"/>
        </w:rPr>
        <w:t>, “Postmodernism,” 171.</w:t>
      </w:r>
    </w:p>
  </w:footnote>
  <w:footnote w:id="153">
    <w:p w14:paraId="56745A1D" w14:textId="77777777" w:rsidR="006C485E" w:rsidRPr="00A203A6" w:rsidRDefault="006C485E"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Joanna </w:t>
      </w:r>
      <w:proofErr w:type="spellStart"/>
      <w:r w:rsidRPr="00A203A6">
        <w:rPr>
          <w:rFonts w:cs="Times New Roman"/>
          <w:color w:val="000000" w:themeColor="text1"/>
          <w:sz w:val="18"/>
          <w:szCs w:val="18"/>
        </w:rPr>
        <w:t>Rozycka</w:t>
      </w:r>
      <w:proofErr w:type="spellEnd"/>
      <w:r w:rsidRPr="00A203A6">
        <w:rPr>
          <w:rFonts w:cs="Times New Roman"/>
          <w:color w:val="000000" w:themeColor="text1"/>
          <w:sz w:val="18"/>
          <w:szCs w:val="18"/>
        </w:rPr>
        <w:t xml:space="preserve">-Tran, Pawel </w:t>
      </w:r>
      <w:proofErr w:type="spellStart"/>
      <w:r w:rsidRPr="00A203A6">
        <w:rPr>
          <w:rFonts w:cs="Times New Roman"/>
          <w:color w:val="000000" w:themeColor="text1"/>
          <w:sz w:val="18"/>
          <w:szCs w:val="18"/>
        </w:rPr>
        <w:t>Boski</w:t>
      </w:r>
      <w:proofErr w:type="spellEnd"/>
      <w:r w:rsidRPr="00A203A6">
        <w:rPr>
          <w:rFonts w:cs="Times New Roman"/>
          <w:color w:val="000000" w:themeColor="text1"/>
          <w:sz w:val="18"/>
          <w:szCs w:val="18"/>
        </w:rPr>
        <w:t xml:space="preserve"> and Bogdan </w:t>
      </w:r>
      <w:proofErr w:type="spellStart"/>
      <w:r w:rsidRPr="00A203A6">
        <w:rPr>
          <w:rFonts w:cs="Times New Roman"/>
          <w:color w:val="000000" w:themeColor="text1"/>
          <w:sz w:val="18"/>
          <w:szCs w:val="18"/>
        </w:rPr>
        <w:t>Wojciszke</w:t>
      </w:r>
      <w:proofErr w:type="spellEnd"/>
      <w:r w:rsidRPr="00A203A6">
        <w:rPr>
          <w:rFonts w:cs="Times New Roman"/>
          <w:color w:val="000000" w:themeColor="text1"/>
          <w:sz w:val="18"/>
          <w:szCs w:val="18"/>
        </w:rPr>
        <w:t xml:space="preserve"> define zero-sum thinking as “</w:t>
      </w:r>
      <w:r w:rsidRPr="00A203A6">
        <w:rPr>
          <w:rFonts w:cs="Times New Roman"/>
          <w:color w:val="000000" w:themeColor="text1"/>
          <w:sz w:val="18"/>
          <w:szCs w:val="18"/>
          <w:shd w:val="clear" w:color="auto" w:fill="FFFFFF"/>
        </w:rPr>
        <w:t>a general belief system about the antagonistic nature of social relations, shared by people in a society or culture and based on the</w:t>
      </w:r>
      <w:r w:rsidRPr="00A203A6">
        <w:rPr>
          <w:rStyle w:val="apple-converted-space"/>
          <w:rFonts w:cs="Times New Roman"/>
          <w:color w:val="000000" w:themeColor="text1"/>
          <w:sz w:val="18"/>
          <w:szCs w:val="18"/>
          <w:shd w:val="clear" w:color="auto" w:fill="FFFFFF"/>
        </w:rPr>
        <w:t> </w:t>
      </w:r>
      <w:r w:rsidRPr="00A203A6">
        <w:rPr>
          <w:rFonts w:cs="Times New Roman"/>
          <w:color w:val="000000" w:themeColor="text1"/>
          <w:sz w:val="18"/>
          <w:szCs w:val="18"/>
        </w:rPr>
        <w:t>implicit assumption</w:t>
      </w:r>
      <w:r w:rsidRPr="00A203A6">
        <w:rPr>
          <w:rStyle w:val="apple-converted-space"/>
          <w:rFonts w:cs="Times New Roman"/>
          <w:color w:val="000000" w:themeColor="text1"/>
          <w:sz w:val="18"/>
          <w:szCs w:val="18"/>
          <w:shd w:val="clear" w:color="auto" w:fill="FFFFFF"/>
        </w:rPr>
        <w:t> </w:t>
      </w:r>
      <w:r w:rsidRPr="00A203A6">
        <w:rPr>
          <w:rFonts w:cs="Times New Roman"/>
          <w:color w:val="000000" w:themeColor="text1"/>
          <w:sz w:val="18"/>
          <w:szCs w:val="18"/>
          <w:shd w:val="clear" w:color="auto" w:fill="FFFFFF"/>
        </w:rPr>
        <w:t>that a finite amount of goods exists in the world, in which one person's winning makes others the losers, and vice versa ... a relatively permanent and general conviction that social relations are like a zero-sum game. People who share this conviction believe that success, especially economic success, is possible only at the expense of other people's failures.” See</w:t>
      </w:r>
      <w:r w:rsidRPr="00A203A6">
        <w:rPr>
          <w:rFonts w:cs="Times New Roman"/>
          <w:color w:val="000000" w:themeColor="text1"/>
          <w:sz w:val="18"/>
          <w:szCs w:val="18"/>
        </w:rPr>
        <w:t xml:space="preserve"> Joanna </w:t>
      </w:r>
      <w:proofErr w:type="spellStart"/>
      <w:r w:rsidRPr="00A203A6">
        <w:rPr>
          <w:rFonts w:eastAsia="Times New Roman" w:cs="Times New Roman"/>
          <w:color w:val="000000" w:themeColor="text1"/>
          <w:sz w:val="18"/>
          <w:szCs w:val="18"/>
          <w:shd w:val="clear" w:color="auto" w:fill="FFFFFF"/>
        </w:rPr>
        <w:t>Rozycka</w:t>
      </w:r>
      <w:proofErr w:type="spellEnd"/>
      <w:r w:rsidRPr="00A203A6">
        <w:rPr>
          <w:rFonts w:eastAsia="Times New Roman" w:cs="Times New Roman"/>
          <w:color w:val="000000" w:themeColor="text1"/>
          <w:sz w:val="18"/>
          <w:szCs w:val="18"/>
          <w:shd w:val="clear" w:color="auto" w:fill="FFFFFF"/>
        </w:rPr>
        <w:t xml:space="preserve">-Tran, Pawel </w:t>
      </w:r>
      <w:proofErr w:type="spellStart"/>
      <w:r w:rsidRPr="00A203A6">
        <w:rPr>
          <w:rFonts w:eastAsia="Times New Roman" w:cs="Times New Roman"/>
          <w:color w:val="000000" w:themeColor="text1"/>
          <w:sz w:val="18"/>
          <w:szCs w:val="18"/>
          <w:shd w:val="clear" w:color="auto" w:fill="FFFFFF"/>
        </w:rPr>
        <w:t>Boski</w:t>
      </w:r>
      <w:proofErr w:type="spellEnd"/>
      <w:r w:rsidRPr="00A203A6">
        <w:rPr>
          <w:rFonts w:eastAsia="Times New Roman" w:cs="Times New Roman"/>
          <w:color w:val="000000" w:themeColor="text1"/>
          <w:sz w:val="18"/>
          <w:szCs w:val="18"/>
          <w:shd w:val="clear" w:color="auto" w:fill="FFFFFF"/>
        </w:rPr>
        <w:t xml:space="preserve">, and Bogdan </w:t>
      </w:r>
      <w:proofErr w:type="spellStart"/>
      <w:r w:rsidRPr="00A203A6">
        <w:rPr>
          <w:rFonts w:eastAsia="Times New Roman" w:cs="Times New Roman"/>
          <w:color w:val="000000" w:themeColor="text1"/>
          <w:sz w:val="18"/>
          <w:szCs w:val="18"/>
          <w:shd w:val="clear" w:color="auto" w:fill="FFFFFF"/>
        </w:rPr>
        <w:t>Wojciszke</w:t>
      </w:r>
      <w:proofErr w:type="spellEnd"/>
      <w:r w:rsidRPr="00A203A6">
        <w:rPr>
          <w:rFonts w:eastAsia="Times New Roman" w:cs="Times New Roman"/>
          <w:color w:val="000000" w:themeColor="text1"/>
          <w:sz w:val="18"/>
          <w:szCs w:val="18"/>
          <w:shd w:val="clear" w:color="auto" w:fill="FFFFFF"/>
        </w:rPr>
        <w:t>, “Belief in a Zero-Sum Game as a Social Axiom: A 37-Nation Study,” </w:t>
      </w:r>
      <w:r w:rsidRPr="00A203A6">
        <w:rPr>
          <w:rFonts w:eastAsia="Times New Roman" w:cs="Times New Roman"/>
          <w:i/>
          <w:iCs/>
          <w:color w:val="000000" w:themeColor="text1"/>
          <w:sz w:val="18"/>
          <w:szCs w:val="18"/>
        </w:rPr>
        <w:t>Journal of Cross-Cultural Psychology</w:t>
      </w:r>
      <w:r w:rsidRPr="00A203A6">
        <w:rPr>
          <w:rFonts w:eastAsia="Times New Roman" w:cs="Times New Roman"/>
          <w:color w:val="000000" w:themeColor="text1"/>
          <w:sz w:val="18"/>
          <w:szCs w:val="18"/>
          <w:shd w:val="clear" w:color="auto" w:fill="FFFFFF"/>
        </w:rPr>
        <w:t> </w:t>
      </w:r>
      <w:r w:rsidRPr="00A203A6">
        <w:rPr>
          <w:rFonts w:eastAsia="Times New Roman" w:cs="Times New Roman"/>
          <w:color w:val="000000" w:themeColor="text1"/>
          <w:sz w:val="18"/>
          <w:szCs w:val="18"/>
        </w:rPr>
        <w:t>46</w:t>
      </w:r>
      <w:r w:rsidRPr="00A203A6">
        <w:rPr>
          <w:rFonts w:eastAsia="Times New Roman" w:cs="Times New Roman"/>
          <w:color w:val="000000" w:themeColor="text1"/>
          <w:sz w:val="18"/>
          <w:szCs w:val="18"/>
          <w:shd w:val="clear" w:color="auto" w:fill="FFFFFF"/>
        </w:rPr>
        <w:t>, no. 4 (2015): 525–548.</w:t>
      </w:r>
    </w:p>
  </w:footnote>
  <w:footnote w:id="154">
    <w:p w14:paraId="48B1E247"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Daniel F. </w:t>
      </w:r>
      <w:proofErr w:type="spellStart"/>
      <w:r w:rsidRPr="00A203A6">
        <w:rPr>
          <w:rFonts w:cs="Times New Roman"/>
          <w:color w:val="000000" w:themeColor="text1"/>
          <w:sz w:val="18"/>
          <w:szCs w:val="18"/>
        </w:rPr>
        <w:t>Wajner</w:t>
      </w:r>
      <w:proofErr w:type="spellEnd"/>
      <w:r w:rsidRPr="00A203A6">
        <w:rPr>
          <w:rFonts w:cs="Times New Roman"/>
          <w:color w:val="000000" w:themeColor="text1"/>
          <w:sz w:val="18"/>
          <w:szCs w:val="18"/>
        </w:rPr>
        <w:t xml:space="preserve">, ““Battling” for Legitimacy: Analyzing Performative Contests in the Gaza Flotilla Paradigmatic Case,” </w:t>
      </w:r>
      <w:r w:rsidRPr="00A203A6">
        <w:rPr>
          <w:rFonts w:cs="Times New Roman"/>
          <w:i/>
          <w:iCs/>
          <w:color w:val="000000" w:themeColor="text1"/>
          <w:sz w:val="18"/>
          <w:szCs w:val="18"/>
        </w:rPr>
        <w:t>International Studies Quarterly</w:t>
      </w:r>
      <w:r w:rsidRPr="00A203A6">
        <w:rPr>
          <w:rFonts w:cs="Times New Roman"/>
          <w:color w:val="000000" w:themeColor="text1"/>
          <w:sz w:val="18"/>
          <w:szCs w:val="18"/>
        </w:rPr>
        <w:t xml:space="preserve"> 63 (July 2019): 1036.</w:t>
      </w:r>
    </w:p>
  </w:footnote>
  <w:footnote w:id="155">
    <w:p w14:paraId="6B428C2A"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Craig Matheson, “Weber and the Classification of Forms of Legitimacy,” </w:t>
      </w:r>
      <w:r w:rsidRPr="00A203A6">
        <w:rPr>
          <w:rFonts w:cs="Times New Roman"/>
          <w:i/>
          <w:iCs/>
          <w:color w:val="000000" w:themeColor="text1"/>
          <w:sz w:val="18"/>
          <w:szCs w:val="18"/>
        </w:rPr>
        <w:t>The British Journal of Sociology</w:t>
      </w:r>
      <w:r w:rsidRPr="00A203A6">
        <w:rPr>
          <w:rFonts w:cs="Times New Roman"/>
          <w:color w:val="000000" w:themeColor="text1"/>
          <w:sz w:val="18"/>
          <w:szCs w:val="18"/>
        </w:rPr>
        <w:t xml:space="preserve"> 38, no. 2 (1987): 199.</w:t>
      </w:r>
    </w:p>
  </w:footnote>
  <w:footnote w:id="156">
    <w:p w14:paraId="7308274F"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Shane P. Mulligan, “The Uses of Legitimacy in International Relations,” </w:t>
      </w:r>
      <w:r w:rsidRPr="00A203A6">
        <w:rPr>
          <w:rFonts w:cs="Times New Roman"/>
          <w:i/>
          <w:iCs/>
          <w:color w:val="000000" w:themeColor="text1"/>
          <w:sz w:val="18"/>
          <w:szCs w:val="18"/>
        </w:rPr>
        <w:t xml:space="preserve">Millennium: Journal of International Studies </w:t>
      </w:r>
      <w:r w:rsidRPr="00A203A6">
        <w:rPr>
          <w:rFonts w:cs="Times New Roman"/>
          <w:color w:val="000000" w:themeColor="text1"/>
          <w:sz w:val="18"/>
          <w:szCs w:val="18"/>
        </w:rPr>
        <w:t xml:space="preserve">34, no. 2 (2006): 349-375 for an overview of the argument that the definition of legitimacy remains contested and nebulous. (See also Alex Jeffrey, Fiona McConnell and Alice Wilson, “Understanding Legitimacy: Perspectives from Anomalous Geopolitical Spaces,” </w:t>
      </w:r>
      <w:proofErr w:type="spellStart"/>
      <w:r w:rsidRPr="00A203A6">
        <w:rPr>
          <w:rFonts w:cs="Times New Roman"/>
          <w:i/>
          <w:iCs/>
          <w:color w:val="000000" w:themeColor="text1"/>
          <w:sz w:val="18"/>
          <w:szCs w:val="18"/>
        </w:rPr>
        <w:t>Geoforum</w:t>
      </w:r>
      <w:proofErr w:type="spellEnd"/>
      <w:r w:rsidRPr="00A203A6">
        <w:rPr>
          <w:rFonts w:cs="Times New Roman"/>
          <w:i/>
          <w:iCs/>
          <w:color w:val="000000" w:themeColor="text1"/>
          <w:sz w:val="18"/>
          <w:szCs w:val="18"/>
        </w:rPr>
        <w:t xml:space="preserve"> </w:t>
      </w:r>
      <w:r w:rsidRPr="00A203A6">
        <w:rPr>
          <w:rFonts w:cs="Times New Roman"/>
          <w:color w:val="000000" w:themeColor="text1"/>
          <w:sz w:val="18"/>
          <w:szCs w:val="18"/>
        </w:rPr>
        <w:t>66(2015): 177-183.)</w:t>
      </w:r>
    </w:p>
  </w:footnote>
  <w:footnote w:id="157">
    <w:p w14:paraId="1AD8EBE0"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This chapter does not explicitly engage with many of the conceptions of legitimacy established in the political theory literature. This is not an oversight on my part. Claims that political theory exposes unstated assumptions that undergird our thinking about politics notwithstanding, political theory is only relevant to this dissertation insofar as it i</w:t>
      </w:r>
      <w:r w:rsidRPr="00A203A6">
        <w:rPr>
          <w:rFonts w:cs="Times New Roman"/>
          <w:i/>
          <w:iCs/>
          <w:color w:val="000000" w:themeColor="text1"/>
          <w:sz w:val="18"/>
          <w:szCs w:val="18"/>
        </w:rPr>
        <w:t>mplicitly</w:t>
      </w:r>
      <w:r w:rsidRPr="00A203A6">
        <w:rPr>
          <w:rFonts w:cs="Times New Roman"/>
          <w:color w:val="000000" w:themeColor="text1"/>
          <w:sz w:val="18"/>
          <w:szCs w:val="18"/>
        </w:rPr>
        <w:t xml:space="preserve"> informs real-world policy decision-making. Put bluntly, this chapter is </w:t>
      </w:r>
      <w:r w:rsidRPr="00A203A6">
        <w:rPr>
          <w:rFonts w:cs="Times New Roman"/>
          <w:i/>
          <w:iCs/>
          <w:color w:val="000000" w:themeColor="text1"/>
          <w:sz w:val="18"/>
          <w:szCs w:val="18"/>
        </w:rPr>
        <w:t>not</w:t>
      </w:r>
      <w:r w:rsidRPr="00A203A6">
        <w:rPr>
          <w:rFonts w:cs="Times New Roman"/>
          <w:color w:val="000000" w:themeColor="text1"/>
          <w:sz w:val="18"/>
          <w:szCs w:val="18"/>
        </w:rPr>
        <w:t xml:space="preserve"> a political theory literature review. For an in-depth overview of the political theory scholarship on legitimacy, see Amanda R. Greene, </w:t>
      </w:r>
      <w:r w:rsidRPr="00A203A6">
        <w:rPr>
          <w:rFonts w:cs="Times New Roman"/>
          <w:i/>
          <w:iCs/>
          <w:color w:val="000000" w:themeColor="text1"/>
          <w:sz w:val="18"/>
          <w:szCs w:val="18"/>
        </w:rPr>
        <w:t>Legitimacy and Democracy: A Platonic Defense of Voluntary Rule.</w:t>
      </w:r>
      <w:r w:rsidRPr="00A203A6">
        <w:rPr>
          <w:rFonts w:cs="Times New Roman"/>
          <w:color w:val="000000" w:themeColor="text1"/>
          <w:sz w:val="18"/>
          <w:szCs w:val="18"/>
        </w:rPr>
        <w:t xml:space="preserve"> Ph.D. diss., Stanford University (2014). See also Nathan P. Adams, “Institutional Legitimacy,” </w:t>
      </w:r>
      <w:r w:rsidRPr="00A203A6">
        <w:rPr>
          <w:rFonts w:cs="Times New Roman"/>
          <w:i/>
          <w:iCs/>
          <w:color w:val="000000" w:themeColor="text1"/>
          <w:sz w:val="18"/>
          <w:szCs w:val="18"/>
        </w:rPr>
        <w:t xml:space="preserve">Journal of Political Philosophy </w:t>
      </w:r>
      <w:r w:rsidRPr="00A203A6">
        <w:rPr>
          <w:rFonts w:cs="Times New Roman"/>
          <w:color w:val="000000" w:themeColor="text1"/>
          <w:sz w:val="18"/>
          <w:szCs w:val="18"/>
        </w:rPr>
        <w:t>26, no. 1 (2018): 84-102.</w:t>
      </w:r>
    </w:p>
  </w:footnote>
  <w:footnote w:id="158">
    <w:p w14:paraId="0EDDB2B1"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Craig Matheson, “Weber and the Classification of Forms of Legitimacy,” </w:t>
      </w:r>
      <w:r w:rsidRPr="00A203A6">
        <w:rPr>
          <w:rFonts w:cs="Times New Roman"/>
          <w:i/>
          <w:iCs/>
          <w:color w:val="000000" w:themeColor="text1"/>
          <w:sz w:val="18"/>
          <w:szCs w:val="18"/>
        </w:rPr>
        <w:t>The British Journal of Sociology</w:t>
      </w:r>
      <w:r w:rsidRPr="00A203A6">
        <w:rPr>
          <w:rFonts w:cs="Times New Roman"/>
          <w:color w:val="000000" w:themeColor="text1"/>
          <w:sz w:val="18"/>
          <w:szCs w:val="18"/>
        </w:rPr>
        <w:t xml:space="preserve"> 38, no. 2 (1987): 199.  See Shane P. Mulligan, “The Uses of Legitimacy in International Relations,” </w:t>
      </w:r>
      <w:r w:rsidRPr="00A203A6">
        <w:rPr>
          <w:rFonts w:cs="Times New Roman"/>
          <w:i/>
          <w:iCs/>
          <w:color w:val="000000" w:themeColor="text1"/>
          <w:sz w:val="18"/>
          <w:szCs w:val="18"/>
        </w:rPr>
        <w:t xml:space="preserve">Millennium: Journal of International Studies </w:t>
      </w:r>
      <w:r w:rsidRPr="00A203A6">
        <w:rPr>
          <w:rFonts w:cs="Times New Roman"/>
          <w:color w:val="000000" w:themeColor="text1"/>
          <w:sz w:val="18"/>
          <w:szCs w:val="18"/>
        </w:rPr>
        <w:t xml:space="preserve">34, no. 2 (2006): 349-375 for an overview of the argument that the definition of legitimacy remains contested and nebulous. (See also Alex Jeffrey, Fiona McConnell and Alice Wilson, “Understanding Legitimacy: Perspectives from Anomalous Geopolitical Spaces,” </w:t>
      </w:r>
      <w:proofErr w:type="spellStart"/>
      <w:r w:rsidRPr="00A203A6">
        <w:rPr>
          <w:rFonts w:cs="Times New Roman"/>
          <w:i/>
          <w:iCs/>
          <w:color w:val="000000" w:themeColor="text1"/>
          <w:sz w:val="18"/>
          <w:szCs w:val="18"/>
        </w:rPr>
        <w:t>Geoforum</w:t>
      </w:r>
      <w:proofErr w:type="spellEnd"/>
      <w:r w:rsidRPr="00A203A6">
        <w:rPr>
          <w:rFonts w:cs="Times New Roman"/>
          <w:i/>
          <w:iCs/>
          <w:color w:val="000000" w:themeColor="text1"/>
          <w:sz w:val="18"/>
          <w:szCs w:val="18"/>
        </w:rPr>
        <w:t xml:space="preserve"> </w:t>
      </w:r>
      <w:r w:rsidRPr="00A203A6">
        <w:rPr>
          <w:rFonts w:cs="Times New Roman"/>
          <w:color w:val="000000" w:themeColor="text1"/>
          <w:sz w:val="18"/>
          <w:szCs w:val="18"/>
        </w:rPr>
        <w:t>66(2015): 177-183.)</w:t>
      </w:r>
    </w:p>
  </w:footnote>
  <w:footnote w:id="159">
    <w:p w14:paraId="6A1CDA42"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Matheson, “Weber and the Classification of Forms of Legitimacy,” 209-210.</w:t>
      </w:r>
    </w:p>
    <w:p w14:paraId="6FEE0B63" w14:textId="77777777" w:rsidR="006C485E" w:rsidRPr="00A203A6" w:rsidRDefault="006C485E"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In </w:t>
      </w:r>
      <w:r w:rsidRPr="00A203A6">
        <w:rPr>
          <w:rFonts w:cs="Times New Roman"/>
          <w:i/>
          <w:iCs/>
          <w:color w:val="000000" w:themeColor="text1"/>
          <w:sz w:val="18"/>
          <w:szCs w:val="18"/>
        </w:rPr>
        <w:t>The Methodology of the Social Sciences</w:t>
      </w:r>
      <w:r w:rsidRPr="00A203A6">
        <w:rPr>
          <w:rFonts w:cs="Times New Roman"/>
          <w:color w:val="000000" w:themeColor="text1"/>
          <w:sz w:val="18"/>
          <w:szCs w:val="18"/>
        </w:rPr>
        <w:t xml:space="preserve"> (1949), Max Weber argues that “belief” in the validity of the law is an essential characteristic of legal legitimacy. See Donald H. Hermann, “Max Weber and the Concept of Legitimacy in Contemporary Jurisprudence,” </w:t>
      </w:r>
      <w:r w:rsidRPr="00A203A6">
        <w:rPr>
          <w:rFonts w:cs="Times New Roman"/>
          <w:i/>
          <w:iCs/>
          <w:color w:val="000000" w:themeColor="text1"/>
          <w:sz w:val="18"/>
          <w:szCs w:val="18"/>
        </w:rPr>
        <w:t xml:space="preserve">DePaul Law </w:t>
      </w:r>
      <w:r w:rsidRPr="00A203A6">
        <w:rPr>
          <w:rFonts w:cs="Times New Roman"/>
          <w:color w:val="000000" w:themeColor="text1"/>
          <w:sz w:val="18"/>
          <w:szCs w:val="18"/>
        </w:rPr>
        <w:t>Review 33, no. 1 (1983): 27. (The relevant information is found in Footnote 101.)</w:t>
      </w:r>
    </w:p>
    <w:p w14:paraId="1A37C702" w14:textId="77777777" w:rsidR="006C485E" w:rsidRPr="00A203A6" w:rsidRDefault="006C485E" w:rsidP="00787EBB">
      <w:pPr>
        <w:spacing w:before="0" w:after="80"/>
        <w:rPr>
          <w:rFonts w:eastAsia="Times New Roman" w:cs="Times New Roman"/>
          <w:color w:val="000000" w:themeColor="text1"/>
          <w:sz w:val="18"/>
          <w:szCs w:val="18"/>
        </w:rPr>
      </w:pPr>
      <w:r w:rsidRPr="00A203A6">
        <w:rPr>
          <w:rFonts w:cs="Times New Roman"/>
          <w:color w:val="000000" w:themeColor="text1"/>
          <w:sz w:val="18"/>
          <w:szCs w:val="18"/>
        </w:rPr>
        <w:t xml:space="preserve">This idea of a pervasive belief in the rightness of the rules being imposed in the context of the command-obedience model is paralleled in international law. Moreover, Weber’s assertion that it is possible to “infer that a </w:t>
      </w:r>
      <w:r w:rsidRPr="00A203A6">
        <w:rPr>
          <w:rFonts w:cs="Times New Roman"/>
          <w:i/>
          <w:iCs/>
          <w:color w:val="000000" w:themeColor="text1"/>
          <w:sz w:val="18"/>
          <w:szCs w:val="18"/>
        </w:rPr>
        <w:t>value</w:t>
      </w:r>
      <w:r w:rsidRPr="00A203A6">
        <w:rPr>
          <w:rFonts w:cs="Times New Roman"/>
          <w:color w:val="000000" w:themeColor="text1"/>
          <w:sz w:val="18"/>
          <w:szCs w:val="18"/>
        </w:rPr>
        <w:t xml:space="preserve"> judgement… concerning… validity… had been made by observing the empirical </w:t>
      </w:r>
      <w:r w:rsidRPr="00A203A6">
        <w:rPr>
          <w:rFonts w:cs="Times New Roman"/>
          <w:i/>
          <w:iCs/>
          <w:color w:val="000000" w:themeColor="text1"/>
          <w:sz w:val="18"/>
          <w:szCs w:val="18"/>
        </w:rPr>
        <w:t>fact</w:t>
      </w:r>
      <w:r w:rsidRPr="00A203A6">
        <w:rPr>
          <w:rFonts w:cs="Times New Roman"/>
          <w:color w:val="000000" w:themeColor="text1"/>
          <w:sz w:val="18"/>
          <w:szCs w:val="18"/>
        </w:rPr>
        <w:t xml:space="preserve"> of general compliance” is specifically demonstrated in international legal doctrine (Hermann, “Max Weber and the Concept of Legitimacy in Contemporary Jurisprudence,” 9). For example, Article 7 of the 1933 Montevideo Convention on the Rights and Duties of States establishes that “the recognition of a state may be express or tacit… [tacit recognition] results from any act which implies the intention of recognizing the new state.” (</w:t>
      </w:r>
      <w:r w:rsidRPr="00A203A6">
        <w:rPr>
          <w:rFonts w:cs="Times New Roman"/>
          <w:i/>
          <w:iCs/>
          <w:color w:val="000000" w:themeColor="text1"/>
          <w:sz w:val="18"/>
          <w:szCs w:val="18"/>
        </w:rPr>
        <w:t>Montevideo Convention on the Rights and Duties of States.</w:t>
      </w:r>
      <w:r w:rsidRPr="00A203A6">
        <w:rPr>
          <w:rFonts w:cs="Times New Roman"/>
          <w:color w:val="000000" w:themeColor="text1"/>
          <w:sz w:val="18"/>
          <w:szCs w:val="18"/>
        </w:rPr>
        <w:t xml:space="preserve"> 1933. [online] </w:t>
      </w:r>
      <w:r w:rsidRPr="00A203A6">
        <w:rPr>
          <w:rFonts w:eastAsia="Times New Roman" w:cs="Times New Roman"/>
          <w:color w:val="000000" w:themeColor="text1"/>
          <w:sz w:val="18"/>
          <w:szCs w:val="18"/>
          <w:shd w:val="clear" w:color="auto" w:fill="FFFFFF"/>
        </w:rPr>
        <w:t>Montevideo: International Law Students Association. Available at: &lt;https://www.ilsa.org/jessup/jessup15/Montevideo%20Convention.pdf&gt; [accessed April 25, 2022])</w:t>
      </w:r>
      <w:r w:rsidRPr="00A203A6">
        <w:rPr>
          <w:rFonts w:cs="Times New Roman"/>
          <w:color w:val="000000" w:themeColor="text1"/>
          <w:sz w:val="18"/>
          <w:szCs w:val="18"/>
        </w:rPr>
        <w:t xml:space="preserve"> </w:t>
      </w:r>
    </w:p>
  </w:footnote>
  <w:footnote w:id="160">
    <w:p w14:paraId="68DA5CE2"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Mark C. </w:t>
      </w:r>
      <w:proofErr w:type="spellStart"/>
      <w:r w:rsidRPr="00A203A6">
        <w:rPr>
          <w:rFonts w:cs="Times New Roman"/>
          <w:color w:val="000000" w:themeColor="text1"/>
          <w:sz w:val="18"/>
          <w:szCs w:val="18"/>
        </w:rPr>
        <w:t>Suchman</w:t>
      </w:r>
      <w:proofErr w:type="spellEnd"/>
      <w:r w:rsidRPr="00A203A6">
        <w:rPr>
          <w:rFonts w:cs="Times New Roman"/>
          <w:color w:val="000000" w:themeColor="text1"/>
          <w:sz w:val="18"/>
          <w:szCs w:val="18"/>
        </w:rPr>
        <w:t xml:space="preserve">. “Managing Legitimacy: Strategic and Institutional Approaches.” </w:t>
      </w:r>
      <w:r w:rsidRPr="00A203A6">
        <w:rPr>
          <w:rFonts w:cs="Times New Roman"/>
          <w:i/>
          <w:iCs/>
          <w:color w:val="000000" w:themeColor="text1"/>
          <w:sz w:val="18"/>
          <w:szCs w:val="18"/>
        </w:rPr>
        <w:t>Academy of Management Review</w:t>
      </w:r>
      <w:r w:rsidRPr="00A203A6">
        <w:rPr>
          <w:rFonts w:cs="Times New Roman"/>
          <w:color w:val="000000" w:themeColor="text1"/>
          <w:sz w:val="18"/>
          <w:szCs w:val="18"/>
        </w:rPr>
        <w:t xml:space="preserve"> 20, no. 3 (1995): 571-610.</w:t>
      </w:r>
    </w:p>
  </w:footnote>
  <w:footnote w:id="161">
    <w:p w14:paraId="1C2A3D0B"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Ian Clark. “International Legitimacy.” In Ian Clark. </w:t>
      </w:r>
      <w:r w:rsidRPr="00A203A6">
        <w:rPr>
          <w:rFonts w:cs="Times New Roman"/>
          <w:i/>
          <w:iCs/>
          <w:color w:val="000000" w:themeColor="text1"/>
          <w:sz w:val="18"/>
          <w:szCs w:val="18"/>
        </w:rPr>
        <w:t xml:space="preserve">Legitimacy in International Society </w:t>
      </w:r>
      <w:r w:rsidRPr="00A203A6">
        <w:rPr>
          <w:rFonts w:cs="Times New Roman"/>
          <w:color w:val="000000" w:themeColor="text1"/>
          <w:sz w:val="18"/>
          <w:szCs w:val="18"/>
        </w:rPr>
        <w:t>(Oxford: Oxford University Press, 2007): 12.</w:t>
      </w:r>
    </w:p>
    <w:p w14:paraId="1B749AE7"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color w:val="000000" w:themeColor="text1"/>
          <w:sz w:val="18"/>
          <w:szCs w:val="18"/>
        </w:rPr>
        <w:t xml:space="preserve">The scholarly consensus as to the role played by any or all of these three elements’ in defining legitimacy is consolidated in David Beetham’s proposal for a tripartite understanding of legitimacy. To that end, Beetham constitutes legitimacy an attempted justification of an actor or an entity’s power that endeavors to demonstrate the consent of the actor or entity’s (relevant) subordinates, as well as performatively demonstrate the legality of the actions taken by the actor and what they purport to represent. (David Beetham. </w:t>
      </w:r>
      <w:r w:rsidRPr="00A203A6">
        <w:rPr>
          <w:i/>
          <w:iCs/>
          <w:color w:val="000000" w:themeColor="text1"/>
          <w:sz w:val="18"/>
          <w:szCs w:val="18"/>
        </w:rPr>
        <w:t>The Legitimation of Power.</w:t>
      </w:r>
      <w:r w:rsidRPr="00A203A6">
        <w:rPr>
          <w:color w:val="000000" w:themeColor="text1"/>
          <w:sz w:val="18"/>
          <w:szCs w:val="18"/>
        </w:rPr>
        <w:t xml:space="preserve"> (</w:t>
      </w:r>
      <w:proofErr w:type="spellStart"/>
      <w:r w:rsidRPr="00A203A6">
        <w:rPr>
          <w:color w:val="000000" w:themeColor="text1"/>
          <w:sz w:val="18"/>
          <w:szCs w:val="18"/>
        </w:rPr>
        <w:t>Houndsmill</w:t>
      </w:r>
      <w:proofErr w:type="spellEnd"/>
      <w:r w:rsidRPr="00A203A6">
        <w:rPr>
          <w:color w:val="000000" w:themeColor="text1"/>
          <w:sz w:val="18"/>
          <w:szCs w:val="18"/>
        </w:rPr>
        <w:t>, Basingstoke, Hampshire: Macmillan Education, 1991))</w:t>
      </w:r>
    </w:p>
  </w:footnote>
  <w:footnote w:id="162">
    <w:p w14:paraId="63674378" w14:textId="77777777" w:rsidR="006C485E" w:rsidRPr="00A203A6" w:rsidRDefault="006C485E" w:rsidP="00787EBB">
      <w:pPr>
        <w:pStyle w:val="FootnoteText"/>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Beetham, </w:t>
      </w:r>
      <w:r w:rsidRPr="00A203A6">
        <w:rPr>
          <w:rFonts w:cs="Times New Roman"/>
          <w:i/>
          <w:iCs/>
          <w:color w:val="000000" w:themeColor="text1"/>
          <w:sz w:val="18"/>
          <w:szCs w:val="18"/>
        </w:rPr>
        <w:t>The Legitimation of Power</w:t>
      </w:r>
      <w:r w:rsidRPr="00A203A6">
        <w:rPr>
          <w:rFonts w:cs="Times New Roman"/>
          <w:color w:val="000000" w:themeColor="text1"/>
          <w:sz w:val="18"/>
          <w:szCs w:val="18"/>
        </w:rPr>
        <w:t>, 15-16.</w:t>
      </w:r>
    </w:p>
  </w:footnote>
  <w:footnote w:id="163">
    <w:p w14:paraId="0B942B3D"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David Beetham. </w:t>
      </w:r>
      <w:r w:rsidRPr="00A203A6">
        <w:rPr>
          <w:i/>
          <w:iCs/>
          <w:color w:val="000000" w:themeColor="text1"/>
          <w:sz w:val="18"/>
          <w:szCs w:val="18"/>
        </w:rPr>
        <w:t>The Legitimation of Power.</w:t>
      </w:r>
      <w:r w:rsidRPr="00A203A6">
        <w:rPr>
          <w:color w:val="000000" w:themeColor="text1"/>
          <w:sz w:val="18"/>
          <w:szCs w:val="18"/>
        </w:rPr>
        <w:t xml:space="preserve"> (</w:t>
      </w:r>
      <w:proofErr w:type="spellStart"/>
      <w:r w:rsidRPr="00A203A6">
        <w:rPr>
          <w:color w:val="000000" w:themeColor="text1"/>
          <w:sz w:val="18"/>
          <w:szCs w:val="18"/>
        </w:rPr>
        <w:t>Houndsmill</w:t>
      </w:r>
      <w:proofErr w:type="spellEnd"/>
      <w:r w:rsidRPr="00A203A6">
        <w:rPr>
          <w:color w:val="000000" w:themeColor="text1"/>
          <w:sz w:val="18"/>
          <w:szCs w:val="18"/>
        </w:rPr>
        <w:t xml:space="preserve">, Basingstoke, Hampshire: Macmillan </w:t>
      </w:r>
    </w:p>
    <w:p w14:paraId="4E4B7211"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color w:val="000000" w:themeColor="text1"/>
          <w:sz w:val="18"/>
          <w:szCs w:val="18"/>
        </w:rPr>
        <w:t>Education, 1991): 3.</w:t>
      </w:r>
    </w:p>
  </w:footnote>
  <w:footnote w:id="164">
    <w:p w14:paraId="3F63C4C7" w14:textId="77777777" w:rsidR="006C485E" w:rsidRPr="00A203A6" w:rsidRDefault="006C485E" w:rsidP="00787EBB">
      <w:pPr>
        <w:pStyle w:val="NormalWeb"/>
        <w:spacing w:before="0" w:beforeAutospacing="0" w:after="80" w:afterAutospacing="0"/>
        <w:rPr>
          <w:i/>
          <w:iCs/>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Aoife McCullough. “The Legitimacy of States and Armed Non-State Actors.” </w:t>
      </w:r>
      <w:r w:rsidRPr="00A203A6">
        <w:rPr>
          <w:i/>
          <w:iCs/>
          <w:color w:val="000000" w:themeColor="text1"/>
          <w:sz w:val="18"/>
          <w:szCs w:val="18"/>
        </w:rPr>
        <w:t xml:space="preserve">University of Birmingham, </w:t>
      </w:r>
      <w:r w:rsidRPr="00A203A6">
        <w:rPr>
          <w:color w:val="000000" w:themeColor="text1"/>
          <w:sz w:val="18"/>
          <w:szCs w:val="18"/>
        </w:rPr>
        <w:t>2015: 4.</w:t>
      </w:r>
      <w:r w:rsidRPr="00A203A6">
        <w:rPr>
          <w:i/>
          <w:iCs/>
          <w:color w:val="000000" w:themeColor="text1"/>
          <w:sz w:val="18"/>
          <w:szCs w:val="18"/>
        </w:rPr>
        <w:t xml:space="preserve"> </w:t>
      </w:r>
    </w:p>
    <w:p w14:paraId="7180CE85"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color w:val="000000" w:themeColor="text1"/>
          <w:sz w:val="18"/>
          <w:szCs w:val="18"/>
        </w:rPr>
        <w:t xml:space="preserve">(Retrieved 28 June 2017 from </w:t>
      </w:r>
      <w:r w:rsidRPr="00A203A6">
        <w:rPr>
          <w:color w:val="000000" w:themeColor="text1"/>
          <w:sz w:val="18"/>
          <w:szCs w:val="18"/>
          <w:u w:val="single"/>
        </w:rPr>
        <w:t>http://www.gsdrc.org/wp- content/uploads/2015/08/Legitimacy.pdf</w:t>
      </w:r>
      <w:r w:rsidRPr="00A203A6">
        <w:rPr>
          <w:color w:val="000000" w:themeColor="text1"/>
          <w:sz w:val="18"/>
          <w:szCs w:val="18"/>
        </w:rPr>
        <w:t>)</w:t>
      </w:r>
    </w:p>
  </w:footnote>
  <w:footnote w:id="165">
    <w:p w14:paraId="757FC869"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Other scholarship also substantiates Beetham’s argument for justification as key to defining legitimacy. In implicitly tying consent to ideology, Margaret Levi also argues that legitimacy is dependent on consent, which she understands to be a form of “quasi-voluntary compliance.” Levi also supports the idea of justification as a necessary definitional element, tying it to conceptions of legitimacy through its classification of normative (state) behaviour as “non-rational.” She conceives of justification as “conformity to ideas, norms and values, based on a “common framework of belief between the dominant and the subordinate in a power relationship.” (Margaret Levi. </w:t>
      </w:r>
      <w:r w:rsidRPr="00A203A6">
        <w:rPr>
          <w:i/>
          <w:iCs/>
          <w:color w:val="000000" w:themeColor="text1"/>
          <w:sz w:val="18"/>
          <w:szCs w:val="18"/>
        </w:rPr>
        <w:t>Of Rule and Revenue.</w:t>
      </w:r>
      <w:r w:rsidRPr="00A203A6">
        <w:rPr>
          <w:color w:val="000000" w:themeColor="text1"/>
          <w:sz w:val="18"/>
          <w:szCs w:val="18"/>
        </w:rPr>
        <w:t xml:space="preserve"> (Berkeley: University of California Press, 1988)). Mark </w:t>
      </w:r>
      <w:proofErr w:type="spellStart"/>
      <w:r w:rsidRPr="00A203A6">
        <w:rPr>
          <w:color w:val="000000" w:themeColor="text1"/>
          <w:sz w:val="18"/>
          <w:szCs w:val="18"/>
        </w:rPr>
        <w:t>Suchman</w:t>
      </w:r>
      <w:proofErr w:type="spellEnd"/>
      <w:r w:rsidRPr="00A203A6">
        <w:rPr>
          <w:color w:val="000000" w:themeColor="text1"/>
          <w:sz w:val="18"/>
          <w:szCs w:val="18"/>
        </w:rPr>
        <w:t xml:space="preserve"> implicitly invokes Levi’s conception of justification in defining legitimacy. He conceives of legitimacy as the “generalized perception of assumption that the actions of an entity are desirable, proper, or appropriate within some socially constructed system of norms, values, beliefs, and definitions. (Mark C. </w:t>
      </w:r>
      <w:proofErr w:type="spellStart"/>
      <w:r w:rsidRPr="00A203A6">
        <w:rPr>
          <w:color w:val="000000" w:themeColor="text1"/>
          <w:sz w:val="18"/>
          <w:szCs w:val="18"/>
        </w:rPr>
        <w:t>Suchman</w:t>
      </w:r>
      <w:proofErr w:type="spellEnd"/>
      <w:r w:rsidRPr="00A203A6">
        <w:rPr>
          <w:color w:val="000000" w:themeColor="text1"/>
          <w:sz w:val="18"/>
          <w:szCs w:val="18"/>
        </w:rPr>
        <w:t xml:space="preserve">. “Managing Legitimacy: Strategic and Institutional Approaches.” </w:t>
      </w:r>
      <w:r w:rsidRPr="00A203A6">
        <w:rPr>
          <w:i/>
          <w:iCs/>
          <w:color w:val="000000" w:themeColor="text1"/>
          <w:sz w:val="18"/>
          <w:szCs w:val="18"/>
        </w:rPr>
        <w:t>Academy of Management Review</w:t>
      </w:r>
      <w:r w:rsidRPr="00A203A6">
        <w:rPr>
          <w:color w:val="000000" w:themeColor="text1"/>
          <w:sz w:val="18"/>
          <w:szCs w:val="18"/>
        </w:rPr>
        <w:t xml:space="preserve"> 20, no. 3 (1995): 571-610.)</w:t>
      </w:r>
    </w:p>
  </w:footnote>
  <w:footnote w:id="166">
    <w:p w14:paraId="42386D57"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Rodney S. Barker, </w:t>
      </w:r>
      <w:r w:rsidRPr="00A203A6">
        <w:rPr>
          <w:rFonts w:cs="Times New Roman"/>
          <w:i/>
          <w:iCs/>
          <w:color w:val="000000" w:themeColor="text1"/>
          <w:sz w:val="18"/>
          <w:szCs w:val="18"/>
        </w:rPr>
        <w:t>Legitimating Identities: The Self-Presentation of Rulers and Subjects.</w:t>
      </w:r>
      <w:r w:rsidRPr="00A203A6">
        <w:rPr>
          <w:rFonts w:cs="Times New Roman"/>
          <w:color w:val="000000" w:themeColor="text1"/>
          <w:sz w:val="18"/>
          <w:szCs w:val="18"/>
        </w:rPr>
        <w:t xml:space="preserve"> (Cambridge, New York: Cambridge University Press, 2001): 9.</w:t>
      </w:r>
    </w:p>
  </w:footnote>
  <w:footnote w:id="167">
    <w:p w14:paraId="09C76C90"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Uriel </w:t>
      </w:r>
      <w:proofErr w:type="spellStart"/>
      <w:r w:rsidRPr="00A203A6">
        <w:rPr>
          <w:rFonts w:cs="Times New Roman"/>
          <w:color w:val="000000" w:themeColor="text1"/>
          <w:sz w:val="18"/>
          <w:szCs w:val="18"/>
        </w:rPr>
        <w:t>Abulof</w:t>
      </w:r>
      <w:proofErr w:type="spellEnd"/>
      <w:r w:rsidRPr="00A203A6">
        <w:rPr>
          <w:rFonts w:cs="Times New Roman"/>
          <w:color w:val="000000" w:themeColor="text1"/>
          <w:sz w:val="18"/>
          <w:szCs w:val="18"/>
        </w:rPr>
        <w:t xml:space="preserve">, “‘Can’t Buy Me Legitimacy’: The Elusive Stability of Mideast Rentier Regimes,” </w:t>
      </w:r>
      <w:r w:rsidRPr="00A203A6">
        <w:rPr>
          <w:rFonts w:cs="Times New Roman"/>
          <w:i/>
          <w:iCs/>
          <w:color w:val="000000" w:themeColor="text1"/>
          <w:sz w:val="18"/>
          <w:szCs w:val="18"/>
        </w:rPr>
        <w:t xml:space="preserve">Journal of International Relations and Development </w:t>
      </w:r>
      <w:r w:rsidRPr="00A203A6">
        <w:rPr>
          <w:rFonts w:cs="Times New Roman"/>
          <w:color w:val="000000" w:themeColor="text1"/>
          <w:sz w:val="18"/>
          <w:szCs w:val="18"/>
        </w:rPr>
        <w:t>20 (2017): 67.</w:t>
      </w:r>
    </w:p>
  </w:footnote>
  <w:footnote w:id="168">
    <w:p w14:paraId="429C8E81"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Ian Hurd, </w:t>
      </w:r>
      <w:r w:rsidRPr="00A203A6">
        <w:rPr>
          <w:rFonts w:cs="Times New Roman"/>
          <w:i/>
          <w:iCs/>
          <w:color w:val="000000" w:themeColor="text1"/>
          <w:sz w:val="18"/>
          <w:szCs w:val="18"/>
        </w:rPr>
        <w:t>After Anarchy: Legitimacy and Power in the United Nations Security Council.</w:t>
      </w:r>
      <w:r w:rsidRPr="00A203A6">
        <w:rPr>
          <w:rFonts w:cs="Times New Roman"/>
          <w:color w:val="000000" w:themeColor="text1"/>
          <w:sz w:val="18"/>
          <w:szCs w:val="18"/>
        </w:rPr>
        <w:t xml:space="preserve"> (Princeton: Princeton University Press, 2007): 7; Christian Reus-Smit, “International Crises of Legitimacy,” </w:t>
      </w:r>
      <w:r w:rsidRPr="00A203A6">
        <w:rPr>
          <w:rFonts w:cs="Times New Roman"/>
          <w:i/>
          <w:iCs/>
          <w:color w:val="000000" w:themeColor="text1"/>
          <w:sz w:val="18"/>
          <w:szCs w:val="18"/>
        </w:rPr>
        <w:t xml:space="preserve">International Politics </w:t>
      </w:r>
      <w:r w:rsidRPr="00A203A6">
        <w:rPr>
          <w:rFonts w:cs="Times New Roman"/>
          <w:color w:val="000000" w:themeColor="text1"/>
          <w:sz w:val="18"/>
          <w:szCs w:val="18"/>
        </w:rPr>
        <w:t>44, no. 2 (2007): 157-174.</w:t>
      </w:r>
    </w:p>
  </w:footnote>
  <w:footnote w:id="169">
    <w:p w14:paraId="0B13BB91"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Slaughter, “International Relations: Principal Theories,” 4.</w:t>
      </w:r>
    </w:p>
  </w:footnote>
  <w:footnote w:id="170">
    <w:p w14:paraId="0F0F4ED8"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Stacie E. Goddard and Ronald R. Krebs, “Constructivism and the Logic of Legitimation.” In Patrick James, Mariano E </w:t>
      </w:r>
      <w:proofErr w:type="spellStart"/>
      <w:r w:rsidRPr="00A203A6">
        <w:rPr>
          <w:rFonts w:cs="Times New Roman"/>
          <w:color w:val="000000" w:themeColor="text1"/>
          <w:sz w:val="18"/>
          <w:szCs w:val="18"/>
        </w:rPr>
        <w:t>Bertucci</w:t>
      </w:r>
      <w:proofErr w:type="spellEnd"/>
      <w:r w:rsidRPr="00A203A6">
        <w:rPr>
          <w:rFonts w:cs="Times New Roman"/>
          <w:color w:val="000000" w:themeColor="text1"/>
          <w:sz w:val="18"/>
          <w:szCs w:val="18"/>
        </w:rPr>
        <w:t xml:space="preserve">, and Jarrod Hayes (eds.), </w:t>
      </w:r>
      <w:r w:rsidRPr="00A203A6">
        <w:rPr>
          <w:rFonts w:cs="Times New Roman"/>
          <w:i/>
          <w:iCs/>
          <w:color w:val="000000" w:themeColor="text1"/>
          <w:sz w:val="18"/>
          <w:szCs w:val="18"/>
        </w:rPr>
        <w:t>Constructivism Reconsidered: Past, Present, and Future.</w:t>
      </w:r>
      <w:r w:rsidRPr="00A203A6">
        <w:rPr>
          <w:rFonts w:cs="Times New Roman"/>
          <w:color w:val="000000" w:themeColor="text1"/>
          <w:sz w:val="18"/>
          <w:szCs w:val="18"/>
        </w:rPr>
        <w:t xml:space="preserve"> (Ann Arbor: University of Michigan Press, 2018): 78.</w:t>
      </w:r>
    </w:p>
  </w:footnote>
  <w:footnote w:id="171">
    <w:p w14:paraId="59506B8A"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Hurd, “Legitimacy and Authority in International Politics,” 381; Martha Lizabeth Phelps, “Doppelgangers of the State: Private Security and Transferable Legitimacy,” </w:t>
      </w:r>
      <w:r w:rsidRPr="00A203A6">
        <w:rPr>
          <w:rFonts w:cs="Times New Roman"/>
          <w:i/>
          <w:iCs/>
          <w:color w:val="000000" w:themeColor="text1"/>
          <w:sz w:val="18"/>
          <w:szCs w:val="18"/>
        </w:rPr>
        <w:t>Politics &amp; Policy</w:t>
      </w:r>
      <w:r w:rsidRPr="00A203A6">
        <w:rPr>
          <w:rFonts w:cs="Times New Roman"/>
          <w:color w:val="000000" w:themeColor="text1"/>
          <w:sz w:val="18"/>
          <w:szCs w:val="18"/>
        </w:rPr>
        <w:t xml:space="preserve"> 42, no. 6 (2014): 824-849.</w:t>
      </w:r>
    </w:p>
  </w:footnote>
  <w:footnote w:id="172">
    <w:p w14:paraId="7D3A7A60" w14:textId="1624258E" w:rsidR="006C485E" w:rsidRPr="00A203A6" w:rsidRDefault="006C485E"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Reflectivist IR theories understand “intersubjective meanings” of international institutional activity to be of critical importance to international relations. In contrast, rationalist IR theories account for change and variation by analyzing shifts in the distribution of material capabilities (Joseph S. Nye Jr.’s “hard power”). See Footnote 130 (Chapter 4, “Terrorism, the State, and International Legitimacy” (Page 67</w:t>
      </w:r>
      <w:r w:rsidR="001B1CAC" w:rsidRPr="00A203A6">
        <w:rPr>
          <w:rFonts w:cs="Times New Roman"/>
          <w:color w:val="000000" w:themeColor="text1"/>
          <w:sz w:val="18"/>
          <w:szCs w:val="18"/>
        </w:rPr>
        <w:t>)) (</w:t>
      </w:r>
      <w:r w:rsidRPr="00A203A6">
        <w:rPr>
          <w:rFonts w:cs="Times New Roman"/>
          <w:color w:val="000000" w:themeColor="text1"/>
          <w:sz w:val="18"/>
          <w:szCs w:val="18"/>
        </w:rPr>
        <w:t>Footnote 20 on Page 8 in this single-chapter draft).</w:t>
      </w:r>
    </w:p>
  </w:footnote>
  <w:footnote w:id="173">
    <w:p w14:paraId="4775AEA2" w14:textId="4BF3368D"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Footnote 130 (Chapter 4, “Terrorism, the State, and International Legitimacy” (Page 67</w:t>
      </w:r>
      <w:r w:rsidR="001B1CAC" w:rsidRPr="00A203A6">
        <w:rPr>
          <w:rFonts w:cs="Times New Roman"/>
          <w:color w:val="000000" w:themeColor="text1"/>
          <w:sz w:val="18"/>
          <w:szCs w:val="18"/>
        </w:rPr>
        <w:t>)) (</w:t>
      </w:r>
      <w:r w:rsidRPr="00A203A6">
        <w:rPr>
          <w:rFonts w:cs="Times New Roman"/>
          <w:color w:val="000000" w:themeColor="text1"/>
          <w:sz w:val="18"/>
          <w:szCs w:val="18"/>
        </w:rPr>
        <w:t>Footnote 20 on Page 8 in this single-chapter draft) for further elaboration on the differences between rationalism and reflectivism.</w:t>
      </w:r>
    </w:p>
  </w:footnote>
  <w:footnote w:id="174">
    <w:p w14:paraId="08B95D23"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Kenneth A. </w:t>
      </w:r>
      <w:proofErr w:type="spellStart"/>
      <w:r w:rsidRPr="00A203A6">
        <w:rPr>
          <w:rFonts w:cs="Times New Roman"/>
          <w:color w:val="000000" w:themeColor="text1"/>
          <w:sz w:val="18"/>
          <w:szCs w:val="18"/>
        </w:rPr>
        <w:t>Bollen</w:t>
      </w:r>
      <w:proofErr w:type="spellEnd"/>
      <w:r w:rsidRPr="00A203A6">
        <w:rPr>
          <w:rFonts w:cs="Times New Roman"/>
          <w:color w:val="000000" w:themeColor="text1"/>
          <w:sz w:val="18"/>
          <w:szCs w:val="18"/>
        </w:rPr>
        <w:t xml:space="preserve"> and Richard Lennox, “Conventional Wisdom on Measurement: A Structural Equation Perspective.” </w:t>
      </w:r>
      <w:r w:rsidRPr="00A203A6">
        <w:rPr>
          <w:rFonts w:cs="Times New Roman"/>
          <w:i/>
          <w:iCs/>
          <w:color w:val="000000" w:themeColor="text1"/>
          <w:sz w:val="18"/>
          <w:szCs w:val="18"/>
        </w:rPr>
        <w:t>Psychological Bulletin</w:t>
      </w:r>
      <w:r w:rsidRPr="00A203A6">
        <w:rPr>
          <w:rFonts w:cs="Times New Roman"/>
          <w:color w:val="000000" w:themeColor="text1"/>
          <w:sz w:val="18"/>
          <w:szCs w:val="18"/>
        </w:rPr>
        <w:t xml:space="preserve"> 110 (1991): 305-314. Also see Richard P. </w:t>
      </w:r>
      <w:proofErr w:type="spellStart"/>
      <w:r w:rsidRPr="00A203A6">
        <w:rPr>
          <w:rFonts w:cs="Times New Roman"/>
          <w:color w:val="000000" w:themeColor="text1"/>
          <w:sz w:val="18"/>
          <w:szCs w:val="18"/>
        </w:rPr>
        <w:t>Bagozzi</w:t>
      </w:r>
      <w:proofErr w:type="spellEnd"/>
      <w:r w:rsidRPr="00A203A6">
        <w:rPr>
          <w:rFonts w:cs="Times New Roman"/>
          <w:color w:val="000000" w:themeColor="text1"/>
          <w:sz w:val="18"/>
          <w:szCs w:val="18"/>
        </w:rPr>
        <w:t xml:space="preserve"> and Claes </w:t>
      </w:r>
      <w:proofErr w:type="spellStart"/>
      <w:r w:rsidRPr="00A203A6">
        <w:rPr>
          <w:rFonts w:cs="Times New Roman"/>
          <w:color w:val="000000" w:themeColor="text1"/>
          <w:sz w:val="18"/>
          <w:szCs w:val="18"/>
        </w:rPr>
        <w:t>Fornell</w:t>
      </w:r>
      <w:proofErr w:type="spellEnd"/>
      <w:r w:rsidRPr="00A203A6">
        <w:rPr>
          <w:rFonts w:cs="Times New Roman"/>
          <w:color w:val="000000" w:themeColor="text1"/>
          <w:sz w:val="18"/>
          <w:szCs w:val="18"/>
        </w:rPr>
        <w:t xml:space="preserve">, “Theoretical Concepts, Measurements, and Meaning.” In Claes </w:t>
      </w:r>
      <w:proofErr w:type="spellStart"/>
      <w:r w:rsidRPr="00A203A6">
        <w:rPr>
          <w:rFonts w:cs="Times New Roman"/>
          <w:color w:val="000000" w:themeColor="text1"/>
          <w:sz w:val="18"/>
          <w:szCs w:val="18"/>
        </w:rPr>
        <w:t>Fornell</w:t>
      </w:r>
      <w:proofErr w:type="spellEnd"/>
      <w:r w:rsidRPr="00A203A6">
        <w:rPr>
          <w:rFonts w:cs="Times New Roman"/>
          <w:color w:val="000000" w:themeColor="text1"/>
          <w:sz w:val="18"/>
          <w:szCs w:val="18"/>
        </w:rPr>
        <w:t xml:space="preserve"> (ed.), </w:t>
      </w:r>
      <w:r w:rsidRPr="00A203A6">
        <w:rPr>
          <w:rFonts w:cs="Times New Roman"/>
          <w:i/>
          <w:iCs/>
          <w:color w:val="000000" w:themeColor="text1"/>
          <w:sz w:val="18"/>
          <w:szCs w:val="18"/>
        </w:rPr>
        <w:t>A Second Generation of Multivariate Analysis, Vol. 1</w:t>
      </w:r>
      <w:r w:rsidRPr="00A203A6">
        <w:rPr>
          <w:rFonts w:cs="Times New Roman"/>
          <w:color w:val="000000" w:themeColor="text1"/>
          <w:sz w:val="18"/>
          <w:szCs w:val="18"/>
        </w:rPr>
        <w:t xml:space="preserve"> (New York: Praeger, 1982); Hubert M. Blalock, </w:t>
      </w:r>
      <w:r w:rsidRPr="00A203A6">
        <w:rPr>
          <w:rFonts w:cs="Times New Roman"/>
          <w:i/>
          <w:iCs/>
          <w:color w:val="000000" w:themeColor="text1"/>
          <w:sz w:val="18"/>
          <w:szCs w:val="18"/>
        </w:rPr>
        <w:t>Causal Inferences in Nonexperimental Research</w:t>
      </w:r>
      <w:r w:rsidRPr="00A203A6">
        <w:rPr>
          <w:rFonts w:cs="Times New Roman"/>
          <w:color w:val="000000" w:themeColor="text1"/>
          <w:sz w:val="18"/>
          <w:szCs w:val="18"/>
        </w:rPr>
        <w:t xml:space="preserve"> (Chapel Hill: University of North Carolina Press, 1964); Hubert M. Blalock, </w:t>
      </w:r>
      <w:r w:rsidRPr="00A203A6">
        <w:rPr>
          <w:rFonts w:cs="Times New Roman"/>
          <w:i/>
          <w:iCs/>
          <w:color w:val="000000" w:themeColor="text1"/>
          <w:sz w:val="18"/>
          <w:szCs w:val="18"/>
        </w:rPr>
        <w:t>Causal Models in the Social Sciences</w:t>
      </w:r>
      <w:r w:rsidRPr="00A203A6">
        <w:rPr>
          <w:rFonts w:cs="Times New Roman"/>
          <w:color w:val="000000" w:themeColor="text1"/>
          <w:sz w:val="18"/>
          <w:szCs w:val="18"/>
        </w:rPr>
        <w:t xml:space="preserve"> (Chicago: Aldine, 1971).</w:t>
      </w:r>
    </w:p>
  </w:footnote>
  <w:footnote w:id="175">
    <w:p w14:paraId="4A36CADA"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Bollen</w:t>
      </w:r>
      <w:proofErr w:type="spellEnd"/>
      <w:r w:rsidRPr="00A203A6">
        <w:rPr>
          <w:rFonts w:cs="Times New Roman"/>
          <w:color w:val="000000" w:themeColor="text1"/>
          <w:sz w:val="18"/>
          <w:szCs w:val="18"/>
        </w:rPr>
        <w:t xml:space="preserve"> and Lennox, “Conventional Wisdom on Measurement”, 305-314.</w:t>
      </w:r>
    </w:p>
  </w:footnote>
  <w:footnote w:id="176">
    <w:p w14:paraId="3310DD72"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Bruce Gilley, “The Meaning and Measure of State Legitimacy: Results for 72 Countries.” </w:t>
      </w:r>
      <w:r w:rsidRPr="00A203A6">
        <w:rPr>
          <w:rFonts w:cs="Times New Roman"/>
          <w:i/>
          <w:iCs/>
          <w:color w:val="000000" w:themeColor="text1"/>
          <w:sz w:val="18"/>
          <w:szCs w:val="18"/>
        </w:rPr>
        <w:t>European Journal of Political Research</w:t>
      </w:r>
      <w:r w:rsidRPr="00A203A6">
        <w:rPr>
          <w:rFonts w:cs="Times New Roman"/>
          <w:color w:val="000000" w:themeColor="text1"/>
          <w:sz w:val="18"/>
          <w:szCs w:val="18"/>
        </w:rPr>
        <w:t xml:space="preserve"> 45 (2006): 504.</w:t>
      </w:r>
    </w:p>
  </w:footnote>
  <w:footnote w:id="177">
    <w:p w14:paraId="290C267F"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Bollen</w:t>
      </w:r>
      <w:proofErr w:type="spellEnd"/>
      <w:r w:rsidRPr="00A203A6">
        <w:rPr>
          <w:rFonts w:cs="Times New Roman"/>
          <w:color w:val="000000" w:themeColor="text1"/>
          <w:sz w:val="18"/>
          <w:szCs w:val="18"/>
        </w:rPr>
        <w:t xml:space="preserve"> and Lennox, “Conventional Wisdom on Measurement”, 305-314.</w:t>
      </w:r>
    </w:p>
  </w:footnote>
  <w:footnote w:id="178">
    <w:p w14:paraId="522DA5EF"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Gilley, “The Meaning and Measure of State Legitimacy”, 504.</w:t>
      </w:r>
    </w:p>
  </w:footnote>
  <w:footnote w:id="179">
    <w:p w14:paraId="3C43ACD3"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 Betsy McCoach, Robert K. Gable and John P. Madura, “Defining, Measuring and Scaling Effective Constructs.” In </w:t>
      </w:r>
      <w:r w:rsidRPr="00A203A6">
        <w:rPr>
          <w:rFonts w:cs="Times New Roman"/>
          <w:i/>
          <w:iCs/>
          <w:color w:val="000000" w:themeColor="text1"/>
          <w:sz w:val="18"/>
          <w:szCs w:val="18"/>
        </w:rPr>
        <w:t>Instrument Development in the Affective Domain</w:t>
      </w:r>
      <w:r w:rsidRPr="00A203A6">
        <w:rPr>
          <w:rFonts w:cs="Times New Roman"/>
          <w:color w:val="000000" w:themeColor="text1"/>
          <w:sz w:val="18"/>
          <w:szCs w:val="18"/>
        </w:rPr>
        <w:t xml:space="preserve"> (New York: Springer, 2013): 33-90.</w:t>
      </w:r>
    </w:p>
  </w:footnote>
  <w:footnote w:id="180">
    <w:p w14:paraId="0B49DCD1"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A notable example of this is the measure of “state legitimacy” that the Fund for Peace uses in its annual Fragile States Index (FSI) reports. The FSI’s “state legitimacy” measure is an independent scale variable on a 1.0 to 10.0 metric, which amalgamates factors relating to government effectiveness and international perceptions thereof. These factors include (but are not limited to) election integrity, levels of confidence in state institutions and processes, the nature of political transitions, corruption, persecution of opposition groups, mass public demonstrations, sustained civil disobedience, armed insurgencies, and political violence. The Fund for Peace. "Fragile States Index Dataset." Accessed May 1, 2024. </w:t>
      </w:r>
      <w:hyperlink r:id="rId2" w:history="1">
        <w:r w:rsidRPr="00A203A6">
          <w:rPr>
            <w:rStyle w:val="Hyperlink"/>
            <w:color w:val="000000" w:themeColor="text1"/>
            <w:sz w:val="18"/>
            <w:szCs w:val="18"/>
          </w:rPr>
          <w:t>https://fragilestatesindex.org/download/</w:t>
        </w:r>
      </w:hyperlink>
      <w:r w:rsidRPr="00A203A6">
        <w:rPr>
          <w:color w:val="000000" w:themeColor="text1"/>
          <w:sz w:val="18"/>
          <w:szCs w:val="18"/>
        </w:rPr>
        <w:t xml:space="preserve">. </w:t>
      </w:r>
    </w:p>
  </w:footnote>
  <w:footnote w:id="181">
    <w:p w14:paraId="2BA90050"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Ashley, “Untying the Sovereign State,” 257.</w:t>
      </w:r>
    </w:p>
  </w:footnote>
  <w:footnote w:id="182">
    <w:p w14:paraId="0D7DD45B" w14:textId="77777777" w:rsidR="006C485E" w:rsidRPr="00A203A6" w:rsidRDefault="006C485E"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IR scholarship conceives of international relations as characterized by anarchy, which is understood to mean the absence of “a supreme sovereign authority.” (</w:t>
      </w:r>
      <w:proofErr w:type="spellStart"/>
      <w:r w:rsidRPr="00A203A6">
        <w:rPr>
          <w:color w:val="000000" w:themeColor="text1"/>
          <w:sz w:val="18"/>
          <w:szCs w:val="18"/>
        </w:rPr>
        <w:t>Wajner</w:t>
      </w:r>
      <w:proofErr w:type="spellEnd"/>
      <w:r w:rsidRPr="00A203A6">
        <w:rPr>
          <w:color w:val="000000" w:themeColor="text1"/>
          <w:sz w:val="18"/>
          <w:szCs w:val="18"/>
        </w:rPr>
        <w:t xml:space="preserve">, ““Battling” for Legitimacy,” 1037). See Anne-Marie Slaughter, “International Relations: Principal Theories.” In </w:t>
      </w:r>
      <w:proofErr w:type="spellStart"/>
      <w:r w:rsidRPr="00A203A6">
        <w:rPr>
          <w:color w:val="000000" w:themeColor="text1"/>
          <w:sz w:val="18"/>
          <w:szCs w:val="18"/>
        </w:rPr>
        <w:t>Rudiger</w:t>
      </w:r>
      <w:proofErr w:type="spellEnd"/>
      <w:r w:rsidRPr="00A203A6">
        <w:rPr>
          <w:color w:val="000000" w:themeColor="text1"/>
          <w:sz w:val="18"/>
          <w:szCs w:val="18"/>
        </w:rPr>
        <w:t xml:space="preserve"> </w:t>
      </w:r>
      <w:proofErr w:type="spellStart"/>
      <w:r w:rsidRPr="00A203A6">
        <w:rPr>
          <w:color w:val="000000" w:themeColor="text1"/>
          <w:sz w:val="18"/>
          <w:szCs w:val="18"/>
        </w:rPr>
        <w:t>Wolfrum</w:t>
      </w:r>
      <w:proofErr w:type="spellEnd"/>
      <w:r w:rsidRPr="00A203A6">
        <w:rPr>
          <w:color w:val="000000" w:themeColor="text1"/>
          <w:sz w:val="18"/>
          <w:szCs w:val="18"/>
        </w:rPr>
        <w:t xml:space="preserve"> (ed.), </w:t>
      </w:r>
      <w:r w:rsidRPr="00A203A6">
        <w:rPr>
          <w:i/>
          <w:iCs/>
          <w:color w:val="000000" w:themeColor="text1"/>
          <w:sz w:val="18"/>
          <w:szCs w:val="18"/>
        </w:rPr>
        <w:t>Max Planck Encyclopedia of Public International Law</w:t>
      </w:r>
      <w:r w:rsidRPr="00A203A6">
        <w:rPr>
          <w:color w:val="000000" w:themeColor="text1"/>
          <w:sz w:val="18"/>
          <w:szCs w:val="18"/>
        </w:rPr>
        <w:t xml:space="preserve"> (Oxford University Press, 2011): 1-7 for a more fulsome explanation of the role that anarchy plays in IR theory.</w:t>
      </w:r>
    </w:p>
  </w:footnote>
  <w:footnote w:id="183">
    <w:p w14:paraId="2F4871FD"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Ian Clark. “Introduction.” in Ian Clark. </w:t>
      </w:r>
      <w:r w:rsidRPr="00A203A6">
        <w:rPr>
          <w:rFonts w:cs="Times New Roman"/>
          <w:i/>
          <w:iCs/>
          <w:color w:val="000000" w:themeColor="text1"/>
          <w:sz w:val="18"/>
          <w:szCs w:val="18"/>
        </w:rPr>
        <w:t xml:space="preserve">Legitimacy in International Society </w:t>
      </w:r>
      <w:r w:rsidRPr="00A203A6">
        <w:rPr>
          <w:rFonts w:cs="Times New Roman"/>
          <w:color w:val="000000" w:themeColor="text1"/>
          <w:sz w:val="18"/>
          <w:szCs w:val="18"/>
        </w:rPr>
        <w:t>(Oxford: Oxford University Press, 2007): 1-32.</w:t>
      </w:r>
    </w:p>
  </w:footnote>
  <w:footnote w:id="184">
    <w:p w14:paraId="0949C2F7"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Bull, The Anarchical Society, 3-229.</w:t>
      </w:r>
    </w:p>
  </w:footnote>
  <w:footnote w:id="185">
    <w:p w14:paraId="6DC93F37"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English School “triad” provides for an understanding of international politics by conceptualizing international relations within three distinct spheres that operate simultaneously. The first of these, a realist “international system,” deals with the macro- side of the interactions between states. “International system” draws on the work of Thomas Hobbes and Niccolò Machiavelli, in that it assumes the anarchic nature of the international community and focuses on power politics as the main form of interaction between states (which it understands as the main units of analysis in international politics). The second sphere comprising the English School “triad” is a rationalist “international society” that establishes shared interest and identity amongst states as an international norm. “International society” expands on Hedley Bull’s “The Anarchical Society” (1977), in that it conceives of the purpose of international relations as relating to the establishment and maintenance of common norms, rules and institutions. The third and final sphere of the English School “triad” is a revolutionist “world society” that takes individuals, non-state organizations and the global population as a whole as the focus of global societal identities. “World society” draws on Immanuel Kant’s work in conceiving of the purpose of international relations as facilitating the transcendence of the state system. See Buzan, </w:t>
      </w:r>
      <w:r w:rsidRPr="00A203A6">
        <w:rPr>
          <w:rFonts w:cs="Times New Roman"/>
          <w:i/>
          <w:iCs/>
          <w:color w:val="000000" w:themeColor="text1"/>
          <w:sz w:val="18"/>
          <w:szCs w:val="18"/>
        </w:rPr>
        <w:t xml:space="preserve">From International Society to World </w:t>
      </w:r>
      <w:proofErr w:type="gramStart"/>
      <w:r w:rsidRPr="00A203A6">
        <w:rPr>
          <w:rFonts w:cs="Times New Roman"/>
          <w:i/>
          <w:iCs/>
          <w:color w:val="000000" w:themeColor="text1"/>
          <w:sz w:val="18"/>
          <w:szCs w:val="18"/>
        </w:rPr>
        <w:t>Society?</w:t>
      </w:r>
      <w:r w:rsidRPr="00A203A6">
        <w:rPr>
          <w:rFonts w:cs="Times New Roman"/>
          <w:color w:val="000000" w:themeColor="text1"/>
          <w:sz w:val="18"/>
          <w:szCs w:val="18"/>
        </w:rPr>
        <w:t>,</w:t>
      </w:r>
      <w:proofErr w:type="gramEnd"/>
      <w:r w:rsidRPr="00A203A6">
        <w:rPr>
          <w:rFonts w:cs="Times New Roman"/>
          <w:color w:val="000000" w:themeColor="text1"/>
          <w:sz w:val="18"/>
          <w:szCs w:val="18"/>
        </w:rPr>
        <w:t xml:space="preserve"> 6-26.; Sheehan, “The Evolution of Modern Warfare,” 36-52.</w:t>
      </w:r>
    </w:p>
  </w:footnote>
  <w:footnote w:id="186">
    <w:p w14:paraId="5C8B17BE"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Clark, “International Legitimacy,” 12.</w:t>
      </w:r>
    </w:p>
  </w:footnote>
  <w:footnote w:id="187">
    <w:p w14:paraId="5F1AAA1D"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Clark. “Introduction,” 5.</w:t>
      </w:r>
    </w:p>
  </w:footnote>
  <w:footnote w:id="188">
    <w:p w14:paraId="1CFD0F6D"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Clark, “Introduction,” 6.</w:t>
      </w:r>
    </w:p>
  </w:footnote>
  <w:footnote w:id="189">
    <w:p w14:paraId="334589DC" w14:textId="77777777" w:rsidR="006C485E" w:rsidRPr="00A203A6" w:rsidRDefault="006C485E"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Clark, “Introduction,” 6.</w:t>
      </w:r>
    </w:p>
  </w:footnote>
  <w:footnote w:id="190">
    <w:p w14:paraId="0DC69EC8"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Suchman</w:t>
      </w:r>
      <w:proofErr w:type="spellEnd"/>
      <w:r w:rsidRPr="00A203A6">
        <w:rPr>
          <w:rFonts w:cs="Times New Roman"/>
          <w:color w:val="000000" w:themeColor="text1"/>
          <w:sz w:val="18"/>
          <w:szCs w:val="18"/>
        </w:rPr>
        <w:t xml:space="preserve">, "Managing Legitimacy," 571-610; Beetham, </w:t>
      </w:r>
      <w:r w:rsidRPr="00A203A6">
        <w:rPr>
          <w:rFonts w:cs="Times New Roman"/>
          <w:i/>
          <w:iCs/>
          <w:color w:val="000000" w:themeColor="text1"/>
          <w:sz w:val="18"/>
          <w:szCs w:val="18"/>
        </w:rPr>
        <w:t>The Legitimation of Power</w:t>
      </w:r>
      <w:r w:rsidRPr="00A203A6">
        <w:rPr>
          <w:rFonts w:cs="Times New Roman"/>
          <w:color w:val="000000" w:themeColor="text1"/>
          <w:sz w:val="18"/>
          <w:szCs w:val="18"/>
        </w:rPr>
        <w:t>, 15-16.</w:t>
      </w:r>
    </w:p>
  </w:footnote>
  <w:footnote w:id="191">
    <w:p w14:paraId="17C61AAD" w14:textId="77777777" w:rsidR="006C485E" w:rsidRPr="00A203A6" w:rsidRDefault="006C485E"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Zarakol, “What Makes Terrorism Modern?”, 2320; Shirk, "Pirates, Anarchists, and Terrorists.”</w:t>
      </w:r>
    </w:p>
  </w:footnote>
  <w:footnote w:id="192">
    <w:p w14:paraId="25FA2548"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Zarakol, “What Makes Terrorism Modern?”, 2316.</w:t>
      </w:r>
    </w:p>
  </w:footnote>
  <w:footnote w:id="193">
    <w:p w14:paraId="08750B1C"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Zarakol, “What Makes Terrorism Modern?”, 2315.</w:t>
      </w:r>
    </w:p>
  </w:footnote>
  <w:footnote w:id="194">
    <w:p w14:paraId="2C534476" w14:textId="1A4DEB14" w:rsidR="00F92578" w:rsidRPr="00A203A6" w:rsidRDefault="00F92578" w:rsidP="00787EBB">
      <w:pPr>
        <w:pStyle w:val="FootnoteText"/>
        <w:spacing w:before="0" w:after="80"/>
        <w:rPr>
          <w:rFonts w:cs="Times New Roman"/>
          <w:sz w:val="18"/>
          <w:szCs w:val="18"/>
        </w:rPr>
      </w:pPr>
      <w:r w:rsidRPr="00A203A6">
        <w:rPr>
          <w:rStyle w:val="FootnoteReference"/>
          <w:rFonts w:cs="Times New Roman"/>
          <w:sz w:val="18"/>
          <w:szCs w:val="18"/>
        </w:rPr>
        <w:footnoteRef/>
      </w:r>
      <w:r w:rsidRPr="00A203A6">
        <w:rPr>
          <w:rFonts w:cs="Times New Roman"/>
          <w:sz w:val="18"/>
          <w:szCs w:val="18"/>
        </w:rPr>
        <w:t xml:space="preserve"> </w:t>
      </w:r>
      <w:r w:rsidRPr="00A203A6">
        <w:rPr>
          <w:rFonts w:cs="Times New Roman"/>
          <w:color w:val="000000" w:themeColor="text1"/>
          <w:sz w:val="18"/>
          <w:szCs w:val="18"/>
        </w:rPr>
        <w:t>Zarakol, “What Makes Terrorism Modern?”, 2329.</w:t>
      </w:r>
    </w:p>
  </w:footnote>
  <w:footnote w:id="195">
    <w:p w14:paraId="01F0663C" w14:textId="3A400D06" w:rsidR="00F92578" w:rsidRPr="00A203A6" w:rsidRDefault="00F92578" w:rsidP="00787EBB">
      <w:pPr>
        <w:pStyle w:val="FootnoteText"/>
        <w:spacing w:before="0" w:after="80"/>
        <w:rPr>
          <w:sz w:val="18"/>
          <w:szCs w:val="18"/>
        </w:rPr>
      </w:pPr>
      <w:r w:rsidRPr="00A203A6">
        <w:rPr>
          <w:rStyle w:val="FootnoteReference"/>
          <w:rFonts w:cs="Times New Roman"/>
          <w:sz w:val="18"/>
          <w:szCs w:val="18"/>
        </w:rPr>
        <w:footnoteRef/>
      </w:r>
      <w:r w:rsidRPr="00A203A6">
        <w:rPr>
          <w:rFonts w:cs="Times New Roman"/>
          <w:sz w:val="18"/>
          <w:szCs w:val="18"/>
        </w:rPr>
        <w:t xml:space="preserve"> </w:t>
      </w:r>
      <w:r w:rsidRPr="00A203A6">
        <w:rPr>
          <w:rFonts w:cs="Times New Roman"/>
          <w:color w:val="000000" w:themeColor="text1"/>
          <w:sz w:val="18"/>
          <w:szCs w:val="18"/>
        </w:rPr>
        <w:t>Zarakol, “What Makes Terrorism Modern?”, 2329-2330.</w:t>
      </w:r>
    </w:p>
  </w:footnote>
  <w:footnote w:id="196">
    <w:p w14:paraId="0D37DD62"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Zarakol, “What Makes Terrorism Modern?”, 2315-16; 2326.</w:t>
      </w:r>
    </w:p>
  </w:footnote>
  <w:footnote w:id="197">
    <w:p w14:paraId="3334B286"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Zarakol, “What Makes Terrorism Modern?”, 2326.</w:t>
      </w:r>
    </w:p>
  </w:footnote>
  <w:footnote w:id="198">
    <w:p w14:paraId="46934AC8" w14:textId="470C81C5" w:rsidR="00D41F30" w:rsidRPr="00A203A6" w:rsidRDefault="00D41F30" w:rsidP="00787EBB">
      <w:pPr>
        <w:pStyle w:val="FootnoteText"/>
        <w:spacing w:before="0" w:after="80"/>
        <w:rPr>
          <w:rFonts w:cs="Times New Roman"/>
          <w:sz w:val="18"/>
          <w:szCs w:val="18"/>
        </w:rPr>
      </w:pPr>
      <w:r w:rsidRPr="00A203A6">
        <w:rPr>
          <w:rStyle w:val="FootnoteReference"/>
          <w:rFonts w:cs="Times New Roman"/>
          <w:sz w:val="18"/>
          <w:szCs w:val="18"/>
        </w:rPr>
        <w:footnoteRef/>
      </w:r>
      <w:r w:rsidRPr="00A203A6">
        <w:rPr>
          <w:rFonts w:cs="Times New Roman"/>
          <w:sz w:val="18"/>
          <w:szCs w:val="18"/>
        </w:rPr>
        <w:t xml:space="preserve"> </w:t>
      </w:r>
      <w:r w:rsidRPr="00A203A6">
        <w:rPr>
          <w:rFonts w:cs="Times New Roman"/>
          <w:color w:val="000000" w:themeColor="text1"/>
          <w:sz w:val="18"/>
          <w:szCs w:val="18"/>
        </w:rPr>
        <w:t>Zarakol, “What Makes Terrorism Modern?”, 2334.</w:t>
      </w:r>
    </w:p>
  </w:footnote>
  <w:footnote w:id="199">
    <w:p w14:paraId="07B181D2"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Zarakol, “What Makes Terrorism Modern?”, 2316. For an example of this, see </w:t>
      </w:r>
      <w:proofErr w:type="spellStart"/>
      <w:r w:rsidRPr="00A203A6">
        <w:rPr>
          <w:rFonts w:cs="Times New Roman"/>
          <w:color w:val="000000" w:themeColor="text1"/>
          <w:sz w:val="18"/>
          <w:szCs w:val="18"/>
        </w:rPr>
        <w:t>Zarakol’s</w:t>
      </w:r>
      <w:proofErr w:type="spellEnd"/>
      <w:r w:rsidRPr="00A203A6">
        <w:rPr>
          <w:rFonts w:cs="Times New Roman"/>
          <w:color w:val="000000" w:themeColor="text1"/>
          <w:sz w:val="18"/>
          <w:szCs w:val="18"/>
        </w:rPr>
        <w:t xml:space="preserve"> article.</w:t>
      </w:r>
    </w:p>
  </w:footnote>
  <w:footnote w:id="200">
    <w:p w14:paraId="3FCDFF2D"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Zarakol, “What Makes Terrorism Modern?”, 2315-16; 2326.</w:t>
      </w:r>
    </w:p>
  </w:footnote>
  <w:footnote w:id="201">
    <w:p w14:paraId="5CC3296D" w14:textId="77777777" w:rsidR="006C485E" w:rsidRPr="00A203A6" w:rsidRDefault="006C485E"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Husymans</w:t>
      </w:r>
      <w:proofErr w:type="spellEnd"/>
      <w:r w:rsidRPr="00A203A6">
        <w:rPr>
          <w:rFonts w:cs="Times New Roman"/>
          <w:color w:val="000000" w:themeColor="text1"/>
          <w:sz w:val="18"/>
          <w:szCs w:val="18"/>
        </w:rPr>
        <w:t xml:space="preserve">, "Security!", 226-255; Ayşe Zarakol, “Ontological (In)Security and State Denial of Historical Crimes: Turkey and Japan,” </w:t>
      </w:r>
      <w:r w:rsidRPr="00A203A6">
        <w:rPr>
          <w:rFonts w:cs="Times New Roman"/>
          <w:i/>
          <w:iCs/>
          <w:color w:val="000000" w:themeColor="text1"/>
          <w:sz w:val="18"/>
          <w:szCs w:val="18"/>
        </w:rPr>
        <w:t xml:space="preserve">International Relations </w:t>
      </w:r>
      <w:r w:rsidRPr="00A203A6">
        <w:rPr>
          <w:rFonts w:cs="Times New Roman"/>
          <w:color w:val="000000" w:themeColor="text1"/>
          <w:sz w:val="18"/>
          <w:szCs w:val="18"/>
        </w:rPr>
        <w:t xml:space="preserve">24, no.1 (2010): 3-23; Zarakol, "What Makes Terrorism Modern?", 2311-2336; Shirk, "Pirates, Anarchists, and </w:t>
      </w:r>
      <w:proofErr w:type="spellStart"/>
      <w:r w:rsidRPr="00A203A6">
        <w:rPr>
          <w:rFonts w:cs="Times New Roman"/>
          <w:color w:val="000000" w:themeColor="text1"/>
          <w:sz w:val="18"/>
          <w:szCs w:val="18"/>
        </w:rPr>
        <w:t>Terrorists."d</w:t>
      </w:r>
      <w:proofErr w:type="spellEnd"/>
    </w:p>
  </w:footnote>
  <w:footnote w:id="202">
    <w:p w14:paraId="5DEEACB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notion of the public “rests on an imaginary uniformity and consensus” where “a matter of common interest unites a population of individuals.” As such, “the term public is normative, in that it helps shape inclusive social identities.” Habermas conceives of the public sphere: “one singular, overarching and unified public… predicated on consensus and the bracketing of difference” that occupies a material and/or virtual space. To that end, “the public… differentiated into mutually exclusive sub-sets, exists in an abstract sense.” See John </w:t>
      </w:r>
      <w:proofErr w:type="spellStart"/>
      <w:r w:rsidRPr="00A203A6">
        <w:rPr>
          <w:rFonts w:cs="Times New Roman"/>
          <w:color w:val="000000" w:themeColor="text1"/>
          <w:sz w:val="18"/>
          <w:szCs w:val="18"/>
        </w:rPr>
        <w:t>Fellenor</w:t>
      </w:r>
      <w:proofErr w:type="spellEnd"/>
      <w:r w:rsidRPr="00A203A6">
        <w:rPr>
          <w:rFonts w:cs="Times New Roman"/>
          <w:color w:val="000000" w:themeColor="text1"/>
          <w:sz w:val="18"/>
          <w:szCs w:val="18"/>
        </w:rPr>
        <w:t xml:space="preserve">, Julie Barnett, Clive Potter, Julie Urquhart, J.D. Mumford, and C.P. Quine, “’Real Without Being Concrete: The Ontology of Public Concern and Its Significance for the Social Amplification of Risk Framework (SARF),’” </w:t>
      </w:r>
      <w:r w:rsidRPr="00A203A6">
        <w:rPr>
          <w:rFonts w:cs="Times New Roman"/>
          <w:i/>
          <w:iCs/>
          <w:color w:val="000000" w:themeColor="text1"/>
          <w:sz w:val="18"/>
          <w:szCs w:val="18"/>
        </w:rPr>
        <w:t>Journal of Risk Research</w:t>
      </w:r>
      <w:r w:rsidRPr="00A203A6">
        <w:rPr>
          <w:rFonts w:cs="Times New Roman"/>
          <w:color w:val="000000" w:themeColor="text1"/>
          <w:sz w:val="18"/>
          <w:szCs w:val="18"/>
        </w:rPr>
        <w:t xml:space="preserve"> 23, no. 1: 20-34.</w:t>
      </w:r>
    </w:p>
  </w:footnote>
  <w:footnote w:id="203">
    <w:p w14:paraId="2863C5E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idea that international legitimacy is a zero-sum contest between states and other (non-state) international actors derives from the critical constructivist view that the (modern) state’s international legitimacy was established at the expense of other traditionally accepted forms of authority. See Chapter 4, “Terrorism, the State, and International Legitimacy,” (Pages 15-19). See also Stacie E. Goddard and Ronald R. Krebs, “Constructivism and the Logic of Legitimation.” In Patrick James, Mariano E </w:t>
      </w:r>
      <w:proofErr w:type="spellStart"/>
      <w:r w:rsidRPr="00A203A6">
        <w:rPr>
          <w:rFonts w:cs="Times New Roman"/>
          <w:color w:val="000000" w:themeColor="text1"/>
          <w:sz w:val="18"/>
          <w:szCs w:val="18"/>
        </w:rPr>
        <w:t>Bertucci</w:t>
      </w:r>
      <w:proofErr w:type="spellEnd"/>
      <w:r w:rsidRPr="00A203A6">
        <w:rPr>
          <w:rFonts w:cs="Times New Roman"/>
          <w:color w:val="000000" w:themeColor="text1"/>
          <w:sz w:val="18"/>
          <w:szCs w:val="18"/>
        </w:rPr>
        <w:t xml:space="preserve">, and Jarrod Hayes (eds.), </w:t>
      </w:r>
      <w:r w:rsidRPr="00A203A6">
        <w:rPr>
          <w:rFonts w:cs="Times New Roman"/>
          <w:i/>
          <w:iCs/>
          <w:color w:val="000000" w:themeColor="text1"/>
          <w:sz w:val="18"/>
          <w:szCs w:val="18"/>
        </w:rPr>
        <w:t>Constructivism Reconsidered: Past, Present, and Future.</w:t>
      </w:r>
      <w:r w:rsidRPr="00A203A6">
        <w:rPr>
          <w:rFonts w:cs="Times New Roman"/>
          <w:color w:val="000000" w:themeColor="text1"/>
          <w:sz w:val="18"/>
          <w:szCs w:val="18"/>
        </w:rPr>
        <w:t xml:space="preserve"> (Ann Arbor: University of Michigan Press, 2018): 67-85.</w:t>
      </w:r>
    </w:p>
  </w:footnote>
  <w:footnote w:id="204">
    <w:p w14:paraId="16AB692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eastAsia="Times New Roman" w:cs="Times New Roman"/>
          <w:color w:val="000000" w:themeColor="text1"/>
          <w:sz w:val="18"/>
          <w:szCs w:val="18"/>
        </w:rPr>
        <w:t xml:space="preserve">Phil MacGregor. “International News Agencies: Global Eyes that Never Blink.” In Karen Fowler-Watt and Stuart Allen, </w:t>
      </w:r>
      <w:r w:rsidRPr="00A203A6">
        <w:rPr>
          <w:rFonts w:eastAsia="Times New Roman" w:cs="Times New Roman"/>
          <w:i/>
          <w:iCs/>
          <w:color w:val="000000" w:themeColor="text1"/>
          <w:sz w:val="18"/>
          <w:szCs w:val="18"/>
        </w:rPr>
        <w:t>Journalism: New Challenges</w:t>
      </w:r>
      <w:r w:rsidRPr="00A203A6">
        <w:rPr>
          <w:rFonts w:eastAsia="Times New Roman" w:cs="Times New Roman"/>
          <w:color w:val="000000" w:themeColor="text1"/>
          <w:sz w:val="18"/>
          <w:szCs w:val="18"/>
        </w:rPr>
        <w:t xml:space="preserve"> (Bournemouth: Centre for Journalism and Communication Research, 2013): 35-62</w:t>
      </w:r>
      <w:r w:rsidRPr="00A203A6">
        <w:rPr>
          <w:rFonts w:cs="Times New Roman"/>
          <w:color w:val="000000" w:themeColor="text1"/>
          <w:sz w:val="18"/>
          <w:szCs w:val="18"/>
        </w:rPr>
        <w:t>)</w:t>
      </w:r>
    </w:p>
  </w:footnote>
  <w:footnote w:id="205">
    <w:p w14:paraId="48EE1F9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This has resulted in what Constance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xml:space="preserve"> terms “a lasting and highly detrimental equation between anarchism and terrorism [that has led] to the… criminalisation and depoliticization [of the anarchist movement that has resulted </w:t>
      </w:r>
      <w:proofErr w:type="gramStart"/>
      <w:r w:rsidRPr="00A203A6">
        <w:rPr>
          <w:rFonts w:cs="Times New Roman"/>
          <w:color w:val="000000" w:themeColor="text1"/>
          <w:sz w:val="18"/>
          <w:szCs w:val="18"/>
        </w:rPr>
        <w:t>in]…</w:t>
      </w:r>
      <w:proofErr w:type="gramEnd"/>
      <w:r w:rsidRPr="00A203A6">
        <w:rPr>
          <w:rFonts w:cs="Times New Roman"/>
          <w:color w:val="000000" w:themeColor="text1"/>
          <w:sz w:val="18"/>
          <w:szCs w:val="18"/>
        </w:rPr>
        <w:t xml:space="preserve"> intense repression.” See Constance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xml:space="preserve">, “The Era of Propaganda by the Deed.” In Carl Levy and Matthew S. Adams (eds.), </w:t>
      </w:r>
      <w:r w:rsidRPr="00A203A6">
        <w:rPr>
          <w:rFonts w:cs="Times New Roman"/>
          <w:i/>
          <w:iCs/>
          <w:color w:val="000000" w:themeColor="text1"/>
          <w:sz w:val="18"/>
          <w:szCs w:val="18"/>
        </w:rPr>
        <w:t>The Palgrave Handbook of Anarchism</w:t>
      </w:r>
      <w:r w:rsidRPr="00A203A6">
        <w:rPr>
          <w:rFonts w:cs="Times New Roman"/>
          <w:color w:val="000000" w:themeColor="text1"/>
          <w:sz w:val="18"/>
          <w:szCs w:val="18"/>
        </w:rPr>
        <w:t xml:space="preserve"> (Cham: Palgrave Macmillan, 2019): 371-387.</w:t>
      </w:r>
    </w:p>
  </w:footnote>
  <w:footnote w:id="206">
    <w:p w14:paraId="723F9C1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Kristy Kate Campion, “Under the Shadows of Swords: Propaganda of the Deed in the History of Terrorism.” Ph.D. diss. James Cook University (2015): 17.</w:t>
      </w:r>
    </w:p>
  </w:footnote>
  <w:footnote w:id="207">
    <w:p w14:paraId="0D53A78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Even though notions of “propaganda of the deed” initially became a subject of discussion within the anarchist community in the 1850s, it was not until 1877 that the term was formally coined by French socialist Paul </w:t>
      </w:r>
      <w:proofErr w:type="spellStart"/>
      <w:r w:rsidRPr="00A203A6">
        <w:rPr>
          <w:rFonts w:cs="Times New Roman"/>
          <w:color w:val="000000" w:themeColor="text1"/>
          <w:sz w:val="18"/>
          <w:szCs w:val="18"/>
        </w:rPr>
        <w:t>Brousse</w:t>
      </w:r>
      <w:proofErr w:type="spellEnd"/>
      <w:r w:rsidRPr="00A203A6">
        <w:rPr>
          <w:rFonts w:cs="Times New Roman"/>
          <w:color w:val="000000" w:themeColor="text1"/>
          <w:sz w:val="18"/>
          <w:szCs w:val="18"/>
        </w:rPr>
        <w:t xml:space="preserve">. (Campion, “Under the Shadows of Swords,” 17; Colson, “Propaganda and the Deed,” 167; Mark Shirk, “The Universal Eye: Anarchist “Propaganda of the Deed” and Development of the Modern Surveillance State,” </w:t>
      </w:r>
      <w:r w:rsidRPr="00A203A6">
        <w:rPr>
          <w:rFonts w:cs="Times New Roman"/>
          <w:i/>
          <w:iCs/>
          <w:color w:val="000000" w:themeColor="text1"/>
          <w:sz w:val="18"/>
          <w:szCs w:val="18"/>
        </w:rPr>
        <w:t>International Studies Quarterly</w:t>
      </w:r>
      <w:r w:rsidRPr="00A203A6">
        <w:rPr>
          <w:rFonts w:cs="Times New Roman"/>
          <w:color w:val="000000" w:themeColor="text1"/>
          <w:sz w:val="18"/>
          <w:szCs w:val="18"/>
        </w:rPr>
        <w:t xml:space="preserve"> 63, (2019): 337.)</w:t>
      </w:r>
    </w:p>
  </w:footnote>
  <w:footnote w:id="208">
    <w:p w14:paraId="5D4D9345"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Caroline </w:t>
      </w:r>
      <w:proofErr w:type="spellStart"/>
      <w:r w:rsidRPr="00A203A6">
        <w:rPr>
          <w:rFonts w:cs="Times New Roman"/>
          <w:color w:val="000000" w:themeColor="text1"/>
          <w:sz w:val="18"/>
          <w:szCs w:val="18"/>
        </w:rPr>
        <w:t>Cahm</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Kropotkin and the Rise of Revolutionary Socialism, 1872-1886</w:t>
      </w:r>
      <w:r w:rsidRPr="00A203A6">
        <w:rPr>
          <w:rFonts w:cs="Times New Roman"/>
          <w:color w:val="000000" w:themeColor="text1"/>
          <w:sz w:val="18"/>
          <w:szCs w:val="18"/>
        </w:rPr>
        <w:t xml:space="preserve"> (Cambridge: Cambridge University Press, 1989): 76; Paul J. Smith, </w:t>
      </w:r>
      <w:r w:rsidRPr="00A203A6">
        <w:rPr>
          <w:rFonts w:cs="Times New Roman"/>
          <w:i/>
          <w:iCs/>
          <w:color w:val="000000" w:themeColor="text1"/>
          <w:sz w:val="18"/>
          <w:szCs w:val="18"/>
        </w:rPr>
        <w:t>The Terrorism Ahead: Confronting Transnational Violence in the Twenty-First Century</w:t>
      </w:r>
      <w:r w:rsidRPr="00A203A6">
        <w:rPr>
          <w:rFonts w:cs="Times New Roman"/>
          <w:color w:val="000000" w:themeColor="text1"/>
          <w:sz w:val="18"/>
          <w:szCs w:val="18"/>
        </w:rPr>
        <w:t xml:space="preserve"> (Armonk: M.E. Sharpe, 2015): 22. </w:t>
      </w:r>
    </w:p>
  </w:footnote>
  <w:footnote w:id="209">
    <w:p w14:paraId="041799A2"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Cahm</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Kropotkin</w:t>
      </w:r>
      <w:r w:rsidRPr="00A203A6">
        <w:rPr>
          <w:rFonts w:cs="Times New Roman"/>
          <w:color w:val="000000" w:themeColor="text1"/>
          <w:sz w:val="18"/>
          <w:szCs w:val="18"/>
        </w:rPr>
        <w:t>, 76.</w:t>
      </w:r>
    </w:p>
  </w:footnote>
  <w:footnote w:id="210">
    <w:p w14:paraId="186D8DF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373.</w:t>
      </w:r>
    </w:p>
    <w:p w14:paraId="3DEC9D84"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Malatesta and </w:t>
      </w:r>
      <w:proofErr w:type="spellStart"/>
      <w:r w:rsidRPr="00A203A6">
        <w:rPr>
          <w:rFonts w:cs="Times New Roman"/>
          <w:color w:val="000000" w:themeColor="text1"/>
          <w:sz w:val="18"/>
          <w:szCs w:val="18"/>
        </w:rPr>
        <w:t>Cafiero’s</w:t>
      </w:r>
      <w:proofErr w:type="spellEnd"/>
      <w:r w:rsidRPr="00A203A6">
        <w:rPr>
          <w:rFonts w:cs="Times New Roman"/>
          <w:color w:val="000000" w:themeColor="text1"/>
          <w:sz w:val="18"/>
          <w:szCs w:val="18"/>
        </w:rPr>
        <w:t xml:space="preserve"> “propaganda of the deed” does not explicitly advocate for violence. This is evident in their assertion “the insurrectional fact, destined to affirm socialist principles by deeds, is the most effective means of propaganda and the only one which, without tricking and corrupting the masses, can penetrate the deepest social layers and draw the living forces of humanity into the struggle.” Notwithstanding their lack of call to violence, Malatesta and </w:t>
      </w:r>
      <w:proofErr w:type="spellStart"/>
      <w:r w:rsidRPr="00A203A6">
        <w:rPr>
          <w:rFonts w:cs="Times New Roman"/>
          <w:color w:val="000000" w:themeColor="text1"/>
          <w:sz w:val="18"/>
          <w:szCs w:val="18"/>
        </w:rPr>
        <w:t>Cafiero</w:t>
      </w:r>
      <w:proofErr w:type="spellEnd"/>
      <w:r w:rsidRPr="00A203A6">
        <w:rPr>
          <w:rFonts w:cs="Times New Roman"/>
          <w:color w:val="000000" w:themeColor="text1"/>
          <w:sz w:val="18"/>
          <w:szCs w:val="18"/>
        </w:rPr>
        <w:t xml:space="preserve"> do express an understanding that revolution </w:t>
      </w:r>
      <w:r w:rsidRPr="00A203A6">
        <w:rPr>
          <w:rFonts w:cs="Times New Roman"/>
          <w:i/>
          <w:iCs/>
          <w:color w:val="000000" w:themeColor="text1"/>
          <w:sz w:val="18"/>
          <w:szCs w:val="18"/>
        </w:rPr>
        <w:t xml:space="preserve">is </w:t>
      </w:r>
      <w:r w:rsidRPr="00A203A6">
        <w:rPr>
          <w:rFonts w:cs="Times New Roman"/>
          <w:color w:val="000000" w:themeColor="text1"/>
          <w:sz w:val="18"/>
          <w:szCs w:val="18"/>
        </w:rPr>
        <w:t xml:space="preserve">a logical possible outcome of their conception of “propaganda of the deed.” To that end, while Malatesta and </w:t>
      </w:r>
      <w:proofErr w:type="spellStart"/>
      <w:r w:rsidRPr="00A203A6">
        <w:rPr>
          <w:rFonts w:cs="Times New Roman"/>
          <w:color w:val="000000" w:themeColor="text1"/>
          <w:sz w:val="18"/>
          <w:szCs w:val="18"/>
        </w:rPr>
        <w:t>Cafiero</w:t>
      </w:r>
      <w:proofErr w:type="spellEnd"/>
      <w:r w:rsidRPr="00A203A6">
        <w:rPr>
          <w:rFonts w:cs="Times New Roman"/>
          <w:color w:val="000000" w:themeColor="text1"/>
          <w:sz w:val="18"/>
          <w:szCs w:val="18"/>
        </w:rPr>
        <w:t xml:space="preserve"> may conceptualize all “propaganda of the deed” as direct action, they do not conceive of all direct action as “propaganda of the deed.”</w:t>
      </w:r>
    </w:p>
    <w:p w14:paraId="3963A7CC"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See Dan Colson, “Propaganda and the Deed: Anarchism, Violence, and the Representational Impulse,” </w:t>
      </w:r>
      <w:r w:rsidRPr="00A203A6">
        <w:rPr>
          <w:rFonts w:cs="Times New Roman"/>
          <w:i/>
          <w:iCs/>
          <w:color w:val="000000" w:themeColor="text1"/>
          <w:sz w:val="18"/>
          <w:szCs w:val="18"/>
        </w:rPr>
        <w:t xml:space="preserve">American </w:t>
      </w:r>
      <w:r w:rsidRPr="00A203A6">
        <w:rPr>
          <w:rFonts w:cs="Times New Roman"/>
          <w:color w:val="000000" w:themeColor="text1"/>
          <w:sz w:val="18"/>
          <w:szCs w:val="18"/>
        </w:rPr>
        <w:t>Studies 55, no. 4 (2017): 167.</w:t>
      </w:r>
    </w:p>
  </w:footnote>
  <w:footnote w:id="211">
    <w:p w14:paraId="3F29049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Arthur H. Garrison, “Defining Terrorism: Philosophy of the Bomb, Propaganda by Deed and Change Through Fear and Violence,” </w:t>
      </w:r>
      <w:r w:rsidRPr="00A203A6">
        <w:rPr>
          <w:rFonts w:cs="Times New Roman"/>
          <w:i/>
          <w:iCs/>
          <w:color w:val="000000" w:themeColor="text1"/>
          <w:sz w:val="18"/>
          <w:szCs w:val="18"/>
        </w:rPr>
        <w:t>Criminal Justice Studies: A Critical Journal of Crime, Law and Society</w:t>
      </w:r>
      <w:r w:rsidRPr="00A203A6">
        <w:rPr>
          <w:rFonts w:cs="Times New Roman"/>
          <w:color w:val="000000" w:themeColor="text1"/>
          <w:sz w:val="18"/>
          <w:szCs w:val="18"/>
        </w:rPr>
        <w:t xml:space="preserve"> 17, no. 3 (2004): 265.</w:t>
      </w:r>
    </w:p>
  </w:footnote>
  <w:footnote w:id="212">
    <w:p w14:paraId="23A1F9A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373.</w:t>
      </w:r>
    </w:p>
  </w:footnote>
  <w:footnote w:id="213">
    <w:p w14:paraId="17F2A175"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Marie Fleming, “Propaganda by the Deed.” In Yonah Alexander and Kenneth Myers (eds.), </w:t>
      </w:r>
      <w:r w:rsidRPr="00A203A6">
        <w:rPr>
          <w:rFonts w:cs="Times New Roman"/>
          <w:i/>
          <w:iCs/>
          <w:color w:val="000000" w:themeColor="text1"/>
          <w:sz w:val="18"/>
          <w:szCs w:val="18"/>
        </w:rPr>
        <w:t>Terrorism in Europe (RLE: Terrorism &amp; Insurgency)</w:t>
      </w:r>
      <w:r w:rsidRPr="00A203A6">
        <w:rPr>
          <w:rFonts w:cs="Times New Roman"/>
          <w:color w:val="000000" w:themeColor="text1"/>
          <w:sz w:val="18"/>
          <w:szCs w:val="18"/>
        </w:rPr>
        <w:t xml:space="preserve"> (Abingdon: Routledge, 2015): 17.</w:t>
      </w:r>
    </w:p>
  </w:footnote>
  <w:footnote w:id="214">
    <w:p w14:paraId="5228C4A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Mikhail Bakunin, “Letters to a Frenchman on the Present Crisis”. In Sam Dolgoff (ed., trans.), </w:t>
      </w:r>
      <w:r w:rsidRPr="00A203A6">
        <w:rPr>
          <w:rFonts w:cs="Times New Roman"/>
          <w:i/>
          <w:iCs/>
          <w:color w:val="000000" w:themeColor="text1"/>
          <w:sz w:val="18"/>
          <w:szCs w:val="18"/>
        </w:rPr>
        <w:t>Bakunin on Anarchy</w:t>
      </w:r>
      <w:r w:rsidRPr="00A203A6">
        <w:rPr>
          <w:rFonts w:cs="Times New Roman"/>
          <w:color w:val="000000" w:themeColor="text1"/>
          <w:sz w:val="18"/>
          <w:szCs w:val="18"/>
        </w:rPr>
        <w:t xml:space="preserve"> (New York City: Vintage Books, 1971).</w:t>
      </w:r>
    </w:p>
  </w:footnote>
  <w:footnote w:id="215">
    <w:p w14:paraId="010DB2AF"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Zeev</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Ivianski</w:t>
      </w:r>
      <w:proofErr w:type="spellEnd"/>
      <w:r w:rsidRPr="00A203A6">
        <w:rPr>
          <w:rFonts w:cs="Times New Roman"/>
          <w:color w:val="000000" w:themeColor="text1"/>
          <w:sz w:val="18"/>
          <w:szCs w:val="18"/>
        </w:rPr>
        <w:t>, “Source of Inspiration for Revolutionary Terrorism – The Bakunin-</w:t>
      </w:r>
      <w:proofErr w:type="spellStart"/>
      <w:r w:rsidRPr="00A203A6">
        <w:rPr>
          <w:rFonts w:cs="Times New Roman"/>
          <w:color w:val="000000" w:themeColor="text1"/>
          <w:sz w:val="18"/>
          <w:szCs w:val="18"/>
        </w:rPr>
        <w:t>Nechayev</w:t>
      </w:r>
      <w:proofErr w:type="spellEnd"/>
      <w:r w:rsidRPr="00A203A6">
        <w:rPr>
          <w:rFonts w:cs="Times New Roman"/>
          <w:color w:val="000000" w:themeColor="text1"/>
          <w:sz w:val="18"/>
          <w:szCs w:val="18"/>
        </w:rPr>
        <w:t xml:space="preserve"> Alliance,” </w:t>
      </w:r>
      <w:r w:rsidRPr="00A203A6">
        <w:rPr>
          <w:rFonts w:cs="Times New Roman"/>
          <w:i/>
          <w:iCs/>
          <w:color w:val="000000" w:themeColor="text1"/>
          <w:sz w:val="18"/>
          <w:szCs w:val="18"/>
        </w:rPr>
        <w:t>Conflict Quarterly</w:t>
      </w:r>
      <w:r w:rsidRPr="00A203A6">
        <w:rPr>
          <w:rFonts w:cs="Times New Roman"/>
          <w:color w:val="000000" w:themeColor="text1"/>
          <w:sz w:val="18"/>
          <w:szCs w:val="18"/>
        </w:rPr>
        <w:t xml:space="preserve"> 8 (1988): 49-68.</w:t>
      </w:r>
    </w:p>
  </w:footnote>
  <w:footnote w:id="216">
    <w:p w14:paraId="058C9FE5" w14:textId="77777777" w:rsidR="00BE0E9B" w:rsidRPr="00A203A6" w:rsidRDefault="00BE0E9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w:t>
      </w:r>
      <w:proofErr w:type="spellStart"/>
      <w:r w:rsidRPr="00A203A6">
        <w:rPr>
          <w:i/>
          <w:iCs/>
          <w:color w:val="000000" w:themeColor="text1"/>
          <w:sz w:val="18"/>
          <w:szCs w:val="18"/>
        </w:rPr>
        <w:t>Narodnaya</w:t>
      </w:r>
      <w:proofErr w:type="spellEnd"/>
      <w:r w:rsidRPr="00A203A6">
        <w:rPr>
          <w:i/>
          <w:iCs/>
          <w:color w:val="000000" w:themeColor="text1"/>
          <w:sz w:val="18"/>
          <w:szCs w:val="18"/>
        </w:rPr>
        <w:t xml:space="preserve"> </w:t>
      </w:r>
      <w:proofErr w:type="spellStart"/>
      <w:r w:rsidRPr="00A203A6">
        <w:rPr>
          <w:i/>
          <w:iCs/>
          <w:color w:val="000000" w:themeColor="text1"/>
          <w:sz w:val="18"/>
          <w:szCs w:val="18"/>
        </w:rPr>
        <w:t>Volya</w:t>
      </w:r>
      <w:proofErr w:type="spellEnd"/>
      <w:r w:rsidRPr="00A203A6">
        <w:rPr>
          <w:color w:val="000000" w:themeColor="text1"/>
          <w:sz w:val="18"/>
          <w:szCs w:val="18"/>
        </w:rPr>
        <w:t xml:space="preserve"> has been hailed by scholars like Ze’ev </w:t>
      </w:r>
      <w:proofErr w:type="spellStart"/>
      <w:r w:rsidRPr="00A203A6">
        <w:rPr>
          <w:color w:val="000000" w:themeColor="text1"/>
          <w:sz w:val="18"/>
          <w:szCs w:val="18"/>
        </w:rPr>
        <w:t>Iviansky</w:t>
      </w:r>
      <w:proofErr w:type="spellEnd"/>
      <w:r w:rsidRPr="00A203A6">
        <w:rPr>
          <w:color w:val="000000" w:themeColor="text1"/>
          <w:sz w:val="18"/>
          <w:szCs w:val="18"/>
        </w:rPr>
        <w:t xml:space="preserve">, Margaret Scanlan, and Bruce Hoffman as the first terrorist organization, but it is important to note that it was not an anarchist organization. As Richard Bach Jensen points out, </w:t>
      </w:r>
      <w:proofErr w:type="spellStart"/>
      <w:r w:rsidRPr="00A203A6">
        <w:rPr>
          <w:i/>
          <w:iCs/>
          <w:color w:val="000000" w:themeColor="text1"/>
          <w:sz w:val="18"/>
          <w:szCs w:val="18"/>
        </w:rPr>
        <w:t>Narodnaya</w:t>
      </w:r>
      <w:proofErr w:type="spellEnd"/>
      <w:r w:rsidRPr="00A203A6">
        <w:rPr>
          <w:i/>
          <w:iCs/>
          <w:color w:val="000000" w:themeColor="text1"/>
          <w:sz w:val="18"/>
          <w:szCs w:val="18"/>
        </w:rPr>
        <w:t xml:space="preserve"> </w:t>
      </w:r>
      <w:proofErr w:type="spellStart"/>
      <w:r w:rsidRPr="00A203A6">
        <w:rPr>
          <w:i/>
          <w:iCs/>
          <w:color w:val="000000" w:themeColor="text1"/>
          <w:sz w:val="18"/>
          <w:szCs w:val="18"/>
        </w:rPr>
        <w:t>Volya</w:t>
      </w:r>
      <w:proofErr w:type="spellEnd"/>
      <w:r w:rsidRPr="00A203A6">
        <w:rPr>
          <w:color w:val="000000" w:themeColor="text1"/>
          <w:sz w:val="18"/>
          <w:szCs w:val="18"/>
        </w:rPr>
        <w:t xml:space="preserve"> “was authoritarian and hierarchical and intended to create a popular dictatorship after toppling the Czar. Most anarchists rejected authoritarian political structures, even if devised by themselves, and after the revolution favored turning power over to autonomous local groups and organizations.” (Richard Bach Jensen, “Daggers, Rifles and Dynamite: Anarchist Terrorism in Nineteenth Century Europe,” </w:t>
      </w:r>
      <w:r w:rsidRPr="00A203A6">
        <w:rPr>
          <w:i/>
          <w:iCs/>
          <w:color w:val="000000" w:themeColor="text1"/>
          <w:sz w:val="18"/>
          <w:szCs w:val="18"/>
        </w:rPr>
        <w:t xml:space="preserve">Terrorism and Political Violence </w:t>
      </w:r>
      <w:r w:rsidRPr="00A203A6">
        <w:rPr>
          <w:color w:val="000000" w:themeColor="text1"/>
          <w:sz w:val="18"/>
          <w:szCs w:val="18"/>
        </w:rPr>
        <w:t xml:space="preserve">16, no. 1 (2004): 129.) See also Ze’ev </w:t>
      </w:r>
      <w:proofErr w:type="spellStart"/>
      <w:r w:rsidRPr="00A203A6">
        <w:rPr>
          <w:color w:val="000000" w:themeColor="text1"/>
          <w:sz w:val="18"/>
          <w:szCs w:val="18"/>
        </w:rPr>
        <w:t>Iviansky</w:t>
      </w:r>
      <w:proofErr w:type="spellEnd"/>
      <w:r w:rsidRPr="00A203A6">
        <w:rPr>
          <w:color w:val="000000" w:themeColor="text1"/>
          <w:sz w:val="18"/>
          <w:szCs w:val="18"/>
        </w:rPr>
        <w:t xml:space="preserve">, “Individual Terror: Concept and Typology,” </w:t>
      </w:r>
      <w:r w:rsidRPr="00A203A6">
        <w:rPr>
          <w:i/>
          <w:iCs/>
          <w:color w:val="000000" w:themeColor="text1"/>
          <w:sz w:val="18"/>
          <w:szCs w:val="18"/>
        </w:rPr>
        <w:t>Journal of Contemporary History</w:t>
      </w:r>
      <w:r w:rsidRPr="00A203A6">
        <w:rPr>
          <w:color w:val="000000" w:themeColor="text1"/>
          <w:sz w:val="18"/>
          <w:szCs w:val="18"/>
        </w:rPr>
        <w:t xml:space="preserve"> 12, no. 1 (1977): 43-63; Margaret Scanlan, </w:t>
      </w:r>
      <w:r w:rsidRPr="00A203A6">
        <w:rPr>
          <w:i/>
          <w:iCs/>
          <w:color w:val="000000" w:themeColor="text1"/>
          <w:sz w:val="18"/>
          <w:szCs w:val="18"/>
        </w:rPr>
        <w:t>Plotting Terror: Novelists and Terrorists in Contemporary Fiction</w:t>
      </w:r>
      <w:r w:rsidRPr="00A203A6">
        <w:rPr>
          <w:color w:val="000000" w:themeColor="text1"/>
          <w:sz w:val="18"/>
          <w:szCs w:val="18"/>
        </w:rPr>
        <w:t xml:space="preserve"> (Charlottesville: University Press of Virginia, 2001): 182; Bruce Hoffman, </w:t>
      </w:r>
      <w:r w:rsidRPr="00A203A6">
        <w:rPr>
          <w:i/>
          <w:iCs/>
          <w:color w:val="000000" w:themeColor="text1"/>
          <w:sz w:val="18"/>
          <w:szCs w:val="18"/>
        </w:rPr>
        <w:t>Inside Terrorism</w:t>
      </w:r>
      <w:r w:rsidRPr="00A203A6">
        <w:rPr>
          <w:color w:val="000000" w:themeColor="text1"/>
          <w:sz w:val="18"/>
          <w:szCs w:val="18"/>
        </w:rPr>
        <w:t>. (New York City: Columbia University Press, 2006).</w:t>
      </w:r>
    </w:p>
  </w:footnote>
  <w:footnote w:id="217">
    <w:p w14:paraId="7EDED022" w14:textId="77777777" w:rsidR="00BE0E9B" w:rsidRPr="00A203A6" w:rsidRDefault="00BE0E9B" w:rsidP="00787EBB">
      <w:pPr>
        <w:pStyle w:val="FootnoteText"/>
        <w:spacing w:before="0" w:after="80"/>
        <w:rPr>
          <w:rFonts w:cs="Times New Roman"/>
          <w:color w:val="000000" w:themeColor="text1"/>
          <w:sz w:val="18"/>
          <w:szCs w:val="18"/>
          <w:u w:val="single"/>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David Rapoport, </w:t>
      </w:r>
      <w:r w:rsidRPr="00A203A6">
        <w:rPr>
          <w:rFonts w:cs="Times New Roman"/>
          <w:i/>
          <w:iCs/>
          <w:color w:val="000000" w:themeColor="text1"/>
          <w:sz w:val="18"/>
          <w:szCs w:val="18"/>
        </w:rPr>
        <w:t>Waves of Global Terrorism From 1879 to Present</w:t>
      </w:r>
      <w:r w:rsidRPr="00A203A6">
        <w:rPr>
          <w:rFonts w:cs="Times New Roman"/>
          <w:color w:val="000000" w:themeColor="text1"/>
          <w:sz w:val="18"/>
          <w:szCs w:val="18"/>
        </w:rPr>
        <w:t xml:space="preserve"> (New York City: Columbia University Press: 2022): 65-110.</w:t>
      </w:r>
    </w:p>
  </w:footnote>
  <w:footnote w:id="218">
    <w:p w14:paraId="44E399A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Jean </w:t>
      </w:r>
      <w:proofErr w:type="spellStart"/>
      <w:r w:rsidRPr="00A203A6">
        <w:rPr>
          <w:rFonts w:cs="Times New Roman"/>
          <w:color w:val="000000" w:themeColor="text1"/>
          <w:sz w:val="18"/>
          <w:szCs w:val="18"/>
        </w:rPr>
        <w:t>Maitron</w:t>
      </w:r>
      <w:proofErr w:type="spellEnd"/>
      <w:r w:rsidRPr="00A203A6">
        <w:rPr>
          <w:rFonts w:cs="Times New Roman"/>
          <w:color w:val="000000" w:themeColor="text1"/>
          <w:sz w:val="18"/>
          <w:szCs w:val="18"/>
        </w:rPr>
        <w:t xml:space="preserve">, </w:t>
      </w:r>
      <w:proofErr w:type="spellStart"/>
      <w:r w:rsidRPr="00A203A6">
        <w:rPr>
          <w:rFonts w:cs="Times New Roman"/>
          <w:i/>
          <w:iCs/>
          <w:color w:val="000000" w:themeColor="text1"/>
          <w:sz w:val="18"/>
          <w:szCs w:val="18"/>
        </w:rPr>
        <w:t>Ravachol</w:t>
      </w:r>
      <w:proofErr w:type="spellEnd"/>
      <w:r w:rsidRPr="00A203A6">
        <w:rPr>
          <w:rFonts w:cs="Times New Roman"/>
          <w:i/>
          <w:iCs/>
          <w:color w:val="000000" w:themeColor="text1"/>
          <w:sz w:val="18"/>
          <w:szCs w:val="18"/>
        </w:rPr>
        <w:t xml:space="preserve"> et les </w:t>
      </w:r>
      <w:proofErr w:type="spellStart"/>
      <w:r w:rsidRPr="00A203A6">
        <w:rPr>
          <w:rFonts w:cs="Times New Roman"/>
          <w:i/>
          <w:iCs/>
          <w:color w:val="000000" w:themeColor="text1"/>
          <w:sz w:val="18"/>
          <w:szCs w:val="18"/>
        </w:rPr>
        <w:t>anarchistes</w:t>
      </w:r>
      <w:proofErr w:type="spellEnd"/>
      <w:r w:rsidRPr="00A203A6">
        <w:rPr>
          <w:rFonts w:cs="Times New Roman"/>
          <w:i/>
          <w:iCs/>
          <w:color w:val="000000" w:themeColor="text1"/>
          <w:sz w:val="18"/>
          <w:szCs w:val="18"/>
        </w:rPr>
        <w:t xml:space="preserve"> </w:t>
      </w:r>
      <w:r w:rsidRPr="00A203A6">
        <w:rPr>
          <w:rFonts w:cs="Times New Roman"/>
          <w:color w:val="000000" w:themeColor="text1"/>
          <w:sz w:val="18"/>
          <w:szCs w:val="18"/>
        </w:rPr>
        <w:t xml:space="preserve">(Paris: Gallimard, 1992): 12. As cited in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375.</w:t>
      </w:r>
    </w:p>
  </w:footnote>
  <w:footnote w:id="219">
    <w:p w14:paraId="6A8B5D0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Fleming, “Propaganda by the Deed,” 17.</w:t>
      </w:r>
    </w:p>
  </w:footnote>
  <w:footnote w:id="220">
    <w:p w14:paraId="7F7CFE4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Fleming, “Propaganda by the Deed,” 17;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373.</w:t>
      </w:r>
    </w:p>
  </w:footnote>
  <w:footnote w:id="221">
    <w:p w14:paraId="7933EC1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374.</w:t>
      </w:r>
    </w:p>
  </w:footnote>
  <w:footnote w:id="222">
    <w:p w14:paraId="57F529C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374.</w:t>
      </w:r>
    </w:p>
  </w:footnote>
  <w:footnote w:id="223">
    <w:p w14:paraId="734FFDF8" w14:textId="77777777" w:rsidR="00BE0E9B" w:rsidRPr="00A203A6" w:rsidRDefault="00BE0E9B" w:rsidP="00787EBB">
      <w:pPr>
        <w:spacing w:before="0" w:after="80"/>
        <w:rPr>
          <w:rFonts w:eastAsia="Times New Roman"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Max </w:t>
      </w:r>
      <w:proofErr w:type="spellStart"/>
      <w:r w:rsidRPr="00A203A6">
        <w:rPr>
          <w:rFonts w:cs="Times New Roman"/>
          <w:color w:val="000000" w:themeColor="text1"/>
          <w:sz w:val="18"/>
          <w:szCs w:val="18"/>
        </w:rPr>
        <w:t>Nettlau</w:t>
      </w:r>
      <w:proofErr w:type="spellEnd"/>
      <w:r w:rsidRPr="00A203A6">
        <w:rPr>
          <w:rFonts w:cs="Times New Roman"/>
          <w:color w:val="000000" w:themeColor="text1"/>
          <w:sz w:val="18"/>
          <w:szCs w:val="18"/>
        </w:rPr>
        <w:t xml:space="preserve">, “Attentats.” In </w:t>
      </w:r>
      <w:proofErr w:type="spellStart"/>
      <w:r w:rsidRPr="00A203A6">
        <w:rPr>
          <w:rFonts w:cs="Times New Roman"/>
          <w:color w:val="000000" w:themeColor="text1"/>
          <w:sz w:val="18"/>
          <w:szCs w:val="18"/>
        </w:rPr>
        <w:t>Sébastian</w:t>
      </w:r>
      <w:proofErr w:type="spellEnd"/>
      <w:r w:rsidRPr="00A203A6">
        <w:rPr>
          <w:rFonts w:cs="Times New Roman"/>
          <w:color w:val="000000" w:themeColor="text1"/>
          <w:sz w:val="18"/>
          <w:szCs w:val="18"/>
        </w:rPr>
        <w:t xml:space="preserve"> Faure, </w:t>
      </w:r>
      <w:proofErr w:type="spellStart"/>
      <w:r w:rsidRPr="00A203A6">
        <w:rPr>
          <w:rFonts w:cs="Times New Roman"/>
          <w:color w:val="000000" w:themeColor="text1"/>
          <w:sz w:val="18"/>
          <w:szCs w:val="18"/>
        </w:rPr>
        <w:t>L’</w:t>
      </w:r>
      <w:r w:rsidRPr="00A203A6">
        <w:rPr>
          <w:rFonts w:cs="Times New Roman"/>
          <w:i/>
          <w:iCs/>
          <w:color w:val="000000" w:themeColor="text1"/>
          <w:sz w:val="18"/>
          <w:szCs w:val="18"/>
        </w:rPr>
        <w:t>Encyclopédia</w:t>
      </w:r>
      <w:proofErr w:type="spellEnd"/>
      <w:r w:rsidRPr="00A203A6">
        <w:rPr>
          <w:rFonts w:cs="Times New Roman"/>
          <w:i/>
          <w:iCs/>
          <w:color w:val="000000" w:themeColor="text1"/>
          <w:sz w:val="18"/>
          <w:szCs w:val="18"/>
        </w:rPr>
        <w:t xml:space="preserve"> </w:t>
      </w:r>
      <w:proofErr w:type="spellStart"/>
      <w:r w:rsidRPr="00A203A6">
        <w:rPr>
          <w:rFonts w:cs="Times New Roman"/>
          <w:i/>
          <w:iCs/>
          <w:color w:val="000000" w:themeColor="text1"/>
          <w:sz w:val="18"/>
          <w:szCs w:val="18"/>
        </w:rPr>
        <w:t>anarchiste</w:t>
      </w:r>
      <w:proofErr w:type="spellEnd"/>
      <w:r w:rsidRPr="00A203A6">
        <w:rPr>
          <w:rFonts w:cs="Times New Roman"/>
          <w:i/>
          <w:iCs/>
          <w:color w:val="000000" w:themeColor="text1"/>
          <w:sz w:val="18"/>
          <w:szCs w:val="18"/>
        </w:rPr>
        <w:t xml:space="preserve"> </w:t>
      </w:r>
      <w:r w:rsidRPr="00A203A6">
        <w:rPr>
          <w:rFonts w:cs="Times New Roman"/>
          <w:color w:val="000000" w:themeColor="text1"/>
          <w:sz w:val="18"/>
          <w:szCs w:val="18"/>
        </w:rPr>
        <w:t>(</w:t>
      </w:r>
      <w:r w:rsidRPr="00A203A6">
        <w:rPr>
          <w:rFonts w:eastAsia="Times New Roman" w:cs="Times New Roman"/>
          <w:color w:val="000000" w:themeColor="text1"/>
          <w:sz w:val="18"/>
          <w:szCs w:val="18"/>
          <w:shd w:val="clear" w:color="auto" w:fill="FFFFFF"/>
        </w:rPr>
        <w:t xml:space="preserve">Paris: Editions de la </w:t>
      </w:r>
      <w:proofErr w:type="spellStart"/>
      <w:r w:rsidRPr="00A203A6">
        <w:rPr>
          <w:rFonts w:eastAsia="Times New Roman" w:cs="Times New Roman"/>
          <w:color w:val="000000" w:themeColor="text1"/>
          <w:sz w:val="18"/>
          <w:szCs w:val="18"/>
          <w:shd w:val="clear" w:color="auto" w:fill="FFFFFF"/>
        </w:rPr>
        <w:t>Librairie</w:t>
      </w:r>
      <w:proofErr w:type="spellEnd"/>
      <w:r w:rsidRPr="00A203A6">
        <w:rPr>
          <w:rFonts w:eastAsia="Times New Roman" w:cs="Times New Roman"/>
          <w:color w:val="000000" w:themeColor="text1"/>
          <w:sz w:val="18"/>
          <w:szCs w:val="18"/>
          <w:shd w:val="clear" w:color="auto" w:fill="FFFFFF"/>
        </w:rPr>
        <w:t xml:space="preserve"> </w:t>
      </w:r>
      <w:proofErr w:type="spellStart"/>
      <w:r w:rsidRPr="00A203A6">
        <w:rPr>
          <w:rFonts w:eastAsia="Times New Roman" w:cs="Times New Roman"/>
          <w:color w:val="000000" w:themeColor="text1"/>
          <w:sz w:val="18"/>
          <w:szCs w:val="18"/>
          <w:shd w:val="clear" w:color="auto" w:fill="FFFFFF"/>
        </w:rPr>
        <w:t>Internationale</w:t>
      </w:r>
      <w:proofErr w:type="spellEnd"/>
      <w:r w:rsidRPr="00A203A6">
        <w:rPr>
          <w:rFonts w:eastAsia="Times New Roman" w:cs="Times New Roman"/>
          <w:color w:val="000000" w:themeColor="text1"/>
          <w:sz w:val="18"/>
          <w:szCs w:val="18"/>
          <w:shd w:val="clear" w:color="auto" w:fill="FFFFFF"/>
        </w:rPr>
        <w:t>, 1934)</w:t>
      </w:r>
      <w:r w:rsidRPr="00A203A6">
        <w:rPr>
          <w:rFonts w:cs="Times New Roman"/>
          <w:color w:val="000000" w:themeColor="text1"/>
          <w:sz w:val="18"/>
          <w:szCs w:val="18"/>
        </w:rPr>
        <w:t xml:space="preserve">. As cited in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374.</w:t>
      </w:r>
    </w:p>
  </w:footnote>
  <w:footnote w:id="224">
    <w:p w14:paraId="5ECF1505" w14:textId="77777777" w:rsidR="00BE0E9B" w:rsidRPr="00A203A6" w:rsidRDefault="00BE0E9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Andrew Carlson, </w:t>
      </w:r>
      <w:r w:rsidRPr="00A203A6">
        <w:rPr>
          <w:i/>
          <w:iCs/>
          <w:color w:val="000000" w:themeColor="text1"/>
          <w:sz w:val="18"/>
          <w:szCs w:val="18"/>
        </w:rPr>
        <w:t>Anarchism in Germany, 1: The Early Movement</w:t>
      </w:r>
      <w:r w:rsidRPr="00A203A6">
        <w:rPr>
          <w:color w:val="000000" w:themeColor="text1"/>
          <w:sz w:val="18"/>
          <w:szCs w:val="18"/>
        </w:rPr>
        <w:t xml:space="preserve"> (Metuchen: Scarecrow Press, 1972): 203-310; and Jensen, “Daggers, Rifles and Dynamite,” 130. As cited in Benjamin Wray </w:t>
      </w:r>
      <w:proofErr w:type="spellStart"/>
      <w:r w:rsidRPr="00A203A6">
        <w:rPr>
          <w:color w:val="000000" w:themeColor="text1"/>
          <w:sz w:val="18"/>
          <w:szCs w:val="18"/>
        </w:rPr>
        <w:t>Pottruff</w:t>
      </w:r>
      <w:proofErr w:type="spellEnd"/>
      <w:r w:rsidRPr="00A203A6">
        <w:rPr>
          <w:color w:val="000000" w:themeColor="text1"/>
          <w:sz w:val="18"/>
          <w:szCs w:val="18"/>
        </w:rPr>
        <w:t>, “The Anarchist Peril: Industrial Violence and the Propaganda of Fear in Turn of the Century America, 1886-1908.” Ph.D. diss. University of Toronto (2015): 4.</w:t>
      </w:r>
    </w:p>
  </w:footnote>
  <w:footnote w:id="225">
    <w:p w14:paraId="49663975" w14:textId="77777777" w:rsidR="00BE0E9B" w:rsidRPr="00A203A6" w:rsidRDefault="00BE0E9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Jean </w:t>
      </w:r>
      <w:proofErr w:type="spellStart"/>
      <w:r w:rsidRPr="00A203A6">
        <w:rPr>
          <w:color w:val="000000" w:themeColor="text1"/>
          <w:sz w:val="18"/>
          <w:szCs w:val="18"/>
        </w:rPr>
        <w:t>Maitron</w:t>
      </w:r>
      <w:proofErr w:type="spellEnd"/>
      <w:r w:rsidRPr="00A203A6">
        <w:rPr>
          <w:color w:val="000000" w:themeColor="text1"/>
          <w:sz w:val="18"/>
          <w:szCs w:val="18"/>
        </w:rPr>
        <w:t xml:space="preserve">, </w:t>
      </w:r>
      <w:proofErr w:type="spellStart"/>
      <w:r w:rsidRPr="00A203A6">
        <w:rPr>
          <w:i/>
          <w:iCs/>
          <w:color w:val="000000" w:themeColor="text1"/>
          <w:sz w:val="18"/>
          <w:szCs w:val="18"/>
        </w:rPr>
        <w:t>Histoire</w:t>
      </w:r>
      <w:proofErr w:type="spellEnd"/>
      <w:r w:rsidRPr="00A203A6">
        <w:rPr>
          <w:i/>
          <w:iCs/>
          <w:color w:val="000000" w:themeColor="text1"/>
          <w:sz w:val="18"/>
          <w:szCs w:val="18"/>
        </w:rPr>
        <w:t xml:space="preserve"> du </w:t>
      </w:r>
      <w:proofErr w:type="spellStart"/>
      <w:r w:rsidRPr="00A203A6">
        <w:rPr>
          <w:i/>
          <w:iCs/>
          <w:color w:val="000000" w:themeColor="text1"/>
          <w:sz w:val="18"/>
          <w:szCs w:val="18"/>
        </w:rPr>
        <w:t>Mouvement</w:t>
      </w:r>
      <w:proofErr w:type="spellEnd"/>
      <w:r w:rsidRPr="00A203A6">
        <w:rPr>
          <w:i/>
          <w:iCs/>
          <w:color w:val="000000" w:themeColor="text1"/>
          <w:sz w:val="18"/>
          <w:szCs w:val="18"/>
        </w:rPr>
        <w:t xml:space="preserve"> </w:t>
      </w:r>
      <w:proofErr w:type="spellStart"/>
      <w:r w:rsidRPr="00A203A6">
        <w:rPr>
          <w:i/>
          <w:iCs/>
          <w:color w:val="000000" w:themeColor="text1"/>
          <w:sz w:val="18"/>
          <w:szCs w:val="18"/>
        </w:rPr>
        <w:t>Anarchiste</w:t>
      </w:r>
      <w:proofErr w:type="spellEnd"/>
      <w:r w:rsidRPr="00A203A6">
        <w:rPr>
          <w:i/>
          <w:iCs/>
          <w:color w:val="000000" w:themeColor="text1"/>
          <w:sz w:val="18"/>
          <w:szCs w:val="18"/>
        </w:rPr>
        <w:t xml:space="preserve"> </w:t>
      </w:r>
      <w:proofErr w:type="spellStart"/>
      <w:r w:rsidRPr="00A203A6">
        <w:rPr>
          <w:i/>
          <w:iCs/>
          <w:color w:val="000000" w:themeColor="text1"/>
          <w:sz w:val="18"/>
          <w:szCs w:val="18"/>
        </w:rPr>
        <w:t>en</w:t>
      </w:r>
      <w:proofErr w:type="spellEnd"/>
      <w:r w:rsidRPr="00A203A6">
        <w:rPr>
          <w:i/>
          <w:iCs/>
          <w:color w:val="000000" w:themeColor="text1"/>
          <w:sz w:val="18"/>
          <w:szCs w:val="18"/>
        </w:rPr>
        <w:t xml:space="preserve"> France: 1880-1914 </w:t>
      </w:r>
      <w:r w:rsidRPr="00A203A6">
        <w:rPr>
          <w:color w:val="000000" w:themeColor="text1"/>
          <w:sz w:val="18"/>
          <w:szCs w:val="18"/>
        </w:rPr>
        <w:t xml:space="preserve">(Paris: </w:t>
      </w:r>
      <w:proofErr w:type="spellStart"/>
      <w:r w:rsidRPr="00A203A6">
        <w:rPr>
          <w:color w:val="000000" w:themeColor="text1"/>
          <w:sz w:val="18"/>
          <w:szCs w:val="18"/>
        </w:rPr>
        <w:t>Sociéte</w:t>
      </w:r>
      <w:proofErr w:type="spellEnd"/>
      <w:r w:rsidRPr="00A203A6">
        <w:rPr>
          <w:color w:val="000000" w:themeColor="text1"/>
          <w:sz w:val="18"/>
          <w:szCs w:val="18"/>
        </w:rPr>
        <w:t xml:space="preserve">́ </w:t>
      </w:r>
      <w:proofErr w:type="spellStart"/>
      <w:r w:rsidRPr="00A203A6">
        <w:rPr>
          <w:color w:val="000000" w:themeColor="text1"/>
          <w:sz w:val="18"/>
          <w:szCs w:val="18"/>
        </w:rPr>
        <w:t>Universitaire</w:t>
      </w:r>
      <w:proofErr w:type="spellEnd"/>
      <w:r w:rsidRPr="00A203A6">
        <w:rPr>
          <w:color w:val="000000" w:themeColor="text1"/>
          <w:sz w:val="18"/>
          <w:szCs w:val="18"/>
        </w:rPr>
        <w:t xml:space="preserve"> </w:t>
      </w:r>
      <w:proofErr w:type="spellStart"/>
      <w:r w:rsidRPr="00A203A6">
        <w:rPr>
          <w:color w:val="000000" w:themeColor="text1"/>
          <w:sz w:val="18"/>
          <w:szCs w:val="18"/>
        </w:rPr>
        <w:t>d’Edition</w:t>
      </w:r>
      <w:proofErr w:type="spellEnd"/>
      <w:r w:rsidRPr="00A203A6">
        <w:rPr>
          <w:color w:val="000000" w:themeColor="text1"/>
          <w:sz w:val="18"/>
          <w:szCs w:val="18"/>
        </w:rPr>
        <w:t xml:space="preserve"> et de </w:t>
      </w:r>
      <w:proofErr w:type="spellStart"/>
      <w:r w:rsidRPr="00A203A6">
        <w:rPr>
          <w:color w:val="000000" w:themeColor="text1"/>
          <w:sz w:val="18"/>
          <w:szCs w:val="18"/>
        </w:rPr>
        <w:t>Librarie</w:t>
      </w:r>
      <w:proofErr w:type="spellEnd"/>
      <w:r w:rsidRPr="00A203A6">
        <w:rPr>
          <w:color w:val="000000" w:themeColor="text1"/>
          <w:sz w:val="18"/>
          <w:szCs w:val="18"/>
        </w:rPr>
        <w:t>, 1951): 205; Annemarie Springer, “Terrorism and Anarchy: Late 19</w:t>
      </w:r>
      <w:r w:rsidRPr="00A203A6">
        <w:rPr>
          <w:color w:val="000000" w:themeColor="text1"/>
          <w:sz w:val="18"/>
          <w:szCs w:val="18"/>
          <w:vertAlign w:val="superscript"/>
        </w:rPr>
        <w:t>th</w:t>
      </w:r>
      <w:r w:rsidRPr="00A203A6">
        <w:rPr>
          <w:color w:val="000000" w:themeColor="text1"/>
          <w:sz w:val="18"/>
          <w:szCs w:val="18"/>
        </w:rPr>
        <w:t xml:space="preserve">-century Images of a Political Phenomenon in France,” </w:t>
      </w:r>
      <w:r w:rsidRPr="00A203A6">
        <w:rPr>
          <w:i/>
          <w:iCs/>
          <w:color w:val="000000" w:themeColor="text1"/>
          <w:sz w:val="18"/>
          <w:szCs w:val="18"/>
        </w:rPr>
        <w:t xml:space="preserve">Art Journal </w:t>
      </w:r>
      <w:r w:rsidRPr="00A203A6">
        <w:rPr>
          <w:color w:val="000000" w:themeColor="text1"/>
          <w:sz w:val="18"/>
          <w:szCs w:val="18"/>
        </w:rPr>
        <w:t xml:space="preserve">38, no. 4 (1979): 261-266; Fleming, “Propaganda by the Deed,” 1-23; Edward J. Erickson, “Punishing the Mad Bomber: Questions of Moral Responsibility in the Trials of French Anarchist Terrorists, 1886–1897,” </w:t>
      </w:r>
      <w:r w:rsidRPr="00A203A6">
        <w:rPr>
          <w:i/>
          <w:iCs/>
          <w:color w:val="000000" w:themeColor="text1"/>
          <w:sz w:val="18"/>
          <w:szCs w:val="18"/>
        </w:rPr>
        <w:t xml:space="preserve">French History </w:t>
      </w:r>
      <w:r w:rsidRPr="00A203A6">
        <w:rPr>
          <w:color w:val="000000" w:themeColor="text1"/>
          <w:sz w:val="18"/>
          <w:szCs w:val="18"/>
        </w:rPr>
        <w:t xml:space="preserve">22, no. 1 (2008): 51-73. </w:t>
      </w:r>
    </w:p>
  </w:footnote>
  <w:footnote w:id="226">
    <w:p w14:paraId="71B712C5" w14:textId="77777777" w:rsidR="00BE0E9B" w:rsidRPr="00A203A6" w:rsidRDefault="00BE0E9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Some scholars (like those cited here) attribute the Haymarket bombing to anarchists. Such attribution poses a problem similar to the issues brought about by the use of the descriptor ‘terrorist’ as a pejorative (I explicitly address this point in Chapter 3). Similar to this use of the ‘terrorism’ label, scholarship that arbitrarily applies the label ‘anarchist’ can lack any meaningful historical context or distinction. As such, attribution of the Haymarket bombings to a specific class of perpetrator can vary from source to source. For sources that assume the Haymarket bombings were perpetrated by anarchists, see Theodore Peterson, </w:t>
      </w:r>
      <w:r w:rsidRPr="00A203A6">
        <w:rPr>
          <w:i/>
          <w:iCs/>
          <w:color w:val="000000" w:themeColor="text1"/>
          <w:sz w:val="18"/>
          <w:szCs w:val="18"/>
        </w:rPr>
        <w:t xml:space="preserve">Magazines in the Twentieth Century </w:t>
      </w:r>
      <w:r w:rsidRPr="00A203A6">
        <w:rPr>
          <w:color w:val="000000" w:themeColor="text1"/>
          <w:sz w:val="18"/>
          <w:szCs w:val="18"/>
        </w:rPr>
        <w:t xml:space="preserve">(Urbana: University of Illinois Press, 1964): 6-7; Anthony Smith, </w:t>
      </w:r>
      <w:r w:rsidRPr="00A203A6">
        <w:rPr>
          <w:i/>
          <w:iCs/>
          <w:color w:val="000000" w:themeColor="text1"/>
          <w:sz w:val="18"/>
          <w:szCs w:val="18"/>
        </w:rPr>
        <w:t xml:space="preserve">The Newspaper: An International History </w:t>
      </w:r>
      <w:r w:rsidRPr="00A203A6">
        <w:rPr>
          <w:color w:val="000000" w:themeColor="text1"/>
          <w:sz w:val="18"/>
          <w:szCs w:val="18"/>
        </w:rPr>
        <w:t xml:space="preserve">(London: Thames and Hudson, 1979): 152-160; Menahem </w:t>
      </w:r>
      <w:proofErr w:type="spellStart"/>
      <w:r w:rsidRPr="00A203A6">
        <w:rPr>
          <w:color w:val="000000" w:themeColor="text1"/>
          <w:sz w:val="18"/>
          <w:szCs w:val="18"/>
        </w:rPr>
        <w:t>Blondheim</w:t>
      </w:r>
      <w:proofErr w:type="spellEnd"/>
      <w:r w:rsidRPr="00A203A6">
        <w:rPr>
          <w:color w:val="000000" w:themeColor="text1"/>
          <w:sz w:val="18"/>
          <w:szCs w:val="18"/>
        </w:rPr>
        <w:t xml:space="preserve">, </w:t>
      </w:r>
      <w:r w:rsidRPr="00A203A6">
        <w:rPr>
          <w:i/>
          <w:iCs/>
          <w:color w:val="000000" w:themeColor="text1"/>
          <w:sz w:val="18"/>
          <w:szCs w:val="18"/>
        </w:rPr>
        <w:t xml:space="preserve">News Over the Wires: The Telegraph and the Flow of Public Information in America, 1844-1897 </w:t>
      </w:r>
      <w:r w:rsidRPr="00A203A6">
        <w:rPr>
          <w:color w:val="000000" w:themeColor="text1"/>
          <w:sz w:val="18"/>
          <w:szCs w:val="18"/>
        </w:rPr>
        <w:t xml:space="preserve">(Cambridge: Harvard University Press, 1994). </w:t>
      </w:r>
    </w:p>
  </w:footnote>
  <w:footnote w:id="227">
    <w:p w14:paraId="1758048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Jensen, “Daggers, Rifles and Dynamite,” 125.</w:t>
      </w:r>
    </w:p>
  </w:footnote>
  <w:footnote w:id="228">
    <w:p w14:paraId="26B29DB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Fleming, “Propaganda by the Deed,” 17.</w:t>
      </w:r>
    </w:p>
  </w:footnote>
  <w:footnote w:id="229">
    <w:p w14:paraId="2D5933D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Jensen, “Daggers, Rifles and Dynamite,” 125.</w:t>
      </w:r>
    </w:p>
  </w:footnote>
  <w:footnote w:id="230">
    <w:p w14:paraId="5225DDEC"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Jensen, </w:t>
      </w:r>
      <w:r w:rsidRPr="00A203A6">
        <w:rPr>
          <w:rFonts w:cs="Times New Roman"/>
          <w:i/>
          <w:iCs/>
          <w:color w:val="000000" w:themeColor="text1"/>
          <w:sz w:val="18"/>
          <w:szCs w:val="18"/>
        </w:rPr>
        <w:t>The Battle Against Anarchist Terrorism</w:t>
      </w:r>
      <w:r w:rsidRPr="00A203A6">
        <w:rPr>
          <w:rFonts w:cs="Times New Roman"/>
          <w:color w:val="000000" w:themeColor="text1"/>
          <w:sz w:val="18"/>
          <w:szCs w:val="18"/>
        </w:rPr>
        <w:t>, 31</w:t>
      </w:r>
    </w:p>
  </w:footnote>
  <w:footnote w:id="231">
    <w:p w14:paraId="11BF906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Shirk, “The Universal Eye,” 334.</w:t>
      </w:r>
    </w:p>
  </w:footnote>
  <w:footnote w:id="232">
    <w:p w14:paraId="7D12DDC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Shirk, “The Universal Eye,” 334. Here, I use “scare quotes” to express skepticism as to this use of the term anarchist as a descriptive label. (Refer back to Footnote 209 (Chapter 5, “Propaganda of the Deed” (Page 91)) for a more fulsome explanation that justifies my view on a similar point.)</w:t>
      </w:r>
    </w:p>
  </w:footnote>
  <w:footnote w:id="233">
    <w:p w14:paraId="57D34E3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Richard Bach Jensen, </w:t>
      </w:r>
      <w:r w:rsidRPr="00A203A6">
        <w:rPr>
          <w:rFonts w:cs="Times New Roman"/>
          <w:i/>
          <w:iCs/>
          <w:color w:val="000000" w:themeColor="text1"/>
          <w:sz w:val="18"/>
          <w:szCs w:val="18"/>
        </w:rPr>
        <w:t>The Battle Against Anarchist Terrorism: An International History 1878-1934</w:t>
      </w:r>
      <w:r w:rsidRPr="00A203A6">
        <w:rPr>
          <w:rFonts w:cs="Times New Roman"/>
          <w:color w:val="000000" w:themeColor="text1"/>
          <w:sz w:val="18"/>
          <w:szCs w:val="18"/>
        </w:rPr>
        <w:t xml:space="preserve"> (Cambridge: Cambridge University Press, 2014): 31.</w:t>
      </w:r>
    </w:p>
  </w:footnote>
  <w:footnote w:id="234">
    <w:p w14:paraId="606CB14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Jensen, </w:t>
      </w:r>
      <w:r w:rsidRPr="00A203A6">
        <w:rPr>
          <w:rFonts w:cs="Times New Roman"/>
          <w:i/>
          <w:iCs/>
          <w:color w:val="000000" w:themeColor="text1"/>
          <w:sz w:val="18"/>
          <w:szCs w:val="18"/>
        </w:rPr>
        <w:t>The Battle Against Anarchist Terrorism</w:t>
      </w:r>
      <w:r w:rsidRPr="00A203A6">
        <w:rPr>
          <w:rFonts w:cs="Times New Roman"/>
          <w:color w:val="000000" w:themeColor="text1"/>
          <w:sz w:val="18"/>
          <w:szCs w:val="18"/>
        </w:rPr>
        <w:t xml:space="preserve">, 31; Shirk, “The Universal Eye,” 338; Ruth </w:t>
      </w:r>
      <w:proofErr w:type="spellStart"/>
      <w:r w:rsidRPr="00A203A6">
        <w:rPr>
          <w:rFonts w:cs="Times New Roman"/>
          <w:color w:val="000000" w:themeColor="text1"/>
          <w:sz w:val="18"/>
          <w:szCs w:val="18"/>
        </w:rPr>
        <w:t>Kinna</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Early Writings on Terrorism (Vol. 4)</w:t>
      </w:r>
      <w:r w:rsidRPr="00A203A6">
        <w:rPr>
          <w:rFonts w:cs="Times New Roman"/>
          <w:color w:val="000000" w:themeColor="text1"/>
          <w:sz w:val="18"/>
          <w:szCs w:val="18"/>
        </w:rPr>
        <w:t xml:space="preserve"> (London: Routledge, 2006): 360. As cited in Shirk, “The Universal Eye,” 338.</w:t>
      </w:r>
    </w:p>
  </w:footnote>
  <w:footnote w:id="235">
    <w:p w14:paraId="44D8EE9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372.</w:t>
      </w:r>
    </w:p>
  </w:footnote>
  <w:footnote w:id="236">
    <w:p w14:paraId="5145165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378.</w:t>
      </w:r>
    </w:p>
  </w:footnote>
  <w:footnote w:id="237">
    <w:p w14:paraId="6277673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David K. Lyons, </w:t>
      </w:r>
      <w:r w:rsidRPr="00A203A6">
        <w:rPr>
          <w:rFonts w:cs="Times New Roman"/>
          <w:i/>
          <w:iCs/>
          <w:color w:val="000000" w:themeColor="text1"/>
          <w:sz w:val="18"/>
          <w:szCs w:val="18"/>
        </w:rPr>
        <w:t xml:space="preserve">Analyzing the Effectives of Al Qaeda’s Online Influence Operations by Means of Propaganda Theory </w:t>
      </w:r>
      <w:r w:rsidRPr="00A203A6">
        <w:rPr>
          <w:rFonts w:cs="Times New Roman"/>
          <w:color w:val="000000" w:themeColor="text1"/>
          <w:sz w:val="18"/>
          <w:szCs w:val="18"/>
        </w:rPr>
        <w:t>(El Paso: Texas Western Press of the University of Texas at El Paso, 2013): 62.</w:t>
      </w:r>
    </w:p>
  </w:footnote>
  <w:footnote w:id="238">
    <w:p w14:paraId="19BE9D3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Arthur H. Garrison, “Defining Terrorism: Philosophy of the Bomb, Propaganda by Deed and Change Through Fear and Violence,” </w:t>
      </w:r>
      <w:r w:rsidRPr="00A203A6">
        <w:rPr>
          <w:rFonts w:cs="Times New Roman"/>
          <w:i/>
          <w:iCs/>
          <w:color w:val="000000" w:themeColor="text1"/>
          <w:sz w:val="18"/>
          <w:szCs w:val="18"/>
        </w:rPr>
        <w:t>Criminal Justice Studies</w:t>
      </w:r>
      <w:r w:rsidRPr="00A203A6">
        <w:rPr>
          <w:rFonts w:cs="Times New Roman"/>
          <w:color w:val="000000" w:themeColor="text1"/>
          <w:sz w:val="18"/>
          <w:szCs w:val="18"/>
        </w:rPr>
        <w:t xml:space="preserve"> 17, no. 3 (2004): 259-279.</w:t>
      </w:r>
    </w:p>
  </w:footnote>
  <w:footnote w:id="239">
    <w:p w14:paraId="40A3103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Neville Bolt, “Propaganda of the Deed and the Irish Republican Brotherhood,” </w:t>
      </w:r>
      <w:r w:rsidRPr="00A203A6">
        <w:rPr>
          <w:rFonts w:cs="Times New Roman"/>
          <w:i/>
          <w:iCs/>
          <w:color w:val="000000" w:themeColor="text1"/>
          <w:sz w:val="18"/>
          <w:szCs w:val="18"/>
        </w:rPr>
        <w:t>The Royal United Services Institute (RUSI) Journal</w:t>
      </w:r>
      <w:r w:rsidRPr="00A203A6">
        <w:rPr>
          <w:rFonts w:cs="Times New Roman"/>
          <w:color w:val="000000" w:themeColor="text1"/>
          <w:sz w:val="18"/>
          <w:szCs w:val="18"/>
        </w:rPr>
        <w:t xml:space="preserve"> 153, no. 1 (2008): 48-54.</w:t>
      </w:r>
    </w:p>
  </w:footnote>
  <w:footnote w:id="240">
    <w:p w14:paraId="4AB1ECC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Randall Law, </w:t>
      </w:r>
      <w:r w:rsidRPr="00A203A6">
        <w:rPr>
          <w:rFonts w:cs="Times New Roman"/>
          <w:i/>
          <w:iCs/>
          <w:color w:val="000000" w:themeColor="text1"/>
          <w:sz w:val="18"/>
          <w:szCs w:val="18"/>
        </w:rPr>
        <w:t>Terrorism: A History</w:t>
      </w:r>
      <w:r w:rsidRPr="00A203A6">
        <w:rPr>
          <w:rFonts w:cs="Times New Roman"/>
          <w:color w:val="000000" w:themeColor="text1"/>
          <w:sz w:val="18"/>
          <w:szCs w:val="18"/>
        </w:rPr>
        <w:t xml:space="preserve"> (Cambridge: Polity Press, 2009); Matt Carr, “Cloaks, Daggers and Dynamite,” </w:t>
      </w:r>
      <w:r w:rsidRPr="00A203A6">
        <w:rPr>
          <w:rFonts w:cs="Times New Roman"/>
          <w:i/>
          <w:iCs/>
          <w:color w:val="000000" w:themeColor="text1"/>
          <w:sz w:val="18"/>
          <w:szCs w:val="18"/>
        </w:rPr>
        <w:t>History Today</w:t>
      </w:r>
      <w:r w:rsidRPr="00A203A6">
        <w:rPr>
          <w:rFonts w:cs="Times New Roman"/>
          <w:color w:val="000000" w:themeColor="text1"/>
          <w:sz w:val="18"/>
          <w:szCs w:val="18"/>
        </w:rPr>
        <w:t xml:space="preserve"> 57, no. 12 (2007): 29-31; Gerard Chaliand and Arnaud Blin (eds.), </w:t>
      </w:r>
      <w:r w:rsidRPr="00A203A6">
        <w:rPr>
          <w:rFonts w:cs="Times New Roman"/>
          <w:i/>
          <w:iCs/>
          <w:color w:val="000000" w:themeColor="text1"/>
          <w:sz w:val="18"/>
          <w:szCs w:val="18"/>
        </w:rPr>
        <w:t>The History of Terrorism: From Antiquity to Al Qaeda</w:t>
      </w:r>
      <w:r w:rsidRPr="00A203A6">
        <w:rPr>
          <w:rFonts w:cs="Times New Roman"/>
          <w:color w:val="000000" w:themeColor="text1"/>
          <w:sz w:val="18"/>
          <w:szCs w:val="18"/>
        </w:rPr>
        <w:t xml:space="preserve"> (Berkely: University of California Press, 2007): 33-40.</w:t>
      </w:r>
    </w:p>
  </w:footnote>
  <w:footnote w:id="241">
    <w:p w14:paraId="26D4EC6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Ariel Merari, “Terrorism as a Strategy of Insurgency,” </w:t>
      </w:r>
      <w:r w:rsidRPr="00A203A6">
        <w:rPr>
          <w:rFonts w:cs="Times New Roman"/>
          <w:i/>
          <w:iCs/>
          <w:color w:val="000000" w:themeColor="text1"/>
          <w:sz w:val="18"/>
          <w:szCs w:val="18"/>
        </w:rPr>
        <w:t>Terrorism and Political Violence</w:t>
      </w:r>
      <w:r w:rsidRPr="00A203A6">
        <w:rPr>
          <w:rFonts w:cs="Times New Roman"/>
          <w:color w:val="000000" w:themeColor="text1"/>
          <w:sz w:val="18"/>
          <w:szCs w:val="18"/>
        </w:rPr>
        <w:t xml:space="preserve"> 5, no. 4 (1993): 213-251.</w:t>
      </w:r>
    </w:p>
  </w:footnote>
  <w:footnote w:id="242">
    <w:p w14:paraId="517EE78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James H. </w:t>
      </w:r>
      <w:proofErr w:type="spellStart"/>
      <w:r w:rsidRPr="00A203A6">
        <w:rPr>
          <w:rFonts w:cs="Times New Roman"/>
          <w:color w:val="000000" w:themeColor="text1"/>
          <w:sz w:val="18"/>
          <w:szCs w:val="18"/>
        </w:rPr>
        <w:t>Billington</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Fire in the Minds of Men</w:t>
      </w:r>
      <w:r w:rsidRPr="00A203A6">
        <w:rPr>
          <w:rFonts w:cs="Times New Roman"/>
          <w:color w:val="000000" w:themeColor="text1"/>
          <w:sz w:val="18"/>
          <w:szCs w:val="18"/>
        </w:rPr>
        <w:t xml:space="preserve"> (London: Temple Smith, 1980); Fleming, “Propaganda by the Deed,” 1-23; Walter </w:t>
      </w:r>
      <w:proofErr w:type="spellStart"/>
      <w:r w:rsidRPr="00A203A6">
        <w:rPr>
          <w:rFonts w:cs="Times New Roman"/>
          <w:color w:val="000000" w:themeColor="text1"/>
          <w:sz w:val="18"/>
          <w:szCs w:val="18"/>
        </w:rPr>
        <w:t>Lacqueur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Age of Terrorism</w:t>
      </w:r>
      <w:r w:rsidRPr="00A203A6">
        <w:rPr>
          <w:rFonts w:cs="Times New Roman"/>
          <w:color w:val="000000" w:themeColor="text1"/>
          <w:sz w:val="18"/>
          <w:szCs w:val="18"/>
        </w:rPr>
        <w:t xml:space="preserve"> (Boston: Little Brown and Co., 1987): 410.</w:t>
      </w:r>
    </w:p>
  </w:footnote>
  <w:footnote w:id="243">
    <w:p w14:paraId="0C85801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Laqueur, </w:t>
      </w:r>
      <w:r w:rsidRPr="00A203A6">
        <w:rPr>
          <w:rFonts w:cs="Times New Roman"/>
          <w:i/>
          <w:iCs/>
          <w:color w:val="000000" w:themeColor="text1"/>
          <w:sz w:val="18"/>
          <w:szCs w:val="18"/>
        </w:rPr>
        <w:t>The Age of Terrorism</w:t>
      </w:r>
      <w:r w:rsidRPr="00A203A6">
        <w:rPr>
          <w:rFonts w:cs="Times New Roman"/>
          <w:color w:val="000000" w:themeColor="text1"/>
          <w:sz w:val="18"/>
          <w:szCs w:val="18"/>
        </w:rPr>
        <w:t>, 70-71.</w:t>
      </w:r>
    </w:p>
  </w:footnote>
  <w:footnote w:id="244">
    <w:p w14:paraId="788F957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Carr, “Cloaks, Daggers, and Dynamite,” 29-31; Campion, “Under the Shadows of Swords,” 43; Chaliand &amp; Blin, </w:t>
      </w:r>
      <w:r w:rsidRPr="00A203A6">
        <w:rPr>
          <w:rFonts w:cs="Times New Roman"/>
          <w:i/>
          <w:iCs/>
          <w:color w:val="000000" w:themeColor="text1"/>
          <w:sz w:val="18"/>
          <w:szCs w:val="18"/>
        </w:rPr>
        <w:t>The History of Terrorism</w:t>
      </w:r>
      <w:r w:rsidRPr="00A203A6">
        <w:rPr>
          <w:rFonts w:cs="Times New Roman"/>
          <w:color w:val="000000" w:themeColor="text1"/>
          <w:sz w:val="18"/>
          <w:szCs w:val="18"/>
        </w:rPr>
        <w:t>, 40.</w:t>
      </w:r>
    </w:p>
  </w:footnote>
  <w:footnote w:id="245">
    <w:p w14:paraId="37670A3F"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Law, </w:t>
      </w:r>
      <w:r w:rsidRPr="00A203A6">
        <w:rPr>
          <w:rFonts w:cs="Times New Roman"/>
          <w:i/>
          <w:iCs/>
          <w:color w:val="000000" w:themeColor="text1"/>
          <w:sz w:val="18"/>
          <w:szCs w:val="18"/>
        </w:rPr>
        <w:t>Terrorism</w:t>
      </w:r>
      <w:r w:rsidRPr="00A203A6">
        <w:rPr>
          <w:rFonts w:cs="Times New Roman"/>
          <w:color w:val="000000" w:themeColor="text1"/>
          <w:sz w:val="18"/>
          <w:szCs w:val="18"/>
        </w:rPr>
        <w:t>, 86.</w:t>
      </w:r>
    </w:p>
  </w:footnote>
  <w:footnote w:id="246">
    <w:p w14:paraId="0700D5F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Campion, “Under the Shadows of Swords,” 39.</w:t>
      </w:r>
    </w:p>
  </w:footnote>
  <w:footnote w:id="247">
    <w:p w14:paraId="461C948F"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Campion, “Under the Shadows of Swords,” 39.</w:t>
      </w:r>
    </w:p>
  </w:footnote>
  <w:footnote w:id="248">
    <w:p w14:paraId="517BFE2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Nicholas J. </w:t>
      </w:r>
      <w:proofErr w:type="spellStart"/>
      <w:r w:rsidRPr="00A203A6">
        <w:rPr>
          <w:rFonts w:cs="Times New Roman"/>
          <w:color w:val="000000" w:themeColor="text1"/>
          <w:sz w:val="18"/>
          <w:szCs w:val="18"/>
        </w:rPr>
        <w:t>O’Shaunessy</w:t>
      </w:r>
      <w:proofErr w:type="spellEnd"/>
      <w:r w:rsidRPr="00A203A6">
        <w:rPr>
          <w:rFonts w:cs="Times New Roman"/>
          <w:color w:val="000000" w:themeColor="text1"/>
          <w:sz w:val="18"/>
          <w:szCs w:val="18"/>
        </w:rPr>
        <w:t xml:space="preserve"> and Paul R. </w:t>
      </w:r>
      <w:proofErr w:type="spellStart"/>
      <w:r w:rsidRPr="00A203A6">
        <w:rPr>
          <w:rFonts w:cs="Times New Roman"/>
          <w:color w:val="000000" w:themeColor="text1"/>
          <w:sz w:val="18"/>
          <w:szCs w:val="18"/>
        </w:rPr>
        <w:t>Blaines</w:t>
      </w:r>
      <w:proofErr w:type="spellEnd"/>
      <w:r w:rsidRPr="00A203A6">
        <w:rPr>
          <w:rFonts w:cs="Times New Roman"/>
          <w:color w:val="000000" w:themeColor="text1"/>
          <w:sz w:val="18"/>
          <w:szCs w:val="18"/>
        </w:rPr>
        <w:t xml:space="preserve">, “Selling Terror: The Symbolization and Positioning of Jihad,” </w:t>
      </w:r>
      <w:r w:rsidRPr="00A203A6">
        <w:rPr>
          <w:rFonts w:cs="Times New Roman"/>
          <w:i/>
          <w:iCs/>
          <w:color w:val="000000" w:themeColor="text1"/>
          <w:sz w:val="18"/>
          <w:szCs w:val="18"/>
        </w:rPr>
        <w:t>Marketing Theory</w:t>
      </w:r>
      <w:r w:rsidRPr="00A203A6">
        <w:rPr>
          <w:rFonts w:cs="Times New Roman"/>
          <w:color w:val="000000" w:themeColor="text1"/>
          <w:sz w:val="18"/>
          <w:szCs w:val="18"/>
        </w:rPr>
        <w:t xml:space="preserve"> 9, no. 2 (2009): 227-241.</w:t>
      </w:r>
    </w:p>
  </w:footnote>
  <w:footnote w:id="249">
    <w:p w14:paraId="1CD1ED9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Judith </w:t>
      </w:r>
      <w:proofErr w:type="spellStart"/>
      <w:r w:rsidRPr="00A203A6">
        <w:rPr>
          <w:rFonts w:cs="Times New Roman"/>
          <w:color w:val="000000" w:themeColor="text1"/>
          <w:sz w:val="18"/>
          <w:szCs w:val="18"/>
        </w:rPr>
        <w:t>Suissa</w:t>
      </w:r>
      <w:proofErr w:type="spellEnd"/>
      <w:r w:rsidRPr="00A203A6">
        <w:rPr>
          <w:rFonts w:cs="Times New Roman"/>
          <w:color w:val="000000" w:themeColor="text1"/>
          <w:sz w:val="18"/>
          <w:szCs w:val="18"/>
        </w:rPr>
        <w:t xml:space="preserve">, “Education and Non-domination: Reflections from the Radical Tradition,” </w:t>
      </w:r>
      <w:r w:rsidRPr="00A203A6">
        <w:rPr>
          <w:rFonts w:cs="Times New Roman"/>
          <w:i/>
          <w:iCs/>
          <w:color w:val="000000" w:themeColor="text1"/>
          <w:sz w:val="18"/>
          <w:szCs w:val="18"/>
        </w:rPr>
        <w:t>Studies in Philosophy and Education</w:t>
      </w:r>
      <w:r w:rsidRPr="00A203A6">
        <w:rPr>
          <w:rFonts w:cs="Times New Roman"/>
          <w:color w:val="000000" w:themeColor="text1"/>
          <w:sz w:val="18"/>
          <w:szCs w:val="18"/>
        </w:rPr>
        <w:t xml:space="preserve"> 38, no. 4 (2019): 359-375.</w:t>
      </w:r>
    </w:p>
  </w:footnote>
  <w:footnote w:id="250">
    <w:p w14:paraId="3C94A86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374.</w:t>
      </w:r>
    </w:p>
  </w:footnote>
  <w:footnote w:id="251">
    <w:p w14:paraId="2E0C41A5"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Jensen, </w:t>
      </w:r>
      <w:r w:rsidRPr="00A203A6">
        <w:rPr>
          <w:rFonts w:cs="Times New Roman"/>
          <w:i/>
          <w:iCs/>
          <w:color w:val="000000" w:themeColor="text1"/>
          <w:sz w:val="18"/>
          <w:szCs w:val="18"/>
        </w:rPr>
        <w:t>The Battle Against Anarchist Terrorism</w:t>
      </w:r>
      <w:r w:rsidRPr="00A203A6">
        <w:rPr>
          <w:rFonts w:cs="Times New Roman"/>
          <w:color w:val="000000" w:themeColor="text1"/>
          <w:sz w:val="18"/>
          <w:szCs w:val="18"/>
        </w:rPr>
        <w:t>, 31</w:t>
      </w:r>
    </w:p>
  </w:footnote>
  <w:footnote w:id="252">
    <w:p w14:paraId="273F1775"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Suissa</w:t>
      </w:r>
      <w:proofErr w:type="spellEnd"/>
      <w:r w:rsidRPr="00A203A6">
        <w:rPr>
          <w:rFonts w:cs="Times New Roman"/>
          <w:color w:val="000000" w:themeColor="text1"/>
          <w:sz w:val="18"/>
          <w:szCs w:val="18"/>
        </w:rPr>
        <w:t>, “Education and Non-domination,” 359-375.</w:t>
      </w:r>
    </w:p>
  </w:footnote>
  <w:footnote w:id="253">
    <w:p w14:paraId="3A73A60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372.</w:t>
      </w:r>
    </w:p>
  </w:footnote>
  <w:footnote w:id="254">
    <w:p w14:paraId="01B5B2D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Bantman</w:t>
      </w:r>
      <w:proofErr w:type="spellEnd"/>
      <w:r w:rsidRPr="00A203A6">
        <w:rPr>
          <w:rFonts w:cs="Times New Roman"/>
          <w:color w:val="000000" w:themeColor="text1"/>
          <w:sz w:val="18"/>
          <w:szCs w:val="18"/>
        </w:rPr>
        <w:t>, “The Era of Propaganda by the Deed,” 382.</w:t>
      </w:r>
    </w:p>
  </w:footnote>
  <w:footnote w:id="255">
    <w:p w14:paraId="329B8AF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John M. Merriman, </w:t>
      </w:r>
      <w:r w:rsidRPr="00A203A6">
        <w:rPr>
          <w:rFonts w:cs="Times New Roman"/>
          <w:i/>
          <w:iCs/>
          <w:color w:val="000000" w:themeColor="text1"/>
          <w:sz w:val="18"/>
          <w:szCs w:val="18"/>
        </w:rPr>
        <w:t>The Dynamite Club: How a Bombing in Fin-de-Siècle Paris Ignited the Age of Modern Terror</w:t>
      </w:r>
      <w:r w:rsidRPr="00A203A6">
        <w:rPr>
          <w:rFonts w:cs="Times New Roman"/>
          <w:color w:val="000000" w:themeColor="text1"/>
          <w:sz w:val="18"/>
          <w:szCs w:val="18"/>
        </w:rPr>
        <w:t xml:space="preserve"> (New Haven: Yale University Press, 2016): 63.</w:t>
      </w:r>
    </w:p>
  </w:footnote>
  <w:footnote w:id="256">
    <w:p w14:paraId="142F3F4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Paul Wilkinson, “The Media and Terrorism: A Reassessment,” </w:t>
      </w:r>
      <w:r w:rsidRPr="00A203A6">
        <w:rPr>
          <w:rFonts w:cs="Times New Roman"/>
          <w:i/>
          <w:iCs/>
          <w:color w:val="000000" w:themeColor="text1"/>
          <w:sz w:val="18"/>
          <w:szCs w:val="18"/>
        </w:rPr>
        <w:t>Terrorism and Political Violence</w:t>
      </w:r>
      <w:r w:rsidRPr="00A203A6">
        <w:rPr>
          <w:rFonts w:cs="Times New Roman"/>
          <w:color w:val="000000" w:themeColor="text1"/>
          <w:sz w:val="18"/>
          <w:szCs w:val="18"/>
        </w:rPr>
        <w:t xml:space="preserve"> 9, no. 2 (1997): 51. For further analysis of the relationship between the media coverage of terrorist activity, see Alex P. Schmid and Janny de Graaf, </w:t>
      </w:r>
      <w:r w:rsidRPr="00A203A6">
        <w:rPr>
          <w:rFonts w:cs="Times New Roman"/>
          <w:i/>
          <w:iCs/>
          <w:color w:val="000000" w:themeColor="text1"/>
          <w:sz w:val="18"/>
          <w:szCs w:val="18"/>
        </w:rPr>
        <w:t>Violence as Communication: Insurgent Terrorism and the Western News Media</w:t>
      </w:r>
      <w:r w:rsidRPr="00A203A6">
        <w:rPr>
          <w:rFonts w:cs="Times New Roman"/>
          <w:color w:val="000000" w:themeColor="text1"/>
          <w:sz w:val="18"/>
          <w:szCs w:val="18"/>
        </w:rPr>
        <w:t xml:space="preserve"> (Beverly Hills: Sage, 1982); Richard Clutterbuck, </w:t>
      </w:r>
      <w:r w:rsidRPr="00A203A6">
        <w:rPr>
          <w:rFonts w:cs="Times New Roman"/>
          <w:i/>
          <w:iCs/>
          <w:color w:val="000000" w:themeColor="text1"/>
          <w:sz w:val="18"/>
          <w:szCs w:val="18"/>
        </w:rPr>
        <w:t xml:space="preserve">The Media and Political Violence </w:t>
      </w:r>
      <w:r w:rsidRPr="00A203A6">
        <w:rPr>
          <w:rFonts w:cs="Times New Roman"/>
          <w:color w:val="000000" w:themeColor="text1"/>
          <w:sz w:val="18"/>
          <w:szCs w:val="18"/>
        </w:rPr>
        <w:t xml:space="preserve">(London: Macmillan, 1981); Abraham Miller (ed.), </w:t>
      </w:r>
      <w:r w:rsidRPr="00A203A6">
        <w:rPr>
          <w:rFonts w:cs="Times New Roman"/>
          <w:i/>
          <w:iCs/>
          <w:color w:val="000000" w:themeColor="text1"/>
          <w:sz w:val="18"/>
          <w:szCs w:val="18"/>
        </w:rPr>
        <w:t>Terror, the Media and the Law</w:t>
      </w:r>
      <w:r w:rsidRPr="00A203A6">
        <w:rPr>
          <w:rFonts w:cs="Times New Roman"/>
          <w:color w:val="000000" w:themeColor="text1"/>
          <w:sz w:val="18"/>
          <w:szCs w:val="18"/>
        </w:rPr>
        <w:t xml:space="preserve"> (Dobbs Ferry: Transaction, 1982).</w:t>
      </w:r>
    </w:p>
  </w:footnote>
  <w:footnote w:id="257">
    <w:p w14:paraId="739ABEC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Michel </w:t>
      </w:r>
      <w:proofErr w:type="spellStart"/>
      <w:r w:rsidRPr="00A203A6">
        <w:rPr>
          <w:rFonts w:cs="Times New Roman"/>
          <w:color w:val="000000" w:themeColor="text1"/>
          <w:sz w:val="18"/>
          <w:szCs w:val="18"/>
        </w:rPr>
        <w:t>Wieviorka</w:t>
      </w:r>
      <w:proofErr w:type="spellEnd"/>
      <w:r w:rsidRPr="00A203A6">
        <w:rPr>
          <w:rFonts w:cs="Times New Roman"/>
          <w:color w:val="000000" w:themeColor="text1"/>
          <w:sz w:val="18"/>
          <w:szCs w:val="18"/>
        </w:rPr>
        <w:t xml:space="preserve"> and David Gordon White (trans.), </w:t>
      </w:r>
      <w:r w:rsidRPr="00A203A6">
        <w:rPr>
          <w:rFonts w:cs="Times New Roman"/>
          <w:i/>
          <w:iCs/>
          <w:color w:val="000000" w:themeColor="text1"/>
          <w:sz w:val="18"/>
          <w:szCs w:val="18"/>
        </w:rPr>
        <w:t>The Making of Terrorism</w:t>
      </w:r>
      <w:r w:rsidRPr="00A203A6">
        <w:rPr>
          <w:rFonts w:cs="Times New Roman"/>
          <w:color w:val="000000" w:themeColor="text1"/>
          <w:sz w:val="18"/>
          <w:szCs w:val="18"/>
        </w:rPr>
        <w:t xml:space="preserve"> (Chicago: University of Chicago Press, 1993): 42.</w:t>
      </w:r>
    </w:p>
    <w:p w14:paraId="12960FDF"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Between 1968 and 1970, PFLP terrorists perpetrated the armed hijackings of seven commercial flights. Notably, these hijackings included flights that did not constitute Israeli targets (Pan Am flight 93, from Brussels to New York via Amsterdam; Swiss Air flight 100, from Zurich, Switzerland to New York; British Overseas Airways Corporation (BOAC) flight 775, from Bahrain to Beirut, Lebanon). This series of attacks included the three flights diverted to Dawson’s Field in </w:t>
      </w:r>
      <w:proofErr w:type="spellStart"/>
      <w:r w:rsidRPr="00A203A6">
        <w:rPr>
          <w:rFonts w:cs="Times New Roman"/>
          <w:color w:val="000000" w:themeColor="text1"/>
          <w:sz w:val="18"/>
          <w:szCs w:val="18"/>
        </w:rPr>
        <w:t>Zerqa</w:t>
      </w:r>
      <w:proofErr w:type="spellEnd"/>
      <w:r w:rsidRPr="00A203A6">
        <w:rPr>
          <w:rFonts w:cs="Times New Roman"/>
          <w:color w:val="000000" w:themeColor="text1"/>
          <w:sz w:val="18"/>
          <w:szCs w:val="18"/>
        </w:rPr>
        <w:t xml:space="preserve">, Jordan (Trans World Airlines flight 741, Swissair flight 100, and British Overseas Airways Corporation (BOAC) flight 775). The PFLP ultimately detonated explosives onboard the three aircrafts, destroying them in front of international news media, after the successful evacuation of all passengers on September 12, 1970. The Dawson’s Field incident is cited as an underlying reason for the clashes between Jordanian forces and Yasser Arafat’s Palestinian Liberation Organization (PLO) in the context of the 1970 Jordanian Civil War. See Kamal </w:t>
      </w:r>
      <w:proofErr w:type="spellStart"/>
      <w:r w:rsidRPr="00A203A6">
        <w:rPr>
          <w:rFonts w:cs="Times New Roman"/>
          <w:color w:val="000000" w:themeColor="text1"/>
          <w:sz w:val="18"/>
          <w:szCs w:val="18"/>
        </w:rPr>
        <w:t>Salibi</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Modern History of Jordan</w:t>
      </w:r>
      <w:r w:rsidRPr="00A203A6">
        <w:rPr>
          <w:rFonts w:cs="Times New Roman"/>
          <w:color w:val="000000" w:themeColor="text1"/>
          <w:sz w:val="18"/>
          <w:szCs w:val="18"/>
        </w:rPr>
        <w:t xml:space="preserve"> (New York City: I.B. Tauris, 1998).</w:t>
      </w:r>
    </w:p>
  </w:footnote>
  <w:footnote w:id="258">
    <w:p w14:paraId="21EB926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Wieviorka</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Making of Terrorism</w:t>
      </w:r>
      <w:r w:rsidRPr="00A203A6">
        <w:rPr>
          <w:rFonts w:cs="Times New Roman"/>
          <w:color w:val="000000" w:themeColor="text1"/>
          <w:sz w:val="18"/>
          <w:szCs w:val="18"/>
        </w:rPr>
        <w:t>, 42.</w:t>
      </w:r>
    </w:p>
  </w:footnote>
  <w:footnote w:id="259">
    <w:p w14:paraId="655BB88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Brigitte Lebens </w:t>
      </w:r>
      <w:proofErr w:type="spellStart"/>
      <w:r w:rsidRPr="00A203A6">
        <w:rPr>
          <w:rFonts w:cs="Times New Roman"/>
          <w:color w:val="000000" w:themeColor="text1"/>
          <w:sz w:val="18"/>
          <w:szCs w:val="18"/>
        </w:rPr>
        <w:t>Nacos</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 xml:space="preserve">Terrorism and the Media: From the Iran Hostage Crisis to the World Trade Center Bombing </w:t>
      </w:r>
      <w:r w:rsidRPr="00A203A6">
        <w:rPr>
          <w:rFonts w:cs="Times New Roman"/>
          <w:color w:val="000000" w:themeColor="text1"/>
          <w:sz w:val="18"/>
          <w:szCs w:val="18"/>
        </w:rPr>
        <w:t>(New York City: Columbia University Press, 1994): 3.</w:t>
      </w:r>
    </w:p>
  </w:footnote>
  <w:footnote w:id="260">
    <w:p w14:paraId="0AC307B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Nacos</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3.</w:t>
      </w:r>
    </w:p>
  </w:footnote>
  <w:footnote w:id="261">
    <w:p w14:paraId="770B7D7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Nacos</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3.</w:t>
      </w:r>
    </w:p>
  </w:footnote>
  <w:footnote w:id="262">
    <w:p w14:paraId="0ED9792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Wieviorka</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Making of Terrorism</w:t>
      </w:r>
      <w:r w:rsidRPr="00A203A6">
        <w:rPr>
          <w:rFonts w:cs="Times New Roman"/>
          <w:color w:val="000000" w:themeColor="text1"/>
          <w:sz w:val="18"/>
          <w:szCs w:val="18"/>
        </w:rPr>
        <w:t>, 42.</w:t>
      </w:r>
    </w:p>
  </w:footnote>
  <w:footnote w:id="263">
    <w:p w14:paraId="480A94A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Wieviorka</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Making of Terrorism</w:t>
      </w:r>
      <w:r w:rsidRPr="00A203A6">
        <w:rPr>
          <w:rFonts w:cs="Times New Roman"/>
          <w:color w:val="000000" w:themeColor="text1"/>
          <w:sz w:val="18"/>
          <w:szCs w:val="18"/>
        </w:rPr>
        <w:t>, 43-45.</w:t>
      </w:r>
    </w:p>
  </w:footnote>
  <w:footnote w:id="264">
    <w:p w14:paraId="58F6AF2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Boaz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Counter-Terrorism Puzzle</w:t>
      </w:r>
      <w:r w:rsidRPr="00A203A6">
        <w:rPr>
          <w:rFonts w:cs="Times New Roman"/>
          <w:color w:val="000000" w:themeColor="text1"/>
          <w:sz w:val="18"/>
          <w:szCs w:val="18"/>
        </w:rPr>
        <w:t xml:space="preserve"> (Herzliya: Transaction Publishers, 2005): 229-246. </w:t>
      </w:r>
    </w:p>
    <w:p w14:paraId="0AAB34A2"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I cite this scholarly view due to its relevance to </w:t>
      </w:r>
      <w:proofErr w:type="spellStart"/>
      <w:r w:rsidRPr="00A203A6">
        <w:rPr>
          <w:rFonts w:cs="Times New Roman"/>
          <w:color w:val="000000" w:themeColor="text1"/>
          <w:sz w:val="18"/>
          <w:szCs w:val="18"/>
        </w:rPr>
        <w:t>Wieviorka’s</w:t>
      </w:r>
      <w:proofErr w:type="spellEnd"/>
      <w:r w:rsidRPr="00A203A6">
        <w:rPr>
          <w:rFonts w:cs="Times New Roman"/>
          <w:color w:val="000000" w:themeColor="text1"/>
          <w:sz w:val="18"/>
          <w:szCs w:val="18"/>
        </w:rPr>
        <w:t xml:space="preserve"> underlying argument. Please note that in doing so, it is not my intention to discount the profound impact that public opinion </w:t>
      </w:r>
      <w:r w:rsidRPr="00A203A6">
        <w:rPr>
          <w:rFonts w:cs="Times New Roman"/>
          <w:i/>
          <w:iCs/>
          <w:color w:val="000000" w:themeColor="text1"/>
          <w:sz w:val="18"/>
          <w:szCs w:val="18"/>
        </w:rPr>
        <w:t>can</w:t>
      </w:r>
      <w:r w:rsidRPr="00A203A6">
        <w:rPr>
          <w:rFonts w:cs="Times New Roman"/>
          <w:color w:val="000000" w:themeColor="text1"/>
          <w:sz w:val="18"/>
          <w:szCs w:val="18"/>
        </w:rPr>
        <w:t xml:space="preserve"> have on a population’s relationship with those in power politically. To wit, I do not underestimate the long-term effects that public opinion might have on the existence of the state in its current iteration.</w:t>
      </w:r>
    </w:p>
  </w:footnote>
  <w:footnote w:id="265">
    <w:p w14:paraId="650ED1D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Wilkinson, “The Media and Terrorism,” 51.</w:t>
      </w:r>
    </w:p>
  </w:footnote>
  <w:footnote w:id="266">
    <w:p w14:paraId="049403C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Wilkinson, “The Media and Terrorism,” 51.</w:t>
      </w:r>
    </w:p>
  </w:footnote>
  <w:footnote w:id="267">
    <w:p w14:paraId="3D620D1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Wilkinson, “The Media and Terrorism,” 52.</w:t>
      </w:r>
    </w:p>
  </w:footnote>
  <w:footnote w:id="268">
    <w:p w14:paraId="759CE16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Nacos</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31-32.</w:t>
      </w:r>
    </w:p>
  </w:footnote>
  <w:footnote w:id="269">
    <w:p w14:paraId="1E7F1EA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Counter-Terrorism Puzzle</w:t>
      </w:r>
      <w:r w:rsidRPr="00A203A6">
        <w:rPr>
          <w:rFonts w:cs="Times New Roman"/>
          <w:color w:val="000000" w:themeColor="text1"/>
          <w:sz w:val="18"/>
          <w:szCs w:val="18"/>
        </w:rPr>
        <w:t xml:space="preserve">, 229-234. </w:t>
      </w:r>
    </w:p>
  </w:footnote>
  <w:footnote w:id="270">
    <w:p w14:paraId="0DC7D36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Nacos</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14.</w:t>
      </w:r>
    </w:p>
  </w:footnote>
  <w:footnote w:id="271">
    <w:p w14:paraId="4605A4A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Counter-Terrorism Puzzle</w:t>
      </w:r>
      <w:r w:rsidRPr="00A203A6">
        <w:rPr>
          <w:rFonts w:cs="Times New Roman"/>
          <w:color w:val="000000" w:themeColor="text1"/>
          <w:sz w:val="18"/>
          <w:szCs w:val="18"/>
        </w:rPr>
        <w:t>, 229-232.</w:t>
      </w:r>
    </w:p>
  </w:footnote>
  <w:footnote w:id="272">
    <w:p w14:paraId="618A882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Gabriel </w:t>
      </w:r>
      <w:proofErr w:type="spellStart"/>
      <w:r w:rsidRPr="00A203A6">
        <w:rPr>
          <w:rFonts w:cs="Times New Roman"/>
          <w:color w:val="000000" w:themeColor="text1"/>
          <w:sz w:val="18"/>
          <w:szCs w:val="18"/>
        </w:rPr>
        <w:t>Weimann</w:t>
      </w:r>
      <w:proofErr w:type="spellEnd"/>
      <w:r w:rsidRPr="00A203A6">
        <w:rPr>
          <w:rFonts w:cs="Times New Roman"/>
          <w:color w:val="000000" w:themeColor="text1"/>
          <w:sz w:val="18"/>
          <w:szCs w:val="18"/>
        </w:rPr>
        <w:t xml:space="preserve"> and Conrad Winn, </w:t>
      </w:r>
      <w:r w:rsidRPr="00A203A6">
        <w:rPr>
          <w:rFonts w:cs="Times New Roman"/>
          <w:i/>
          <w:iCs/>
          <w:color w:val="000000" w:themeColor="text1"/>
          <w:sz w:val="18"/>
          <w:szCs w:val="18"/>
        </w:rPr>
        <w:t>The Theatre of Terror: The Mass Media and International Terrorism</w:t>
      </w:r>
      <w:r w:rsidRPr="00A203A6">
        <w:rPr>
          <w:rFonts w:cs="Times New Roman"/>
          <w:color w:val="000000" w:themeColor="text1"/>
          <w:sz w:val="18"/>
          <w:szCs w:val="18"/>
        </w:rPr>
        <w:t xml:space="preserve"> (New York City: Longman Publishing, 1994); Brigitte L. </w:t>
      </w:r>
      <w:proofErr w:type="spellStart"/>
      <w:r w:rsidRPr="00A203A6">
        <w:rPr>
          <w:rFonts w:cs="Times New Roman"/>
          <w:color w:val="000000" w:themeColor="text1"/>
          <w:sz w:val="18"/>
          <w:szCs w:val="18"/>
        </w:rPr>
        <w:t>Nacos</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Yaeli</w:t>
      </w:r>
      <w:proofErr w:type="spellEnd"/>
      <w:r w:rsidRPr="00A203A6">
        <w:rPr>
          <w:rFonts w:cs="Times New Roman"/>
          <w:color w:val="000000" w:themeColor="text1"/>
          <w:sz w:val="18"/>
          <w:szCs w:val="18"/>
        </w:rPr>
        <w:t xml:space="preserve"> Bloch-</w:t>
      </w:r>
      <w:proofErr w:type="spellStart"/>
      <w:r w:rsidRPr="00A203A6">
        <w:rPr>
          <w:rFonts w:cs="Times New Roman"/>
          <w:color w:val="000000" w:themeColor="text1"/>
          <w:sz w:val="18"/>
          <w:szCs w:val="18"/>
        </w:rPr>
        <w:t>Elkon</w:t>
      </w:r>
      <w:proofErr w:type="spellEnd"/>
      <w:r w:rsidRPr="00A203A6">
        <w:rPr>
          <w:rFonts w:cs="Times New Roman"/>
          <w:color w:val="000000" w:themeColor="text1"/>
          <w:sz w:val="18"/>
          <w:szCs w:val="18"/>
        </w:rPr>
        <w:t xml:space="preserve"> and Robert Y. Shapiro, </w:t>
      </w:r>
      <w:r w:rsidRPr="00A203A6">
        <w:rPr>
          <w:rFonts w:cs="Times New Roman"/>
          <w:i/>
          <w:iCs/>
          <w:color w:val="000000" w:themeColor="text1"/>
          <w:sz w:val="18"/>
          <w:szCs w:val="18"/>
        </w:rPr>
        <w:t>Selling Fear: Counterterrorism, the Media, and Public Opinion</w:t>
      </w:r>
      <w:r w:rsidRPr="00A203A6">
        <w:rPr>
          <w:rFonts w:cs="Times New Roman"/>
          <w:color w:val="000000" w:themeColor="text1"/>
          <w:sz w:val="18"/>
          <w:szCs w:val="18"/>
        </w:rPr>
        <w:t xml:space="preserve"> (Chicago: University of Chicago Press, 2011); Mahmoud Eid, </w:t>
      </w:r>
      <w:r w:rsidRPr="00A203A6">
        <w:rPr>
          <w:rFonts w:cs="Times New Roman"/>
          <w:i/>
          <w:iCs/>
          <w:color w:val="000000" w:themeColor="text1"/>
          <w:sz w:val="18"/>
          <w:szCs w:val="18"/>
        </w:rPr>
        <w:t xml:space="preserve">Exchanging Terrorism Oxygen for Media Airwaves: The Age of </w:t>
      </w:r>
      <w:proofErr w:type="spellStart"/>
      <w:r w:rsidRPr="00A203A6">
        <w:rPr>
          <w:rFonts w:cs="Times New Roman"/>
          <w:i/>
          <w:iCs/>
          <w:color w:val="000000" w:themeColor="text1"/>
          <w:sz w:val="18"/>
          <w:szCs w:val="18"/>
        </w:rPr>
        <w:t>Terroredia</w:t>
      </w:r>
      <w:proofErr w:type="spellEnd"/>
      <w:r w:rsidRPr="00A203A6">
        <w:rPr>
          <w:rFonts w:cs="Times New Roman"/>
          <w:color w:val="000000" w:themeColor="text1"/>
          <w:sz w:val="18"/>
          <w:szCs w:val="18"/>
        </w:rPr>
        <w:t xml:space="preserve"> (Hershey: Information Science Reference, 2014).</w:t>
      </w:r>
    </w:p>
  </w:footnote>
  <w:footnote w:id="273">
    <w:p w14:paraId="1A958F05"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Brian Michael Jenkins, “The Psychological Implications of Media-Covered Terrorism,” </w:t>
      </w:r>
      <w:r w:rsidRPr="00A203A6">
        <w:rPr>
          <w:rFonts w:cs="Times New Roman"/>
          <w:i/>
          <w:iCs/>
          <w:color w:val="000000" w:themeColor="text1"/>
          <w:sz w:val="18"/>
          <w:szCs w:val="18"/>
        </w:rPr>
        <w:t>RAND Corporation</w:t>
      </w:r>
      <w:r w:rsidRPr="00A203A6">
        <w:rPr>
          <w:rFonts w:cs="Times New Roman"/>
          <w:color w:val="000000" w:themeColor="text1"/>
          <w:sz w:val="18"/>
          <w:szCs w:val="18"/>
        </w:rPr>
        <w:t xml:space="preserve"> (1981): 6.</w:t>
      </w:r>
    </w:p>
  </w:footnote>
  <w:footnote w:id="274">
    <w:p w14:paraId="769C604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Weimann</w:t>
      </w:r>
      <w:proofErr w:type="spellEnd"/>
      <w:r w:rsidRPr="00A203A6">
        <w:rPr>
          <w:rFonts w:cs="Times New Roman"/>
          <w:color w:val="000000" w:themeColor="text1"/>
          <w:sz w:val="18"/>
          <w:szCs w:val="18"/>
        </w:rPr>
        <w:t xml:space="preserve"> and Winn, </w:t>
      </w:r>
      <w:r w:rsidRPr="00A203A6">
        <w:rPr>
          <w:rFonts w:cs="Times New Roman"/>
          <w:i/>
          <w:iCs/>
          <w:color w:val="000000" w:themeColor="text1"/>
          <w:sz w:val="18"/>
          <w:szCs w:val="18"/>
        </w:rPr>
        <w:t>The Theatre of Terror</w:t>
      </w:r>
      <w:r w:rsidRPr="00A203A6">
        <w:rPr>
          <w:rFonts w:cs="Times New Roman"/>
          <w:color w:val="000000" w:themeColor="text1"/>
          <w:sz w:val="18"/>
          <w:szCs w:val="18"/>
        </w:rPr>
        <w:t>, 277.</w:t>
      </w:r>
    </w:p>
    <w:p w14:paraId="68272743" w14:textId="77777777" w:rsidR="00BE0E9B" w:rsidRPr="00A203A6" w:rsidRDefault="00BE0E9B" w:rsidP="00787EBB">
      <w:pPr>
        <w:pStyle w:val="FootnoteText"/>
        <w:spacing w:before="0" w:after="80"/>
        <w:rPr>
          <w:rFonts w:cs="Times New Roman"/>
          <w:color w:val="000000" w:themeColor="text1"/>
          <w:sz w:val="18"/>
          <w:szCs w:val="18"/>
        </w:rPr>
      </w:pPr>
      <w:proofErr w:type="spellStart"/>
      <w:r w:rsidRPr="00A203A6">
        <w:rPr>
          <w:rFonts w:cs="Times New Roman"/>
          <w:color w:val="000000" w:themeColor="text1"/>
          <w:sz w:val="18"/>
          <w:szCs w:val="18"/>
        </w:rPr>
        <w:t>Weimann</w:t>
      </w:r>
      <w:proofErr w:type="spellEnd"/>
      <w:r w:rsidRPr="00A203A6">
        <w:rPr>
          <w:rFonts w:cs="Times New Roman"/>
          <w:color w:val="000000" w:themeColor="text1"/>
          <w:sz w:val="18"/>
          <w:szCs w:val="18"/>
        </w:rPr>
        <w:t xml:space="preserve"> and Winn examine media reporting (and conversely, the lack thereof) in connection with 6,714 terrorist attacks that occurred between 1968 and 1986, correlating the volume of this coverage with subsequent terrorist incidents of the same type. (This analysis is facilitated by data compiled by the Rand Corporation, which classifies international terrorist attacks in terms of their operational mode, geographic location, timing, target type, and the occupation and nationality of their victims.) This quantitative analysis leads </w:t>
      </w:r>
      <w:proofErr w:type="spellStart"/>
      <w:r w:rsidRPr="00A203A6">
        <w:rPr>
          <w:rFonts w:cs="Times New Roman"/>
          <w:color w:val="000000" w:themeColor="text1"/>
          <w:sz w:val="18"/>
          <w:szCs w:val="18"/>
        </w:rPr>
        <w:t>Weimann</w:t>
      </w:r>
      <w:proofErr w:type="spellEnd"/>
      <w:r w:rsidRPr="00A203A6">
        <w:rPr>
          <w:rFonts w:cs="Times New Roman"/>
          <w:color w:val="000000" w:themeColor="text1"/>
          <w:sz w:val="18"/>
          <w:szCs w:val="18"/>
        </w:rPr>
        <w:t xml:space="preserve"> and Winn to argue that terrorist attacks are staged to attract media attention, with the objective of changing international attitudes, perceptions, and political agendas, and ultimately political agendas.</w:t>
      </w:r>
    </w:p>
  </w:footnote>
  <w:footnote w:id="275">
    <w:p w14:paraId="411A25A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Brigitte L. </w:t>
      </w:r>
      <w:proofErr w:type="spellStart"/>
      <w:r w:rsidRPr="00A203A6">
        <w:rPr>
          <w:rFonts w:cs="Times New Roman"/>
          <w:color w:val="000000" w:themeColor="text1"/>
          <w:sz w:val="18"/>
          <w:szCs w:val="18"/>
        </w:rPr>
        <w:t>Nacos</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Mass-Mediated Terrorism: Mainstream and Digital Media in Terrorism and Counterterrorism</w:t>
      </w:r>
      <w:r w:rsidRPr="00A203A6">
        <w:rPr>
          <w:rFonts w:cs="Times New Roman"/>
          <w:color w:val="000000" w:themeColor="text1"/>
          <w:sz w:val="18"/>
          <w:szCs w:val="18"/>
        </w:rPr>
        <w:t xml:space="preserve"> </w:t>
      </w:r>
      <w:r w:rsidRPr="00A203A6">
        <w:rPr>
          <w:rFonts w:cs="Times New Roman"/>
          <w:i/>
          <w:iCs/>
          <w:color w:val="000000" w:themeColor="text1"/>
          <w:sz w:val="18"/>
          <w:szCs w:val="18"/>
        </w:rPr>
        <w:t>(3</w:t>
      </w:r>
      <w:r w:rsidRPr="00A203A6">
        <w:rPr>
          <w:rFonts w:cs="Times New Roman"/>
          <w:i/>
          <w:iCs/>
          <w:color w:val="000000" w:themeColor="text1"/>
          <w:sz w:val="18"/>
          <w:szCs w:val="18"/>
          <w:vertAlign w:val="superscript"/>
        </w:rPr>
        <w:t>rd</w:t>
      </w:r>
      <w:r w:rsidRPr="00A203A6">
        <w:rPr>
          <w:rFonts w:cs="Times New Roman"/>
          <w:i/>
          <w:iCs/>
          <w:color w:val="000000" w:themeColor="text1"/>
          <w:sz w:val="18"/>
          <w:szCs w:val="18"/>
        </w:rPr>
        <w:t xml:space="preserve"> ed.)</w:t>
      </w:r>
      <w:r w:rsidRPr="00A203A6">
        <w:rPr>
          <w:rFonts w:cs="Times New Roman"/>
          <w:color w:val="000000" w:themeColor="text1"/>
          <w:sz w:val="18"/>
          <w:szCs w:val="18"/>
        </w:rPr>
        <w:t xml:space="preserve"> (Lanham: Rowman and Littlefield Publishers Inc., 2016): 14.</w:t>
      </w:r>
    </w:p>
  </w:footnote>
  <w:footnote w:id="276">
    <w:p w14:paraId="23238296" w14:textId="77777777" w:rsidR="00BE0E9B" w:rsidRPr="00A203A6" w:rsidRDefault="00BE0E9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Matthew J. Morgan notes “Aum Shinrikyo demonstrated its comparatively more threatening potential in its sarin attack in the Tokyo subway… [they] do not follow rules of engagement in their operations but they do absorb the lessons to be learned from successful acts of violence.” Matthew J. Morgan, “The Origins of the New Terrorism.” </w:t>
      </w:r>
      <w:r w:rsidRPr="00A203A6">
        <w:rPr>
          <w:i/>
          <w:iCs/>
          <w:color w:val="000000" w:themeColor="text1"/>
          <w:sz w:val="18"/>
          <w:szCs w:val="18"/>
        </w:rPr>
        <w:t xml:space="preserve">The US Army War College Quarterly: Parameters </w:t>
      </w:r>
      <w:r w:rsidRPr="00A203A6">
        <w:rPr>
          <w:color w:val="000000" w:themeColor="text1"/>
          <w:sz w:val="18"/>
          <w:szCs w:val="18"/>
        </w:rPr>
        <w:t xml:space="preserve">34, no. 1 (2004): 33. For a more in-depth discussion of Aum Shinrikyo and the “new” terrorism thesis, see Robert J. </w:t>
      </w:r>
      <w:proofErr w:type="spellStart"/>
      <w:r w:rsidRPr="00A203A6">
        <w:rPr>
          <w:color w:val="000000" w:themeColor="text1"/>
          <w:sz w:val="18"/>
          <w:szCs w:val="18"/>
        </w:rPr>
        <w:t>Lifton</w:t>
      </w:r>
      <w:proofErr w:type="spellEnd"/>
      <w:r w:rsidRPr="00A203A6">
        <w:rPr>
          <w:color w:val="000000" w:themeColor="text1"/>
          <w:sz w:val="18"/>
          <w:szCs w:val="18"/>
        </w:rPr>
        <w:t xml:space="preserve">, </w:t>
      </w:r>
      <w:r w:rsidRPr="00A203A6">
        <w:rPr>
          <w:i/>
          <w:iCs/>
          <w:color w:val="000000" w:themeColor="text1"/>
          <w:sz w:val="18"/>
          <w:szCs w:val="18"/>
        </w:rPr>
        <w:t>Destroying the World to Save It: Aum Shinrikyo, Apocalyptic Violence, and the New Global Terrorism</w:t>
      </w:r>
      <w:r w:rsidRPr="00A203A6">
        <w:rPr>
          <w:color w:val="000000" w:themeColor="text1"/>
          <w:sz w:val="18"/>
          <w:szCs w:val="18"/>
        </w:rPr>
        <w:t xml:space="preserve"> (New York: Metropolitan Books, 1999).</w:t>
      </w:r>
    </w:p>
  </w:footnote>
  <w:footnote w:id="277">
    <w:p w14:paraId="2455853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Anthony Giddens, “The Future of World Society: The New Terrorism.” Lecture. </w:t>
      </w:r>
      <w:r w:rsidRPr="00A203A6">
        <w:rPr>
          <w:rFonts w:cs="Times New Roman"/>
          <w:i/>
          <w:iCs/>
          <w:color w:val="000000" w:themeColor="text1"/>
          <w:sz w:val="18"/>
          <w:szCs w:val="18"/>
        </w:rPr>
        <w:t>London School of Economics</w:t>
      </w:r>
      <w:r w:rsidRPr="00A203A6">
        <w:rPr>
          <w:rFonts w:cs="Times New Roman"/>
          <w:color w:val="000000" w:themeColor="text1"/>
          <w:sz w:val="18"/>
          <w:szCs w:val="18"/>
        </w:rPr>
        <w:t>. (November 10, 2004). Text available at Columbia International Affairs Online (CIAO).</w:t>
      </w:r>
    </w:p>
  </w:footnote>
  <w:footnote w:id="278">
    <w:p w14:paraId="7FE3745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Steven Simon lists the Irish Republican Army, the </w:t>
      </w:r>
      <w:proofErr w:type="spellStart"/>
      <w:r w:rsidRPr="00A203A6">
        <w:rPr>
          <w:rFonts w:cs="Times New Roman"/>
          <w:i/>
          <w:iCs/>
          <w:color w:val="000000" w:themeColor="text1"/>
          <w:sz w:val="18"/>
          <w:szCs w:val="18"/>
        </w:rPr>
        <w:t>Brigate</w:t>
      </w:r>
      <w:proofErr w:type="spellEnd"/>
      <w:r w:rsidRPr="00A203A6">
        <w:rPr>
          <w:rFonts w:cs="Times New Roman"/>
          <w:i/>
          <w:iCs/>
          <w:color w:val="000000" w:themeColor="text1"/>
          <w:sz w:val="18"/>
          <w:szCs w:val="18"/>
        </w:rPr>
        <w:t xml:space="preserve"> </w:t>
      </w:r>
      <w:proofErr w:type="spellStart"/>
      <w:r w:rsidRPr="00A203A6">
        <w:rPr>
          <w:rFonts w:cs="Times New Roman"/>
          <w:i/>
          <w:iCs/>
          <w:color w:val="000000" w:themeColor="text1"/>
          <w:sz w:val="18"/>
          <w:szCs w:val="18"/>
        </w:rPr>
        <w:t>Rosse</w:t>
      </w:r>
      <w:proofErr w:type="spellEnd"/>
      <w:r w:rsidRPr="00A203A6">
        <w:rPr>
          <w:rFonts w:cs="Times New Roman"/>
          <w:color w:val="000000" w:themeColor="text1"/>
          <w:sz w:val="18"/>
          <w:szCs w:val="18"/>
        </w:rPr>
        <w:t xml:space="preserve"> (Red Brigades) in Italy, and the Palestinian Liberation Organization as examples of “old” terrorism – or, as he terms them, “conventional” terrorist groups. (Steven Simon, “The New Terrorism: Securing the Nation Against a Messianic Foe.” </w:t>
      </w:r>
      <w:r w:rsidRPr="00A203A6">
        <w:rPr>
          <w:rFonts w:cs="Times New Roman"/>
          <w:i/>
          <w:iCs/>
          <w:color w:val="000000" w:themeColor="text1"/>
          <w:sz w:val="18"/>
          <w:szCs w:val="18"/>
        </w:rPr>
        <w:t>The Brookings Review</w:t>
      </w:r>
      <w:r w:rsidRPr="00A203A6">
        <w:rPr>
          <w:rFonts w:cs="Times New Roman"/>
          <w:color w:val="000000" w:themeColor="text1"/>
          <w:sz w:val="18"/>
          <w:szCs w:val="18"/>
        </w:rPr>
        <w:t xml:space="preserve"> 21, no 1 (2003): 18.) See also J. Bowyer Bell, </w:t>
      </w:r>
      <w:r w:rsidRPr="00A203A6">
        <w:rPr>
          <w:rFonts w:cs="Times New Roman"/>
          <w:i/>
          <w:iCs/>
          <w:color w:val="000000" w:themeColor="text1"/>
          <w:sz w:val="18"/>
          <w:szCs w:val="18"/>
          <w:shd w:val="clear" w:color="auto" w:fill="FFFFFF"/>
        </w:rPr>
        <w:t>The IRA, 1968-2000: An Analysis of a Secret Army</w:t>
      </w:r>
      <w:r w:rsidRPr="00A203A6">
        <w:rPr>
          <w:rFonts w:cs="Times New Roman"/>
          <w:color w:val="000000" w:themeColor="text1"/>
          <w:sz w:val="18"/>
          <w:szCs w:val="18"/>
          <w:shd w:val="clear" w:color="auto" w:fill="FFFFFF"/>
        </w:rPr>
        <w:t>. (1</w:t>
      </w:r>
      <w:r w:rsidRPr="00A203A6">
        <w:rPr>
          <w:rFonts w:cs="Times New Roman"/>
          <w:color w:val="000000" w:themeColor="text1"/>
          <w:sz w:val="18"/>
          <w:szCs w:val="18"/>
          <w:shd w:val="clear" w:color="auto" w:fill="FFFFFF"/>
          <w:vertAlign w:val="superscript"/>
        </w:rPr>
        <w:t>st</w:t>
      </w:r>
      <w:r w:rsidRPr="00A203A6">
        <w:rPr>
          <w:rFonts w:cs="Times New Roman"/>
          <w:color w:val="000000" w:themeColor="text1"/>
          <w:sz w:val="18"/>
          <w:szCs w:val="18"/>
          <w:shd w:val="clear" w:color="auto" w:fill="FFFFFF"/>
        </w:rPr>
        <w:t xml:space="preserve"> ed.) (London: Routledge, 2000).</w:t>
      </w:r>
      <w:r w:rsidRPr="00A203A6">
        <w:rPr>
          <w:rStyle w:val="apple-converted-space"/>
          <w:rFonts w:cs="Times New Roman"/>
          <w:color w:val="000000" w:themeColor="text1"/>
          <w:sz w:val="18"/>
          <w:szCs w:val="18"/>
          <w:shd w:val="clear" w:color="auto" w:fill="FFFFFF"/>
        </w:rPr>
        <w:t> </w:t>
      </w:r>
      <w:r w:rsidRPr="00A203A6">
        <w:rPr>
          <w:rFonts w:cs="Times New Roman"/>
          <w:color w:val="000000" w:themeColor="text1"/>
          <w:sz w:val="18"/>
          <w:szCs w:val="18"/>
        </w:rPr>
        <w:t xml:space="preserve"> </w:t>
      </w:r>
    </w:p>
  </w:footnote>
  <w:footnote w:id="279">
    <w:p w14:paraId="53F297F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Martha Crenshaw, “The American Debate over ‘New’ vs. ‘Old’ Terrorism.” Presentation at the Annual Meeting of the American Political Science Association, Chicago, Illinois (2007): 11.</w:t>
      </w:r>
    </w:p>
  </w:footnote>
  <w:footnote w:id="280">
    <w:p w14:paraId="1CBC329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Hoffman, </w:t>
      </w:r>
      <w:r w:rsidRPr="00A203A6">
        <w:rPr>
          <w:rFonts w:cs="Times New Roman"/>
          <w:i/>
          <w:iCs/>
          <w:color w:val="000000" w:themeColor="text1"/>
          <w:sz w:val="18"/>
          <w:szCs w:val="18"/>
        </w:rPr>
        <w:t>Inside Terrorism</w:t>
      </w:r>
      <w:r w:rsidRPr="00A203A6">
        <w:rPr>
          <w:rFonts w:cs="Times New Roman"/>
          <w:color w:val="000000" w:themeColor="text1"/>
          <w:sz w:val="18"/>
          <w:szCs w:val="18"/>
        </w:rPr>
        <w:t>, 95.</w:t>
      </w:r>
    </w:p>
  </w:footnote>
  <w:footnote w:id="281">
    <w:p w14:paraId="7AEDF1F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Crenshaw, “The American Debate over ‘New’ vs. ‘Old’ Terrorism”, 11.</w:t>
      </w:r>
    </w:p>
  </w:footnote>
  <w:footnote w:id="282">
    <w:p w14:paraId="1567AD0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Crenshaw, “The American Debate over ‘New’ vs. ‘Old’ Terrorism,” 3.</w:t>
      </w:r>
    </w:p>
  </w:footnote>
  <w:footnote w:id="283">
    <w:p w14:paraId="4564BBFB" w14:textId="0CF5629F"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Religious authorities that are considered mainstream in the international context do not tend to sanction the violence perpetrated by terrorists and terrorist organizations in the name of religion. (The notable exception to this is Ayatollah Khamenei, </w:t>
      </w:r>
      <w:r w:rsidR="00365923" w:rsidRPr="00A203A6">
        <w:rPr>
          <w:rFonts w:cs="Times New Roman"/>
          <w:color w:val="000000" w:themeColor="text1"/>
          <w:sz w:val="18"/>
          <w:szCs w:val="18"/>
        </w:rPr>
        <w:t xml:space="preserve">name position and country, </w:t>
      </w:r>
      <w:r w:rsidRPr="00A203A6">
        <w:rPr>
          <w:rFonts w:cs="Times New Roman"/>
          <w:color w:val="000000" w:themeColor="text1"/>
          <w:sz w:val="18"/>
          <w:szCs w:val="18"/>
        </w:rPr>
        <w:t xml:space="preserve">United States have labeled a state sponsor of terrorism. See Daniel </w:t>
      </w:r>
      <w:proofErr w:type="spellStart"/>
      <w:r w:rsidRPr="00A203A6">
        <w:rPr>
          <w:rFonts w:cs="Times New Roman"/>
          <w:color w:val="000000" w:themeColor="text1"/>
          <w:sz w:val="18"/>
          <w:szCs w:val="18"/>
        </w:rPr>
        <w:t>Byman</w:t>
      </w:r>
      <w:proofErr w:type="spellEnd"/>
      <w:r w:rsidRPr="00A203A6">
        <w:rPr>
          <w:rFonts w:cs="Times New Roman"/>
          <w:color w:val="000000" w:themeColor="text1"/>
          <w:sz w:val="18"/>
          <w:szCs w:val="18"/>
        </w:rPr>
        <w:t xml:space="preserve">, “Understanding, and Misunderstanding, State Sponsorship of Terrorism,” </w:t>
      </w:r>
      <w:r w:rsidRPr="00A203A6">
        <w:rPr>
          <w:rFonts w:cs="Times New Roman"/>
          <w:i/>
          <w:iCs/>
          <w:color w:val="000000" w:themeColor="text1"/>
          <w:sz w:val="18"/>
          <w:szCs w:val="18"/>
        </w:rPr>
        <w:t>Studies in Conflict and Terrorism</w:t>
      </w:r>
      <w:r w:rsidRPr="00A203A6">
        <w:rPr>
          <w:rFonts w:cs="Times New Roman"/>
          <w:color w:val="000000" w:themeColor="text1"/>
          <w:sz w:val="18"/>
          <w:szCs w:val="18"/>
        </w:rPr>
        <w:t xml:space="preserve"> (2020): 1-19.) Chief among the problems associated with the “new terrorism” thesis is the veiled Islamophobia that it presents as accepted fact in the context of mainstream scholarship. While such Islamophobia manifests in a variety of different ways, the most seemingly benign of which involves “the assertion of a unitary identity for all Muslims.” In effect, this metaphorically paints the entirety of the international community’s Muslim population with the same brush, taking a single perspective as summary for “how a billion Muslims…relate to the contemporary world, to each other [and] to the non-Muslim world.” (Halliday, “‘Islamophobia’ Reconsidered,” 894). In this way, conceptions of “new terrorism” further the “demonized, pathologized perception[s] of Muslims” that take their roots from racist ideology (</w:t>
      </w:r>
      <w:proofErr w:type="spellStart"/>
      <w:r w:rsidRPr="00A203A6">
        <w:rPr>
          <w:rFonts w:cs="Times New Roman"/>
          <w:color w:val="000000" w:themeColor="text1"/>
          <w:sz w:val="18"/>
          <w:szCs w:val="18"/>
        </w:rPr>
        <w:t>Kundnani</w:t>
      </w:r>
      <w:proofErr w:type="spellEnd"/>
      <w:r w:rsidRPr="00A203A6">
        <w:rPr>
          <w:rFonts w:cs="Times New Roman"/>
          <w:color w:val="000000" w:themeColor="text1"/>
          <w:sz w:val="18"/>
          <w:szCs w:val="18"/>
        </w:rPr>
        <w:t xml:space="preserve">, “Book Reviews,” 45). My citation of scholarship that (either intentionally or inadvertently) furthers these harmful claims in relation to my overview of the existing literature on the relationship between terrorism and the media </w:t>
      </w:r>
      <w:r w:rsidRPr="00A203A6">
        <w:rPr>
          <w:rFonts w:cs="Times New Roman"/>
          <w:i/>
          <w:iCs/>
          <w:color w:val="000000" w:themeColor="text1"/>
          <w:sz w:val="18"/>
          <w:szCs w:val="18"/>
        </w:rPr>
        <w:t>should in no way be understood as my endorsement</w:t>
      </w:r>
      <w:r w:rsidRPr="00A203A6">
        <w:rPr>
          <w:rFonts w:cs="Times New Roman"/>
          <w:color w:val="000000" w:themeColor="text1"/>
          <w:sz w:val="18"/>
          <w:szCs w:val="18"/>
        </w:rPr>
        <w:t xml:space="preserve"> of either the harmful assumptions that necessarily underly their conclusions, or of those conclusions themselves. (See Fred Halliday, “’Islamophobia’ Reconsidered,” </w:t>
      </w:r>
      <w:r w:rsidRPr="00A203A6">
        <w:rPr>
          <w:rFonts w:cs="Times New Roman"/>
          <w:i/>
          <w:iCs/>
          <w:color w:val="000000" w:themeColor="text1"/>
          <w:sz w:val="18"/>
          <w:szCs w:val="18"/>
        </w:rPr>
        <w:t xml:space="preserve">Ethnic and Racial Studies </w:t>
      </w:r>
      <w:r w:rsidRPr="00A203A6">
        <w:rPr>
          <w:rFonts w:cs="Times New Roman"/>
          <w:color w:val="000000" w:themeColor="text1"/>
          <w:sz w:val="18"/>
          <w:szCs w:val="18"/>
        </w:rPr>
        <w:t xml:space="preserve">22, no. 5 (1999): 892-902; Arun </w:t>
      </w:r>
      <w:proofErr w:type="spellStart"/>
      <w:r w:rsidRPr="00A203A6">
        <w:rPr>
          <w:rFonts w:cs="Times New Roman"/>
          <w:color w:val="000000" w:themeColor="text1"/>
          <w:sz w:val="18"/>
          <w:szCs w:val="18"/>
        </w:rPr>
        <w:t>Kundnani</w:t>
      </w:r>
      <w:proofErr w:type="spellEnd"/>
      <w:r w:rsidRPr="00A203A6">
        <w:rPr>
          <w:rFonts w:cs="Times New Roman"/>
          <w:color w:val="000000" w:themeColor="text1"/>
          <w:sz w:val="18"/>
          <w:szCs w:val="18"/>
        </w:rPr>
        <w:t xml:space="preserve">, “Book Reviews: The Muslims are Coming!”: Islamophobia, Extremism and the Domestic War on Terror,” </w:t>
      </w:r>
      <w:r w:rsidRPr="00A203A6">
        <w:rPr>
          <w:rFonts w:cs="Times New Roman"/>
          <w:i/>
          <w:iCs/>
          <w:color w:val="000000" w:themeColor="text1"/>
          <w:sz w:val="18"/>
          <w:szCs w:val="18"/>
        </w:rPr>
        <w:t>Research in Teacher Education</w:t>
      </w:r>
      <w:r w:rsidRPr="00A203A6">
        <w:rPr>
          <w:rFonts w:cs="Times New Roman"/>
          <w:color w:val="000000" w:themeColor="text1"/>
          <w:sz w:val="18"/>
          <w:szCs w:val="18"/>
        </w:rPr>
        <w:t xml:space="preserve"> 4, no. 2 (2014): 45-48.)</w:t>
      </w:r>
    </w:p>
  </w:footnote>
  <w:footnote w:id="284">
    <w:p w14:paraId="448C640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Crenshaw, “The American Debate over ‘New’ vs. ‘Old’ Terrorism,” 9. </w:t>
      </w:r>
    </w:p>
  </w:footnote>
  <w:footnote w:id="285">
    <w:p w14:paraId="58E5295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Steven Simon and Daniel Benjamin, “The Terror,” </w:t>
      </w:r>
      <w:r w:rsidRPr="00A203A6">
        <w:rPr>
          <w:rFonts w:cs="Times New Roman"/>
          <w:i/>
          <w:iCs/>
          <w:color w:val="000000" w:themeColor="text1"/>
          <w:sz w:val="18"/>
          <w:szCs w:val="18"/>
        </w:rPr>
        <w:t>Survival</w:t>
      </w:r>
      <w:r w:rsidRPr="00A203A6">
        <w:rPr>
          <w:rFonts w:cs="Times New Roman"/>
          <w:color w:val="000000" w:themeColor="text1"/>
          <w:sz w:val="18"/>
          <w:szCs w:val="18"/>
        </w:rPr>
        <w:t xml:space="preserve"> 43, no. 4 (2001): 5-6.</w:t>
      </w:r>
    </w:p>
  </w:footnote>
  <w:footnote w:id="286">
    <w:p w14:paraId="6A6FEA8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Walter </w:t>
      </w:r>
      <w:proofErr w:type="spellStart"/>
      <w:r w:rsidRPr="00A203A6">
        <w:rPr>
          <w:rFonts w:cs="Times New Roman"/>
          <w:color w:val="000000" w:themeColor="text1"/>
          <w:sz w:val="18"/>
          <w:szCs w:val="18"/>
        </w:rPr>
        <w:t>Lacqueur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No End to War: Terrorism in the Twenty-First Century</w:t>
      </w:r>
      <w:r w:rsidRPr="00A203A6">
        <w:rPr>
          <w:rFonts w:cs="Times New Roman"/>
          <w:color w:val="000000" w:themeColor="text1"/>
          <w:sz w:val="18"/>
          <w:szCs w:val="18"/>
        </w:rPr>
        <w:t xml:space="preserve"> (New York City: Continuum, 2003): 9.</w:t>
      </w:r>
    </w:p>
  </w:footnote>
  <w:footnote w:id="287">
    <w:p w14:paraId="6285743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Walter </w:t>
      </w:r>
      <w:proofErr w:type="spellStart"/>
      <w:r w:rsidRPr="00A203A6">
        <w:rPr>
          <w:rFonts w:cs="Times New Roman"/>
          <w:color w:val="000000" w:themeColor="text1"/>
          <w:sz w:val="18"/>
          <w:szCs w:val="18"/>
        </w:rPr>
        <w:t>Lacqueur</w:t>
      </w:r>
      <w:proofErr w:type="spellEnd"/>
      <w:r w:rsidRPr="00A203A6">
        <w:rPr>
          <w:rFonts w:cs="Times New Roman"/>
          <w:color w:val="000000" w:themeColor="text1"/>
          <w:sz w:val="18"/>
          <w:szCs w:val="18"/>
        </w:rPr>
        <w:t xml:space="preserve">, “Left, Right, and Beyond: The Changing Face of Terror.” In James F. Hoge, Jr. and Gideon Rose, </w:t>
      </w:r>
      <w:r w:rsidRPr="00A203A6">
        <w:rPr>
          <w:rFonts w:cs="Times New Roman"/>
          <w:i/>
          <w:iCs/>
          <w:color w:val="000000" w:themeColor="text1"/>
          <w:sz w:val="18"/>
          <w:szCs w:val="18"/>
        </w:rPr>
        <w:t>How Did This Happen? Terrorism and the New War</w:t>
      </w:r>
      <w:r w:rsidRPr="00A203A6">
        <w:rPr>
          <w:rFonts w:cs="Times New Roman"/>
          <w:color w:val="000000" w:themeColor="text1"/>
          <w:sz w:val="18"/>
          <w:szCs w:val="18"/>
        </w:rPr>
        <w:t xml:space="preserve"> (New York City: Public Affairs Press, 2001): 80.</w:t>
      </w:r>
    </w:p>
  </w:footnote>
  <w:footnote w:id="288">
    <w:p w14:paraId="34C94CA2"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Bruce Hoffman, “Terrorism Trends and Prospects.” In Ian. O. Lesser, Bruce Hoffman, John </w:t>
      </w:r>
      <w:proofErr w:type="spellStart"/>
      <w:r w:rsidRPr="00A203A6">
        <w:rPr>
          <w:rFonts w:cs="Times New Roman"/>
          <w:color w:val="000000" w:themeColor="text1"/>
          <w:sz w:val="18"/>
          <w:szCs w:val="18"/>
        </w:rPr>
        <w:t>Arquilla</w:t>
      </w:r>
      <w:proofErr w:type="spellEnd"/>
      <w:r w:rsidRPr="00A203A6">
        <w:rPr>
          <w:rFonts w:cs="Times New Roman"/>
          <w:color w:val="000000" w:themeColor="text1"/>
          <w:sz w:val="18"/>
          <w:szCs w:val="18"/>
        </w:rPr>
        <w:t xml:space="preserve">, David </w:t>
      </w:r>
      <w:proofErr w:type="spellStart"/>
      <w:r w:rsidRPr="00A203A6">
        <w:rPr>
          <w:rFonts w:cs="Times New Roman"/>
          <w:color w:val="000000" w:themeColor="text1"/>
          <w:sz w:val="18"/>
          <w:szCs w:val="18"/>
        </w:rPr>
        <w:t>Ronfeldt</w:t>
      </w:r>
      <w:proofErr w:type="spellEnd"/>
      <w:r w:rsidRPr="00A203A6">
        <w:rPr>
          <w:rFonts w:cs="Times New Roman"/>
          <w:color w:val="000000" w:themeColor="text1"/>
          <w:sz w:val="18"/>
          <w:szCs w:val="18"/>
        </w:rPr>
        <w:t xml:space="preserve">, Michele </w:t>
      </w:r>
      <w:proofErr w:type="spellStart"/>
      <w:r w:rsidRPr="00A203A6">
        <w:rPr>
          <w:rFonts w:cs="Times New Roman"/>
          <w:color w:val="000000" w:themeColor="text1"/>
          <w:sz w:val="18"/>
          <w:szCs w:val="18"/>
        </w:rPr>
        <w:t>Zanini</w:t>
      </w:r>
      <w:proofErr w:type="spellEnd"/>
      <w:r w:rsidRPr="00A203A6">
        <w:rPr>
          <w:rFonts w:cs="Times New Roman"/>
          <w:color w:val="000000" w:themeColor="text1"/>
          <w:sz w:val="18"/>
          <w:szCs w:val="18"/>
        </w:rPr>
        <w:t xml:space="preserve">, and Brian Jenkins, </w:t>
      </w:r>
      <w:r w:rsidRPr="00A203A6">
        <w:rPr>
          <w:rFonts w:cs="Times New Roman"/>
          <w:i/>
          <w:iCs/>
          <w:color w:val="000000" w:themeColor="text1"/>
          <w:sz w:val="18"/>
          <w:szCs w:val="18"/>
        </w:rPr>
        <w:t>Countering the New Terrorism</w:t>
      </w:r>
      <w:r w:rsidRPr="00A203A6">
        <w:rPr>
          <w:rFonts w:cs="Times New Roman"/>
          <w:color w:val="000000" w:themeColor="text1"/>
          <w:sz w:val="18"/>
          <w:szCs w:val="18"/>
        </w:rPr>
        <w:t xml:space="preserve"> (Santa Monica: RAND, 1999): 9.</w:t>
      </w:r>
    </w:p>
    <w:p w14:paraId="298DC216"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Notwithstanding, Martha Crenshaw notes that Hoffman is sometimes ambivalent about the notion of “new terrorism” and should therefore not be considered a fierce proponent of the thesis. See Crenshaw, “The American Debate over ‘New’ vs. ‘Old’ Terrorism,” 1.</w:t>
      </w:r>
    </w:p>
  </w:footnote>
  <w:footnote w:id="289">
    <w:p w14:paraId="3E5B9AA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Martha Crenshaw, </w:t>
      </w:r>
      <w:proofErr w:type="gramStart"/>
      <w:r w:rsidRPr="00A203A6">
        <w:rPr>
          <w:rFonts w:cs="Times New Roman"/>
          <w:color w:val="000000" w:themeColor="text1"/>
          <w:sz w:val="18"/>
          <w:szCs w:val="18"/>
        </w:rPr>
        <w:t>“”New</w:t>
      </w:r>
      <w:proofErr w:type="gramEnd"/>
      <w:r w:rsidRPr="00A203A6">
        <w:rPr>
          <w:rFonts w:cs="Times New Roman"/>
          <w:color w:val="000000" w:themeColor="text1"/>
          <w:sz w:val="18"/>
          <w:szCs w:val="18"/>
        </w:rPr>
        <w:t xml:space="preserve">” versus “Old” Terrorism.” </w:t>
      </w:r>
      <w:r w:rsidRPr="00A203A6">
        <w:rPr>
          <w:rFonts w:cs="Times New Roman"/>
          <w:i/>
          <w:iCs/>
          <w:color w:val="000000" w:themeColor="text1"/>
          <w:sz w:val="18"/>
          <w:szCs w:val="18"/>
        </w:rPr>
        <w:t>Palestine-Israel Journal</w:t>
      </w:r>
      <w:r w:rsidRPr="00A203A6">
        <w:rPr>
          <w:rFonts w:cs="Times New Roman"/>
          <w:color w:val="000000" w:themeColor="text1"/>
          <w:sz w:val="18"/>
          <w:szCs w:val="18"/>
        </w:rPr>
        <w:t xml:space="preserve"> 10, no. 1 (2003): 50.</w:t>
      </w:r>
    </w:p>
  </w:footnote>
  <w:footnote w:id="290">
    <w:p w14:paraId="5B4928F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Crenshaw, </w:t>
      </w:r>
      <w:proofErr w:type="gramStart"/>
      <w:r w:rsidRPr="00A203A6">
        <w:rPr>
          <w:rFonts w:cs="Times New Roman"/>
          <w:color w:val="000000" w:themeColor="text1"/>
          <w:sz w:val="18"/>
          <w:szCs w:val="18"/>
        </w:rPr>
        <w:t>“”New</w:t>
      </w:r>
      <w:proofErr w:type="gramEnd"/>
      <w:r w:rsidRPr="00A203A6">
        <w:rPr>
          <w:rFonts w:cs="Times New Roman"/>
          <w:color w:val="000000" w:themeColor="text1"/>
          <w:sz w:val="18"/>
          <w:szCs w:val="18"/>
        </w:rPr>
        <w:t>” versus “Old” Terrorism”, 50.</w:t>
      </w:r>
    </w:p>
  </w:footnote>
  <w:footnote w:id="291">
    <w:p w14:paraId="20B5C1A9" w14:textId="77777777" w:rsidR="00BE0E9B" w:rsidRPr="00A203A6" w:rsidRDefault="00BE0E9B"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w:t>
      </w:r>
      <w:proofErr w:type="spellStart"/>
      <w:r w:rsidRPr="00A203A6">
        <w:rPr>
          <w:color w:val="000000" w:themeColor="text1"/>
          <w:sz w:val="18"/>
          <w:szCs w:val="18"/>
        </w:rPr>
        <w:t>Lifton</w:t>
      </w:r>
      <w:proofErr w:type="spellEnd"/>
      <w:r w:rsidRPr="00A203A6">
        <w:rPr>
          <w:color w:val="000000" w:themeColor="text1"/>
          <w:sz w:val="18"/>
          <w:szCs w:val="18"/>
        </w:rPr>
        <w:t xml:space="preserve">, </w:t>
      </w:r>
      <w:r w:rsidRPr="00A203A6">
        <w:rPr>
          <w:i/>
          <w:iCs/>
          <w:color w:val="000000" w:themeColor="text1"/>
          <w:sz w:val="18"/>
          <w:szCs w:val="18"/>
        </w:rPr>
        <w:t>Destroying the World to Save It</w:t>
      </w:r>
      <w:r w:rsidRPr="00A203A6">
        <w:rPr>
          <w:color w:val="000000" w:themeColor="text1"/>
          <w:sz w:val="18"/>
          <w:szCs w:val="18"/>
        </w:rPr>
        <w:t>, 4.</w:t>
      </w:r>
    </w:p>
  </w:footnote>
  <w:footnote w:id="292">
    <w:p w14:paraId="77D324C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Martha Crenshaw, “The American Debate over ‘New’ vs. ‘Old’ Terrorism,” 1-34.</w:t>
      </w:r>
    </w:p>
  </w:footnote>
  <w:footnote w:id="293">
    <w:p w14:paraId="7A36722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Hoffman, </w:t>
      </w:r>
      <w:r w:rsidRPr="00A203A6">
        <w:rPr>
          <w:rFonts w:cs="Times New Roman"/>
          <w:i/>
          <w:iCs/>
          <w:color w:val="000000" w:themeColor="text1"/>
          <w:sz w:val="18"/>
          <w:szCs w:val="18"/>
        </w:rPr>
        <w:t>Inside Terrorism</w:t>
      </w:r>
      <w:r w:rsidRPr="00A203A6">
        <w:rPr>
          <w:rFonts w:cs="Times New Roman"/>
          <w:color w:val="000000" w:themeColor="text1"/>
          <w:sz w:val="18"/>
          <w:szCs w:val="18"/>
        </w:rPr>
        <w:t>, 95; Crenshaw, “The American Debate over ‘New’ vs. ‘Old’ Terrorism,” 4; 12.</w:t>
      </w:r>
    </w:p>
  </w:footnote>
  <w:footnote w:id="294">
    <w:p w14:paraId="15C550C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Crenshaw, “The American Debate over ‘New’ vs. ‘Old’ Terrorism,” 7; 10-11.</w:t>
      </w:r>
    </w:p>
  </w:footnote>
  <w:footnote w:id="295">
    <w:p w14:paraId="4DB9A93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Crenshaw, “The American Debate over ‘New’ vs. ‘Old’ Terrorism,” 7.</w:t>
      </w:r>
    </w:p>
  </w:footnote>
  <w:footnote w:id="296">
    <w:p w14:paraId="669D1CD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Gideon Rose, “It Could Happen Here: Facing the New Terrorism,” </w:t>
      </w:r>
      <w:r w:rsidRPr="00A203A6">
        <w:rPr>
          <w:rFonts w:cs="Times New Roman"/>
          <w:i/>
          <w:iCs/>
          <w:color w:val="000000" w:themeColor="text1"/>
          <w:sz w:val="18"/>
          <w:szCs w:val="18"/>
        </w:rPr>
        <w:t>Foreign Affairs</w:t>
      </w:r>
      <w:r w:rsidRPr="00A203A6">
        <w:rPr>
          <w:rFonts w:cs="Times New Roman"/>
          <w:color w:val="000000" w:themeColor="text1"/>
          <w:sz w:val="18"/>
          <w:szCs w:val="18"/>
        </w:rPr>
        <w:t xml:space="preserve"> (March-April 1999): 5.</w:t>
      </w:r>
    </w:p>
  </w:footnote>
  <w:footnote w:id="297">
    <w:p w14:paraId="34681BA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Rose, “It Could Happen Here,” 117.</w:t>
      </w:r>
    </w:p>
  </w:footnote>
  <w:footnote w:id="298">
    <w:p w14:paraId="18F8B9D2"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David L. </w:t>
      </w:r>
      <w:proofErr w:type="spellStart"/>
      <w:r w:rsidRPr="00A203A6">
        <w:rPr>
          <w:rFonts w:cs="Times New Roman"/>
          <w:color w:val="000000" w:themeColor="text1"/>
          <w:sz w:val="18"/>
          <w:szCs w:val="18"/>
        </w:rPr>
        <w:t>Paletz</w:t>
      </w:r>
      <w:proofErr w:type="spellEnd"/>
      <w:r w:rsidRPr="00A203A6">
        <w:rPr>
          <w:rFonts w:cs="Times New Roman"/>
          <w:color w:val="000000" w:themeColor="text1"/>
          <w:sz w:val="18"/>
          <w:szCs w:val="18"/>
        </w:rPr>
        <w:t xml:space="preserve"> and John </w:t>
      </w:r>
      <w:proofErr w:type="spellStart"/>
      <w:r w:rsidRPr="00A203A6">
        <w:rPr>
          <w:rFonts w:cs="Times New Roman"/>
          <w:color w:val="000000" w:themeColor="text1"/>
          <w:sz w:val="18"/>
          <w:szCs w:val="18"/>
        </w:rPr>
        <w:t>Boiney</w:t>
      </w:r>
      <w:proofErr w:type="spellEnd"/>
      <w:r w:rsidRPr="00A203A6">
        <w:rPr>
          <w:rFonts w:cs="Times New Roman"/>
          <w:color w:val="000000" w:themeColor="text1"/>
          <w:sz w:val="18"/>
          <w:szCs w:val="18"/>
        </w:rPr>
        <w:t xml:space="preserve">, “Researchers’ Perspectives.” In David L. </w:t>
      </w:r>
      <w:proofErr w:type="spellStart"/>
      <w:r w:rsidRPr="00A203A6">
        <w:rPr>
          <w:rFonts w:cs="Times New Roman"/>
          <w:color w:val="000000" w:themeColor="text1"/>
          <w:sz w:val="18"/>
          <w:szCs w:val="18"/>
        </w:rPr>
        <w:t>Paletz</w:t>
      </w:r>
      <w:proofErr w:type="spellEnd"/>
      <w:r w:rsidRPr="00A203A6">
        <w:rPr>
          <w:rFonts w:cs="Times New Roman"/>
          <w:color w:val="000000" w:themeColor="text1"/>
          <w:sz w:val="18"/>
          <w:szCs w:val="18"/>
        </w:rPr>
        <w:t xml:space="preserve"> and Alex P. Schmid (eds.),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(Newbury Park: Sage Publications Inc., 1992): 10.</w:t>
      </w:r>
    </w:p>
  </w:footnote>
  <w:footnote w:id="299">
    <w:p w14:paraId="18FD67F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Kevin G. </w:t>
      </w:r>
      <w:proofErr w:type="spellStart"/>
      <w:r w:rsidRPr="00A203A6">
        <w:rPr>
          <w:rFonts w:cs="Times New Roman"/>
          <w:color w:val="000000" w:themeColor="text1"/>
          <w:sz w:val="18"/>
          <w:szCs w:val="18"/>
        </w:rPr>
        <w:t>Barnhurst</w:t>
      </w:r>
      <w:proofErr w:type="spellEnd"/>
      <w:r w:rsidRPr="00A203A6">
        <w:rPr>
          <w:rFonts w:cs="Times New Roman"/>
          <w:color w:val="000000" w:themeColor="text1"/>
          <w:sz w:val="18"/>
          <w:szCs w:val="18"/>
        </w:rPr>
        <w:t xml:space="preserve">, “The Literature of Terrorism.” In A. </w:t>
      </w:r>
      <w:proofErr w:type="spellStart"/>
      <w:r w:rsidRPr="00A203A6">
        <w:rPr>
          <w:rFonts w:cs="Times New Roman"/>
          <w:color w:val="000000" w:themeColor="text1"/>
          <w:sz w:val="18"/>
          <w:szCs w:val="18"/>
        </w:rPr>
        <w:t>Odasuo</w:t>
      </w:r>
      <w:proofErr w:type="spellEnd"/>
      <w:r w:rsidRPr="00A203A6">
        <w:rPr>
          <w:rFonts w:cs="Times New Roman"/>
          <w:color w:val="000000" w:themeColor="text1"/>
          <w:sz w:val="18"/>
          <w:szCs w:val="18"/>
        </w:rPr>
        <w:t xml:space="preserve"> Alali and </w:t>
      </w:r>
      <w:proofErr w:type="spellStart"/>
      <w:r w:rsidRPr="00A203A6">
        <w:rPr>
          <w:rFonts w:cs="Times New Roman"/>
          <w:color w:val="000000" w:themeColor="text1"/>
          <w:sz w:val="18"/>
          <w:szCs w:val="18"/>
        </w:rPr>
        <w:t>Kenoye</w:t>
      </w:r>
      <w:proofErr w:type="spellEnd"/>
      <w:r w:rsidRPr="00A203A6">
        <w:rPr>
          <w:rFonts w:cs="Times New Roman"/>
          <w:color w:val="000000" w:themeColor="text1"/>
          <w:sz w:val="18"/>
          <w:szCs w:val="18"/>
        </w:rPr>
        <w:t xml:space="preserve"> Kelvin Eke (eds.), </w:t>
      </w:r>
      <w:r w:rsidRPr="00A203A6">
        <w:rPr>
          <w:rFonts w:cs="Times New Roman"/>
          <w:i/>
          <w:iCs/>
          <w:color w:val="000000" w:themeColor="text1"/>
          <w:sz w:val="18"/>
          <w:szCs w:val="18"/>
        </w:rPr>
        <w:t>Media Coverage of Terrorism: Methods of Diffusion</w:t>
      </w:r>
      <w:r w:rsidRPr="00A203A6">
        <w:rPr>
          <w:rFonts w:cs="Times New Roman"/>
          <w:color w:val="000000" w:themeColor="text1"/>
          <w:sz w:val="18"/>
          <w:szCs w:val="18"/>
        </w:rPr>
        <w:t>. (Newbury Park: Sage Publications Inc., 1991): 115-119.</w:t>
      </w:r>
    </w:p>
  </w:footnote>
  <w:footnote w:id="300">
    <w:p w14:paraId="4C8A047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Alex P. Schmid, “Terrorism and the Media: The Ethics of Publicity,” </w:t>
      </w:r>
      <w:r w:rsidRPr="00A203A6">
        <w:rPr>
          <w:rFonts w:cs="Times New Roman"/>
          <w:i/>
          <w:iCs/>
          <w:color w:val="000000" w:themeColor="text1"/>
          <w:sz w:val="18"/>
          <w:szCs w:val="18"/>
        </w:rPr>
        <w:t xml:space="preserve">Terrorism and Political Violence </w:t>
      </w:r>
      <w:r w:rsidRPr="00A203A6">
        <w:rPr>
          <w:rFonts w:cs="Times New Roman"/>
          <w:color w:val="000000" w:themeColor="text1"/>
          <w:sz w:val="18"/>
          <w:szCs w:val="18"/>
        </w:rPr>
        <w:t xml:space="preserve">1, no. 4 (1989): 553; Yonah Alexander, “Terrorism, the Media and the Police,” </w:t>
      </w:r>
      <w:r w:rsidRPr="00A203A6">
        <w:rPr>
          <w:rFonts w:cs="Times New Roman"/>
          <w:i/>
          <w:iCs/>
          <w:color w:val="000000" w:themeColor="text1"/>
          <w:sz w:val="18"/>
          <w:szCs w:val="18"/>
        </w:rPr>
        <w:t>Journal of International Affairs</w:t>
      </w:r>
      <w:r w:rsidRPr="00A203A6">
        <w:rPr>
          <w:rFonts w:cs="Times New Roman"/>
          <w:color w:val="000000" w:themeColor="text1"/>
          <w:sz w:val="18"/>
          <w:szCs w:val="18"/>
        </w:rPr>
        <w:t xml:space="preserve"> 32, no. 1 (1978): 105</w:t>
      </w:r>
    </w:p>
  </w:footnote>
  <w:footnote w:id="301">
    <w:p w14:paraId="65D9F04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Raphael Cohen-</w:t>
      </w:r>
      <w:proofErr w:type="spellStart"/>
      <w:r w:rsidRPr="00A203A6">
        <w:rPr>
          <w:rFonts w:cs="Times New Roman"/>
          <w:color w:val="000000" w:themeColor="text1"/>
          <w:sz w:val="18"/>
          <w:szCs w:val="18"/>
        </w:rPr>
        <w:t>Almagor</w:t>
      </w:r>
      <w:proofErr w:type="spellEnd"/>
      <w:r w:rsidRPr="00A203A6">
        <w:rPr>
          <w:rFonts w:cs="Times New Roman"/>
          <w:color w:val="000000" w:themeColor="text1"/>
          <w:sz w:val="18"/>
          <w:szCs w:val="18"/>
        </w:rPr>
        <w:t xml:space="preserve">, “Media Coverage of Terror: Troubling Episodes and Suggested Guidelines,” </w:t>
      </w:r>
      <w:r w:rsidRPr="00A203A6">
        <w:rPr>
          <w:rFonts w:cs="Times New Roman"/>
          <w:i/>
          <w:iCs/>
          <w:color w:val="000000" w:themeColor="text1"/>
          <w:sz w:val="18"/>
          <w:szCs w:val="18"/>
        </w:rPr>
        <w:t>Canadian Journal of Communication</w:t>
      </w:r>
      <w:r w:rsidRPr="00A203A6">
        <w:rPr>
          <w:rFonts w:cs="Times New Roman"/>
          <w:color w:val="000000" w:themeColor="text1"/>
          <w:sz w:val="18"/>
          <w:szCs w:val="18"/>
        </w:rPr>
        <w:t xml:space="preserve"> 30 (2005): 386.</w:t>
      </w:r>
    </w:p>
  </w:footnote>
  <w:footnote w:id="302">
    <w:p w14:paraId="74E352E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Cristina </w:t>
      </w:r>
      <w:proofErr w:type="spellStart"/>
      <w:r w:rsidRPr="00A203A6">
        <w:rPr>
          <w:rFonts w:cs="Times New Roman"/>
          <w:color w:val="000000" w:themeColor="text1"/>
          <w:sz w:val="18"/>
          <w:szCs w:val="18"/>
        </w:rPr>
        <w:t>Archetti</w:t>
      </w:r>
      <w:proofErr w:type="spellEnd"/>
      <w:r w:rsidRPr="00A203A6">
        <w:rPr>
          <w:rFonts w:cs="Times New Roman"/>
          <w:color w:val="000000" w:themeColor="text1"/>
          <w:sz w:val="18"/>
          <w:szCs w:val="18"/>
        </w:rPr>
        <w:t xml:space="preserve">, “Terrorism, Communication and the Media.” In Caroline Kennedy-Pipe, Gordon </w:t>
      </w:r>
      <w:proofErr w:type="spellStart"/>
      <w:r w:rsidRPr="00A203A6">
        <w:rPr>
          <w:rFonts w:cs="Times New Roman"/>
          <w:color w:val="000000" w:themeColor="text1"/>
          <w:sz w:val="18"/>
          <w:szCs w:val="18"/>
        </w:rPr>
        <w:t>Clubb</w:t>
      </w:r>
      <w:proofErr w:type="spellEnd"/>
      <w:r w:rsidRPr="00A203A6">
        <w:rPr>
          <w:rFonts w:cs="Times New Roman"/>
          <w:color w:val="000000" w:themeColor="text1"/>
          <w:sz w:val="18"/>
          <w:szCs w:val="18"/>
        </w:rPr>
        <w:t xml:space="preserve"> and Simon Mabon (eds.), </w:t>
      </w:r>
      <w:r w:rsidRPr="00A203A6">
        <w:rPr>
          <w:rFonts w:cs="Times New Roman"/>
          <w:i/>
          <w:iCs/>
          <w:color w:val="000000" w:themeColor="text1"/>
          <w:sz w:val="18"/>
          <w:szCs w:val="18"/>
        </w:rPr>
        <w:t>Terrorism and Political Violence</w:t>
      </w:r>
      <w:r w:rsidRPr="00A203A6">
        <w:rPr>
          <w:rFonts w:cs="Times New Roman"/>
          <w:color w:val="000000" w:themeColor="text1"/>
          <w:sz w:val="18"/>
          <w:szCs w:val="18"/>
        </w:rPr>
        <w:t xml:space="preserve"> (London: SAGE Publications Ltd., 2015): 138.</w:t>
      </w:r>
    </w:p>
  </w:footnote>
  <w:footnote w:id="303">
    <w:p w14:paraId="4FEFEE23" w14:textId="77777777" w:rsidR="00BE0E9B" w:rsidRPr="00A203A6" w:rsidRDefault="00BE0E9B" w:rsidP="00787EBB">
      <w:pPr>
        <w:pStyle w:val="FootnoteText"/>
        <w:tabs>
          <w:tab w:val="left" w:pos="5529"/>
        </w:tabs>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the concept of von Neumann-Morgenstern (VNM) rationality in Expected Utility Theory (EUT). John von Neumann and Oskar Morgenstern demonstrate that an actor can be said to exhibit rational behavior if its preferences (what it wants to achieve) meet four specific conditions: completeness, transitivity, continuity, and (probabilistic) independence. In this context, “completeness” refers to the actor having a well-defined notion of its preferences. “Transitivity,” then, is the idea that these preferences can be compared in ranked sequence. “Continuity” argues that there exists a set of preferences that necessarily comprises all considerations that can fall within its defined purview, in consideration of the size and/or nature of the disparity between different possible preferences. Finally, “probabilistic independence” means that the set of preferences preserves the same ordering, regardless of the introduction of new preferences into consideration of the set. See John von Neumann and Oskar Morgenstern, </w:t>
      </w:r>
      <w:r w:rsidRPr="00A203A6">
        <w:rPr>
          <w:rFonts w:cs="Times New Roman"/>
          <w:i/>
          <w:iCs/>
          <w:color w:val="000000" w:themeColor="text1"/>
          <w:sz w:val="18"/>
          <w:szCs w:val="18"/>
        </w:rPr>
        <w:t>Theory of Games and Economic Behavior</w:t>
      </w:r>
      <w:r w:rsidRPr="00A203A6">
        <w:rPr>
          <w:rFonts w:cs="Times New Roman"/>
          <w:color w:val="000000" w:themeColor="text1"/>
          <w:sz w:val="18"/>
          <w:szCs w:val="18"/>
        </w:rPr>
        <w:t xml:space="preserve"> (Princeton: Princeton University Press, 1953).</w:t>
      </w:r>
    </w:p>
    <w:p w14:paraId="428F918D" w14:textId="0532BA54" w:rsidR="00BE0E9B" w:rsidRPr="00A203A6" w:rsidRDefault="00BE0E9B" w:rsidP="00787EBB">
      <w:pPr>
        <w:pStyle w:val="FootnoteText"/>
        <w:tabs>
          <w:tab w:val="left" w:pos="5529"/>
        </w:tabs>
        <w:spacing w:before="0" w:after="80"/>
        <w:rPr>
          <w:rFonts w:cs="Times New Roman"/>
          <w:color w:val="000000" w:themeColor="text1"/>
          <w:sz w:val="18"/>
          <w:szCs w:val="18"/>
        </w:rPr>
      </w:pPr>
      <w:r w:rsidRPr="00A203A6">
        <w:rPr>
          <w:rFonts w:cs="Times New Roman"/>
          <w:color w:val="000000" w:themeColor="text1"/>
          <w:sz w:val="18"/>
          <w:szCs w:val="18"/>
        </w:rPr>
        <w:t>Its extensive use in foreign policy analysis notwithstanding, EUT is applicable to analyses of the relationship between terrorism and the media when the media is conceived of in accordance with Marxist paradigms. This is because Marxist critiques of the media hold that media ha</w:t>
      </w:r>
      <w:r w:rsidR="00365923" w:rsidRPr="00A203A6">
        <w:rPr>
          <w:rFonts w:cs="Times New Roman"/>
          <w:color w:val="000000" w:themeColor="text1"/>
          <w:sz w:val="18"/>
          <w:szCs w:val="18"/>
        </w:rPr>
        <w:t>ve</w:t>
      </w:r>
      <w:r w:rsidRPr="00A203A6">
        <w:rPr>
          <w:rFonts w:cs="Times New Roman"/>
          <w:color w:val="000000" w:themeColor="text1"/>
          <w:sz w:val="18"/>
          <w:szCs w:val="18"/>
        </w:rPr>
        <w:t xml:space="preserve"> two ‘centers of gravity:’ the state, and the accumulation of capital. Based on von Neumann and Morgenstern’s four considerations outlined above, these two foci constitute “rational preferences” that allow for the applicability of EUT.</w:t>
      </w:r>
    </w:p>
  </w:footnote>
  <w:footnote w:id="304">
    <w:p w14:paraId="18CFAA16" w14:textId="77777777" w:rsidR="00BE0E9B" w:rsidRPr="00A203A6" w:rsidRDefault="00BE0E9B" w:rsidP="00787EBB">
      <w:pPr>
        <w:pStyle w:val="FootnoteText"/>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idea that a rational actor is necessarily a unitary actor borrows from certain International Relations scholars’ assertions that the state cannot be considered a rational actor because “the nature of state decision-making is not unitary and therefore not necessarily rational.” See Andrew </w:t>
      </w:r>
      <w:proofErr w:type="spellStart"/>
      <w:r w:rsidRPr="00A203A6">
        <w:rPr>
          <w:rFonts w:cs="Times New Roman"/>
          <w:color w:val="000000" w:themeColor="text1"/>
          <w:sz w:val="18"/>
          <w:szCs w:val="18"/>
        </w:rPr>
        <w:t>Moravcsik</w:t>
      </w:r>
      <w:proofErr w:type="spellEnd"/>
      <w:r w:rsidRPr="00A203A6">
        <w:rPr>
          <w:rFonts w:cs="Times New Roman"/>
          <w:color w:val="000000" w:themeColor="text1"/>
          <w:sz w:val="18"/>
          <w:szCs w:val="18"/>
        </w:rPr>
        <w:t xml:space="preserve">, “Liberal International Relations Theory: A Social Scientific Assessment.” Published by the </w:t>
      </w:r>
      <w:proofErr w:type="spellStart"/>
      <w:r w:rsidRPr="00A203A6">
        <w:rPr>
          <w:rFonts w:cs="Times New Roman"/>
          <w:color w:val="000000" w:themeColor="text1"/>
          <w:sz w:val="18"/>
          <w:szCs w:val="18"/>
        </w:rPr>
        <w:t>Weatherhead</w:t>
      </w:r>
      <w:proofErr w:type="spellEnd"/>
      <w:r w:rsidRPr="00A203A6">
        <w:rPr>
          <w:rFonts w:cs="Times New Roman"/>
          <w:color w:val="000000" w:themeColor="text1"/>
          <w:sz w:val="18"/>
          <w:szCs w:val="18"/>
        </w:rPr>
        <w:t xml:space="preserve"> Center for International Affairs, Harvard University (2001).</w:t>
      </w:r>
    </w:p>
  </w:footnote>
  <w:footnote w:id="305">
    <w:p w14:paraId="71BCDBFD" w14:textId="64CDEC75"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For example, Harold </w:t>
      </w:r>
      <w:proofErr w:type="spellStart"/>
      <w:r w:rsidRPr="00A203A6">
        <w:rPr>
          <w:rFonts w:cs="Times New Roman"/>
          <w:color w:val="000000" w:themeColor="text1"/>
          <w:sz w:val="18"/>
          <w:szCs w:val="18"/>
        </w:rPr>
        <w:t>Lasswell’s</w:t>
      </w:r>
      <w:proofErr w:type="spellEnd"/>
      <w:r w:rsidRPr="00A203A6">
        <w:rPr>
          <w:rFonts w:cs="Times New Roman"/>
          <w:color w:val="000000" w:themeColor="text1"/>
          <w:sz w:val="18"/>
          <w:szCs w:val="18"/>
        </w:rPr>
        <w:t xml:space="preserve"> “hypodermic needle” model of communication. In his 1927 </w:t>
      </w:r>
      <w:r w:rsidRPr="00A203A6">
        <w:rPr>
          <w:rFonts w:cs="Times New Roman"/>
          <w:i/>
          <w:iCs/>
          <w:color w:val="000000" w:themeColor="text1"/>
          <w:sz w:val="18"/>
          <w:szCs w:val="18"/>
        </w:rPr>
        <w:t>Propaganda Technique</w:t>
      </w:r>
      <w:r w:rsidR="00365923" w:rsidRPr="00A203A6">
        <w:rPr>
          <w:rFonts w:cs="Times New Roman"/>
          <w:i/>
          <w:iCs/>
          <w:color w:val="000000" w:themeColor="text1"/>
          <w:sz w:val="18"/>
          <w:szCs w:val="18"/>
        </w:rPr>
        <w:t xml:space="preserve"> (or Techniques</w:t>
      </w:r>
      <w:r w:rsidRPr="00A203A6">
        <w:rPr>
          <w:rFonts w:cs="Times New Roman"/>
          <w:i/>
          <w:iCs/>
          <w:color w:val="000000" w:themeColor="text1"/>
          <w:sz w:val="18"/>
          <w:szCs w:val="18"/>
        </w:rPr>
        <w:t xml:space="preserve"> in the World War</w:t>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Lasswell</w:t>
      </w:r>
      <w:proofErr w:type="spellEnd"/>
      <w:r w:rsidRPr="00A203A6">
        <w:rPr>
          <w:rFonts w:cs="Times New Roman"/>
          <w:color w:val="000000" w:themeColor="text1"/>
          <w:sz w:val="18"/>
          <w:szCs w:val="18"/>
        </w:rPr>
        <w:t xml:space="preserve"> theorized </w:t>
      </w:r>
      <w:r w:rsidRPr="00A203A6">
        <w:rPr>
          <w:rFonts w:cs="Times New Roman"/>
          <w:color w:val="000000" w:themeColor="text1"/>
          <w:sz w:val="18"/>
          <w:szCs w:val="18"/>
          <w:shd w:val="clear" w:color="auto" w:fill="FFFFFF"/>
        </w:rPr>
        <w:t>that mass media has powerful and direct effects on audiences, similar to a bullet piercing its target or a hypodermic needle injecting its contents directly into the body. According to this theory, the media has the ability to directly shape the thoughts, attitudes, and behaviors of individuals without their active engagement or critical thinking.</w:t>
      </w:r>
      <w:r w:rsidRPr="00A203A6">
        <w:rPr>
          <w:rFonts w:cs="Times New Roman"/>
          <w:color w:val="000000" w:themeColor="text1"/>
          <w:sz w:val="18"/>
          <w:szCs w:val="18"/>
        </w:rPr>
        <w:t xml:space="preserve"> In contrast, </w:t>
      </w:r>
      <w:r w:rsidRPr="00A203A6">
        <w:rPr>
          <w:rFonts w:cs="Times New Roman"/>
          <w:color w:val="000000" w:themeColor="text1"/>
          <w:sz w:val="18"/>
          <w:szCs w:val="18"/>
          <w:shd w:val="clear" w:color="auto" w:fill="FFFFFF"/>
        </w:rPr>
        <w:t>contemporary theories of media effects, such as cultivation theory, agenda-setting theory, and uses and gratifications theory, recognize that media influence is multifaceted and contingent upon a range of factors. These theories highlight the importance of considering audience characteristics, media content, and social context in understanding the effects of media on individuals and society.</w:t>
      </w:r>
      <w:r w:rsidRPr="00A203A6">
        <w:rPr>
          <w:rFonts w:cs="Times New Roman"/>
          <w:color w:val="000000" w:themeColor="text1"/>
          <w:sz w:val="18"/>
          <w:szCs w:val="18"/>
        </w:rPr>
        <w:t xml:space="preserve"> (See </w:t>
      </w:r>
      <w:proofErr w:type="spellStart"/>
      <w:r w:rsidRPr="00A203A6">
        <w:rPr>
          <w:rFonts w:cs="Times New Roman"/>
          <w:color w:val="000000" w:themeColor="text1"/>
          <w:sz w:val="18"/>
          <w:szCs w:val="18"/>
        </w:rPr>
        <w:t>Archetti</w:t>
      </w:r>
      <w:proofErr w:type="spellEnd"/>
      <w:r w:rsidRPr="00A203A6">
        <w:rPr>
          <w:rFonts w:cs="Times New Roman"/>
          <w:color w:val="000000" w:themeColor="text1"/>
          <w:sz w:val="18"/>
          <w:szCs w:val="18"/>
        </w:rPr>
        <w:t>, “Terrorism, Communication and the Media,” 139.)</w:t>
      </w:r>
    </w:p>
  </w:footnote>
  <w:footnote w:id="306">
    <w:p w14:paraId="75507C7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Harold Dwight </w:t>
      </w:r>
      <w:proofErr w:type="spellStart"/>
      <w:r w:rsidRPr="00A203A6">
        <w:rPr>
          <w:rFonts w:cs="Times New Roman"/>
          <w:color w:val="000000" w:themeColor="text1"/>
          <w:sz w:val="18"/>
          <w:szCs w:val="18"/>
        </w:rPr>
        <w:t>Lasswell</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Propaganda Technique in the World War</w:t>
      </w:r>
      <w:r w:rsidRPr="00A203A6">
        <w:rPr>
          <w:rFonts w:cs="Times New Roman"/>
          <w:color w:val="000000" w:themeColor="text1"/>
          <w:sz w:val="18"/>
          <w:szCs w:val="18"/>
        </w:rPr>
        <w:t xml:space="preserve"> (London: K. Paul, 1927); Paul </w:t>
      </w:r>
      <w:proofErr w:type="spellStart"/>
      <w:r w:rsidRPr="00A203A6">
        <w:rPr>
          <w:rFonts w:cs="Times New Roman"/>
          <w:color w:val="000000" w:themeColor="text1"/>
          <w:sz w:val="18"/>
          <w:szCs w:val="18"/>
        </w:rPr>
        <w:t>Lazarsfeld</w:t>
      </w:r>
      <w:proofErr w:type="spellEnd"/>
      <w:r w:rsidRPr="00A203A6">
        <w:rPr>
          <w:rFonts w:cs="Times New Roman"/>
          <w:color w:val="000000" w:themeColor="text1"/>
          <w:sz w:val="18"/>
          <w:szCs w:val="18"/>
        </w:rPr>
        <w:t xml:space="preserve"> and Robert K. Merton, “Mass Communication, Popular Taste and Organized Action.” In Wilbur Schramm and Donald F. Roberts (eds.), </w:t>
      </w:r>
      <w:r w:rsidRPr="00A203A6">
        <w:rPr>
          <w:rFonts w:cs="Times New Roman"/>
          <w:i/>
          <w:iCs/>
          <w:color w:val="000000" w:themeColor="text1"/>
          <w:sz w:val="18"/>
          <w:szCs w:val="18"/>
        </w:rPr>
        <w:t>The Processes and Effects of Mass Communication</w:t>
      </w:r>
      <w:r w:rsidRPr="00A203A6">
        <w:rPr>
          <w:rFonts w:cs="Times New Roman"/>
          <w:color w:val="000000" w:themeColor="text1"/>
          <w:sz w:val="18"/>
          <w:szCs w:val="18"/>
        </w:rPr>
        <w:t xml:space="preserve"> (Urbana: University of Illinois Press, 1971): 457-473.; Philip Kotler and Gerald </w:t>
      </w:r>
      <w:proofErr w:type="spellStart"/>
      <w:r w:rsidRPr="00A203A6">
        <w:rPr>
          <w:rFonts w:cs="Times New Roman"/>
          <w:color w:val="000000" w:themeColor="text1"/>
          <w:sz w:val="18"/>
          <w:szCs w:val="18"/>
        </w:rPr>
        <w:t>Zaltman</w:t>
      </w:r>
      <w:proofErr w:type="spellEnd"/>
      <w:r w:rsidRPr="00A203A6">
        <w:rPr>
          <w:rFonts w:cs="Times New Roman"/>
          <w:color w:val="000000" w:themeColor="text1"/>
          <w:sz w:val="18"/>
          <w:szCs w:val="18"/>
        </w:rPr>
        <w:t xml:space="preserve">, “Social Marketing: An Approach to Planned Social Change,” </w:t>
      </w:r>
      <w:r w:rsidRPr="00A203A6">
        <w:rPr>
          <w:rFonts w:cs="Times New Roman"/>
          <w:i/>
          <w:iCs/>
          <w:color w:val="000000" w:themeColor="text1"/>
          <w:sz w:val="18"/>
          <w:szCs w:val="18"/>
        </w:rPr>
        <w:t>Journal of Marketing</w:t>
      </w:r>
      <w:r w:rsidRPr="00A203A6">
        <w:rPr>
          <w:rFonts w:cs="Times New Roman"/>
          <w:color w:val="000000" w:themeColor="text1"/>
          <w:sz w:val="18"/>
          <w:szCs w:val="18"/>
        </w:rPr>
        <w:t xml:space="preserve"> 35, no. 3 (July 1971): 3-12; Edwin Emery, </w:t>
      </w:r>
      <w:r w:rsidRPr="00A203A6">
        <w:rPr>
          <w:rFonts w:cs="Times New Roman"/>
          <w:i/>
          <w:iCs/>
          <w:color w:val="000000" w:themeColor="text1"/>
          <w:sz w:val="18"/>
          <w:szCs w:val="18"/>
        </w:rPr>
        <w:t xml:space="preserve">The Press and America: An Interpretative History of the Mass Media </w:t>
      </w:r>
      <w:r w:rsidRPr="00A203A6">
        <w:rPr>
          <w:rFonts w:cs="Times New Roman"/>
          <w:color w:val="000000" w:themeColor="text1"/>
          <w:sz w:val="18"/>
          <w:szCs w:val="18"/>
        </w:rPr>
        <w:t xml:space="preserve">(Englewood Cliffs: Prentice-Hall, 1972); Elisabeth Noelle-Neumann, “The Spiral of Silence: A Theory of Public Opinion,” </w:t>
      </w:r>
      <w:r w:rsidRPr="00A203A6">
        <w:rPr>
          <w:rFonts w:cs="Times New Roman"/>
          <w:i/>
          <w:iCs/>
          <w:color w:val="000000" w:themeColor="text1"/>
          <w:sz w:val="18"/>
          <w:szCs w:val="18"/>
        </w:rPr>
        <w:t>Journal of Communication</w:t>
      </w:r>
      <w:r w:rsidRPr="00A203A6">
        <w:rPr>
          <w:rFonts w:cs="Times New Roman"/>
          <w:color w:val="000000" w:themeColor="text1"/>
          <w:sz w:val="18"/>
          <w:szCs w:val="18"/>
        </w:rPr>
        <w:t xml:space="preserve"> 24, no. 1 (1974): 43-51; W. Lance Bennet and David L. </w:t>
      </w:r>
      <w:proofErr w:type="spellStart"/>
      <w:r w:rsidRPr="00A203A6">
        <w:rPr>
          <w:rFonts w:cs="Times New Roman"/>
          <w:color w:val="000000" w:themeColor="text1"/>
          <w:sz w:val="18"/>
          <w:szCs w:val="18"/>
        </w:rPr>
        <w:t>Paletz</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Taken By Storm: The Media, Public Opinion, and US Foreign Policy in the Gulf War</w:t>
      </w:r>
      <w:r w:rsidRPr="00A203A6">
        <w:rPr>
          <w:rFonts w:cs="Times New Roman"/>
          <w:color w:val="000000" w:themeColor="text1"/>
          <w:sz w:val="18"/>
          <w:szCs w:val="18"/>
        </w:rPr>
        <w:t xml:space="preserve"> (Chicago: University of Chicago Press, 1994); Brian McNair, </w:t>
      </w:r>
      <w:r w:rsidRPr="00A203A6">
        <w:rPr>
          <w:rFonts w:cs="Times New Roman"/>
          <w:i/>
          <w:iCs/>
          <w:color w:val="000000" w:themeColor="text1"/>
          <w:sz w:val="18"/>
          <w:szCs w:val="18"/>
        </w:rPr>
        <w:t xml:space="preserve">Cultural Chaos: Journalism and Power in a Globalised World </w:t>
      </w:r>
      <w:r w:rsidRPr="00A203A6">
        <w:rPr>
          <w:rFonts w:cs="Times New Roman"/>
          <w:color w:val="000000" w:themeColor="text1"/>
          <w:sz w:val="18"/>
          <w:szCs w:val="18"/>
        </w:rPr>
        <w:t xml:space="preserve">(London: Routledge, 2006); Andrew Hoskins and Ben O’Loughlin, </w:t>
      </w:r>
      <w:r w:rsidRPr="00A203A6">
        <w:rPr>
          <w:rFonts w:cs="Times New Roman"/>
          <w:i/>
          <w:iCs/>
          <w:color w:val="000000" w:themeColor="text1"/>
          <w:sz w:val="18"/>
          <w:szCs w:val="18"/>
        </w:rPr>
        <w:t>War and Media</w:t>
      </w:r>
      <w:r w:rsidRPr="00A203A6">
        <w:rPr>
          <w:rFonts w:cs="Times New Roman"/>
          <w:color w:val="000000" w:themeColor="text1"/>
          <w:sz w:val="18"/>
          <w:szCs w:val="18"/>
        </w:rPr>
        <w:t xml:space="preserve"> (Cambridge: Polity Press, 2010).</w:t>
      </w:r>
    </w:p>
  </w:footnote>
  <w:footnote w:id="307">
    <w:p w14:paraId="2BC4796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Wilkinson, “The Media and Terrorism,” 54.</w:t>
      </w:r>
    </w:p>
  </w:footnote>
  <w:footnote w:id="308">
    <w:p w14:paraId="2B71AAC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 John Martin, “The Media’s Role in International Terrorism,” </w:t>
      </w:r>
      <w:r w:rsidRPr="00A203A6">
        <w:rPr>
          <w:rFonts w:cs="Times New Roman"/>
          <w:i/>
          <w:iCs/>
          <w:color w:val="000000" w:themeColor="text1"/>
          <w:sz w:val="18"/>
          <w:szCs w:val="18"/>
        </w:rPr>
        <w:t xml:space="preserve">Terrorism </w:t>
      </w:r>
      <w:r w:rsidRPr="00A203A6">
        <w:rPr>
          <w:rFonts w:cs="Times New Roman"/>
          <w:color w:val="000000" w:themeColor="text1"/>
          <w:sz w:val="18"/>
          <w:szCs w:val="18"/>
        </w:rPr>
        <w:t xml:space="preserve">8, no. 2 (1985): 127-146. As cited in </w:t>
      </w:r>
      <w:proofErr w:type="spellStart"/>
      <w:r w:rsidRPr="00A203A6">
        <w:rPr>
          <w:rFonts w:cs="Times New Roman"/>
          <w:color w:val="000000" w:themeColor="text1"/>
          <w:sz w:val="18"/>
          <w:szCs w:val="18"/>
        </w:rPr>
        <w:t>Sonise</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Lumbaca</w:t>
      </w:r>
      <w:proofErr w:type="spellEnd"/>
      <w:r w:rsidRPr="00A203A6">
        <w:rPr>
          <w:rFonts w:cs="Times New Roman"/>
          <w:color w:val="000000" w:themeColor="text1"/>
          <w:sz w:val="18"/>
          <w:szCs w:val="18"/>
        </w:rPr>
        <w:t xml:space="preserve"> and David H. Gray, “The Media as an Enabler for Acts of Terrorism,” </w:t>
      </w:r>
      <w:r w:rsidRPr="00A203A6">
        <w:rPr>
          <w:rFonts w:cs="Times New Roman"/>
          <w:i/>
          <w:iCs/>
          <w:color w:val="000000" w:themeColor="text1"/>
          <w:sz w:val="18"/>
          <w:szCs w:val="18"/>
        </w:rPr>
        <w:t xml:space="preserve">Global Security </w:t>
      </w:r>
      <w:r w:rsidRPr="00A203A6">
        <w:rPr>
          <w:rFonts w:cs="Times New Roman"/>
          <w:color w:val="000000" w:themeColor="text1"/>
          <w:sz w:val="18"/>
          <w:szCs w:val="18"/>
        </w:rPr>
        <w:t>Studies 2, no. 1 (2011): 50.</w:t>
      </w:r>
    </w:p>
  </w:footnote>
  <w:footnote w:id="309">
    <w:p w14:paraId="42B23A29" w14:textId="26323D81"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Marshall McLuhan, </w:t>
      </w:r>
      <w:r w:rsidRPr="00A203A6">
        <w:rPr>
          <w:rFonts w:cs="Times New Roman"/>
          <w:i/>
          <w:iCs/>
          <w:color w:val="000000" w:themeColor="text1"/>
          <w:sz w:val="18"/>
          <w:szCs w:val="18"/>
        </w:rPr>
        <w:t>Understanding Media: The Extensions of Man</w:t>
      </w:r>
      <w:r w:rsidRPr="00A203A6">
        <w:rPr>
          <w:rFonts w:cs="Times New Roman"/>
          <w:color w:val="000000" w:themeColor="text1"/>
          <w:sz w:val="18"/>
          <w:szCs w:val="18"/>
        </w:rPr>
        <w:t xml:space="preserve"> (New York City: McGraw-Hill, 1964): 8.</w:t>
      </w:r>
    </w:p>
  </w:footnote>
  <w:footnote w:id="310">
    <w:p w14:paraId="4A6E1FD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McLuhan, </w:t>
      </w:r>
      <w:r w:rsidRPr="00A203A6">
        <w:rPr>
          <w:rFonts w:cs="Times New Roman"/>
          <w:i/>
          <w:iCs/>
          <w:color w:val="000000" w:themeColor="text1"/>
          <w:sz w:val="18"/>
          <w:szCs w:val="18"/>
        </w:rPr>
        <w:t>Understanding Media</w:t>
      </w:r>
      <w:r w:rsidRPr="00A203A6">
        <w:rPr>
          <w:rFonts w:cs="Times New Roman"/>
          <w:color w:val="000000" w:themeColor="text1"/>
          <w:sz w:val="18"/>
          <w:szCs w:val="18"/>
        </w:rPr>
        <w:t>, 8.</w:t>
      </w:r>
    </w:p>
  </w:footnote>
  <w:footnote w:id="311">
    <w:p w14:paraId="7DC973D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Lazarsfeld</w:t>
      </w:r>
      <w:proofErr w:type="spellEnd"/>
      <w:r w:rsidRPr="00A203A6">
        <w:rPr>
          <w:rFonts w:cs="Times New Roman"/>
          <w:color w:val="000000" w:themeColor="text1"/>
          <w:sz w:val="18"/>
          <w:szCs w:val="18"/>
        </w:rPr>
        <w:t xml:space="preserve"> and Merton, “Mass Communication, Popular Taste and Organized Action,” 457-473.</w:t>
      </w:r>
    </w:p>
  </w:footnote>
  <w:footnote w:id="312">
    <w:p w14:paraId="346E0A6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Lazarsfeld</w:t>
      </w:r>
      <w:proofErr w:type="spellEnd"/>
      <w:r w:rsidRPr="00A203A6">
        <w:rPr>
          <w:rFonts w:cs="Times New Roman"/>
          <w:color w:val="000000" w:themeColor="text1"/>
          <w:sz w:val="18"/>
          <w:szCs w:val="18"/>
        </w:rPr>
        <w:t xml:space="preserve"> and Merton, “Mass Communication, Popular Taste and Organized Action,” 457-473.</w:t>
      </w:r>
    </w:p>
  </w:footnote>
  <w:footnote w:id="313">
    <w:p w14:paraId="7C91B84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Lazarsfeld</w:t>
      </w:r>
      <w:proofErr w:type="spellEnd"/>
      <w:r w:rsidRPr="00A203A6">
        <w:rPr>
          <w:rFonts w:cs="Times New Roman"/>
          <w:color w:val="000000" w:themeColor="text1"/>
          <w:sz w:val="18"/>
          <w:szCs w:val="18"/>
        </w:rPr>
        <w:t xml:space="preserve"> and Merton, “Mass Communication, Popular Taste and Organized Action,” 457-473.</w:t>
      </w:r>
    </w:p>
  </w:footnote>
  <w:footnote w:id="314">
    <w:p w14:paraId="7D586C9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Maxwell E. McCombs and Donald L. Shaw, “The Agenda-Setting Function of Mass Media,” </w:t>
      </w:r>
      <w:r w:rsidRPr="00A203A6">
        <w:rPr>
          <w:rFonts w:cs="Times New Roman"/>
          <w:i/>
          <w:iCs/>
          <w:color w:val="000000" w:themeColor="text1"/>
          <w:sz w:val="18"/>
          <w:szCs w:val="18"/>
        </w:rPr>
        <w:t>Public Opinion Quarterly</w:t>
      </w:r>
      <w:r w:rsidRPr="00A203A6">
        <w:rPr>
          <w:rFonts w:cs="Times New Roman"/>
          <w:color w:val="000000" w:themeColor="text1"/>
          <w:sz w:val="18"/>
          <w:szCs w:val="18"/>
        </w:rPr>
        <w:t xml:space="preserve"> 36, no. 2 (1972): 176-187. Media framing theory (which I address later on in this chapter) is also relevant in this sense.</w:t>
      </w:r>
    </w:p>
  </w:footnote>
  <w:footnote w:id="315">
    <w:p w14:paraId="444AB83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3, “Terrorism and Post-Modern Warfare” for a more detailed deconstruction of the typology of terrorism as post-modern warfare that I use in this dissertation.</w:t>
      </w:r>
    </w:p>
  </w:footnote>
  <w:footnote w:id="316">
    <w:p w14:paraId="018919D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Boaz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Counter-Terrorism Puzzle</w:t>
      </w:r>
      <w:r w:rsidRPr="00A203A6">
        <w:rPr>
          <w:rFonts w:cs="Times New Roman"/>
          <w:color w:val="000000" w:themeColor="text1"/>
          <w:sz w:val="18"/>
          <w:szCs w:val="18"/>
        </w:rPr>
        <w:t xml:space="preserve"> (Herzliya: Transaction Publishers, 2005): 229-246.</w:t>
      </w:r>
    </w:p>
  </w:footnote>
  <w:footnote w:id="317">
    <w:p w14:paraId="03B08E52"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Counter-Terrorism Puzzle,</w:t>
      </w:r>
      <w:r w:rsidRPr="00A203A6">
        <w:rPr>
          <w:rFonts w:cs="Times New Roman"/>
          <w:color w:val="000000" w:themeColor="text1"/>
          <w:sz w:val="18"/>
          <w:szCs w:val="18"/>
        </w:rPr>
        <w:t xml:space="preserve"> 229-246. For an overview of the process through which public opinion affects policy decision-making, see Jeff </w:t>
      </w:r>
      <w:proofErr w:type="spellStart"/>
      <w:r w:rsidRPr="00A203A6">
        <w:rPr>
          <w:rFonts w:cs="Times New Roman"/>
          <w:color w:val="000000" w:themeColor="text1"/>
          <w:sz w:val="18"/>
          <w:szCs w:val="18"/>
        </w:rPr>
        <w:t>Manza</w:t>
      </w:r>
      <w:proofErr w:type="spellEnd"/>
      <w:r w:rsidRPr="00A203A6">
        <w:rPr>
          <w:rFonts w:cs="Times New Roman"/>
          <w:color w:val="000000" w:themeColor="text1"/>
          <w:sz w:val="18"/>
          <w:szCs w:val="18"/>
        </w:rPr>
        <w:t xml:space="preserve">, Fay Lomax Cook and Benjamin I. Page (eds.), </w:t>
      </w:r>
      <w:r w:rsidRPr="00A203A6">
        <w:rPr>
          <w:rFonts w:cs="Times New Roman"/>
          <w:i/>
          <w:iCs/>
          <w:color w:val="000000" w:themeColor="text1"/>
          <w:sz w:val="18"/>
          <w:szCs w:val="18"/>
        </w:rPr>
        <w:t xml:space="preserve">Navigating Public Opinion: Polls, Policy, and the Future of American Democracy </w:t>
      </w:r>
      <w:r w:rsidRPr="00A203A6">
        <w:rPr>
          <w:rFonts w:cs="Times New Roman"/>
          <w:color w:val="000000" w:themeColor="text1"/>
          <w:sz w:val="18"/>
          <w:szCs w:val="18"/>
        </w:rPr>
        <w:t>(Oxford: Oxford University Press, 2002): 17-124.</w:t>
      </w:r>
    </w:p>
  </w:footnote>
  <w:footnote w:id="318">
    <w:p w14:paraId="27508B0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Refer back to Footnote 15 in Chapter 1 (Page 9) for clarification as to my use of the term International Relations (or IR) to refer to the academic discipline, and ‘international relations’ to describe real-world conduct and policies.</w:t>
      </w:r>
    </w:p>
  </w:footnote>
  <w:footnote w:id="319">
    <w:p w14:paraId="57F2431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Peter Bachrach and Morton S. </w:t>
      </w:r>
      <w:proofErr w:type="spellStart"/>
      <w:r w:rsidRPr="00A203A6">
        <w:rPr>
          <w:rFonts w:cs="Times New Roman"/>
          <w:color w:val="000000" w:themeColor="text1"/>
          <w:sz w:val="18"/>
          <w:szCs w:val="18"/>
        </w:rPr>
        <w:t>Baratz</w:t>
      </w:r>
      <w:proofErr w:type="spellEnd"/>
      <w:r w:rsidRPr="00A203A6">
        <w:rPr>
          <w:rFonts w:cs="Times New Roman"/>
          <w:color w:val="000000" w:themeColor="text1"/>
          <w:sz w:val="18"/>
          <w:szCs w:val="18"/>
        </w:rPr>
        <w:t xml:space="preserve">, “Two Faces of Power,” </w:t>
      </w:r>
      <w:r w:rsidRPr="00A203A6">
        <w:rPr>
          <w:rFonts w:cs="Times New Roman"/>
          <w:i/>
          <w:iCs/>
          <w:color w:val="000000" w:themeColor="text1"/>
          <w:sz w:val="18"/>
          <w:szCs w:val="18"/>
        </w:rPr>
        <w:t>The American Political Science Review</w:t>
      </w:r>
      <w:r w:rsidRPr="00A203A6">
        <w:rPr>
          <w:rFonts w:cs="Times New Roman"/>
          <w:color w:val="000000" w:themeColor="text1"/>
          <w:sz w:val="18"/>
          <w:szCs w:val="18"/>
        </w:rPr>
        <w:t xml:space="preserve"> 56, no. 4 (1962): 948.</w:t>
      </w:r>
    </w:p>
  </w:footnote>
  <w:footnote w:id="320">
    <w:p w14:paraId="0404EF7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McCombs and Shaw, “The Agenda-Setting Function of Mass Media.” As cited in Spiro </w:t>
      </w:r>
      <w:proofErr w:type="spellStart"/>
      <w:r w:rsidRPr="00A203A6">
        <w:rPr>
          <w:rFonts w:cs="Times New Roman"/>
          <w:color w:val="000000" w:themeColor="text1"/>
          <w:sz w:val="18"/>
          <w:szCs w:val="18"/>
        </w:rPr>
        <w:t>Kiousis</w:t>
      </w:r>
      <w:proofErr w:type="spellEnd"/>
      <w:r w:rsidRPr="00A203A6">
        <w:rPr>
          <w:rFonts w:cs="Times New Roman"/>
          <w:color w:val="000000" w:themeColor="text1"/>
          <w:sz w:val="18"/>
          <w:szCs w:val="18"/>
        </w:rPr>
        <w:t xml:space="preserve">, Cristina Popescu, and Michael </w:t>
      </w:r>
      <w:proofErr w:type="spellStart"/>
      <w:r w:rsidRPr="00A203A6">
        <w:rPr>
          <w:rFonts w:cs="Times New Roman"/>
          <w:color w:val="000000" w:themeColor="text1"/>
          <w:sz w:val="18"/>
          <w:szCs w:val="18"/>
        </w:rPr>
        <w:t>Mitrook</w:t>
      </w:r>
      <w:proofErr w:type="spellEnd"/>
      <w:r w:rsidRPr="00A203A6">
        <w:rPr>
          <w:rFonts w:cs="Times New Roman"/>
          <w:color w:val="000000" w:themeColor="text1"/>
          <w:sz w:val="18"/>
          <w:szCs w:val="18"/>
        </w:rPr>
        <w:t xml:space="preserve">, “Understanding Influence on Corporate Reputation: An Examination of Public Relations Efforts, Media Coverage, Public Opinion, and Financial Performance from an Agenda-Building and Agenda-Setting Perspective,” </w:t>
      </w:r>
      <w:r w:rsidRPr="00A203A6">
        <w:rPr>
          <w:rFonts w:cs="Times New Roman"/>
          <w:i/>
          <w:iCs/>
          <w:color w:val="000000" w:themeColor="text1"/>
          <w:sz w:val="18"/>
          <w:szCs w:val="18"/>
        </w:rPr>
        <w:t>Journal of Public Relations Research</w:t>
      </w:r>
      <w:r w:rsidRPr="00A203A6">
        <w:rPr>
          <w:rFonts w:cs="Times New Roman"/>
          <w:color w:val="000000" w:themeColor="text1"/>
          <w:sz w:val="18"/>
          <w:szCs w:val="18"/>
        </w:rPr>
        <w:t xml:space="preserve"> 19, no. 2 (2007): 149.</w:t>
      </w:r>
    </w:p>
  </w:footnote>
  <w:footnote w:id="321">
    <w:p w14:paraId="4C625349" w14:textId="77777777" w:rsidR="00BE0E9B" w:rsidRPr="00A203A6" w:rsidRDefault="00BE0E9B"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idea that the media has the power to change the political ecosystem is congruent with Peter Bachrach and Morton S. </w:t>
      </w:r>
      <w:proofErr w:type="spellStart"/>
      <w:r w:rsidRPr="00A203A6">
        <w:rPr>
          <w:rFonts w:cs="Times New Roman"/>
          <w:color w:val="000000" w:themeColor="text1"/>
          <w:sz w:val="18"/>
          <w:szCs w:val="18"/>
        </w:rPr>
        <w:t>Baratz’s</w:t>
      </w:r>
      <w:proofErr w:type="spellEnd"/>
      <w:r w:rsidRPr="00A203A6">
        <w:rPr>
          <w:rFonts w:cs="Times New Roman"/>
          <w:color w:val="000000" w:themeColor="text1"/>
          <w:sz w:val="18"/>
          <w:szCs w:val="18"/>
        </w:rPr>
        <w:t xml:space="preserve"> “two faces of power.” In their classical argument, Bachrach and </w:t>
      </w:r>
      <w:proofErr w:type="spellStart"/>
      <w:r w:rsidRPr="00A203A6">
        <w:rPr>
          <w:rFonts w:cs="Times New Roman"/>
          <w:color w:val="000000" w:themeColor="text1"/>
          <w:sz w:val="18"/>
          <w:szCs w:val="18"/>
        </w:rPr>
        <w:t>Baratz</w:t>
      </w:r>
      <w:proofErr w:type="spellEnd"/>
      <w:r w:rsidRPr="00A203A6">
        <w:rPr>
          <w:rFonts w:cs="Times New Roman"/>
          <w:color w:val="000000" w:themeColor="text1"/>
          <w:sz w:val="18"/>
          <w:szCs w:val="18"/>
        </w:rPr>
        <w:t xml:space="preserve"> argue that biases are inherent to the structure of the political system, ultimately determining the issues that are acceptable for debate and discussion. Accordingly, they conceptualize the “faces” of power as “participation in decision-making of concrete issues” on the one hand, and a “restrictive face of power” that holds the objective of maintaining the status quo, on the other. In this context, Bachrach and </w:t>
      </w:r>
      <w:proofErr w:type="spellStart"/>
      <w:r w:rsidRPr="00A203A6">
        <w:rPr>
          <w:rFonts w:cs="Times New Roman"/>
          <w:color w:val="000000" w:themeColor="text1"/>
          <w:sz w:val="18"/>
          <w:szCs w:val="18"/>
        </w:rPr>
        <w:t>Baratz</w:t>
      </w:r>
      <w:proofErr w:type="spellEnd"/>
      <w:r w:rsidRPr="00A203A6">
        <w:rPr>
          <w:rFonts w:cs="Times New Roman"/>
          <w:color w:val="000000" w:themeColor="text1"/>
          <w:sz w:val="18"/>
          <w:szCs w:val="18"/>
        </w:rPr>
        <w:t xml:space="preserve"> conceive of the “mobilization of bias” as “the dominant values and the political myths, rituals, and institutions which tend to favor the vested interests of one or more groups, relative to others.” See Bachrach and </w:t>
      </w:r>
      <w:proofErr w:type="spellStart"/>
      <w:r w:rsidRPr="00A203A6">
        <w:rPr>
          <w:rFonts w:cs="Times New Roman"/>
          <w:color w:val="000000" w:themeColor="text1"/>
          <w:sz w:val="18"/>
          <w:szCs w:val="18"/>
        </w:rPr>
        <w:t>Baratz</w:t>
      </w:r>
      <w:proofErr w:type="spellEnd"/>
      <w:r w:rsidRPr="00A203A6">
        <w:rPr>
          <w:rFonts w:cs="Times New Roman"/>
          <w:color w:val="000000" w:themeColor="text1"/>
          <w:sz w:val="18"/>
          <w:szCs w:val="18"/>
        </w:rPr>
        <w:t>, “Two Faces of Power,” 950.</w:t>
      </w:r>
    </w:p>
  </w:footnote>
  <w:footnote w:id="322">
    <w:p w14:paraId="7321E8D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Gillian Youngs, “Media and Mediation in the ‘War on Terror’: Issues and Challenges,” </w:t>
      </w:r>
      <w:r w:rsidRPr="00A203A6">
        <w:rPr>
          <w:rFonts w:cs="Times New Roman"/>
          <w:i/>
          <w:iCs/>
          <w:color w:val="000000" w:themeColor="text1"/>
          <w:sz w:val="18"/>
          <w:szCs w:val="18"/>
        </w:rPr>
        <w:t>Critical Studies on Terrorism</w:t>
      </w:r>
      <w:r w:rsidRPr="00A203A6">
        <w:rPr>
          <w:rFonts w:cs="Times New Roman"/>
          <w:color w:val="000000" w:themeColor="text1"/>
          <w:sz w:val="18"/>
          <w:szCs w:val="18"/>
        </w:rPr>
        <w:t xml:space="preserve"> 2, no. 1 (2009): 99.</w:t>
      </w:r>
    </w:p>
  </w:footnote>
  <w:footnote w:id="323">
    <w:p w14:paraId="76ED76D5"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Youngs, “Media and Mediation in the ‘War on Terror’,” 99.</w:t>
      </w:r>
    </w:p>
  </w:footnote>
  <w:footnote w:id="324">
    <w:p w14:paraId="0EF4D29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Quintin Hoare and Geoffrey Nowell Smith (eds.), </w:t>
      </w:r>
      <w:r w:rsidRPr="00A203A6">
        <w:rPr>
          <w:rFonts w:cs="Times New Roman"/>
          <w:i/>
          <w:iCs/>
          <w:color w:val="000000" w:themeColor="text1"/>
          <w:sz w:val="18"/>
          <w:szCs w:val="18"/>
        </w:rPr>
        <w:t>Selections from the Prison Notebooks of Antonio Gramsci</w:t>
      </w:r>
      <w:r w:rsidRPr="00A203A6">
        <w:rPr>
          <w:rFonts w:cs="Times New Roman"/>
          <w:color w:val="000000" w:themeColor="text1"/>
          <w:sz w:val="18"/>
          <w:szCs w:val="18"/>
        </w:rPr>
        <w:t xml:space="preserve"> (New York City: International Publishers, 1975): 12.</w:t>
      </w:r>
    </w:p>
  </w:footnote>
  <w:footnote w:id="325">
    <w:p w14:paraId="613F1B5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Frantz Fanon and Charles Lam </w:t>
      </w:r>
      <w:proofErr w:type="spellStart"/>
      <w:r w:rsidRPr="00A203A6">
        <w:rPr>
          <w:rFonts w:cs="Times New Roman"/>
          <w:color w:val="000000" w:themeColor="text1"/>
          <w:sz w:val="18"/>
          <w:szCs w:val="18"/>
        </w:rPr>
        <w:t>Markmann</w:t>
      </w:r>
      <w:proofErr w:type="spellEnd"/>
      <w:r w:rsidRPr="00A203A6">
        <w:rPr>
          <w:rFonts w:cs="Times New Roman"/>
          <w:color w:val="000000" w:themeColor="text1"/>
          <w:sz w:val="18"/>
          <w:szCs w:val="18"/>
        </w:rPr>
        <w:t xml:space="preserve"> (trans.), </w:t>
      </w:r>
      <w:r w:rsidRPr="00A203A6">
        <w:rPr>
          <w:rFonts w:cs="Times New Roman"/>
          <w:i/>
          <w:iCs/>
          <w:color w:val="000000" w:themeColor="text1"/>
          <w:sz w:val="18"/>
          <w:szCs w:val="18"/>
        </w:rPr>
        <w:t>Black Skin, White Masks</w:t>
      </w:r>
      <w:r w:rsidRPr="00A203A6">
        <w:rPr>
          <w:rFonts w:cs="Times New Roman"/>
          <w:color w:val="000000" w:themeColor="text1"/>
          <w:sz w:val="18"/>
          <w:szCs w:val="18"/>
        </w:rPr>
        <w:t xml:space="preserve"> (London: Pluto Press, 1986). </w:t>
      </w:r>
    </w:p>
    <w:p w14:paraId="4D09569D"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See also Michael W. </w:t>
      </w:r>
      <w:proofErr w:type="spellStart"/>
      <w:r w:rsidRPr="00A203A6">
        <w:rPr>
          <w:rFonts w:cs="Times New Roman"/>
          <w:color w:val="000000" w:themeColor="text1"/>
          <w:sz w:val="18"/>
          <w:szCs w:val="18"/>
        </w:rPr>
        <w:t>Sonnleitner</w:t>
      </w:r>
      <w:proofErr w:type="spellEnd"/>
      <w:r w:rsidRPr="00A203A6">
        <w:rPr>
          <w:rFonts w:cs="Times New Roman"/>
          <w:color w:val="000000" w:themeColor="text1"/>
          <w:sz w:val="18"/>
          <w:szCs w:val="18"/>
        </w:rPr>
        <w:t xml:space="preserve">, “Of Logic and Liberation: Frantz Fanon on Terrorism,” </w:t>
      </w:r>
      <w:r w:rsidRPr="00A203A6">
        <w:rPr>
          <w:rFonts w:cs="Times New Roman"/>
          <w:i/>
          <w:iCs/>
          <w:color w:val="000000" w:themeColor="text1"/>
          <w:sz w:val="18"/>
          <w:szCs w:val="18"/>
        </w:rPr>
        <w:t xml:space="preserve">Journal of Black </w:t>
      </w:r>
      <w:r w:rsidRPr="00A203A6">
        <w:rPr>
          <w:rFonts w:cs="Times New Roman"/>
          <w:color w:val="000000" w:themeColor="text1"/>
          <w:sz w:val="18"/>
          <w:szCs w:val="18"/>
        </w:rPr>
        <w:t xml:space="preserve">Studies 17, no. 3 (1987): 287-304; </w:t>
      </w:r>
      <w:proofErr w:type="spellStart"/>
      <w:r w:rsidRPr="00A203A6">
        <w:rPr>
          <w:rFonts w:cs="Times New Roman"/>
          <w:color w:val="000000" w:themeColor="text1"/>
          <w:sz w:val="18"/>
          <w:szCs w:val="18"/>
        </w:rPr>
        <w:t>Fahimeh</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Dehbashi</w:t>
      </w:r>
      <w:proofErr w:type="spellEnd"/>
      <w:r w:rsidRPr="00A203A6">
        <w:rPr>
          <w:rFonts w:cs="Times New Roman"/>
          <w:color w:val="000000" w:themeColor="text1"/>
          <w:sz w:val="18"/>
          <w:szCs w:val="18"/>
        </w:rPr>
        <w:t xml:space="preserve">, “The Phenomenology of Terrorism: The Conditional Counterviolence as a Relational Phenomenon,” Advance. Preprint. Accessed at </w:t>
      </w:r>
      <w:r w:rsidRPr="00A203A6">
        <w:rPr>
          <w:rFonts w:cs="Times New Roman"/>
          <w:color w:val="000000" w:themeColor="text1"/>
          <w:sz w:val="18"/>
          <w:szCs w:val="18"/>
          <w:u w:val="single"/>
        </w:rPr>
        <w:t>https://doi.org/10.31124/advance.11626002.v1.</w:t>
      </w:r>
    </w:p>
  </w:footnote>
  <w:footnote w:id="326">
    <w:p w14:paraId="7A4C95B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Frantz Fanon and Charles Lam </w:t>
      </w:r>
      <w:proofErr w:type="spellStart"/>
      <w:r w:rsidRPr="00A203A6">
        <w:rPr>
          <w:rFonts w:cs="Times New Roman"/>
          <w:color w:val="000000" w:themeColor="text1"/>
          <w:sz w:val="18"/>
          <w:szCs w:val="18"/>
        </w:rPr>
        <w:t>Markmann</w:t>
      </w:r>
      <w:proofErr w:type="spellEnd"/>
      <w:r w:rsidRPr="00A203A6">
        <w:rPr>
          <w:rFonts w:cs="Times New Roman"/>
          <w:color w:val="000000" w:themeColor="text1"/>
          <w:sz w:val="18"/>
          <w:szCs w:val="18"/>
        </w:rPr>
        <w:t xml:space="preserve"> (trans.), </w:t>
      </w:r>
      <w:r w:rsidRPr="00A203A6">
        <w:rPr>
          <w:rFonts w:cs="Times New Roman"/>
          <w:i/>
          <w:iCs/>
          <w:color w:val="000000" w:themeColor="text1"/>
          <w:sz w:val="18"/>
          <w:szCs w:val="18"/>
        </w:rPr>
        <w:t>Black Skin, White Masks</w:t>
      </w:r>
      <w:r w:rsidRPr="00A203A6">
        <w:rPr>
          <w:rFonts w:cs="Times New Roman"/>
          <w:color w:val="000000" w:themeColor="text1"/>
          <w:sz w:val="18"/>
          <w:szCs w:val="18"/>
        </w:rPr>
        <w:t xml:space="preserve"> (London: Pluto Press, 1986). </w:t>
      </w:r>
    </w:p>
  </w:footnote>
  <w:footnote w:id="327">
    <w:p w14:paraId="671918D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shd w:val="clear" w:color="auto" w:fill="FFFFFF"/>
        </w:rPr>
        <w:t>Evaggelia</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Pitoura</w:t>
      </w:r>
      <w:proofErr w:type="spellEnd"/>
      <w:r w:rsidRPr="00A203A6">
        <w:rPr>
          <w:rFonts w:cs="Times New Roman"/>
          <w:color w:val="000000" w:themeColor="text1"/>
          <w:sz w:val="18"/>
          <w:szCs w:val="18"/>
          <w:shd w:val="clear" w:color="auto" w:fill="FFFFFF"/>
        </w:rPr>
        <w:t xml:space="preserve">, Panayiotis </w:t>
      </w:r>
      <w:proofErr w:type="spellStart"/>
      <w:r w:rsidRPr="00A203A6">
        <w:rPr>
          <w:rFonts w:cs="Times New Roman"/>
          <w:color w:val="000000" w:themeColor="text1"/>
          <w:sz w:val="18"/>
          <w:szCs w:val="18"/>
          <w:shd w:val="clear" w:color="auto" w:fill="FFFFFF"/>
        </w:rPr>
        <w:t>Tsaparas</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Giorgos</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Flouris</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Irini</w:t>
      </w:r>
      <w:proofErr w:type="spellEnd"/>
      <w:r w:rsidRPr="00A203A6">
        <w:rPr>
          <w:rFonts w:cs="Times New Roman"/>
          <w:color w:val="000000" w:themeColor="text1"/>
          <w:sz w:val="18"/>
          <w:szCs w:val="18"/>
          <w:shd w:val="clear" w:color="auto" w:fill="FFFFFF"/>
        </w:rPr>
        <w:t xml:space="preserve"> </w:t>
      </w:r>
      <w:proofErr w:type="spellStart"/>
      <w:r w:rsidRPr="00A203A6">
        <w:rPr>
          <w:rFonts w:cs="Times New Roman"/>
          <w:color w:val="000000" w:themeColor="text1"/>
          <w:sz w:val="18"/>
          <w:szCs w:val="18"/>
          <w:shd w:val="clear" w:color="auto" w:fill="FFFFFF"/>
        </w:rPr>
        <w:t>Fundulaki</w:t>
      </w:r>
      <w:proofErr w:type="spellEnd"/>
      <w:r w:rsidRPr="00A203A6">
        <w:rPr>
          <w:rFonts w:cs="Times New Roman"/>
          <w:color w:val="000000" w:themeColor="text1"/>
          <w:sz w:val="18"/>
          <w:szCs w:val="18"/>
          <w:shd w:val="clear" w:color="auto" w:fill="FFFFFF"/>
        </w:rPr>
        <w:t xml:space="preserve">, Panagiotis Papadakos, Serge </w:t>
      </w:r>
      <w:proofErr w:type="spellStart"/>
      <w:r w:rsidRPr="00A203A6">
        <w:rPr>
          <w:rFonts w:cs="Times New Roman"/>
          <w:color w:val="000000" w:themeColor="text1"/>
          <w:sz w:val="18"/>
          <w:szCs w:val="18"/>
          <w:shd w:val="clear" w:color="auto" w:fill="FFFFFF"/>
        </w:rPr>
        <w:t>Abiteboul</w:t>
      </w:r>
      <w:proofErr w:type="spellEnd"/>
      <w:r w:rsidRPr="00A203A6">
        <w:rPr>
          <w:rFonts w:cs="Times New Roman"/>
          <w:color w:val="000000" w:themeColor="text1"/>
          <w:sz w:val="18"/>
          <w:szCs w:val="18"/>
          <w:shd w:val="clear" w:color="auto" w:fill="FFFFFF"/>
        </w:rPr>
        <w:t xml:space="preserve">, and Gerhard </w:t>
      </w:r>
      <w:proofErr w:type="spellStart"/>
      <w:r w:rsidRPr="00A203A6">
        <w:rPr>
          <w:rFonts w:cs="Times New Roman"/>
          <w:color w:val="000000" w:themeColor="text1"/>
          <w:sz w:val="18"/>
          <w:szCs w:val="18"/>
          <w:shd w:val="clear" w:color="auto" w:fill="FFFFFF"/>
        </w:rPr>
        <w:t>Weikum</w:t>
      </w:r>
      <w:proofErr w:type="spellEnd"/>
      <w:r w:rsidRPr="00A203A6">
        <w:rPr>
          <w:rFonts w:cs="Times New Roman"/>
          <w:color w:val="000000" w:themeColor="text1"/>
          <w:sz w:val="18"/>
          <w:szCs w:val="18"/>
        </w:rPr>
        <w:t xml:space="preserve"> “On Measuring Bias in Online Information.” </w:t>
      </w:r>
      <w:r w:rsidRPr="00A203A6">
        <w:rPr>
          <w:rFonts w:cs="Times New Roman"/>
          <w:i/>
          <w:iCs/>
          <w:color w:val="000000" w:themeColor="text1"/>
          <w:sz w:val="18"/>
          <w:szCs w:val="18"/>
        </w:rPr>
        <w:t>Association for Computing Machinery (ACM) Special Interest Group on Management of Data (SIGMOD)</w:t>
      </w:r>
      <w:r w:rsidRPr="00A203A6">
        <w:rPr>
          <w:rFonts w:cs="Times New Roman"/>
          <w:color w:val="000000" w:themeColor="text1"/>
          <w:sz w:val="18"/>
          <w:szCs w:val="18"/>
        </w:rPr>
        <w:t xml:space="preserve"> </w:t>
      </w:r>
      <w:r w:rsidRPr="00A203A6">
        <w:rPr>
          <w:rFonts w:cs="Times New Roman"/>
          <w:i/>
          <w:iCs/>
          <w:color w:val="000000" w:themeColor="text1"/>
          <w:sz w:val="18"/>
          <w:szCs w:val="18"/>
        </w:rPr>
        <w:t>Record</w:t>
      </w:r>
      <w:r w:rsidRPr="00A203A6">
        <w:rPr>
          <w:rFonts w:cs="Times New Roman"/>
          <w:color w:val="000000" w:themeColor="text1"/>
          <w:sz w:val="18"/>
          <w:szCs w:val="18"/>
        </w:rPr>
        <w:t xml:space="preserve"> 46, no. 4 (2018): 16-21.</w:t>
      </w:r>
    </w:p>
  </w:footnote>
  <w:footnote w:id="328">
    <w:p w14:paraId="48DA341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Killian J. McCarthy and Wilfred </w:t>
      </w:r>
      <w:proofErr w:type="spellStart"/>
      <w:r w:rsidRPr="00A203A6">
        <w:rPr>
          <w:rFonts w:cs="Times New Roman"/>
          <w:color w:val="000000" w:themeColor="text1"/>
          <w:sz w:val="18"/>
          <w:szCs w:val="18"/>
        </w:rPr>
        <w:t>Dolfsma</w:t>
      </w:r>
      <w:proofErr w:type="spellEnd"/>
      <w:r w:rsidRPr="00A203A6">
        <w:rPr>
          <w:rFonts w:cs="Times New Roman"/>
          <w:color w:val="000000" w:themeColor="text1"/>
          <w:sz w:val="18"/>
          <w:szCs w:val="18"/>
        </w:rPr>
        <w:t xml:space="preserve">, “Neutral Media? Evidence of Media Bias and Its Economic Impact,” </w:t>
      </w:r>
      <w:r w:rsidRPr="00A203A6">
        <w:rPr>
          <w:rFonts w:cs="Times New Roman"/>
          <w:i/>
          <w:iCs/>
          <w:color w:val="000000" w:themeColor="text1"/>
          <w:sz w:val="18"/>
          <w:szCs w:val="18"/>
        </w:rPr>
        <w:t>Review of Social Economy</w:t>
      </w:r>
      <w:r w:rsidRPr="00A203A6">
        <w:rPr>
          <w:rFonts w:cs="Times New Roman"/>
          <w:color w:val="000000" w:themeColor="text1"/>
          <w:sz w:val="18"/>
          <w:szCs w:val="18"/>
        </w:rPr>
        <w:t xml:space="preserve"> 72, no. 1 (2014): 42-54. </w:t>
      </w:r>
    </w:p>
    <w:p w14:paraId="760D1D3C"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Substantiating this perceived necessity that journalists remain objective in their reporting, three major surveys of journalists conducted periodically during the twentieth century found that the majority of journalists characterize themselves as “neutral.” Extant scholarship also asserts that “neutral journalists” are necessarily “politically and ideologically independent,” and, to that end, that “in providing information to the public, “neutral journalists should not aim to influence behavior.” See David Hugh Weaver and G. Cleveland </w:t>
      </w:r>
      <w:proofErr w:type="spellStart"/>
      <w:r w:rsidRPr="00A203A6">
        <w:rPr>
          <w:rFonts w:cs="Times New Roman"/>
          <w:color w:val="000000" w:themeColor="text1"/>
          <w:sz w:val="18"/>
          <w:szCs w:val="18"/>
        </w:rPr>
        <w:t>Wilhoit</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The American Journalist in the 1990s: U.S. News People at the End of an Era</w:t>
      </w:r>
      <w:r w:rsidRPr="00A203A6">
        <w:rPr>
          <w:rFonts w:cs="Times New Roman"/>
          <w:color w:val="000000" w:themeColor="text1"/>
          <w:sz w:val="18"/>
          <w:szCs w:val="18"/>
        </w:rPr>
        <w:t xml:space="preserve"> (Mahwah: Lawrence Erlbaum Associates, 1996).  For classic works that establish journalistic neutrality as essential, see Harold Dwight </w:t>
      </w:r>
      <w:proofErr w:type="spellStart"/>
      <w:r w:rsidRPr="00A203A6">
        <w:rPr>
          <w:rFonts w:cs="Times New Roman"/>
          <w:color w:val="000000" w:themeColor="text1"/>
          <w:sz w:val="18"/>
          <w:szCs w:val="18"/>
        </w:rPr>
        <w:t>Lasswell</w:t>
      </w:r>
      <w:proofErr w:type="spellEnd"/>
      <w:r w:rsidRPr="00A203A6">
        <w:rPr>
          <w:rFonts w:cs="Times New Roman"/>
          <w:color w:val="000000" w:themeColor="text1"/>
          <w:sz w:val="18"/>
          <w:szCs w:val="18"/>
        </w:rPr>
        <w:t xml:space="preserve">, “The Structure and Function of Communication in Society.” In Wilbur Schramm (ed.), </w:t>
      </w:r>
      <w:r w:rsidRPr="00A203A6">
        <w:rPr>
          <w:rFonts w:cs="Times New Roman"/>
          <w:i/>
          <w:iCs/>
          <w:color w:val="000000" w:themeColor="text1"/>
          <w:sz w:val="18"/>
          <w:szCs w:val="18"/>
        </w:rPr>
        <w:t>Mass Communications</w:t>
      </w:r>
      <w:r w:rsidRPr="00A203A6">
        <w:rPr>
          <w:rFonts w:cs="Times New Roman"/>
          <w:color w:val="000000" w:themeColor="text1"/>
          <w:sz w:val="18"/>
          <w:szCs w:val="18"/>
        </w:rPr>
        <w:t xml:space="preserve"> (Urbana: University of Illinois Press, 1949): 102-115; Wilbur Schramm, “The Nature of News.” In Wilbur Schramm (ed.), </w:t>
      </w:r>
      <w:r w:rsidRPr="00A203A6">
        <w:rPr>
          <w:rFonts w:cs="Times New Roman"/>
          <w:i/>
          <w:iCs/>
          <w:color w:val="000000" w:themeColor="text1"/>
          <w:sz w:val="18"/>
          <w:szCs w:val="18"/>
        </w:rPr>
        <w:t>Mass Communications</w:t>
      </w:r>
      <w:r w:rsidRPr="00A203A6">
        <w:rPr>
          <w:rFonts w:cs="Times New Roman"/>
          <w:color w:val="000000" w:themeColor="text1"/>
          <w:sz w:val="18"/>
          <w:szCs w:val="18"/>
        </w:rPr>
        <w:t xml:space="preserve"> (Urbana: University of Illinois Press, 1949): 288-303; G. Tuchman, “Objectivity as a Strategic Ritual: An Examination of Newsmen’s Notions of Objectivity,” </w:t>
      </w:r>
      <w:r w:rsidRPr="00A203A6">
        <w:rPr>
          <w:rFonts w:cs="Times New Roman"/>
          <w:i/>
          <w:iCs/>
          <w:color w:val="000000" w:themeColor="text1"/>
          <w:sz w:val="18"/>
          <w:szCs w:val="18"/>
        </w:rPr>
        <w:t>American Journal of Sociology</w:t>
      </w:r>
      <w:r w:rsidRPr="00A203A6">
        <w:rPr>
          <w:rFonts w:cs="Times New Roman"/>
          <w:color w:val="000000" w:themeColor="text1"/>
          <w:sz w:val="18"/>
          <w:szCs w:val="18"/>
        </w:rPr>
        <w:t xml:space="preserve"> 77 (1977): 660-679.</w:t>
      </w:r>
    </w:p>
  </w:footnote>
  <w:footnote w:id="329">
    <w:p w14:paraId="7027808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McCarthy and </w:t>
      </w:r>
      <w:proofErr w:type="spellStart"/>
      <w:r w:rsidRPr="00A203A6">
        <w:rPr>
          <w:rFonts w:cs="Times New Roman"/>
          <w:color w:val="000000" w:themeColor="text1"/>
          <w:sz w:val="18"/>
          <w:szCs w:val="18"/>
        </w:rPr>
        <w:t>Dolfsma</w:t>
      </w:r>
      <w:proofErr w:type="spellEnd"/>
      <w:r w:rsidRPr="00A203A6">
        <w:rPr>
          <w:rFonts w:cs="Times New Roman"/>
          <w:color w:val="000000" w:themeColor="text1"/>
          <w:sz w:val="18"/>
          <w:szCs w:val="18"/>
        </w:rPr>
        <w:t>, “Neutral Media?”, 42.</w:t>
      </w:r>
    </w:p>
  </w:footnote>
  <w:footnote w:id="330">
    <w:p w14:paraId="367BA7DF"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Kiousis</w:t>
      </w:r>
      <w:proofErr w:type="spellEnd"/>
      <w:r w:rsidRPr="00A203A6">
        <w:rPr>
          <w:rFonts w:cs="Times New Roman"/>
          <w:color w:val="000000" w:themeColor="text1"/>
          <w:sz w:val="18"/>
          <w:szCs w:val="18"/>
        </w:rPr>
        <w:t xml:space="preserve"> et. al, “Understanding Influence on Corporate Reputation,” 150.</w:t>
      </w:r>
    </w:p>
  </w:footnote>
  <w:footnote w:id="331">
    <w:p w14:paraId="40E3D93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Alden Williams. “Unbiased Study of Television News Bias,” </w:t>
      </w:r>
      <w:r w:rsidRPr="00A203A6">
        <w:rPr>
          <w:rFonts w:cs="Times New Roman"/>
          <w:i/>
          <w:iCs/>
          <w:color w:val="000000" w:themeColor="text1"/>
          <w:sz w:val="18"/>
          <w:szCs w:val="18"/>
        </w:rPr>
        <w:t>Journal of Communication</w:t>
      </w:r>
      <w:r w:rsidRPr="00A203A6">
        <w:rPr>
          <w:rFonts w:cs="Times New Roman"/>
          <w:color w:val="000000" w:themeColor="text1"/>
          <w:sz w:val="18"/>
          <w:szCs w:val="18"/>
        </w:rPr>
        <w:t xml:space="preserve"> 25, no. 4 (1975): 190-199.</w:t>
      </w:r>
    </w:p>
  </w:footnote>
  <w:footnote w:id="332">
    <w:p w14:paraId="001136EE"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Felix </w:t>
      </w:r>
      <w:proofErr w:type="spellStart"/>
      <w:r w:rsidRPr="00A203A6">
        <w:rPr>
          <w:rFonts w:cs="Times New Roman"/>
          <w:color w:val="000000" w:themeColor="text1"/>
          <w:sz w:val="18"/>
          <w:szCs w:val="18"/>
        </w:rPr>
        <w:t>Hamborg</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Karsten</w:t>
      </w:r>
      <w:proofErr w:type="spellEnd"/>
      <w:r w:rsidRPr="00A203A6">
        <w:rPr>
          <w:rFonts w:cs="Times New Roman"/>
          <w:color w:val="000000" w:themeColor="text1"/>
          <w:sz w:val="18"/>
          <w:szCs w:val="18"/>
        </w:rPr>
        <w:t xml:space="preserve"> Donnay and Bela </w:t>
      </w:r>
      <w:proofErr w:type="spellStart"/>
      <w:r w:rsidRPr="00A203A6">
        <w:rPr>
          <w:rFonts w:cs="Times New Roman"/>
          <w:color w:val="000000" w:themeColor="text1"/>
          <w:sz w:val="18"/>
          <w:szCs w:val="18"/>
        </w:rPr>
        <w:t>Gipp</w:t>
      </w:r>
      <w:proofErr w:type="spellEnd"/>
      <w:r w:rsidRPr="00A203A6">
        <w:rPr>
          <w:rFonts w:cs="Times New Roman"/>
          <w:color w:val="000000" w:themeColor="text1"/>
          <w:sz w:val="18"/>
          <w:szCs w:val="18"/>
        </w:rPr>
        <w:t xml:space="preserve">, “Automated Identification of Media Bias in News Articles: An Interdisciplinary Literature Review,” </w:t>
      </w:r>
      <w:r w:rsidRPr="00A203A6">
        <w:rPr>
          <w:rFonts w:cs="Times New Roman"/>
          <w:i/>
          <w:iCs/>
          <w:color w:val="000000" w:themeColor="text1"/>
          <w:sz w:val="18"/>
          <w:szCs w:val="18"/>
        </w:rPr>
        <w:t>International Journal on Digital Libraries</w:t>
      </w:r>
      <w:r w:rsidRPr="00A203A6">
        <w:rPr>
          <w:rFonts w:cs="Times New Roman"/>
          <w:color w:val="000000" w:themeColor="text1"/>
          <w:sz w:val="18"/>
          <w:szCs w:val="18"/>
        </w:rPr>
        <w:t xml:space="preserve"> (November 2018): 2.</w:t>
      </w:r>
    </w:p>
  </w:footnote>
  <w:footnote w:id="333">
    <w:p w14:paraId="2F74E60F"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Hamborg</w:t>
      </w:r>
      <w:proofErr w:type="spellEnd"/>
      <w:r w:rsidRPr="00A203A6">
        <w:rPr>
          <w:rFonts w:cs="Times New Roman"/>
          <w:color w:val="000000" w:themeColor="text1"/>
          <w:sz w:val="18"/>
          <w:szCs w:val="18"/>
        </w:rPr>
        <w:t xml:space="preserve">, Donnay and </w:t>
      </w:r>
      <w:proofErr w:type="spellStart"/>
      <w:r w:rsidRPr="00A203A6">
        <w:rPr>
          <w:rFonts w:cs="Times New Roman"/>
          <w:color w:val="000000" w:themeColor="text1"/>
          <w:sz w:val="18"/>
          <w:szCs w:val="18"/>
        </w:rPr>
        <w:t>Gipp</w:t>
      </w:r>
      <w:proofErr w:type="spellEnd"/>
      <w:r w:rsidRPr="00A203A6">
        <w:rPr>
          <w:rFonts w:cs="Times New Roman"/>
          <w:color w:val="000000" w:themeColor="text1"/>
          <w:sz w:val="18"/>
          <w:szCs w:val="18"/>
        </w:rPr>
        <w:t>, “Automated Identification of Media Bias in News Articles,” 2.</w:t>
      </w:r>
    </w:p>
  </w:footnote>
  <w:footnote w:id="334">
    <w:p w14:paraId="32AA9DA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Thomas P. Mackey, </w:t>
      </w:r>
      <w:proofErr w:type="spellStart"/>
      <w:r w:rsidRPr="00A203A6">
        <w:rPr>
          <w:rFonts w:cs="Times New Roman"/>
          <w:i/>
          <w:iCs/>
          <w:color w:val="000000" w:themeColor="text1"/>
          <w:sz w:val="18"/>
          <w:szCs w:val="18"/>
        </w:rPr>
        <w:t>Metaliterate</w:t>
      </w:r>
      <w:proofErr w:type="spellEnd"/>
      <w:r w:rsidRPr="00A203A6">
        <w:rPr>
          <w:rFonts w:cs="Times New Roman"/>
          <w:i/>
          <w:iCs/>
          <w:color w:val="000000" w:themeColor="text1"/>
          <w:sz w:val="18"/>
          <w:szCs w:val="18"/>
        </w:rPr>
        <w:t xml:space="preserve"> Learning for the Post-Truth World</w:t>
      </w:r>
      <w:r w:rsidRPr="00A203A6">
        <w:rPr>
          <w:rFonts w:cs="Times New Roman"/>
          <w:color w:val="000000" w:themeColor="text1"/>
          <w:sz w:val="18"/>
          <w:szCs w:val="18"/>
        </w:rPr>
        <w:t xml:space="preserve"> (Chicago: Neal-Schuman Publishers, 2019): 87.</w:t>
      </w:r>
    </w:p>
    <w:p w14:paraId="566DD1E0"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For discussion of additional scholarship on other forms of media bias, see Dave </w:t>
      </w:r>
      <w:proofErr w:type="spellStart"/>
      <w:r w:rsidRPr="00A203A6">
        <w:rPr>
          <w:rFonts w:cs="Times New Roman"/>
          <w:color w:val="000000" w:themeColor="text1"/>
          <w:sz w:val="18"/>
          <w:szCs w:val="18"/>
        </w:rPr>
        <w:t>D’Alessio</w:t>
      </w:r>
      <w:proofErr w:type="spellEnd"/>
      <w:r w:rsidRPr="00A203A6">
        <w:rPr>
          <w:rFonts w:cs="Times New Roman"/>
          <w:color w:val="000000" w:themeColor="text1"/>
          <w:sz w:val="18"/>
          <w:szCs w:val="18"/>
        </w:rPr>
        <w:t xml:space="preserve"> and Mike Allen. “Media Bias in Presidential Elections: A Meta-Analysis,” </w:t>
      </w:r>
      <w:r w:rsidRPr="00A203A6">
        <w:rPr>
          <w:rFonts w:cs="Times New Roman"/>
          <w:i/>
          <w:iCs/>
          <w:color w:val="000000" w:themeColor="text1"/>
          <w:sz w:val="18"/>
          <w:szCs w:val="18"/>
        </w:rPr>
        <w:t>Journal of Communication</w:t>
      </w:r>
      <w:r w:rsidRPr="00A203A6">
        <w:rPr>
          <w:rFonts w:cs="Times New Roman"/>
          <w:color w:val="000000" w:themeColor="text1"/>
          <w:sz w:val="18"/>
          <w:szCs w:val="18"/>
        </w:rPr>
        <w:t xml:space="preserve"> 50, vol. 4 (2000): 133-156.</w:t>
      </w:r>
    </w:p>
  </w:footnote>
  <w:footnote w:id="335">
    <w:p w14:paraId="4E19548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Youngs, “Media and Mediation in the ‘War on Terror’,” 99.</w:t>
      </w:r>
    </w:p>
  </w:footnote>
  <w:footnote w:id="336">
    <w:p w14:paraId="3CCD2DF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Sendhil</w:t>
      </w:r>
      <w:proofErr w:type="spellEnd"/>
      <w:r w:rsidRPr="00A203A6">
        <w:rPr>
          <w:rFonts w:cs="Times New Roman"/>
          <w:color w:val="000000" w:themeColor="text1"/>
          <w:sz w:val="18"/>
          <w:szCs w:val="18"/>
        </w:rPr>
        <w:t xml:space="preserve"> Mullainathan and Andrei </w:t>
      </w:r>
      <w:proofErr w:type="spellStart"/>
      <w:r w:rsidRPr="00A203A6">
        <w:rPr>
          <w:rFonts w:cs="Times New Roman"/>
          <w:color w:val="000000" w:themeColor="text1"/>
          <w:sz w:val="18"/>
          <w:szCs w:val="18"/>
        </w:rPr>
        <w:t>Shliefer</w:t>
      </w:r>
      <w:proofErr w:type="spellEnd"/>
      <w:r w:rsidRPr="00A203A6">
        <w:rPr>
          <w:rFonts w:cs="Times New Roman"/>
          <w:color w:val="000000" w:themeColor="text1"/>
          <w:sz w:val="18"/>
          <w:szCs w:val="18"/>
        </w:rPr>
        <w:t xml:space="preserve">, “Media Bias.” In </w:t>
      </w:r>
      <w:r w:rsidRPr="00A203A6">
        <w:rPr>
          <w:rFonts w:cs="Times New Roman"/>
          <w:i/>
          <w:iCs/>
          <w:color w:val="000000" w:themeColor="text1"/>
          <w:sz w:val="18"/>
          <w:szCs w:val="18"/>
        </w:rPr>
        <w:t>National Bureau of Economic Research,</w:t>
      </w:r>
      <w:r w:rsidRPr="00A203A6">
        <w:rPr>
          <w:rFonts w:cs="Times New Roman"/>
          <w:color w:val="000000" w:themeColor="text1"/>
          <w:sz w:val="18"/>
          <w:szCs w:val="18"/>
        </w:rPr>
        <w:t xml:space="preserve"> vol. 9295 (2002): 127.</w:t>
      </w:r>
    </w:p>
  </w:footnote>
  <w:footnote w:id="337">
    <w:p w14:paraId="266A266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Mullainathan and </w:t>
      </w:r>
      <w:proofErr w:type="spellStart"/>
      <w:r w:rsidRPr="00A203A6">
        <w:rPr>
          <w:rFonts w:cs="Times New Roman"/>
          <w:color w:val="000000" w:themeColor="text1"/>
          <w:sz w:val="18"/>
          <w:szCs w:val="18"/>
        </w:rPr>
        <w:t>Shliefer</w:t>
      </w:r>
      <w:proofErr w:type="spellEnd"/>
      <w:r w:rsidRPr="00A203A6">
        <w:rPr>
          <w:rFonts w:cs="Times New Roman"/>
          <w:color w:val="000000" w:themeColor="text1"/>
          <w:sz w:val="18"/>
          <w:szCs w:val="18"/>
        </w:rPr>
        <w:t>, “Media Bias,” 127.</w:t>
      </w:r>
    </w:p>
  </w:footnote>
  <w:footnote w:id="338">
    <w:p w14:paraId="515092B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Mullainathan and </w:t>
      </w:r>
      <w:proofErr w:type="spellStart"/>
      <w:r w:rsidRPr="00A203A6">
        <w:rPr>
          <w:rFonts w:cs="Times New Roman"/>
          <w:color w:val="000000" w:themeColor="text1"/>
          <w:sz w:val="18"/>
          <w:szCs w:val="18"/>
        </w:rPr>
        <w:t>Shliefer</w:t>
      </w:r>
      <w:proofErr w:type="spellEnd"/>
      <w:r w:rsidRPr="00A203A6">
        <w:rPr>
          <w:rFonts w:cs="Times New Roman"/>
          <w:color w:val="000000" w:themeColor="text1"/>
          <w:sz w:val="18"/>
          <w:szCs w:val="18"/>
        </w:rPr>
        <w:t>, “Media Bias,” 127.</w:t>
      </w:r>
    </w:p>
  </w:footnote>
  <w:footnote w:id="339">
    <w:p w14:paraId="1B1A3B8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Marta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Cristian </w:t>
      </w:r>
      <w:proofErr w:type="spellStart"/>
      <w:r w:rsidRPr="00A203A6">
        <w:rPr>
          <w:rFonts w:cs="Times New Roman"/>
          <w:color w:val="000000" w:themeColor="text1"/>
          <w:sz w:val="18"/>
          <w:szCs w:val="18"/>
        </w:rPr>
        <w:t>Danescu</w:t>
      </w:r>
      <w:proofErr w:type="spellEnd"/>
      <w:r w:rsidRPr="00A203A6">
        <w:rPr>
          <w:rFonts w:cs="Times New Roman"/>
          <w:color w:val="000000" w:themeColor="text1"/>
          <w:sz w:val="18"/>
          <w:szCs w:val="18"/>
        </w:rPr>
        <w:t>-Niculescu-</w:t>
      </w:r>
      <w:proofErr w:type="spellStart"/>
      <w:r w:rsidRPr="00A203A6">
        <w:rPr>
          <w:rFonts w:cs="Times New Roman"/>
          <w:color w:val="000000" w:themeColor="text1"/>
          <w:sz w:val="18"/>
          <w:szCs w:val="18"/>
        </w:rPr>
        <w:t>Mizil</w:t>
      </w:r>
      <w:proofErr w:type="spellEnd"/>
      <w:r w:rsidRPr="00A203A6">
        <w:rPr>
          <w:rFonts w:cs="Times New Roman"/>
          <w:color w:val="000000" w:themeColor="text1"/>
          <w:sz w:val="18"/>
          <w:szCs w:val="18"/>
        </w:rPr>
        <w:t xml:space="preserve">, and Dan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xml:space="preserve">, “Linguistic Models for Analyzing and Detecting Biased Language,” </w:t>
      </w:r>
      <w:r w:rsidRPr="00A203A6">
        <w:rPr>
          <w:rFonts w:cs="Times New Roman"/>
          <w:i/>
          <w:iCs/>
          <w:color w:val="000000" w:themeColor="text1"/>
          <w:sz w:val="18"/>
          <w:szCs w:val="18"/>
        </w:rPr>
        <w:t>Proceedings of the 51</w:t>
      </w:r>
      <w:r w:rsidRPr="00A203A6">
        <w:rPr>
          <w:rFonts w:cs="Times New Roman"/>
          <w:i/>
          <w:iCs/>
          <w:color w:val="000000" w:themeColor="text1"/>
          <w:sz w:val="18"/>
          <w:szCs w:val="18"/>
          <w:vertAlign w:val="superscript"/>
        </w:rPr>
        <w:t>st</w:t>
      </w:r>
      <w:r w:rsidRPr="00A203A6">
        <w:rPr>
          <w:rFonts w:cs="Times New Roman"/>
          <w:i/>
          <w:iCs/>
          <w:color w:val="000000" w:themeColor="text1"/>
          <w:sz w:val="18"/>
          <w:szCs w:val="18"/>
        </w:rPr>
        <w:t xml:space="preserve"> Annual Meeting of the Association for Computational Linguistics</w:t>
      </w:r>
      <w:r w:rsidRPr="00A203A6">
        <w:rPr>
          <w:rFonts w:cs="Times New Roman"/>
          <w:color w:val="000000" w:themeColor="text1"/>
          <w:sz w:val="18"/>
          <w:szCs w:val="18"/>
        </w:rPr>
        <w:t>. (2013): 1652.</w:t>
      </w:r>
    </w:p>
  </w:footnote>
  <w:footnote w:id="340">
    <w:p w14:paraId="586A358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al., “Linguistic Models for Analyzing and Detecting Biased Language,” 1653.</w:t>
      </w:r>
    </w:p>
  </w:footnote>
  <w:footnote w:id="341">
    <w:p w14:paraId="7D938E0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Adam Simon and Michael </w:t>
      </w:r>
      <w:proofErr w:type="spellStart"/>
      <w:r w:rsidRPr="00A203A6">
        <w:rPr>
          <w:rFonts w:cs="Times New Roman"/>
          <w:color w:val="000000" w:themeColor="text1"/>
          <w:sz w:val="18"/>
          <w:szCs w:val="18"/>
        </w:rPr>
        <w:t>Xenos</w:t>
      </w:r>
      <w:proofErr w:type="spellEnd"/>
      <w:r w:rsidRPr="00A203A6">
        <w:rPr>
          <w:rFonts w:cs="Times New Roman"/>
          <w:color w:val="000000" w:themeColor="text1"/>
          <w:sz w:val="18"/>
          <w:szCs w:val="18"/>
        </w:rPr>
        <w:t xml:space="preserve">, “Media Framing and Effective Public Deliberation,” </w:t>
      </w:r>
      <w:r w:rsidRPr="00A203A6">
        <w:rPr>
          <w:rFonts w:cs="Times New Roman"/>
          <w:i/>
          <w:iCs/>
          <w:color w:val="000000" w:themeColor="text1"/>
          <w:sz w:val="18"/>
          <w:szCs w:val="18"/>
        </w:rPr>
        <w:t>Political Communication</w:t>
      </w:r>
      <w:r w:rsidRPr="00A203A6">
        <w:rPr>
          <w:rFonts w:cs="Times New Roman"/>
          <w:color w:val="000000" w:themeColor="text1"/>
          <w:sz w:val="18"/>
          <w:szCs w:val="18"/>
        </w:rPr>
        <w:t xml:space="preserve"> 17 (2000): 365.</w:t>
      </w:r>
    </w:p>
  </w:footnote>
  <w:footnote w:id="342">
    <w:p w14:paraId="20BD49B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Erving Goffman, </w:t>
      </w:r>
      <w:r w:rsidRPr="00A203A6">
        <w:rPr>
          <w:rFonts w:cs="Times New Roman"/>
          <w:i/>
          <w:iCs/>
          <w:color w:val="000000" w:themeColor="text1"/>
          <w:sz w:val="18"/>
          <w:szCs w:val="18"/>
        </w:rPr>
        <w:t>Frame Analysis</w:t>
      </w:r>
      <w:r w:rsidRPr="00A203A6">
        <w:rPr>
          <w:rFonts w:cs="Times New Roman"/>
          <w:color w:val="000000" w:themeColor="text1"/>
          <w:sz w:val="18"/>
          <w:szCs w:val="18"/>
        </w:rPr>
        <w:t xml:space="preserve"> (New York City: Harper &amp; Row, 1974): 21.</w:t>
      </w:r>
    </w:p>
  </w:footnote>
  <w:footnote w:id="343">
    <w:p w14:paraId="18C0AB0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Goffman, </w:t>
      </w:r>
      <w:r w:rsidRPr="00A203A6">
        <w:rPr>
          <w:rFonts w:cs="Times New Roman"/>
          <w:i/>
          <w:iCs/>
          <w:color w:val="000000" w:themeColor="text1"/>
          <w:sz w:val="18"/>
          <w:szCs w:val="18"/>
        </w:rPr>
        <w:t>Frame Analysis</w:t>
      </w:r>
      <w:r w:rsidRPr="00A203A6">
        <w:rPr>
          <w:rFonts w:cs="Times New Roman"/>
          <w:color w:val="000000" w:themeColor="text1"/>
          <w:sz w:val="18"/>
          <w:szCs w:val="18"/>
        </w:rPr>
        <w:t>, 21.</w:t>
      </w:r>
    </w:p>
  </w:footnote>
  <w:footnote w:id="344">
    <w:p w14:paraId="326CCC1C"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Marvin Minsky, “A Framework for Representing Knowledge.” In P.H. Winston (ed.), </w:t>
      </w:r>
      <w:r w:rsidRPr="00A203A6">
        <w:rPr>
          <w:rFonts w:cs="Times New Roman"/>
          <w:i/>
          <w:iCs/>
          <w:color w:val="000000" w:themeColor="text1"/>
          <w:sz w:val="18"/>
          <w:szCs w:val="18"/>
        </w:rPr>
        <w:t>The Psychology of Computer Vision</w:t>
      </w:r>
      <w:r w:rsidRPr="00A203A6">
        <w:rPr>
          <w:rFonts w:cs="Times New Roman"/>
          <w:color w:val="000000" w:themeColor="text1"/>
          <w:sz w:val="18"/>
          <w:szCs w:val="18"/>
        </w:rPr>
        <w:t xml:space="preserve"> (New York City: McGraw Hill, 1975): 211-277. As cited in Simon and </w:t>
      </w:r>
      <w:proofErr w:type="spellStart"/>
      <w:r w:rsidRPr="00A203A6">
        <w:rPr>
          <w:rFonts w:cs="Times New Roman"/>
          <w:color w:val="000000" w:themeColor="text1"/>
          <w:sz w:val="18"/>
          <w:szCs w:val="18"/>
        </w:rPr>
        <w:t>Xenos</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Media Framing and Effective Public Deliberation</w:t>
      </w:r>
      <w:r w:rsidRPr="00A203A6">
        <w:rPr>
          <w:rFonts w:cs="Times New Roman"/>
          <w:color w:val="000000" w:themeColor="text1"/>
          <w:sz w:val="18"/>
          <w:szCs w:val="18"/>
        </w:rPr>
        <w:t>, 366.</w:t>
      </w:r>
    </w:p>
  </w:footnote>
  <w:footnote w:id="345">
    <w:p w14:paraId="12DF0EF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Robert M. </w:t>
      </w:r>
      <w:proofErr w:type="spellStart"/>
      <w:r w:rsidRPr="00A203A6">
        <w:rPr>
          <w:rFonts w:cs="Times New Roman"/>
          <w:color w:val="000000" w:themeColor="text1"/>
          <w:sz w:val="18"/>
          <w:szCs w:val="18"/>
        </w:rPr>
        <w:t>Entman</w:t>
      </w:r>
      <w:proofErr w:type="spellEnd"/>
      <w:r w:rsidRPr="00A203A6">
        <w:rPr>
          <w:rFonts w:cs="Times New Roman"/>
          <w:color w:val="000000" w:themeColor="text1"/>
          <w:sz w:val="18"/>
          <w:szCs w:val="18"/>
        </w:rPr>
        <w:t xml:space="preserve">. “Framing: Toward Classification of a Fractured Paradigm.” </w:t>
      </w:r>
      <w:r w:rsidRPr="00A203A6">
        <w:rPr>
          <w:rFonts w:cs="Times New Roman"/>
          <w:i/>
          <w:iCs/>
          <w:color w:val="000000" w:themeColor="text1"/>
          <w:sz w:val="18"/>
          <w:szCs w:val="18"/>
        </w:rPr>
        <w:t xml:space="preserve">Journal of Communication </w:t>
      </w:r>
      <w:r w:rsidRPr="00A203A6">
        <w:rPr>
          <w:rFonts w:cs="Times New Roman"/>
          <w:color w:val="000000" w:themeColor="text1"/>
          <w:sz w:val="18"/>
          <w:szCs w:val="18"/>
        </w:rPr>
        <w:t>43, no. 2 (1993): 51-58.</w:t>
      </w:r>
    </w:p>
  </w:footnote>
  <w:footnote w:id="346">
    <w:p w14:paraId="124EB7F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Entman</w:t>
      </w:r>
      <w:proofErr w:type="spellEnd"/>
      <w:r w:rsidRPr="00A203A6">
        <w:rPr>
          <w:rFonts w:cs="Times New Roman"/>
          <w:color w:val="000000" w:themeColor="text1"/>
          <w:sz w:val="18"/>
          <w:szCs w:val="18"/>
        </w:rPr>
        <w:t>, “Framing,” 51-58.</w:t>
      </w:r>
    </w:p>
  </w:footnote>
  <w:footnote w:id="347">
    <w:p w14:paraId="70F406BF"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w:t>
      </w:r>
      <w:proofErr w:type="spellStart"/>
      <w:r w:rsidRPr="00A203A6">
        <w:rPr>
          <w:rFonts w:cs="Times New Roman"/>
          <w:color w:val="000000" w:themeColor="text1"/>
          <w:sz w:val="18"/>
          <w:szCs w:val="18"/>
        </w:rPr>
        <w:t>Jörg</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Matthes</w:t>
      </w:r>
      <w:proofErr w:type="spellEnd"/>
      <w:r w:rsidRPr="00A203A6">
        <w:rPr>
          <w:rFonts w:cs="Times New Roman"/>
          <w:color w:val="000000" w:themeColor="text1"/>
          <w:sz w:val="18"/>
          <w:szCs w:val="18"/>
        </w:rPr>
        <w:t xml:space="preserve">, “What’s in a Frame? Content Analysis of Media Framing Studies in the World’s Leading Communication Journals, 1990-2005,” </w:t>
      </w:r>
      <w:r w:rsidRPr="00A203A6">
        <w:rPr>
          <w:rFonts w:cs="Times New Roman"/>
          <w:i/>
          <w:iCs/>
          <w:color w:val="000000" w:themeColor="text1"/>
          <w:sz w:val="18"/>
          <w:szCs w:val="18"/>
        </w:rPr>
        <w:t>Journalism &amp; Mass Communication Quarterly</w:t>
      </w:r>
      <w:r w:rsidRPr="00A203A6">
        <w:rPr>
          <w:rFonts w:cs="Times New Roman"/>
          <w:color w:val="000000" w:themeColor="text1"/>
          <w:sz w:val="18"/>
          <w:szCs w:val="18"/>
        </w:rPr>
        <w:t xml:space="preserve"> 86, no. 2 (2009): 350.</w:t>
      </w:r>
    </w:p>
  </w:footnote>
  <w:footnote w:id="348">
    <w:p w14:paraId="5CB3B7EF"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Gail T. Fairhurst and Robert A. Starr, </w:t>
      </w:r>
      <w:r w:rsidRPr="00A203A6">
        <w:rPr>
          <w:rFonts w:cs="Times New Roman"/>
          <w:i/>
          <w:iCs/>
          <w:color w:val="000000" w:themeColor="text1"/>
          <w:sz w:val="18"/>
          <w:szCs w:val="18"/>
        </w:rPr>
        <w:t>The Art of Framing</w:t>
      </w:r>
      <w:r w:rsidRPr="00A203A6">
        <w:rPr>
          <w:rFonts w:cs="Times New Roman"/>
          <w:color w:val="000000" w:themeColor="text1"/>
          <w:sz w:val="18"/>
          <w:szCs w:val="18"/>
        </w:rPr>
        <w:t xml:space="preserve"> (San Francisco: Jossey-Bass, 1996); Holli A. </w:t>
      </w:r>
      <w:proofErr w:type="spellStart"/>
      <w:r w:rsidRPr="00A203A6">
        <w:rPr>
          <w:rFonts w:cs="Times New Roman"/>
          <w:color w:val="000000" w:themeColor="text1"/>
          <w:sz w:val="18"/>
          <w:szCs w:val="18"/>
        </w:rPr>
        <w:t>Semetko</w:t>
      </w:r>
      <w:proofErr w:type="spellEnd"/>
      <w:r w:rsidRPr="00A203A6">
        <w:rPr>
          <w:rFonts w:cs="Times New Roman"/>
          <w:color w:val="000000" w:themeColor="text1"/>
          <w:sz w:val="18"/>
          <w:szCs w:val="18"/>
        </w:rPr>
        <w:t xml:space="preserve"> and Patti M. Valkenburg, “Framing European Politics: A Content Analysis of Press and Television Shows,” </w:t>
      </w:r>
      <w:r w:rsidRPr="00A203A6">
        <w:rPr>
          <w:rFonts w:cs="Times New Roman"/>
          <w:i/>
          <w:iCs/>
          <w:color w:val="000000" w:themeColor="text1"/>
          <w:sz w:val="18"/>
          <w:szCs w:val="18"/>
        </w:rPr>
        <w:t xml:space="preserve">Journal of </w:t>
      </w:r>
      <w:r w:rsidRPr="00A203A6">
        <w:rPr>
          <w:rFonts w:cs="Times New Roman"/>
          <w:color w:val="000000" w:themeColor="text1"/>
          <w:sz w:val="18"/>
          <w:szCs w:val="18"/>
        </w:rPr>
        <w:t>Communication 50 (2000): 93-109.</w:t>
      </w:r>
    </w:p>
  </w:footnote>
  <w:footnote w:id="349">
    <w:p w14:paraId="75A4310D"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Shanto</w:t>
      </w:r>
      <w:proofErr w:type="spellEnd"/>
      <w:r w:rsidRPr="00A203A6">
        <w:rPr>
          <w:rFonts w:cs="Times New Roman"/>
          <w:color w:val="000000" w:themeColor="text1"/>
          <w:sz w:val="18"/>
          <w:szCs w:val="18"/>
        </w:rPr>
        <w:t xml:space="preserve"> Iyengar, </w:t>
      </w:r>
      <w:r w:rsidRPr="00A203A6">
        <w:rPr>
          <w:rFonts w:cs="Times New Roman"/>
          <w:i/>
          <w:iCs/>
          <w:color w:val="000000" w:themeColor="text1"/>
          <w:sz w:val="18"/>
          <w:szCs w:val="18"/>
        </w:rPr>
        <w:t>Is Anyone Responsible? How Television Frames Political Issues</w:t>
      </w:r>
      <w:r w:rsidRPr="00A203A6">
        <w:rPr>
          <w:rFonts w:cs="Times New Roman"/>
          <w:color w:val="000000" w:themeColor="text1"/>
          <w:sz w:val="18"/>
          <w:szCs w:val="18"/>
        </w:rPr>
        <w:t xml:space="preserve"> (Chicago: University of Chicago Press, 1991).</w:t>
      </w:r>
    </w:p>
  </w:footnote>
  <w:footnote w:id="350">
    <w:p w14:paraId="36FAA8C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Gabriel </w:t>
      </w:r>
      <w:proofErr w:type="spellStart"/>
      <w:r w:rsidRPr="00A203A6">
        <w:rPr>
          <w:rFonts w:cs="Times New Roman"/>
          <w:color w:val="000000" w:themeColor="text1"/>
          <w:sz w:val="18"/>
          <w:szCs w:val="18"/>
        </w:rPr>
        <w:t>Weimann</w:t>
      </w:r>
      <w:proofErr w:type="spellEnd"/>
      <w:r w:rsidRPr="00A203A6">
        <w:rPr>
          <w:rFonts w:cs="Times New Roman"/>
          <w:color w:val="000000" w:themeColor="text1"/>
          <w:sz w:val="18"/>
          <w:szCs w:val="18"/>
        </w:rPr>
        <w:t xml:space="preserve">, “The Theater of Terror: Effects of Press Coverage,” </w:t>
      </w:r>
      <w:r w:rsidRPr="00A203A6">
        <w:rPr>
          <w:rFonts w:cs="Times New Roman"/>
          <w:i/>
          <w:iCs/>
          <w:color w:val="000000" w:themeColor="text1"/>
          <w:sz w:val="18"/>
          <w:szCs w:val="18"/>
        </w:rPr>
        <w:t>Journal of Communication</w:t>
      </w:r>
      <w:r w:rsidRPr="00A203A6">
        <w:rPr>
          <w:rFonts w:cs="Times New Roman"/>
          <w:color w:val="000000" w:themeColor="text1"/>
          <w:sz w:val="18"/>
          <w:szCs w:val="18"/>
        </w:rPr>
        <w:t xml:space="preserve"> 33, no. 1 (1983): 38-45; Stephen W. Littlejohn and Karen A. Foss, </w:t>
      </w:r>
      <w:r w:rsidRPr="00A203A6">
        <w:rPr>
          <w:rFonts w:cs="Times New Roman"/>
          <w:i/>
          <w:iCs/>
          <w:color w:val="000000" w:themeColor="text1"/>
          <w:sz w:val="18"/>
          <w:szCs w:val="18"/>
        </w:rPr>
        <w:t>Theories of Human Communication</w:t>
      </w:r>
      <w:r w:rsidRPr="00A203A6">
        <w:rPr>
          <w:rFonts w:cs="Times New Roman"/>
          <w:color w:val="000000" w:themeColor="text1"/>
          <w:sz w:val="18"/>
          <w:szCs w:val="18"/>
        </w:rPr>
        <w:t xml:space="preserve"> (10</w:t>
      </w:r>
      <w:r w:rsidRPr="00A203A6">
        <w:rPr>
          <w:rFonts w:cs="Times New Roman"/>
          <w:color w:val="000000" w:themeColor="text1"/>
          <w:sz w:val="18"/>
          <w:szCs w:val="18"/>
          <w:vertAlign w:val="superscript"/>
        </w:rPr>
        <w:t>th</w:t>
      </w:r>
      <w:r w:rsidRPr="00A203A6">
        <w:rPr>
          <w:rFonts w:cs="Times New Roman"/>
          <w:color w:val="000000" w:themeColor="text1"/>
          <w:sz w:val="18"/>
          <w:szCs w:val="18"/>
        </w:rPr>
        <w:t xml:space="preserve"> ed.) (Salem: Waveland Press, 2010); Joshua </w:t>
      </w:r>
      <w:proofErr w:type="spellStart"/>
      <w:r w:rsidRPr="00A203A6">
        <w:rPr>
          <w:rFonts w:cs="Times New Roman"/>
          <w:color w:val="000000" w:themeColor="text1"/>
          <w:sz w:val="18"/>
          <w:szCs w:val="18"/>
        </w:rPr>
        <w:t>Myerowitz</w:t>
      </w:r>
      <w:proofErr w:type="spellEnd"/>
      <w:r w:rsidRPr="00A203A6">
        <w:rPr>
          <w:rFonts w:cs="Times New Roman"/>
          <w:color w:val="000000" w:themeColor="text1"/>
          <w:sz w:val="18"/>
          <w:szCs w:val="18"/>
        </w:rPr>
        <w:t xml:space="preserve">, “Television and Interpersonal Behavior: Codes of Perception and Response.” in Gary </w:t>
      </w:r>
      <w:proofErr w:type="spellStart"/>
      <w:r w:rsidRPr="00A203A6">
        <w:rPr>
          <w:rFonts w:cs="Times New Roman"/>
          <w:color w:val="000000" w:themeColor="text1"/>
          <w:sz w:val="18"/>
          <w:szCs w:val="18"/>
        </w:rPr>
        <w:t>Gumpert</w:t>
      </w:r>
      <w:proofErr w:type="spellEnd"/>
      <w:r w:rsidRPr="00A203A6">
        <w:rPr>
          <w:rFonts w:cs="Times New Roman"/>
          <w:color w:val="000000" w:themeColor="text1"/>
          <w:sz w:val="18"/>
          <w:szCs w:val="18"/>
        </w:rPr>
        <w:t xml:space="preserve"> and Robert S. Cathcart (eds.) </w:t>
      </w:r>
      <w:r w:rsidRPr="00A203A6">
        <w:rPr>
          <w:rFonts w:cs="Times New Roman"/>
          <w:i/>
          <w:iCs/>
          <w:color w:val="000000" w:themeColor="text1"/>
          <w:sz w:val="18"/>
          <w:szCs w:val="18"/>
        </w:rPr>
        <w:t>Inter/Media: Interpersonal Communication in a Media World</w:t>
      </w:r>
      <w:r w:rsidRPr="00A203A6">
        <w:rPr>
          <w:rFonts w:cs="Times New Roman"/>
          <w:color w:val="000000" w:themeColor="text1"/>
          <w:sz w:val="18"/>
          <w:szCs w:val="18"/>
        </w:rPr>
        <w:t xml:space="preserve"> (New York City: Oxford University Press, 1986).</w:t>
      </w:r>
    </w:p>
  </w:footnote>
  <w:footnote w:id="351">
    <w:p w14:paraId="492980E1"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L. Paul </w:t>
      </w:r>
      <w:proofErr w:type="spellStart"/>
      <w:r w:rsidRPr="00A203A6">
        <w:rPr>
          <w:rFonts w:cs="Times New Roman"/>
          <w:color w:val="000000" w:themeColor="text1"/>
          <w:sz w:val="18"/>
          <w:szCs w:val="18"/>
        </w:rPr>
        <w:t>Husselbee</w:t>
      </w:r>
      <w:proofErr w:type="spellEnd"/>
      <w:r w:rsidRPr="00A203A6">
        <w:rPr>
          <w:rFonts w:cs="Times New Roman"/>
          <w:color w:val="000000" w:themeColor="text1"/>
          <w:sz w:val="18"/>
          <w:szCs w:val="18"/>
        </w:rPr>
        <w:t xml:space="preserve"> and Larry Elliot, “Looking Beyond Hate: How National and Regional Newspapers Framed Hate Crimes in Jasper, Texas, and Laramie, Wyoming,” </w:t>
      </w:r>
      <w:r w:rsidRPr="00A203A6">
        <w:rPr>
          <w:rFonts w:cs="Times New Roman"/>
          <w:i/>
          <w:iCs/>
          <w:color w:val="000000" w:themeColor="text1"/>
          <w:sz w:val="18"/>
          <w:szCs w:val="18"/>
        </w:rPr>
        <w:t>Journalism &amp; Mass Communication Quarterly</w:t>
      </w:r>
      <w:r w:rsidRPr="00A203A6">
        <w:rPr>
          <w:rFonts w:cs="Times New Roman"/>
          <w:color w:val="000000" w:themeColor="text1"/>
          <w:sz w:val="18"/>
          <w:szCs w:val="18"/>
        </w:rPr>
        <w:t xml:space="preserve"> 79, no. 4 (2002): 833-852.</w:t>
      </w:r>
    </w:p>
  </w:footnote>
  <w:footnote w:id="352">
    <w:p w14:paraId="5B3739B4" w14:textId="3D7D7CDE" w:rsidR="00297285"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2, “Methodology.”</w:t>
      </w:r>
    </w:p>
  </w:footnote>
  <w:footnote w:id="353">
    <w:p w14:paraId="7CCB285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Mary-Lou Galician and Norris D. </w:t>
      </w:r>
      <w:proofErr w:type="spellStart"/>
      <w:r w:rsidRPr="00A203A6">
        <w:rPr>
          <w:rFonts w:cs="Times New Roman"/>
          <w:color w:val="000000" w:themeColor="text1"/>
          <w:sz w:val="18"/>
          <w:szCs w:val="18"/>
        </w:rPr>
        <w:t>Vestre</w:t>
      </w:r>
      <w:proofErr w:type="spellEnd"/>
      <w:r w:rsidRPr="00A203A6">
        <w:rPr>
          <w:rFonts w:cs="Times New Roman"/>
          <w:color w:val="000000" w:themeColor="text1"/>
          <w:sz w:val="18"/>
          <w:szCs w:val="18"/>
        </w:rPr>
        <w:t xml:space="preserve">, “Effects of ‘Good News’ and ‘Bad News’ on Newscast Image and Community Image,” </w:t>
      </w:r>
      <w:r w:rsidRPr="00A203A6">
        <w:rPr>
          <w:rFonts w:cs="Times New Roman"/>
          <w:i/>
          <w:iCs/>
          <w:color w:val="000000" w:themeColor="text1"/>
          <w:sz w:val="18"/>
          <w:szCs w:val="18"/>
        </w:rPr>
        <w:t xml:space="preserve">Journalism Quarterly </w:t>
      </w:r>
      <w:r w:rsidRPr="00A203A6">
        <w:rPr>
          <w:rFonts w:cs="Times New Roman"/>
          <w:color w:val="000000" w:themeColor="text1"/>
          <w:sz w:val="18"/>
          <w:szCs w:val="18"/>
        </w:rPr>
        <w:t xml:space="preserve">64 (1987): 399-405; 525. As cited in </w:t>
      </w:r>
      <w:proofErr w:type="spellStart"/>
      <w:r w:rsidRPr="00A203A6">
        <w:rPr>
          <w:rFonts w:cs="Times New Roman"/>
          <w:color w:val="000000" w:themeColor="text1"/>
          <w:sz w:val="18"/>
          <w:szCs w:val="18"/>
        </w:rPr>
        <w:t>Husselbee</w:t>
      </w:r>
      <w:proofErr w:type="spellEnd"/>
      <w:r w:rsidRPr="00A203A6">
        <w:rPr>
          <w:rFonts w:cs="Times New Roman"/>
          <w:color w:val="000000" w:themeColor="text1"/>
          <w:sz w:val="18"/>
          <w:szCs w:val="18"/>
        </w:rPr>
        <w:t xml:space="preserve"> and Elliot, “Looking Beyond Hate,” 840.</w:t>
      </w:r>
    </w:p>
  </w:footnote>
  <w:footnote w:id="354">
    <w:p w14:paraId="18D80593"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Boykoff and Roberts, “Media Coverage of Climate Change,” 9.</w:t>
      </w:r>
    </w:p>
  </w:footnote>
  <w:footnote w:id="355">
    <w:p w14:paraId="325A9C10"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Hamborg</w:t>
      </w:r>
      <w:proofErr w:type="spellEnd"/>
      <w:r w:rsidRPr="00A203A6">
        <w:rPr>
          <w:rFonts w:cs="Times New Roman"/>
          <w:color w:val="000000" w:themeColor="text1"/>
          <w:sz w:val="18"/>
          <w:szCs w:val="18"/>
        </w:rPr>
        <w:t xml:space="preserve">, Donnay and </w:t>
      </w:r>
      <w:proofErr w:type="spellStart"/>
      <w:r w:rsidRPr="00A203A6">
        <w:rPr>
          <w:rFonts w:cs="Times New Roman"/>
          <w:color w:val="000000" w:themeColor="text1"/>
          <w:sz w:val="18"/>
          <w:szCs w:val="18"/>
        </w:rPr>
        <w:t>Gipp’s</w:t>
      </w:r>
      <w:proofErr w:type="spellEnd"/>
      <w:r w:rsidRPr="00A203A6">
        <w:rPr>
          <w:rFonts w:cs="Times New Roman"/>
          <w:color w:val="000000" w:themeColor="text1"/>
          <w:sz w:val="18"/>
          <w:szCs w:val="18"/>
        </w:rPr>
        <w:t xml:space="preserve"> conceptualization of the news production process derives from </w:t>
      </w:r>
      <w:proofErr w:type="spellStart"/>
      <w:r w:rsidRPr="00A203A6">
        <w:rPr>
          <w:rFonts w:cs="Times New Roman"/>
          <w:color w:val="000000" w:themeColor="text1"/>
          <w:sz w:val="18"/>
          <w:szCs w:val="18"/>
        </w:rPr>
        <w:t>Souneil</w:t>
      </w:r>
      <w:proofErr w:type="spellEnd"/>
      <w:r w:rsidRPr="00A203A6">
        <w:rPr>
          <w:rFonts w:cs="Times New Roman"/>
          <w:color w:val="000000" w:themeColor="text1"/>
          <w:sz w:val="18"/>
          <w:szCs w:val="18"/>
        </w:rPr>
        <w:t xml:space="preserve"> Park, </w:t>
      </w:r>
      <w:proofErr w:type="spellStart"/>
      <w:r w:rsidRPr="00A203A6">
        <w:rPr>
          <w:rFonts w:cs="Times New Roman"/>
          <w:color w:val="000000" w:themeColor="text1"/>
          <w:sz w:val="18"/>
          <w:szCs w:val="18"/>
        </w:rPr>
        <w:t>Seungwoo</w:t>
      </w:r>
      <w:proofErr w:type="spellEnd"/>
      <w:r w:rsidRPr="00A203A6">
        <w:rPr>
          <w:rFonts w:cs="Times New Roman"/>
          <w:color w:val="000000" w:themeColor="text1"/>
          <w:sz w:val="18"/>
          <w:szCs w:val="18"/>
        </w:rPr>
        <w:t xml:space="preserve"> Kang, </w:t>
      </w:r>
      <w:proofErr w:type="spellStart"/>
      <w:r w:rsidRPr="00A203A6">
        <w:rPr>
          <w:rFonts w:cs="Times New Roman"/>
          <w:color w:val="000000" w:themeColor="text1"/>
          <w:sz w:val="18"/>
          <w:szCs w:val="18"/>
        </w:rPr>
        <w:t>Sangyou</w:t>
      </w:r>
      <w:proofErr w:type="spellEnd"/>
      <w:r w:rsidRPr="00A203A6">
        <w:rPr>
          <w:rFonts w:cs="Times New Roman"/>
          <w:color w:val="000000" w:themeColor="text1"/>
          <w:sz w:val="18"/>
          <w:szCs w:val="18"/>
        </w:rPr>
        <w:t xml:space="preserve"> Chung and </w:t>
      </w:r>
      <w:proofErr w:type="spellStart"/>
      <w:r w:rsidRPr="00A203A6">
        <w:rPr>
          <w:rFonts w:cs="Times New Roman"/>
          <w:color w:val="000000" w:themeColor="text1"/>
          <w:sz w:val="18"/>
          <w:szCs w:val="18"/>
        </w:rPr>
        <w:t>Junehwa</w:t>
      </w:r>
      <w:proofErr w:type="spellEnd"/>
      <w:r w:rsidRPr="00A203A6">
        <w:rPr>
          <w:rFonts w:cs="Times New Roman"/>
          <w:color w:val="000000" w:themeColor="text1"/>
          <w:sz w:val="18"/>
          <w:szCs w:val="18"/>
        </w:rPr>
        <w:t xml:space="preserve"> Song. “</w:t>
      </w:r>
      <w:proofErr w:type="spellStart"/>
      <w:r w:rsidRPr="00A203A6">
        <w:rPr>
          <w:rFonts w:cs="Times New Roman"/>
          <w:color w:val="000000" w:themeColor="text1"/>
          <w:sz w:val="18"/>
          <w:szCs w:val="18"/>
        </w:rPr>
        <w:t>NewsCube</w:t>
      </w:r>
      <w:proofErr w:type="spellEnd"/>
      <w:r w:rsidRPr="00A203A6">
        <w:rPr>
          <w:rFonts w:cs="Times New Roman"/>
          <w:color w:val="000000" w:themeColor="text1"/>
          <w:sz w:val="18"/>
          <w:szCs w:val="18"/>
        </w:rPr>
        <w:t xml:space="preserve">: Delivering Multiple Aspects of News to Mitigate Media Bias.” In </w:t>
      </w:r>
      <w:r w:rsidRPr="00A203A6">
        <w:rPr>
          <w:rFonts w:cs="Times New Roman"/>
          <w:i/>
          <w:iCs/>
          <w:color w:val="000000" w:themeColor="text1"/>
          <w:sz w:val="18"/>
          <w:szCs w:val="18"/>
        </w:rPr>
        <w:t xml:space="preserve">Proceedings of CHI’09, SIGCHI </w:t>
      </w:r>
      <w:proofErr w:type="spellStart"/>
      <w:r w:rsidRPr="00A203A6">
        <w:rPr>
          <w:rFonts w:cs="Times New Roman"/>
          <w:i/>
          <w:iCs/>
          <w:color w:val="000000" w:themeColor="text1"/>
          <w:sz w:val="18"/>
          <w:szCs w:val="18"/>
        </w:rPr>
        <w:t>Congerence</w:t>
      </w:r>
      <w:proofErr w:type="spellEnd"/>
      <w:r w:rsidRPr="00A203A6">
        <w:rPr>
          <w:rFonts w:cs="Times New Roman"/>
          <w:i/>
          <w:iCs/>
          <w:color w:val="000000" w:themeColor="text1"/>
          <w:sz w:val="18"/>
          <w:szCs w:val="18"/>
        </w:rPr>
        <w:t xml:space="preserve"> on Human Factors Computer System</w:t>
      </w:r>
      <w:r w:rsidRPr="00A203A6">
        <w:rPr>
          <w:rFonts w:cs="Times New Roman"/>
          <w:color w:val="000000" w:themeColor="text1"/>
          <w:sz w:val="18"/>
          <w:szCs w:val="18"/>
        </w:rPr>
        <w:t xml:space="preserve"> (2009): 443-453. </w:t>
      </w:r>
      <w:proofErr w:type="spellStart"/>
      <w:r w:rsidRPr="00A203A6">
        <w:rPr>
          <w:rFonts w:cs="Times New Roman"/>
          <w:color w:val="000000" w:themeColor="text1"/>
          <w:sz w:val="18"/>
          <w:szCs w:val="18"/>
        </w:rPr>
        <w:t>Hamborg</w:t>
      </w:r>
      <w:proofErr w:type="spellEnd"/>
      <w:r w:rsidRPr="00A203A6">
        <w:rPr>
          <w:rFonts w:cs="Times New Roman"/>
          <w:color w:val="000000" w:themeColor="text1"/>
          <w:sz w:val="18"/>
          <w:szCs w:val="18"/>
        </w:rPr>
        <w:t xml:space="preserve">, Donnay and </w:t>
      </w:r>
      <w:proofErr w:type="spellStart"/>
      <w:r w:rsidRPr="00A203A6">
        <w:rPr>
          <w:rFonts w:cs="Times New Roman"/>
          <w:color w:val="000000" w:themeColor="text1"/>
          <w:sz w:val="18"/>
          <w:szCs w:val="18"/>
        </w:rPr>
        <w:t>Gipp</w:t>
      </w:r>
      <w:proofErr w:type="spellEnd"/>
      <w:r w:rsidRPr="00A203A6">
        <w:rPr>
          <w:rFonts w:cs="Times New Roman"/>
          <w:color w:val="000000" w:themeColor="text1"/>
          <w:sz w:val="18"/>
          <w:szCs w:val="18"/>
        </w:rPr>
        <w:t xml:space="preserve"> correlate between the stages in Park et. al.’s news production process and the forms of media bias described in Brent H. Baker, Tim Graham and Steve Kaminsky,</w:t>
      </w:r>
      <w:r w:rsidRPr="00A203A6">
        <w:rPr>
          <w:rFonts w:cs="Times New Roman"/>
          <w:i/>
          <w:iCs/>
          <w:color w:val="000000" w:themeColor="text1"/>
          <w:sz w:val="18"/>
          <w:szCs w:val="18"/>
        </w:rPr>
        <w:t xml:space="preserve"> How to Identify, Expose and Correct Liberal Media Bias </w:t>
      </w:r>
      <w:r w:rsidRPr="00A203A6">
        <w:rPr>
          <w:rFonts w:cs="Times New Roman"/>
          <w:color w:val="000000" w:themeColor="text1"/>
          <w:sz w:val="18"/>
          <w:szCs w:val="18"/>
        </w:rPr>
        <w:t>(Alexandria: Media Research Center, 1994).</w:t>
      </w:r>
    </w:p>
  </w:footnote>
  <w:footnote w:id="356">
    <w:p w14:paraId="5921EC7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Hamborg</w:t>
      </w:r>
      <w:proofErr w:type="spellEnd"/>
      <w:r w:rsidRPr="00A203A6">
        <w:rPr>
          <w:rFonts w:cs="Times New Roman"/>
          <w:color w:val="000000" w:themeColor="text1"/>
          <w:sz w:val="18"/>
          <w:szCs w:val="18"/>
        </w:rPr>
        <w:t xml:space="preserve">, Donnay and </w:t>
      </w:r>
      <w:proofErr w:type="spellStart"/>
      <w:r w:rsidRPr="00A203A6">
        <w:rPr>
          <w:rFonts w:cs="Times New Roman"/>
          <w:color w:val="000000" w:themeColor="text1"/>
          <w:sz w:val="18"/>
          <w:szCs w:val="18"/>
        </w:rPr>
        <w:t>Gipp</w:t>
      </w:r>
      <w:proofErr w:type="spellEnd"/>
      <w:r w:rsidRPr="00A203A6">
        <w:rPr>
          <w:rFonts w:cs="Times New Roman"/>
          <w:color w:val="000000" w:themeColor="text1"/>
          <w:sz w:val="18"/>
          <w:szCs w:val="18"/>
        </w:rPr>
        <w:t>, “Automated Identification of Media Bias in News Articles,” 4.</w:t>
      </w:r>
    </w:p>
  </w:footnote>
  <w:footnote w:id="357">
    <w:p w14:paraId="0579D5EC"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Hamborg</w:t>
      </w:r>
      <w:proofErr w:type="spellEnd"/>
      <w:r w:rsidRPr="00A203A6">
        <w:rPr>
          <w:rFonts w:cs="Times New Roman"/>
          <w:color w:val="000000" w:themeColor="text1"/>
          <w:sz w:val="18"/>
          <w:szCs w:val="18"/>
        </w:rPr>
        <w:t xml:space="preserve">, Donnay and </w:t>
      </w:r>
      <w:proofErr w:type="spellStart"/>
      <w:r w:rsidRPr="00A203A6">
        <w:rPr>
          <w:rFonts w:cs="Times New Roman"/>
          <w:color w:val="000000" w:themeColor="text1"/>
          <w:sz w:val="18"/>
          <w:szCs w:val="18"/>
        </w:rPr>
        <w:t>Gipp</w:t>
      </w:r>
      <w:proofErr w:type="spellEnd"/>
      <w:r w:rsidRPr="00A203A6">
        <w:rPr>
          <w:rFonts w:cs="Times New Roman"/>
          <w:color w:val="000000" w:themeColor="text1"/>
          <w:sz w:val="18"/>
          <w:szCs w:val="18"/>
        </w:rPr>
        <w:t>, “Automated Identification of Media Bias in News Articles,” 4.</w:t>
      </w:r>
    </w:p>
  </w:footnote>
  <w:footnote w:id="358">
    <w:p w14:paraId="2E106ACB"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D’Alessio</w:t>
      </w:r>
      <w:proofErr w:type="spellEnd"/>
      <w:r w:rsidRPr="00A203A6">
        <w:rPr>
          <w:rFonts w:cs="Times New Roman"/>
          <w:color w:val="000000" w:themeColor="text1"/>
          <w:sz w:val="18"/>
          <w:szCs w:val="18"/>
        </w:rPr>
        <w:t xml:space="preserve"> and Allen, “Media Bias in Presidential Elections,” 133-156.</w:t>
      </w:r>
    </w:p>
  </w:footnote>
  <w:footnote w:id="359">
    <w:p w14:paraId="46DDC01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D’Alessio</w:t>
      </w:r>
      <w:proofErr w:type="spellEnd"/>
      <w:r w:rsidRPr="00A203A6">
        <w:rPr>
          <w:rFonts w:cs="Times New Roman"/>
          <w:color w:val="000000" w:themeColor="text1"/>
          <w:sz w:val="18"/>
          <w:szCs w:val="18"/>
        </w:rPr>
        <w:t xml:space="preserve"> and Allen, “Media Bias in Presidential Elections,” 133-156.</w:t>
      </w:r>
    </w:p>
  </w:footnote>
  <w:footnote w:id="360">
    <w:p w14:paraId="441F241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Paul </w:t>
      </w:r>
      <w:proofErr w:type="spellStart"/>
      <w:r w:rsidRPr="00A203A6">
        <w:rPr>
          <w:rFonts w:cs="Times New Roman"/>
          <w:color w:val="000000" w:themeColor="text1"/>
          <w:sz w:val="18"/>
          <w:szCs w:val="18"/>
        </w:rPr>
        <w:t>Frijters</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Malathi</w:t>
      </w:r>
      <w:proofErr w:type="spellEnd"/>
      <w:r w:rsidRPr="00A203A6">
        <w:rPr>
          <w:rFonts w:cs="Times New Roman"/>
          <w:color w:val="000000" w:themeColor="text1"/>
          <w:sz w:val="18"/>
          <w:szCs w:val="18"/>
        </w:rPr>
        <w:t xml:space="preserve"> R. </w:t>
      </w:r>
      <w:proofErr w:type="spellStart"/>
      <w:r w:rsidRPr="00A203A6">
        <w:rPr>
          <w:rFonts w:cs="Times New Roman"/>
          <w:color w:val="000000" w:themeColor="text1"/>
          <w:sz w:val="18"/>
          <w:szCs w:val="18"/>
        </w:rPr>
        <w:t>Velamuri</w:t>
      </w:r>
      <w:proofErr w:type="spellEnd"/>
      <w:r w:rsidRPr="00A203A6">
        <w:rPr>
          <w:rFonts w:cs="Times New Roman"/>
          <w:color w:val="000000" w:themeColor="text1"/>
          <w:sz w:val="18"/>
          <w:szCs w:val="18"/>
        </w:rPr>
        <w:t xml:space="preserve">, “Is the Internet Bad News? The Online News Era and the Market for High Quality News,” </w:t>
      </w:r>
      <w:r w:rsidRPr="00A203A6">
        <w:rPr>
          <w:rFonts w:cs="Times New Roman"/>
          <w:i/>
          <w:iCs/>
          <w:color w:val="000000" w:themeColor="text1"/>
          <w:sz w:val="18"/>
          <w:szCs w:val="18"/>
        </w:rPr>
        <w:t>Review of Network Economics</w:t>
      </w:r>
      <w:r w:rsidRPr="00A203A6">
        <w:rPr>
          <w:rFonts w:cs="Times New Roman"/>
          <w:color w:val="000000" w:themeColor="text1"/>
          <w:sz w:val="18"/>
          <w:szCs w:val="18"/>
        </w:rPr>
        <w:t xml:space="preserve"> 9, no. 2 (2009): 8.</w:t>
      </w:r>
    </w:p>
  </w:footnote>
  <w:footnote w:id="361">
    <w:p w14:paraId="79B8A29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Frijters</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Velamuri</w:t>
      </w:r>
      <w:proofErr w:type="spellEnd"/>
      <w:r w:rsidRPr="00A203A6">
        <w:rPr>
          <w:rFonts w:cs="Times New Roman"/>
          <w:color w:val="000000" w:themeColor="text1"/>
          <w:sz w:val="18"/>
          <w:szCs w:val="18"/>
        </w:rPr>
        <w:t>, “Is the Internet Bad News?” 8.</w:t>
      </w:r>
    </w:p>
  </w:footnote>
  <w:footnote w:id="362">
    <w:p w14:paraId="3B41FD41" w14:textId="77777777" w:rsidR="00BE0E9B" w:rsidRPr="00A203A6" w:rsidRDefault="00BE0E9B"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Bill Kovach and Tim Rosenstiel, </w:t>
      </w:r>
      <w:r w:rsidRPr="00A203A6">
        <w:rPr>
          <w:rFonts w:cs="Times New Roman"/>
          <w:i/>
          <w:iCs/>
          <w:color w:val="000000" w:themeColor="text1"/>
          <w:sz w:val="18"/>
          <w:szCs w:val="18"/>
        </w:rPr>
        <w:t>Warp Speed: America in the Age of Mixed Media</w:t>
      </w:r>
      <w:r w:rsidRPr="00A203A6">
        <w:rPr>
          <w:rFonts w:cs="Times New Roman"/>
          <w:color w:val="000000" w:themeColor="text1"/>
          <w:sz w:val="18"/>
          <w:szCs w:val="18"/>
        </w:rPr>
        <w:t xml:space="preserve"> (New York City: Century Foundation Press, 1999).</w:t>
      </w:r>
    </w:p>
    <w:p w14:paraId="6D9D7942" w14:textId="77777777" w:rsidR="00BE0E9B" w:rsidRPr="00A203A6" w:rsidRDefault="00BE0E9B" w:rsidP="00787EBB">
      <w:pPr>
        <w:widowControl w:val="0"/>
        <w:autoSpaceDE w:val="0"/>
        <w:autoSpaceDN w:val="0"/>
        <w:adjustRightInd w:val="0"/>
        <w:spacing w:before="0" w:after="80"/>
        <w:rPr>
          <w:rFonts w:cs="Times New Roman"/>
          <w:color w:val="000000" w:themeColor="text1"/>
          <w:sz w:val="18"/>
          <w:szCs w:val="18"/>
        </w:rPr>
      </w:pPr>
      <w:r w:rsidRPr="00A203A6">
        <w:rPr>
          <w:rFonts w:cs="Times New Roman"/>
          <w:color w:val="000000" w:themeColor="text1"/>
          <w:sz w:val="18"/>
          <w:szCs w:val="18"/>
        </w:rPr>
        <w:t xml:space="preserve">The immediacy of the digital age requires the fast publishing of up-to-date news stories, which has caused many media sources to value speed over authenticity and reliability. As Henry Jenkins asserts, “Mainstream reporters increasingly scan blogs in search of leads for stories that will then be reported more widely through broadcast media” (Jenkins, “The Cultural Logic of Media Convergence,” 35). This comes as a result of the increased demand for up-to-date twenty-four-hour news coverage. Another variation of this prioritization of speed over authenticity and reliability comes as certain news sites ‘update their’ stories “by adding new information at the top of the articles and moving blocks of text, images, and quotes from story to story,” in an effort to make it look like they have access to newer and more current information than they actually do (Redden and </w:t>
      </w:r>
      <w:proofErr w:type="spellStart"/>
      <w:r w:rsidRPr="00A203A6">
        <w:rPr>
          <w:rFonts w:cs="Times New Roman"/>
          <w:color w:val="000000" w:themeColor="text1"/>
          <w:sz w:val="18"/>
          <w:szCs w:val="18"/>
        </w:rPr>
        <w:t>Witschge</w:t>
      </w:r>
      <w:proofErr w:type="spellEnd"/>
      <w:r w:rsidRPr="00A203A6">
        <w:rPr>
          <w:rFonts w:cs="Times New Roman"/>
          <w:color w:val="000000" w:themeColor="text1"/>
          <w:sz w:val="18"/>
          <w:szCs w:val="18"/>
        </w:rPr>
        <w:t xml:space="preserve">, “A New News Order?,” 173). Moreover, “the focus on speed and the idea of constant live news updates created the need for a continuous uploading and updating of stories, which, due to lack of resources (and lack of actual new information), leads to the incremental updating and reusing of material” (Redden and </w:t>
      </w:r>
      <w:proofErr w:type="spellStart"/>
      <w:r w:rsidRPr="00A203A6">
        <w:rPr>
          <w:rFonts w:cs="Times New Roman"/>
          <w:color w:val="000000" w:themeColor="text1"/>
          <w:sz w:val="18"/>
          <w:szCs w:val="18"/>
        </w:rPr>
        <w:t>Witschge</w:t>
      </w:r>
      <w:proofErr w:type="spellEnd"/>
      <w:r w:rsidRPr="00A203A6">
        <w:rPr>
          <w:rFonts w:cs="Times New Roman"/>
          <w:color w:val="000000" w:themeColor="text1"/>
          <w:sz w:val="18"/>
          <w:szCs w:val="18"/>
        </w:rPr>
        <w:t xml:space="preserve">, “A New News Order?”, 173). Speed adds credibility to scholarly claims that the rise of digital media has put added pressure on journalists to come up with new and innovative stories, while decreasing the amount of time with which they have to write and research said stories before publication. Thus, while to some degree newsrooms have always been necessarily immediately responsive to developing news stories, the new “world of instantaneous and 24-hour media coverage” has brought about new challenges related to content production (Youngs, “Media and Mediation in the ‘War on Terror’,” 96). While communication has always “consist[ed] of [both] ‘what’ is being communicated and ‘how’ it is being communicated,” there is more incentive for journalists to editorialize and commentate on the basic facts that comprise the news to create the perception that new information has been generated (Youngs, “Media and Mediation in the ‘War on Terror’,” 99). (Henry Jenkins, “The Cultural Logic of Media Convergence,” </w:t>
      </w:r>
      <w:r w:rsidRPr="00A203A6">
        <w:rPr>
          <w:rFonts w:cs="Times New Roman"/>
          <w:i/>
          <w:color w:val="000000" w:themeColor="text1"/>
          <w:sz w:val="18"/>
          <w:szCs w:val="18"/>
        </w:rPr>
        <w:t>International Journal of Cultural Studies</w:t>
      </w:r>
      <w:r w:rsidRPr="00A203A6">
        <w:rPr>
          <w:rFonts w:cs="Times New Roman"/>
          <w:color w:val="000000" w:themeColor="text1"/>
          <w:sz w:val="18"/>
          <w:szCs w:val="18"/>
        </w:rPr>
        <w:t xml:space="preserve"> 7, no. 1 (2004): 33-43; Joanna Redden and Tamara </w:t>
      </w:r>
      <w:proofErr w:type="spellStart"/>
      <w:r w:rsidRPr="00A203A6">
        <w:rPr>
          <w:rFonts w:cs="Times New Roman"/>
          <w:color w:val="000000" w:themeColor="text1"/>
          <w:sz w:val="18"/>
          <w:szCs w:val="18"/>
        </w:rPr>
        <w:t>Witschge</w:t>
      </w:r>
      <w:proofErr w:type="spellEnd"/>
      <w:r w:rsidRPr="00A203A6">
        <w:rPr>
          <w:rFonts w:cs="Times New Roman"/>
          <w:color w:val="000000" w:themeColor="text1"/>
          <w:sz w:val="18"/>
          <w:szCs w:val="18"/>
        </w:rPr>
        <w:t xml:space="preserve">, “A New News Order? Online News Content Examined. In Natalie Fenton (ed.), </w:t>
      </w:r>
      <w:r w:rsidRPr="00A203A6">
        <w:rPr>
          <w:rFonts w:cs="Times New Roman"/>
          <w:i/>
          <w:iCs/>
          <w:color w:val="000000" w:themeColor="text1"/>
          <w:sz w:val="18"/>
          <w:szCs w:val="18"/>
        </w:rPr>
        <w:t>New Media, Old News: Journalism and Democracy in the Digital Age</w:t>
      </w:r>
      <w:r w:rsidRPr="00A203A6">
        <w:rPr>
          <w:rFonts w:cs="Times New Roman"/>
          <w:color w:val="000000" w:themeColor="text1"/>
          <w:sz w:val="18"/>
          <w:szCs w:val="18"/>
        </w:rPr>
        <w:t xml:space="preserve"> (Newbury Park: Sage Publications, 2010): 171-186; Youngs, “Media and Mediation in the ‘War on Terror’,” 95-102.)</w:t>
      </w:r>
    </w:p>
  </w:footnote>
  <w:footnote w:id="363">
    <w:p w14:paraId="4D41C03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Deborah Cameron, </w:t>
      </w:r>
      <w:r w:rsidRPr="00A203A6">
        <w:rPr>
          <w:rFonts w:cs="Times New Roman"/>
          <w:i/>
          <w:iCs/>
          <w:color w:val="000000" w:themeColor="text1"/>
          <w:sz w:val="18"/>
          <w:szCs w:val="18"/>
        </w:rPr>
        <w:t xml:space="preserve">Verbal Hygiene </w:t>
      </w:r>
      <w:r w:rsidRPr="00A203A6">
        <w:rPr>
          <w:rFonts w:cs="Times New Roman"/>
          <w:color w:val="000000" w:themeColor="text1"/>
          <w:sz w:val="18"/>
          <w:szCs w:val="18"/>
        </w:rPr>
        <w:t>(London: Routledge, 1996): 56-57.</w:t>
      </w:r>
    </w:p>
  </w:footnote>
  <w:footnote w:id="364">
    <w:p w14:paraId="6E785698"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Cameron, </w:t>
      </w:r>
      <w:r w:rsidRPr="00A203A6">
        <w:rPr>
          <w:rFonts w:cs="Times New Roman"/>
          <w:i/>
          <w:iCs/>
          <w:color w:val="000000" w:themeColor="text1"/>
          <w:sz w:val="18"/>
          <w:szCs w:val="18"/>
        </w:rPr>
        <w:t xml:space="preserve">Verbal Hygiene, </w:t>
      </w:r>
      <w:r w:rsidRPr="00A203A6">
        <w:rPr>
          <w:rFonts w:cs="Times New Roman"/>
          <w:color w:val="000000" w:themeColor="text1"/>
          <w:sz w:val="18"/>
          <w:szCs w:val="18"/>
        </w:rPr>
        <w:t>57.</w:t>
      </w:r>
    </w:p>
  </w:footnote>
  <w:footnote w:id="365">
    <w:p w14:paraId="199F0A25"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Michael B. </w:t>
      </w:r>
      <w:proofErr w:type="spellStart"/>
      <w:r w:rsidRPr="00A203A6">
        <w:rPr>
          <w:rFonts w:cs="Times New Roman"/>
          <w:color w:val="000000" w:themeColor="text1"/>
          <w:sz w:val="18"/>
          <w:szCs w:val="18"/>
        </w:rPr>
        <w:t>Munnik</w:t>
      </w:r>
      <w:proofErr w:type="spellEnd"/>
      <w:r w:rsidRPr="00A203A6">
        <w:rPr>
          <w:rFonts w:cs="Times New Roman"/>
          <w:color w:val="000000" w:themeColor="text1"/>
          <w:sz w:val="18"/>
          <w:szCs w:val="18"/>
        </w:rPr>
        <w:t xml:space="preserve">, “What Style Guides Tell Secular Journalists about Muslims and Islam.” </w:t>
      </w:r>
      <w:r w:rsidRPr="00A203A6">
        <w:rPr>
          <w:rFonts w:cs="Times New Roman"/>
          <w:i/>
          <w:iCs/>
          <w:color w:val="000000" w:themeColor="text1"/>
          <w:sz w:val="18"/>
          <w:szCs w:val="18"/>
        </w:rPr>
        <w:t>Journal of Religion, Media and Digital Culture</w:t>
      </w:r>
      <w:r w:rsidRPr="00A203A6">
        <w:rPr>
          <w:rFonts w:cs="Times New Roman"/>
          <w:color w:val="000000" w:themeColor="text1"/>
          <w:sz w:val="18"/>
          <w:szCs w:val="18"/>
        </w:rPr>
        <w:t xml:space="preserve"> (2023): 7.</w:t>
      </w:r>
    </w:p>
  </w:footnote>
  <w:footnote w:id="366">
    <w:p w14:paraId="0554E9EA" w14:textId="77777777" w:rsidR="00BE0E9B" w:rsidRPr="00A203A6" w:rsidRDefault="00BE0E9B" w:rsidP="00787EBB">
      <w:pPr>
        <w:spacing w:before="0" w:after="80"/>
        <w:rPr>
          <w:rFonts w:eastAsia="Times New Roman"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Jane Johnston and Susan Forde, “‘Not Wrong for Long’: The Role and Penetration of News Wire Agencies in the 24/7 Landscape,” </w:t>
      </w:r>
      <w:r w:rsidRPr="00A203A6">
        <w:rPr>
          <w:rFonts w:eastAsia="Times New Roman" w:cs="Times New Roman"/>
          <w:i/>
          <w:iCs/>
          <w:color w:val="000000" w:themeColor="text1"/>
          <w:sz w:val="18"/>
          <w:szCs w:val="18"/>
        </w:rPr>
        <w:t>Global Media Journal-Australian Edition</w:t>
      </w:r>
      <w:r w:rsidRPr="00A203A6">
        <w:rPr>
          <w:rFonts w:eastAsia="Times New Roman" w:cs="Times New Roman"/>
          <w:color w:val="000000" w:themeColor="text1"/>
          <w:sz w:val="18"/>
          <w:szCs w:val="18"/>
        </w:rPr>
        <w:t> 3, no. 2 (2009): 3.</w:t>
      </w:r>
    </w:p>
  </w:footnote>
  <w:footnote w:id="367">
    <w:p w14:paraId="259E598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Chris Paterson, “News Agency Dominance in International News on the Internet,” </w:t>
      </w:r>
      <w:r w:rsidRPr="00A203A6">
        <w:rPr>
          <w:rFonts w:cs="Times New Roman"/>
          <w:i/>
          <w:iCs/>
          <w:color w:val="000000" w:themeColor="text1"/>
          <w:sz w:val="18"/>
          <w:szCs w:val="18"/>
        </w:rPr>
        <w:t>Papers in International and Global Communication</w:t>
      </w:r>
      <w:r w:rsidRPr="00A203A6">
        <w:rPr>
          <w:rFonts w:cs="Times New Roman"/>
          <w:color w:val="000000" w:themeColor="text1"/>
          <w:sz w:val="18"/>
          <w:szCs w:val="18"/>
        </w:rPr>
        <w:t xml:space="preserve"> (Centre for International Communications Research, No 01/06). Retrieved from </w:t>
      </w:r>
      <w:r w:rsidRPr="00A203A6">
        <w:rPr>
          <w:rFonts w:cs="Times New Roman"/>
          <w:color w:val="000000" w:themeColor="text1"/>
          <w:sz w:val="18"/>
          <w:szCs w:val="18"/>
          <w:u w:val="single"/>
        </w:rPr>
        <w:t>http://ics.leeds.ac.uk/papers/cicr/exhibits/42/cicrpaterson.pdf</w:t>
      </w:r>
      <w:r w:rsidRPr="00A203A6">
        <w:rPr>
          <w:rFonts w:cs="Times New Roman"/>
          <w:color w:val="000000" w:themeColor="text1"/>
          <w:sz w:val="18"/>
          <w:szCs w:val="18"/>
        </w:rPr>
        <w:t>: 19.</w:t>
      </w:r>
    </w:p>
    <w:p w14:paraId="46DD4744"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Due to the limited nature of academic scholarship on news agencies, a United Kingdom-based study conducted by Chris Patterson is often cited as the “primary authority on news agency content.” See Johnston and Forde, “‘Not Wrong for Long,’”</w:t>
      </w:r>
      <w:r w:rsidRPr="00A203A6">
        <w:rPr>
          <w:rFonts w:eastAsia="Times New Roman" w:cs="Times New Roman"/>
          <w:color w:val="000000" w:themeColor="text1"/>
          <w:sz w:val="18"/>
          <w:szCs w:val="18"/>
        </w:rPr>
        <w:t xml:space="preserve"> 3.</w:t>
      </w:r>
    </w:p>
  </w:footnote>
  <w:footnote w:id="368">
    <w:p w14:paraId="3203D086"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Paterson, “News Agency Dominance in International News on the Internet,” 19; Chris Paterson, </w:t>
      </w:r>
      <w:r w:rsidRPr="00A203A6">
        <w:rPr>
          <w:rFonts w:cs="Times New Roman"/>
          <w:i/>
          <w:iCs/>
          <w:color w:val="000000" w:themeColor="text1"/>
          <w:sz w:val="18"/>
          <w:szCs w:val="18"/>
        </w:rPr>
        <w:t>The International Television News Agencies: The World from London</w:t>
      </w:r>
      <w:r w:rsidRPr="00A203A6">
        <w:rPr>
          <w:rFonts w:cs="Times New Roman"/>
          <w:color w:val="000000" w:themeColor="text1"/>
          <w:sz w:val="18"/>
          <w:szCs w:val="18"/>
        </w:rPr>
        <w:t xml:space="preserve"> (New York City: Peter Lang, 2011).</w:t>
      </w:r>
    </w:p>
    <w:p w14:paraId="57636FD5" w14:textId="77777777" w:rsidR="00BE0E9B" w:rsidRPr="00A203A6" w:rsidRDefault="00BE0E9B"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Although somewhat dated, Paterson’s 2006 study is consistently cited in the English-language scholarly literature as the “primary authority on news agency content,” likely given the limited nature of scholarship on the prevalence of news agency content. (Johnston and Forde, “Not Wrong for Long,”</w:t>
      </w:r>
      <w:r w:rsidRPr="00A203A6">
        <w:rPr>
          <w:rFonts w:eastAsia="Times New Roman" w:cs="Times New Roman"/>
          <w:color w:val="000000" w:themeColor="text1"/>
          <w:sz w:val="18"/>
          <w:szCs w:val="18"/>
        </w:rPr>
        <w:t xml:space="preserve"> 3; also see MacGregor. “International News Agencies,” 35-62</w:t>
      </w:r>
      <w:r w:rsidRPr="00A203A6">
        <w:rPr>
          <w:rFonts w:cs="Times New Roman"/>
          <w:color w:val="000000" w:themeColor="text1"/>
          <w:sz w:val="18"/>
          <w:szCs w:val="18"/>
        </w:rPr>
        <w:t xml:space="preserve">). However, recent studies conducted outside of mainstream academia also substantiate the continued veracity of Paterson’s conclusions. See </w:t>
      </w:r>
      <w:proofErr w:type="spellStart"/>
      <w:r w:rsidRPr="00A203A6">
        <w:rPr>
          <w:rFonts w:cs="Times New Roman"/>
          <w:color w:val="000000" w:themeColor="text1"/>
          <w:sz w:val="18"/>
          <w:szCs w:val="18"/>
        </w:rPr>
        <w:t>Terje</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Maloy</w:t>
      </w:r>
      <w:proofErr w:type="spellEnd"/>
      <w:r w:rsidRPr="00A203A6">
        <w:rPr>
          <w:rFonts w:cs="Times New Roman"/>
          <w:color w:val="000000" w:themeColor="text1"/>
          <w:sz w:val="18"/>
          <w:szCs w:val="18"/>
        </w:rPr>
        <w:t xml:space="preserve"> (trans.), “The Propaganda Multiplier: How Global News Agencies and Western Media Report on Geopolitics,” (Swiss Propaganda Research, 2016) for an overview of more recent research conducted by German scholars that reaches similar conclusions to those of Paterson’s 2006 study.</w:t>
      </w:r>
    </w:p>
  </w:footnote>
  <w:footnote w:id="369">
    <w:p w14:paraId="1CC61F57"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eastAsia="Times New Roman" w:cs="Times New Roman"/>
          <w:color w:val="000000" w:themeColor="text1"/>
          <w:sz w:val="18"/>
          <w:szCs w:val="18"/>
        </w:rPr>
        <w:t>MacGregor, “International News Agencies,” 35-62.</w:t>
      </w:r>
    </w:p>
  </w:footnote>
  <w:footnote w:id="370">
    <w:p w14:paraId="77AD01BA"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Munnik</w:t>
      </w:r>
      <w:proofErr w:type="spellEnd"/>
      <w:r w:rsidRPr="00A203A6">
        <w:rPr>
          <w:rFonts w:cs="Times New Roman"/>
          <w:color w:val="000000" w:themeColor="text1"/>
          <w:sz w:val="18"/>
          <w:szCs w:val="18"/>
        </w:rPr>
        <w:t>, “What Style Guides Tell Secular Journalists about Muslims and Islam,” 8.</w:t>
      </w:r>
    </w:p>
  </w:footnote>
  <w:footnote w:id="371">
    <w:p w14:paraId="43283475"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Oluseyi</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Adegbola</w:t>
      </w:r>
      <w:proofErr w:type="spellEnd"/>
      <w:r w:rsidRPr="00A203A6">
        <w:rPr>
          <w:rFonts w:cs="Times New Roman"/>
          <w:color w:val="000000" w:themeColor="text1"/>
          <w:sz w:val="18"/>
          <w:szCs w:val="18"/>
        </w:rPr>
        <w:t xml:space="preserve">, Sherice Gearhart and Janice Cho, “Reporting Bias in Coverage of Iran Protests by Global News Agencies.” </w:t>
      </w:r>
      <w:r w:rsidRPr="00A203A6">
        <w:rPr>
          <w:rFonts w:cs="Times New Roman"/>
          <w:i/>
          <w:iCs/>
          <w:color w:val="000000" w:themeColor="text1"/>
          <w:sz w:val="18"/>
          <w:szCs w:val="18"/>
        </w:rPr>
        <w:t>The International Journal of Press/Politics</w:t>
      </w:r>
      <w:r w:rsidRPr="00A203A6">
        <w:rPr>
          <w:rFonts w:cs="Times New Roman"/>
          <w:color w:val="000000" w:themeColor="text1"/>
          <w:sz w:val="18"/>
          <w:szCs w:val="18"/>
        </w:rPr>
        <w:t xml:space="preserve"> 27, no. 1 (2020):145.</w:t>
      </w:r>
    </w:p>
  </w:footnote>
  <w:footnote w:id="372">
    <w:p w14:paraId="787137F4"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Michael Palmer and </w:t>
      </w:r>
      <w:proofErr w:type="spellStart"/>
      <w:r w:rsidRPr="00A203A6">
        <w:rPr>
          <w:rFonts w:cs="Times New Roman"/>
          <w:color w:val="000000" w:themeColor="text1"/>
          <w:sz w:val="18"/>
          <w:szCs w:val="18"/>
        </w:rPr>
        <w:t>Jérémie</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Nicey</w:t>
      </w:r>
      <w:proofErr w:type="spellEnd"/>
      <w:r w:rsidRPr="00A203A6">
        <w:rPr>
          <w:rFonts w:cs="Times New Roman"/>
          <w:color w:val="000000" w:themeColor="text1"/>
          <w:sz w:val="18"/>
          <w:szCs w:val="18"/>
        </w:rPr>
        <w:t xml:space="preserve">, “Social Media and the Freedom of the Press: A Long-term Perspective from within International News Agencies (AFP, </w:t>
      </w:r>
      <w:r w:rsidRPr="00A203A6">
        <w:rPr>
          <w:rFonts w:cs="Times New Roman"/>
          <w:i/>
          <w:iCs/>
          <w:color w:val="000000" w:themeColor="text1"/>
          <w:sz w:val="18"/>
          <w:szCs w:val="18"/>
        </w:rPr>
        <w:t>Reuters</w:t>
      </w:r>
      <w:r w:rsidRPr="00A203A6">
        <w:rPr>
          <w:rFonts w:cs="Times New Roman"/>
          <w:color w:val="000000" w:themeColor="text1"/>
          <w:sz w:val="18"/>
          <w:szCs w:val="18"/>
        </w:rPr>
        <w:t xml:space="preserve">).” </w:t>
      </w:r>
      <w:r w:rsidRPr="00A203A6">
        <w:rPr>
          <w:rFonts w:cs="Times New Roman"/>
          <w:i/>
          <w:iCs/>
          <w:color w:val="000000" w:themeColor="text1"/>
          <w:sz w:val="18"/>
          <w:szCs w:val="18"/>
        </w:rPr>
        <w:t>Journal for Communication Studies</w:t>
      </w:r>
      <w:r w:rsidRPr="00A203A6">
        <w:rPr>
          <w:rFonts w:cs="Times New Roman"/>
          <w:color w:val="000000" w:themeColor="text1"/>
          <w:sz w:val="18"/>
          <w:szCs w:val="18"/>
        </w:rPr>
        <w:t xml:space="preserve"> 5, no. 1 (2012): 114; See Chapter 8, “What Do International News Agency Style Guides Say About Terrorism?” (Pages 181-186) for further discussion on style guides.</w:t>
      </w:r>
    </w:p>
  </w:footnote>
  <w:footnote w:id="373">
    <w:p w14:paraId="2A7C8879" w14:textId="77777777" w:rsidR="00BE0E9B" w:rsidRPr="00A203A6" w:rsidRDefault="00BE0E9B"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eastAsia="Times New Roman" w:cs="Times New Roman"/>
          <w:color w:val="000000" w:themeColor="text1"/>
          <w:sz w:val="18"/>
          <w:szCs w:val="18"/>
        </w:rPr>
        <w:t>MacGregor, “International News Agencies,” 35-62.</w:t>
      </w:r>
    </w:p>
  </w:footnote>
  <w:footnote w:id="374">
    <w:p w14:paraId="6D47816D"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2, “Justification for Sampling Frame” (Pages 13-15).</w:t>
      </w:r>
    </w:p>
  </w:footnote>
  <w:footnote w:id="375">
    <w:p w14:paraId="6B3D3100"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Max </w:t>
      </w:r>
      <w:r w:rsidRPr="00A203A6">
        <w:rPr>
          <w:rFonts w:cs="Times New Roman"/>
          <w:bCs/>
          <w:color w:val="000000" w:themeColor="text1"/>
          <w:sz w:val="18"/>
          <w:szCs w:val="18"/>
        </w:rPr>
        <w:t xml:space="preserve">Weber and Rodney Livingstone (trans.), </w:t>
      </w:r>
      <w:r w:rsidRPr="00A203A6">
        <w:rPr>
          <w:rFonts w:cs="Times New Roman"/>
          <w:bCs/>
          <w:i/>
          <w:color w:val="000000" w:themeColor="text1"/>
          <w:sz w:val="18"/>
          <w:szCs w:val="18"/>
        </w:rPr>
        <w:t>The Vocation Lecture</w:t>
      </w:r>
      <w:r w:rsidRPr="00A203A6">
        <w:rPr>
          <w:rFonts w:cs="Times New Roman"/>
          <w:bCs/>
          <w:iCs/>
          <w:color w:val="000000" w:themeColor="text1"/>
          <w:sz w:val="18"/>
          <w:szCs w:val="18"/>
        </w:rPr>
        <w:t xml:space="preserve"> (Indianapolis: Hackett Publishing,</w:t>
      </w:r>
      <w:r w:rsidRPr="00A203A6">
        <w:rPr>
          <w:rFonts w:cs="Times New Roman"/>
          <w:bCs/>
          <w:color w:val="000000" w:themeColor="text1"/>
          <w:sz w:val="18"/>
          <w:szCs w:val="18"/>
        </w:rPr>
        <w:t xml:space="preserve"> 2004).</w:t>
      </w:r>
    </w:p>
  </w:footnote>
  <w:footnote w:id="376">
    <w:p w14:paraId="258DB753" w14:textId="77777777" w:rsidR="002915BC" w:rsidRPr="00A203A6" w:rsidRDefault="002915BC" w:rsidP="00787EBB">
      <w:pPr>
        <w:snapToGrid w:val="0"/>
        <w:spacing w:before="0" w:after="80"/>
        <w:rPr>
          <w:rFonts w:eastAsia="Times New Roman"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Oded </w:t>
      </w:r>
      <w:proofErr w:type="spellStart"/>
      <w:r w:rsidRPr="00A203A6">
        <w:rPr>
          <w:rFonts w:cs="Times New Roman"/>
          <w:bCs/>
          <w:color w:val="000000" w:themeColor="text1"/>
          <w:sz w:val="18"/>
          <w:szCs w:val="18"/>
        </w:rPr>
        <w:t>Löwenheim</w:t>
      </w:r>
      <w:proofErr w:type="spellEnd"/>
      <w:r w:rsidRPr="00A203A6">
        <w:rPr>
          <w:rFonts w:cs="Times New Roman"/>
          <w:bCs/>
          <w:color w:val="000000" w:themeColor="text1"/>
          <w:sz w:val="18"/>
          <w:szCs w:val="18"/>
        </w:rPr>
        <w:t xml:space="preserve"> and Brent J. Steele, “Institutions of Violence, Great Power Authority, and the War on Terror.” </w:t>
      </w:r>
      <w:r w:rsidRPr="00A203A6">
        <w:rPr>
          <w:rFonts w:cs="Times New Roman"/>
          <w:bCs/>
          <w:i/>
          <w:iCs/>
          <w:color w:val="000000" w:themeColor="text1"/>
          <w:sz w:val="18"/>
          <w:szCs w:val="18"/>
        </w:rPr>
        <w:t>International Political Science Review</w:t>
      </w:r>
      <w:r w:rsidRPr="00A203A6">
        <w:rPr>
          <w:rFonts w:cs="Times New Roman"/>
          <w:bCs/>
          <w:color w:val="000000" w:themeColor="text1"/>
          <w:sz w:val="18"/>
          <w:szCs w:val="18"/>
        </w:rPr>
        <w:t xml:space="preserve"> 31, no. 1 (January 2010): 23-39; </w:t>
      </w:r>
      <w:r w:rsidRPr="00A203A6">
        <w:rPr>
          <w:rFonts w:cs="Times New Roman"/>
          <w:color w:val="000000" w:themeColor="text1"/>
          <w:sz w:val="18"/>
          <w:szCs w:val="18"/>
        </w:rPr>
        <w:t>Ay</w:t>
      </w:r>
      <w:r w:rsidRPr="00A203A6">
        <w:rPr>
          <w:rFonts w:eastAsia="Times New Roman" w:cs="Times New Roman"/>
          <w:color w:val="000000" w:themeColor="text1"/>
          <w:sz w:val="18"/>
          <w:szCs w:val="18"/>
        </w:rPr>
        <w:t xml:space="preserve">şe Zarakol, “What Makes Terrorism Modern? Terrorism, Legitimacy, and the International System.” </w:t>
      </w:r>
      <w:r w:rsidRPr="00A203A6">
        <w:rPr>
          <w:rFonts w:eastAsia="Times New Roman" w:cs="Times New Roman"/>
          <w:i/>
          <w:color w:val="000000" w:themeColor="text1"/>
          <w:sz w:val="18"/>
          <w:szCs w:val="18"/>
        </w:rPr>
        <w:t>Review of International Studies</w:t>
      </w:r>
      <w:r w:rsidRPr="00A203A6">
        <w:rPr>
          <w:rFonts w:eastAsia="Times New Roman" w:cs="Times New Roman"/>
          <w:color w:val="000000" w:themeColor="text1"/>
          <w:sz w:val="18"/>
          <w:szCs w:val="18"/>
        </w:rPr>
        <w:t xml:space="preserve"> 37, no. 5 (2011): 2311-2366; Mark </w:t>
      </w:r>
      <w:r w:rsidRPr="00A203A6">
        <w:rPr>
          <w:rFonts w:cs="Times New Roman"/>
          <w:bCs/>
          <w:color w:val="000000" w:themeColor="text1"/>
          <w:sz w:val="18"/>
          <w:szCs w:val="18"/>
        </w:rPr>
        <w:t>Shirk,</w:t>
      </w:r>
      <w:r w:rsidRPr="00A203A6">
        <w:rPr>
          <w:rFonts w:eastAsia="Times New Roman" w:cs="Times New Roman"/>
          <w:color w:val="000000" w:themeColor="text1"/>
          <w:sz w:val="18"/>
          <w:szCs w:val="18"/>
        </w:rPr>
        <w:t xml:space="preserve"> “How Does Violence Threaten the State? Four Narratives on Piracy.” </w:t>
      </w:r>
      <w:r w:rsidRPr="00A203A6">
        <w:rPr>
          <w:rFonts w:eastAsia="Times New Roman" w:cs="Times New Roman"/>
          <w:i/>
          <w:color w:val="000000" w:themeColor="text1"/>
          <w:sz w:val="18"/>
          <w:szCs w:val="18"/>
        </w:rPr>
        <w:t>Terrorism and Political Violence</w:t>
      </w:r>
      <w:r w:rsidRPr="00A203A6">
        <w:rPr>
          <w:rFonts w:eastAsia="Times New Roman" w:cs="Times New Roman"/>
          <w:color w:val="000000" w:themeColor="text1"/>
          <w:sz w:val="18"/>
          <w:szCs w:val="18"/>
        </w:rPr>
        <w:t xml:space="preserve"> 29, no. 4 (2017): 656-673.</w:t>
      </w:r>
    </w:p>
  </w:footnote>
  <w:footnote w:id="377">
    <w:p w14:paraId="48BEBB66"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bCs/>
          <w:color w:val="000000" w:themeColor="text1"/>
          <w:sz w:val="18"/>
          <w:szCs w:val="18"/>
        </w:rPr>
        <w:t xml:space="preserve">Weber, </w:t>
      </w:r>
      <w:r w:rsidRPr="00A203A6">
        <w:rPr>
          <w:rFonts w:cs="Times New Roman"/>
          <w:bCs/>
          <w:i/>
          <w:color w:val="000000" w:themeColor="text1"/>
          <w:sz w:val="18"/>
          <w:szCs w:val="18"/>
        </w:rPr>
        <w:t>The Vocation Lecture.</w:t>
      </w:r>
    </w:p>
  </w:footnote>
  <w:footnote w:id="378">
    <w:p w14:paraId="5828267F" w14:textId="77777777" w:rsidR="002915BC" w:rsidRPr="00A203A6" w:rsidRDefault="002915BC" w:rsidP="00787EBB">
      <w:pPr>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Gabriel </w:t>
      </w:r>
      <w:proofErr w:type="spellStart"/>
      <w:r w:rsidRPr="00A203A6">
        <w:rPr>
          <w:rFonts w:cs="Times New Roman"/>
          <w:bCs/>
          <w:color w:val="000000" w:themeColor="text1"/>
          <w:sz w:val="18"/>
          <w:szCs w:val="18"/>
        </w:rPr>
        <w:t>Weimann</w:t>
      </w:r>
      <w:proofErr w:type="spellEnd"/>
      <w:r w:rsidRPr="00A203A6">
        <w:rPr>
          <w:rFonts w:cs="Times New Roman"/>
          <w:bCs/>
          <w:color w:val="000000" w:themeColor="text1"/>
          <w:sz w:val="18"/>
          <w:szCs w:val="18"/>
        </w:rPr>
        <w:t xml:space="preserve">, </w:t>
      </w:r>
      <w:r w:rsidRPr="00A203A6">
        <w:rPr>
          <w:rFonts w:cs="Times New Roman"/>
          <w:color w:val="000000" w:themeColor="text1"/>
          <w:sz w:val="18"/>
          <w:szCs w:val="18"/>
        </w:rPr>
        <w:t xml:space="preserve">“The Theater of Terror: Effects of Press Coverage.” </w:t>
      </w:r>
      <w:r w:rsidRPr="00A203A6">
        <w:rPr>
          <w:rFonts w:cs="Times New Roman"/>
          <w:i/>
          <w:color w:val="000000" w:themeColor="text1"/>
          <w:sz w:val="18"/>
          <w:szCs w:val="18"/>
        </w:rPr>
        <w:t>Journal of Communication</w:t>
      </w:r>
      <w:r w:rsidRPr="00A203A6">
        <w:rPr>
          <w:rFonts w:cs="Times New Roman"/>
          <w:color w:val="000000" w:themeColor="text1"/>
          <w:sz w:val="18"/>
          <w:szCs w:val="18"/>
        </w:rPr>
        <w:t xml:space="preserve"> 33, no. 1 (1983): 38-45</w:t>
      </w:r>
      <w:r w:rsidRPr="00A203A6">
        <w:rPr>
          <w:rFonts w:cs="Times New Roman"/>
          <w:bCs/>
          <w:color w:val="000000" w:themeColor="text1"/>
          <w:sz w:val="18"/>
          <w:szCs w:val="18"/>
        </w:rPr>
        <w:t xml:space="preserve">; Joshua </w:t>
      </w:r>
      <w:proofErr w:type="spellStart"/>
      <w:r w:rsidRPr="00A203A6">
        <w:rPr>
          <w:rFonts w:cs="Times New Roman"/>
          <w:bCs/>
          <w:color w:val="000000" w:themeColor="text1"/>
          <w:sz w:val="18"/>
          <w:szCs w:val="18"/>
        </w:rPr>
        <w:t>Meyrowitz</w:t>
      </w:r>
      <w:proofErr w:type="spellEnd"/>
      <w:r w:rsidRPr="00A203A6">
        <w:rPr>
          <w:rFonts w:cs="Times New Roman"/>
          <w:bCs/>
          <w:color w:val="000000" w:themeColor="text1"/>
          <w:sz w:val="18"/>
          <w:szCs w:val="18"/>
        </w:rPr>
        <w:t xml:space="preserve">, </w:t>
      </w:r>
      <w:r w:rsidRPr="00A203A6">
        <w:rPr>
          <w:rFonts w:cs="Times New Roman"/>
          <w:color w:val="000000" w:themeColor="text1"/>
          <w:sz w:val="18"/>
          <w:szCs w:val="18"/>
        </w:rPr>
        <w:t xml:space="preserve">“Television and Interpersonal Behavior: Codes of Perception and Response.” In Gary </w:t>
      </w:r>
      <w:proofErr w:type="spellStart"/>
      <w:r w:rsidRPr="00A203A6">
        <w:rPr>
          <w:rFonts w:cs="Times New Roman"/>
          <w:color w:val="000000" w:themeColor="text1"/>
          <w:sz w:val="18"/>
          <w:szCs w:val="18"/>
        </w:rPr>
        <w:t>Gumpert</w:t>
      </w:r>
      <w:proofErr w:type="spellEnd"/>
      <w:r w:rsidRPr="00A203A6">
        <w:rPr>
          <w:rFonts w:cs="Times New Roman"/>
          <w:color w:val="000000" w:themeColor="text1"/>
          <w:sz w:val="18"/>
          <w:szCs w:val="18"/>
        </w:rPr>
        <w:t xml:space="preserve"> and Robert S. Cathcart</w:t>
      </w:r>
      <w:r w:rsidRPr="00A203A6">
        <w:rPr>
          <w:rFonts w:cs="Times New Roman"/>
          <w:i/>
          <w:color w:val="000000" w:themeColor="text1"/>
          <w:sz w:val="18"/>
          <w:szCs w:val="18"/>
        </w:rPr>
        <w:t xml:space="preserve"> </w:t>
      </w:r>
      <w:r w:rsidRPr="00A203A6">
        <w:rPr>
          <w:rFonts w:cs="Times New Roman"/>
          <w:iCs/>
          <w:color w:val="000000" w:themeColor="text1"/>
          <w:sz w:val="18"/>
          <w:szCs w:val="18"/>
        </w:rPr>
        <w:t>(eds.),</w:t>
      </w:r>
      <w:r w:rsidRPr="00A203A6">
        <w:rPr>
          <w:rFonts w:cs="Times New Roman"/>
          <w:i/>
          <w:color w:val="000000" w:themeColor="text1"/>
          <w:sz w:val="18"/>
          <w:szCs w:val="18"/>
        </w:rPr>
        <w:t xml:space="preserve"> Inter/Media: Interpersonal Communication in a Media World</w:t>
      </w:r>
      <w:r w:rsidRPr="00A203A6">
        <w:rPr>
          <w:rFonts w:cs="Times New Roman"/>
          <w:color w:val="000000" w:themeColor="text1"/>
          <w:sz w:val="18"/>
          <w:szCs w:val="18"/>
        </w:rPr>
        <w:t xml:space="preserve"> (New York: Oxford University Press, 1986)</w:t>
      </w:r>
      <w:r w:rsidRPr="00A203A6">
        <w:rPr>
          <w:rFonts w:cs="Times New Roman"/>
          <w:bCs/>
          <w:color w:val="000000" w:themeColor="text1"/>
          <w:sz w:val="18"/>
          <w:szCs w:val="18"/>
        </w:rPr>
        <w:t>; Stephen W. Littlejohn and Karen A. Foss,</w:t>
      </w:r>
      <w:r w:rsidRPr="00A203A6">
        <w:rPr>
          <w:rFonts w:cs="Times New Roman"/>
          <w:i/>
          <w:color w:val="000000" w:themeColor="text1"/>
          <w:sz w:val="18"/>
          <w:szCs w:val="18"/>
        </w:rPr>
        <w:t xml:space="preserve"> Theories of Human Communication</w:t>
      </w:r>
      <w:r w:rsidRPr="00A203A6">
        <w:rPr>
          <w:rFonts w:cs="Times New Roman"/>
          <w:color w:val="000000" w:themeColor="text1"/>
          <w:sz w:val="18"/>
          <w:szCs w:val="18"/>
        </w:rPr>
        <w:t xml:space="preserve"> (10</w:t>
      </w:r>
      <w:r w:rsidRPr="00A203A6">
        <w:rPr>
          <w:rFonts w:cs="Times New Roman"/>
          <w:color w:val="000000" w:themeColor="text1"/>
          <w:sz w:val="18"/>
          <w:szCs w:val="18"/>
          <w:vertAlign w:val="superscript"/>
        </w:rPr>
        <w:t>th</w:t>
      </w:r>
      <w:r w:rsidRPr="00A203A6">
        <w:rPr>
          <w:rFonts w:cs="Times New Roman"/>
          <w:color w:val="000000" w:themeColor="text1"/>
          <w:sz w:val="18"/>
          <w:szCs w:val="18"/>
        </w:rPr>
        <w:t xml:space="preserve"> ed.) (Salem: Waveland Press, 2010).</w:t>
      </w:r>
    </w:p>
  </w:footnote>
  <w:footnote w:id="379">
    <w:p w14:paraId="1759CC4D"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the following sections of Chapter 4: “Legitimacy”, “What is (State) Legitimacy?”, and especially, “Domestic vs. International (State) Legitimacy.”</w:t>
      </w:r>
    </w:p>
  </w:footnote>
  <w:footnote w:id="380">
    <w:p w14:paraId="6AFF6A9B"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3, “Terrorism and Post-Modern Warfare” (Pages 53-55).</w:t>
      </w:r>
    </w:p>
  </w:footnote>
  <w:footnote w:id="381">
    <w:p w14:paraId="63A9A4D5" w14:textId="77777777" w:rsidR="002915BC" w:rsidRPr="00A203A6" w:rsidRDefault="002915BC" w:rsidP="00787EBB">
      <w:pPr>
        <w:snapToGrid w:val="0"/>
        <w:spacing w:before="0" w:after="80"/>
        <w:rPr>
          <w:rFonts w:eastAsia="Times New Roman" w:cs="Times New Roman"/>
          <w:i/>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Jef</w:t>
      </w:r>
      <w:proofErr w:type="spellEnd"/>
      <w:r w:rsidRPr="00A203A6">
        <w:rPr>
          <w:rFonts w:cs="Times New Roman"/>
          <w:color w:val="000000" w:themeColor="text1"/>
          <w:sz w:val="18"/>
          <w:szCs w:val="18"/>
        </w:rPr>
        <w:t xml:space="preserve"> </w:t>
      </w:r>
      <w:proofErr w:type="spellStart"/>
      <w:r w:rsidRPr="00A203A6">
        <w:rPr>
          <w:rFonts w:cs="Times New Roman"/>
          <w:bCs/>
          <w:color w:val="000000" w:themeColor="text1"/>
          <w:sz w:val="18"/>
          <w:szCs w:val="18"/>
        </w:rPr>
        <w:t>Husymans</w:t>
      </w:r>
      <w:proofErr w:type="spellEnd"/>
      <w:r w:rsidRPr="00A203A6">
        <w:rPr>
          <w:rFonts w:cs="Times New Roman"/>
          <w:bCs/>
          <w:color w:val="000000" w:themeColor="text1"/>
          <w:sz w:val="18"/>
          <w:szCs w:val="18"/>
        </w:rPr>
        <w:t>, “</w:t>
      </w:r>
      <w:r w:rsidRPr="00A203A6">
        <w:rPr>
          <w:rFonts w:eastAsia="Times New Roman" w:cs="Times New Roman"/>
          <w:color w:val="000000" w:themeColor="text1"/>
          <w:sz w:val="18"/>
          <w:szCs w:val="18"/>
        </w:rPr>
        <w:t xml:space="preserve">Security! What Do You Mean? From Concept to Thick Signifier.” </w:t>
      </w:r>
      <w:r w:rsidRPr="00A203A6">
        <w:rPr>
          <w:rFonts w:eastAsia="Times New Roman" w:cs="Times New Roman"/>
          <w:i/>
          <w:color w:val="000000" w:themeColor="text1"/>
          <w:sz w:val="18"/>
          <w:szCs w:val="18"/>
        </w:rPr>
        <w:t>European Journal of International Relations</w:t>
      </w:r>
      <w:r w:rsidRPr="00A203A6">
        <w:rPr>
          <w:rFonts w:eastAsia="Times New Roman" w:cs="Times New Roman"/>
          <w:color w:val="000000" w:themeColor="text1"/>
          <w:sz w:val="18"/>
          <w:szCs w:val="18"/>
        </w:rPr>
        <w:t xml:space="preserve"> 4, no. 2 (1998): 226-255</w:t>
      </w:r>
      <w:r w:rsidRPr="00A203A6">
        <w:rPr>
          <w:rFonts w:cs="Times New Roman"/>
          <w:bCs/>
          <w:color w:val="000000" w:themeColor="text1"/>
          <w:sz w:val="18"/>
          <w:szCs w:val="18"/>
        </w:rPr>
        <w:t xml:space="preserve">; Carl Schmitt, </w:t>
      </w:r>
      <w:r w:rsidRPr="00A203A6">
        <w:rPr>
          <w:rFonts w:eastAsia="Times New Roman" w:cs="Times New Roman"/>
          <w:i/>
          <w:color w:val="000000" w:themeColor="text1"/>
          <w:sz w:val="18"/>
          <w:szCs w:val="18"/>
        </w:rPr>
        <w:t>The Concept of the Political</w:t>
      </w:r>
      <w:r w:rsidRPr="00A203A6">
        <w:rPr>
          <w:rFonts w:eastAsia="Times New Roman" w:cs="Times New Roman"/>
          <w:color w:val="000000" w:themeColor="text1"/>
          <w:sz w:val="18"/>
          <w:szCs w:val="18"/>
        </w:rPr>
        <w:t xml:space="preserve"> (Chicago: University of Chicago Press, 2007).</w:t>
      </w:r>
    </w:p>
  </w:footnote>
  <w:footnote w:id="382">
    <w:p w14:paraId="7E256833" w14:textId="78BCBDDC"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dependent variable is the variable that the study is trying to explain, which is assumed to depend on or be caused by the independent variable(s). Independent variables exist separately </w:t>
      </w:r>
      <w:r w:rsidR="00297285" w:rsidRPr="00A203A6">
        <w:rPr>
          <w:rFonts w:cs="Times New Roman"/>
          <w:color w:val="000000" w:themeColor="text1"/>
          <w:sz w:val="18"/>
          <w:szCs w:val="18"/>
        </w:rPr>
        <w:t>from and</w:t>
      </w:r>
      <w:r w:rsidRPr="00A203A6">
        <w:rPr>
          <w:rFonts w:cs="Times New Roman"/>
          <w:color w:val="000000" w:themeColor="text1"/>
          <w:sz w:val="18"/>
          <w:szCs w:val="18"/>
        </w:rPr>
        <w:t xml:space="preserve"> are presumed to cause some manner of change in the dependent variable.</w:t>
      </w:r>
    </w:p>
  </w:footnote>
  <w:footnote w:id="383">
    <w:p w14:paraId="7C1B7126"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Felix </w:t>
      </w:r>
      <w:proofErr w:type="spellStart"/>
      <w:r w:rsidRPr="00A203A6">
        <w:rPr>
          <w:rFonts w:cs="Times New Roman"/>
          <w:color w:val="000000" w:themeColor="text1"/>
          <w:sz w:val="18"/>
          <w:szCs w:val="18"/>
        </w:rPr>
        <w:t>Hamborg</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Karsten</w:t>
      </w:r>
      <w:proofErr w:type="spellEnd"/>
      <w:r w:rsidRPr="00A203A6">
        <w:rPr>
          <w:rFonts w:cs="Times New Roman"/>
          <w:color w:val="000000" w:themeColor="text1"/>
          <w:sz w:val="18"/>
          <w:szCs w:val="18"/>
        </w:rPr>
        <w:t xml:space="preserve"> Donnay and Bela </w:t>
      </w:r>
      <w:proofErr w:type="spellStart"/>
      <w:r w:rsidRPr="00A203A6">
        <w:rPr>
          <w:rFonts w:cs="Times New Roman"/>
          <w:color w:val="000000" w:themeColor="text1"/>
          <w:sz w:val="18"/>
          <w:szCs w:val="18"/>
        </w:rPr>
        <w:t>Gipp</w:t>
      </w:r>
      <w:proofErr w:type="spellEnd"/>
      <w:r w:rsidRPr="00A203A6">
        <w:rPr>
          <w:rFonts w:cs="Times New Roman"/>
          <w:color w:val="000000" w:themeColor="text1"/>
          <w:sz w:val="18"/>
          <w:szCs w:val="18"/>
        </w:rPr>
        <w:t xml:space="preserve">, “Automated Identification of Media Bias in News Articles: An Interdisciplinary Literature Review.” </w:t>
      </w:r>
      <w:r w:rsidRPr="00A203A6">
        <w:rPr>
          <w:rFonts w:cs="Times New Roman"/>
          <w:i/>
          <w:iCs/>
          <w:color w:val="000000" w:themeColor="text1"/>
          <w:sz w:val="18"/>
          <w:szCs w:val="18"/>
        </w:rPr>
        <w:t>International Journal on Digital Libraries</w:t>
      </w:r>
      <w:r w:rsidRPr="00A203A6">
        <w:rPr>
          <w:rFonts w:cs="Times New Roman"/>
          <w:color w:val="000000" w:themeColor="text1"/>
          <w:sz w:val="18"/>
          <w:szCs w:val="18"/>
        </w:rPr>
        <w:t xml:space="preserve"> (November 2018): 391-415.</w:t>
      </w:r>
    </w:p>
  </w:footnote>
  <w:footnote w:id="384">
    <w:p w14:paraId="43D0AC20"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eastAsia="Times New Roman" w:cs="Times New Roman"/>
          <w:color w:val="000000" w:themeColor="text1"/>
          <w:sz w:val="18"/>
          <w:szCs w:val="18"/>
        </w:rPr>
        <w:t xml:space="preserve">Phil MacGregor, “International News Agencies: Global Eyes that Never Blink.” In Karen Fowler-Watt and Stuart Allen, </w:t>
      </w:r>
      <w:r w:rsidRPr="00A203A6">
        <w:rPr>
          <w:rFonts w:eastAsia="Times New Roman" w:cs="Times New Roman"/>
          <w:i/>
          <w:iCs/>
          <w:color w:val="000000" w:themeColor="text1"/>
          <w:sz w:val="18"/>
          <w:szCs w:val="18"/>
        </w:rPr>
        <w:t>Journalism: New Challenges</w:t>
      </w:r>
      <w:r w:rsidRPr="00A203A6">
        <w:rPr>
          <w:rFonts w:eastAsia="Times New Roman" w:cs="Times New Roman"/>
          <w:color w:val="000000" w:themeColor="text1"/>
          <w:sz w:val="18"/>
          <w:szCs w:val="18"/>
        </w:rPr>
        <w:t xml:space="preserve"> (Bournemouth: Centre for Journalism and Communication Research, 2013): 35-62.</w:t>
      </w:r>
    </w:p>
  </w:footnote>
  <w:footnote w:id="385">
    <w:p w14:paraId="37682210"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Jane Johnston and Susan Forde, “‘Not Wrong for Long’: The Role and Penetration of News Wire Agencies in the 24/7 Landscape.” </w:t>
      </w:r>
      <w:r w:rsidRPr="00A203A6">
        <w:rPr>
          <w:rFonts w:eastAsia="Times New Roman" w:cs="Times New Roman"/>
          <w:i/>
          <w:iCs/>
          <w:color w:val="000000" w:themeColor="text1"/>
          <w:sz w:val="18"/>
          <w:szCs w:val="18"/>
        </w:rPr>
        <w:t>Global Media Journal-Australian Edition</w:t>
      </w:r>
      <w:r w:rsidRPr="00A203A6">
        <w:rPr>
          <w:rFonts w:eastAsia="Times New Roman" w:cs="Times New Roman"/>
          <w:color w:val="000000" w:themeColor="text1"/>
          <w:sz w:val="18"/>
          <w:szCs w:val="18"/>
        </w:rPr>
        <w:t xml:space="preserve"> 3, no. 2 (2009): 3; </w:t>
      </w:r>
      <w:r w:rsidRPr="00A203A6">
        <w:rPr>
          <w:rFonts w:cs="Times New Roman"/>
          <w:color w:val="000000" w:themeColor="text1"/>
          <w:sz w:val="18"/>
          <w:szCs w:val="18"/>
        </w:rPr>
        <w:t xml:space="preserve">Chris Paterson, “News Agency Dominance in International News on the Internet.” </w:t>
      </w:r>
      <w:r w:rsidRPr="00A203A6">
        <w:rPr>
          <w:rFonts w:cs="Times New Roman"/>
          <w:i/>
          <w:iCs/>
          <w:color w:val="000000" w:themeColor="text1"/>
          <w:sz w:val="18"/>
          <w:szCs w:val="18"/>
        </w:rPr>
        <w:t>Papers in International and Global Communication</w:t>
      </w:r>
      <w:r w:rsidRPr="00A203A6">
        <w:rPr>
          <w:rFonts w:cs="Times New Roman"/>
          <w:color w:val="000000" w:themeColor="text1"/>
          <w:sz w:val="18"/>
          <w:szCs w:val="18"/>
        </w:rPr>
        <w:t xml:space="preserve"> (Centre for International Communications Research, No 01/06). Retrieved from </w:t>
      </w:r>
      <w:hyperlink r:id="rId3" w:history="1">
        <w:r w:rsidRPr="00A203A6">
          <w:rPr>
            <w:rStyle w:val="Hyperlink"/>
            <w:rFonts w:cs="Times New Roman"/>
            <w:color w:val="000000" w:themeColor="text1"/>
            <w:sz w:val="18"/>
            <w:szCs w:val="18"/>
          </w:rPr>
          <w:t>http://ics.leeds.ac.uk/papers/cicr/exhibits/42/cicrpaterson.pdf</w:t>
        </w:r>
      </w:hyperlink>
      <w:r w:rsidRPr="00A203A6">
        <w:rPr>
          <w:rFonts w:cs="Times New Roman"/>
          <w:color w:val="000000" w:themeColor="text1"/>
          <w:sz w:val="18"/>
          <w:szCs w:val="18"/>
        </w:rPr>
        <w:t xml:space="preserve">: 19; Chris Paterson, </w:t>
      </w:r>
      <w:r w:rsidRPr="00A203A6">
        <w:rPr>
          <w:rFonts w:cs="Times New Roman"/>
          <w:i/>
          <w:iCs/>
          <w:color w:val="000000" w:themeColor="text1"/>
          <w:sz w:val="18"/>
          <w:szCs w:val="18"/>
        </w:rPr>
        <w:t>The International Television News Agencies: The World from London</w:t>
      </w:r>
      <w:r w:rsidRPr="00A203A6">
        <w:rPr>
          <w:rFonts w:cs="Times New Roman"/>
          <w:color w:val="000000" w:themeColor="text1"/>
          <w:sz w:val="18"/>
          <w:szCs w:val="18"/>
        </w:rPr>
        <w:t xml:space="preserve"> (New York: Peter Lang, 2011).</w:t>
      </w:r>
    </w:p>
  </w:footnote>
  <w:footnote w:id="386">
    <w:p w14:paraId="30EFA2DE"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2, “Methodology”, for further explanation on the choice of time period used in this research’s analysis of whether and how media coverage of terrorism affects international (state) legitimacy.</w:t>
      </w:r>
    </w:p>
  </w:footnote>
  <w:footnote w:id="387">
    <w:p w14:paraId="7447FD6E"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Ian Clark, “Introduction.” in Ian Clark, </w:t>
      </w:r>
      <w:r w:rsidRPr="00A203A6">
        <w:rPr>
          <w:rFonts w:cs="Times New Roman"/>
          <w:i/>
          <w:iCs/>
          <w:color w:val="000000" w:themeColor="text1"/>
          <w:sz w:val="18"/>
          <w:szCs w:val="18"/>
        </w:rPr>
        <w:t xml:space="preserve">Legitimacy in International Society </w:t>
      </w:r>
      <w:r w:rsidRPr="00A203A6">
        <w:rPr>
          <w:rFonts w:cs="Times New Roman"/>
          <w:color w:val="000000" w:themeColor="text1"/>
          <w:sz w:val="18"/>
          <w:szCs w:val="18"/>
        </w:rPr>
        <w:t>(Oxford: Oxford University Press, 2007): 5.</w:t>
      </w:r>
    </w:p>
  </w:footnote>
  <w:footnote w:id="388">
    <w:p w14:paraId="08D25C8D"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Ian Clark, “International Legitimacy.” In Ian Clark, </w:t>
      </w:r>
      <w:r w:rsidRPr="00A203A6">
        <w:rPr>
          <w:rFonts w:cs="Times New Roman"/>
          <w:i/>
          <w:iCs/>
          <w:color w:val="000000" w:themeColor="text1"/>
          <w:sz w:val="18"/>
          <w:szCs w:val="18"/>
        </w:rPr>
        <w:t xml:space="preserve">Legitimacy in International Society </w:t>
      </w:r>
      <w:r w:rsidRPr="00A203A6">
        <w:rPr>
          <w:rFonts w:cs="Times New Roman"/>
          <w:color w:val="000000" w:themeColor="text1"/>
          <w:sz w:val="18"/>
          <w:szCs w:val="18"/>
        </w:rPr>
        <w:t>(Oxford: Oxford University Press, 2007): 12.</w:t>
      </w:r>
    </w:p>
  </w:footnote>
  <w:footnote w:id="389">
    <w:p w14:paraId="09353CCE" w14:textId="50F19C2C"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4, “Domestic vs. International (State) Legitimacy</w:t>
      </w:r>
      <w:r w:rsidR="00C63BAA" w:rsidRPr="00A203A6">
        <w:rPr>
          <w:rFonts w:cs="Times New Roman"/>
          <w:color w:val="000000" w:themeColor="text1"/>
          <w:sz w:val="18"/>
          <w:szCs w:val="18"/>
        </w:rPr>
        <w:t>.</w:t>
      </w:r>
      <w:r w:rsidRPr="00A203A6">
        <w:rPr>
          <w:rFonts w:cs="Times New Roman"/>
          <w:color w:val="000000" w:themeColor="text1"/>
          <w:sz w:val="18"/>
          <w:szCs w:val="18"/>
        </w:rPr>
        <w:t>”</w:t>
      </w:r>
    </w:p>
  </w:footnote>
  <w:footnote w:id="390">
    <w:p w14:paraId="5A6A6B6C" w14:textId="77777777" w:rsidR="002915BC" w:rsidRPr="00A203A6" w:rsidRDefault="002915BC" w:rsidP="00787EBB">
      <w:pPr>
        <w:pStyle w:val="NormalWeb"/>
        <w:snapToGrid w:val="0"/>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“What Is the Rule of Law?” World Justice Project. Accessed February 15, 2024. </w:t>
      </w:r>
      <w:hyperlink r:id="rId4" w:history="1">
        <w:r w:rsidRPr="00A203A6">
          <w:rPr>
            <w:rStyle w:val="Hyperlink"/>
            <w:color w:val="000000" w:themeColor="text1"/>
            <w:sz w:val="18"/>
            <w:szCs w:val="18"/>
          </w:rPr>
          <w:t>https://worldjusticeproject.org/about-us/overview/what-rule-law</w:t>
        </w:r>
      </w:hyperlink>
      <w:r w:rsidRPr="00A203A6">
        <w:rPr>
          <w:color w:val="000000" w:themeColor="text1"/>
          <w:sz w:val="18"/>
          <w:szCs w:val="18"/>
        </w:rPr>
        <w:t xml:space="preserve">; Mark David </w:t>
      </w:r>
      <w:proofErr w:type="spellStart"/>
      <w:r w:rsidRPr="00A203A6">
        <w:rPr>
          <w:color w:val="000000" w:themeColor="text1"/>
          <w:sz w:val="18"/>
          <w:szCs w:val="18"/>
        </w:rPr>
        <w:t>Agrast</w:t>
      </w:r>
      <w:proofErr w:type="spellEnd"/>
      <w:r w:rsidRPr="00A203A6">
        <w:rPr>
          <w:color w:val="000000" w:themeColor="text1"/>
          <w:sz w:val="18"/>
          <w:szCs w:val="18"/>
        </w:rPr>
        <w:t xml:space="preserve">, Juan Carlos Botero, Joel Martinez, Alejandro Ponce, and Christine S. Pratt. </w:t>
      </w:r>
      <w:r w:rsidRPr="00A203A6">
        <w:rPr>
          <w:i/>
          <w:iCs/>
          <w:color w:val="000000" w:themeColor="text1"/>
          <w:sz w:val="18"/>
          <w:szCs w:val="18"/>
        </w:rPr>
        <w:t>WJP Rule of Law Project 2012-2013.</w:t>
      </w:r>
      <w:r w:rsidRPr="00A203A6">
        <w:rPr>
          <w:color w:val="000000" w:themeColor="text1"/>
          <w:sz w:val="18"/>
          <w:szCs w:val="18"/>
        </w:rPr>
        <w:t xml:space="preserve"> Washington D.C.: The World Justice Project; </w:t>
      </w:r>
      <w:proofErr w:type="spellStart"/>
      <w:r w:rsidRPr="00A203A6">
        <w:rPr>
          <w:color w:val="000000" w:themeColor="text1"/>
          <w:sz w:val="18"/>
          <w:szCs w:val="18"/>
        </w:rPr>
        <w:t>Agrast</w:t>
      </w:r>
      <w:proofErr w:type="spellEnd"/>
      <w:r w:rsidRPr="00A203A6">
        <w:rPr>
          <w:color w:val="000000" w:themeColor="text1"/>
          <w:sz w:val="18"/>
          <w:szCs w:val="18"/>
        </w:rPr>
        <w:t xml:space="preserve"> et. al. </w:t>
      </w:r>
      <w:r w:rsidRPr="00A203A6">
        <w:rPr>
          <w:i/>
          <w:iCs/>
          <w:color w:val="000000" w:themeColor="text1"/>
          <w:sz w:val="18"/>
          <w:szCs w:val="18"/>
        </w:rPr>
        <w:t>WJP Rule of Law Project 2013-2014.</w:t>
      </w:r>
      <w:r w:rsidRPr="00A203A6">
        <w:rPr>
          <w:color w:val="000000" w:themeColor="text1"/>
          <w:sz w:val="18"/>
          <w:szCs w:val="18"/>
        </w:rPr>
        <w:t xml:space="preserve"> Washington D.C.: The World Justice Project; </w:t>
      </w:r>
      <w:proofErr w:type="spellStart"/>
      <w:r w:rsidRPr="00A203A6">
        <w:rPr>
          <w:color w:val="000000" w:themeColor="text1"/>
          <w:sz w:val="18"/>
          <w:szCs w:val="18"/>
        </w:rPr>
        <w:t>Agrast</w:t>
      </w:r>
      <w:proofErr w:type="spellEnd"/>
      <w:r w:rsidRPr="00A203A6">
        <w:rPr>
          <w:color w:val="000000" w:themeColor="text1"/>
          <w:sz w:val="18"/>
          <w:szCs w:val="18"/>
        </w:rPr>
        <w:t xml:space="preserve"> et. al. </w:t>
      </w:r>
      <w:r w:rsidRPr="00A203A6">
        <w:rPr>
          <w:i/>
          <w:iCs/>
          <w:color w:val="000000" w:themeColor="text1"/>
          <w:sz w:val="18"/>
          <w:szCs w:val="18"/>
        </w:rPr>
        <w:t>WJP Rule of Law Project 2014-2015.</w:t>
      </w:r>
      <w:r w:rsidRPr="00A203A6">
        <w:rPr>
          <w:color w:val="000000" w:themeColor="text1"/>
          <w:sz w:val="18"/>
          <w:szCs w:val="18"/>
        </w:rPr>
        <w:t xml:space="preserve"> Washington D.C.: The World Justice Project; </w:t>
      </w:r>
      <w:proofErr w:type="spellStart"/>
      <w:r w:rsidRPr="00A203A6">
        <w:rPr>
          <w:color w:val="000000" w:themeColor="text1"/>
          <w:sz w:val="18"/>
          <w:szCs w:val="18"/>
        </w:rPr>
        <w:t>Agrast</w:t>
      </w:r>
      <w:proofErr w:type="spellEnd"/>
      <w:r w:rsidRPr="00A203A6">
        <w:rPr>
          <w:color w:val="000000" w:themeColor="text1"/>
          <w:sz w:val="18"/>
          <w:szCs w:val="18"/>
        </w:rPr>
        <w:t xml:space="preserve"> et. al. </w:t>
      </w:r>
      <w:r w:rsidRPr="00A203A6">
        <w:rPr>
          <w:i/>
          <w:iCs/>
          <w:color w:val="000000" w:themeColor="text1"/>
          <w:sz w:val="18"/>
          <w:szCs w:val="18"/>
        </w:rPr>
        <w:t>WJP Rule of Law Project 2015-2016.</w:t>
      </w:r>
      <w:r w:rsidRPr="00A203A6">
        <w:rPr>
          <w:color w:val="000000" w:themeColor="text1"/>
          <w:sz w:val="18"/>
          <w:szCs w:val="18"/>
        </w:rPr>
        <w:t xml:space="preserve"> Washington D.C.: The World Justice Project; </w:t>
      </w:r>
      <w:proofErr w:type="spellStart"/>
      <w:r w:rsidRPr="00A203A6">
        <w:rPr>
          <w:color w:val="000000" w:themeColor="text1"/>
          <w:sz w:val="18"/>
          <w:szCs w:val="18"/>
        </w:rPr>
        <w:t>Agrast</w:t>
      </w:r>
      <w:proofErr w:type="spellEnd"/>
      <w:r w:rsidRPr="00A203A6">
        <w:rPr>
          <w:color w:val="000000" w:themeColor="text1"/>
          <w:sz w:val="18"/>
          <w:szCs w:val="18"/>
        </w:rPr>
        <w:t xml:space="preserve"> et. al. </w:t>
      </w:r>
      <w:r w:rsidRPr="00A203A6">
        <w:rPr>
          <w:i/>
          <w:iCs/>
          <w:color w:val="000000" w:themeColor="text1"/>
          <w:sz w:val="18"/>
          <w:szCs w:val="18"/>
        </w:rPr>
        <w:t>WJP Rule of Law Project 2016-2017.</w:t>
      </w:r>
      <w:r w:rsidRPr="00A203A6">
        <w:rPr>
          <w:color w:val="000000" w:themeColor="text1"/>
          <w:sz w:val="18"/>
          <w:szCs w:val="18"/>
        </w:rPr>
        <w:t xml:space="preserve"> Washington D.C.: The World Justice Project; </w:t>
      </w:r>
      <w:proofErr w:type="spellStart"/>
      <w:r w:rsidRPr="00A203A6">
        <w:rPr>
          <w:color w:val="000000" w:themeColor="text1"/>
          <w:sz w:val="18"/>
          <w:szCs w:val="18"/>
        </w:rPr>
        <w:t>Agrast</w:t>
      </w:r>
      <w:proofErr w:type="spellEnd"/>
      <w:r w:rsidRPr="00A203A6">
        <w:rPr>
          <w:color w:val="000000" w:themeColor="text1"/>
          <w:sz w:val="18"/>
          <w:szCs w:val="18"/>
        </w:rPr>
        <w:t xml:space="preserve"> et. al. </w:t>
      </w:r>
      <w:r w:rsidRPr="00A203A6">
        <w:rPr>
          <w:i/>
          <w:iCs/>
          <w:color w:val="000000" w:themeColor="text1"/>
          <w:sz w:val="18"/>
          <w:szCs w:val="18"/>
        </w:rPr>
        <w:t>WJP Rule of Law Project 2017-2018.</w:t>
      </w:r>
      <w:r w:rsidRPr="00A203A6">
        <w:rPr>
          <w:color w:val="000000" w:themeColor="text1"/>
          <w:sz w:val="18"/>
          <w:szCs w:val="18"/>
        </w:rPr>
        <w:t xml:space="preserve"> Washington D.C.: The World Justice Project.</w:t>
      </w:r>
    </w:p>
  </w:footnote>
  <w:footnote w:id="391">
    <w:p w14:paraId="3FA7FE1A" w14:textId="7FDED09A" w:rsidR="002915BC" w:rsidRPr="00A203A6" w:rsidRDefault="002915BC" w:rsidP="00787EBB">
      <w:pPr>
        <w:pStyle w:val="FootnoteText"/>
        <w:spacing w:before="0" w:after="80"/>
        <w:rPr>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 define </w:t>
      </w:r>
      <w:r w:rsidRPr="00A203A6">
        <w:rPr>
          <w:rFonts w:cs="Times New Roman"/>
          <w:i/>
          <w:iCs/>
          <w:color w:val="000000" w:themeColor="text1"/>
          <w:sz w:val="18"/>
          <w:szCs w:val="18"/>
        </w:rPr>
        <w:t>legality</w:t>
      </w:r>
      <w:r w:rsidRPr="00A203A6">
        <w:rPr>
          <w:rFonts w:cs="Times New Roman"/>
          <w:color w:val="000000" w:themeColor="text1"/>
          <w:sz w:val="18"/>
          <w:szCs w:val="18"/>
        </w:rPr>
        <w:t xml:space="preserve"> as “the recognition of the validity of rules (that the legitimate entity supports or endeavours to impose on its constituents.” See Chapter 4, “What is (State) Legitimacy?”</w:t>
      </w:r>
    </w:p>
  </w:footnote>
  <w:footnote w:id="392">
    <w:p w14:paraId="2ACC0C8E"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Beetham’s conception of legality constitutes it the recognition of the validity of rules that the legitimate entity supports or endeavors to impose on its subordinates.” Beetham conceives of justification as the “generalized perception of the assumption that the actions of an entity are desirable, proper, or appropriate within some socially constructed system of norms, values, beliefs, and definitions.” (David Beetham. </w:t>
      </w:r>
      <w:r w:rsidRPr="00A203A6">
        <w:rPr>
          <w:rFonts w:cs="Times New Roman"/>
          <w:i/>
          <w:iCs/>
          <w:color w:val="000000" w:themeColor="text1"/>
          <w:sz w:val="18"/>
          <w:szCs w:val="18"/>
        </w:rPr>
        <w:t>The Legitimation of Power.</w:t>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Houndsmill</w:t>
      </w:r>
      <w:proofErr w:type="spellEnd"/>
      <w:r w:rsidRPr="00A203A6">
        <w:rPr>
          <w:rFonts w:cs="Times New Roman"/>
          <w:color w:val="000000" w:themeColor="text1"/>
          <w:sz w:val="18"/>
          <w:szCs w:val="18"/>
        </w:rPr>
        <w:t>, Basingstoke, Hampshire: Macmillan Education, 1991).) See Chapter 4 for an elaborated explanation of Beetham’s tripartite understanding of legitimacy.</w:t>
      </w:r>
    </w:p>
  </w:footnote>
  <w:footnote w:id="393">
    <w:p w14:paraId="710A66A5"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Clark, “Introduction,” 6.</w:t>
      </w:r>
    </w:p>
  </w:footnote>
  <w:footnote w:id="394">
    <w:p w14:paraId="3710B796"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Clark, “International Legitimacy,” 12.</w:t>
      </w:r>
    </w:p>
    <w:p w14:paraId="175FC1D9" w14:textId="12A1C8AC" w:rsidR="002915BC" w:rsidRPr="00A203A6" w:rsidRDefault="00E57D9B" w:rsidP="00787EBB">
      <w:pPr>
        <w:pStyle w:val="NormalWeb"/>
        <w:snapToGrid w:val="0"/>
        <w:spacing w:before="0" w:beforeAutospacing="0" w:after="80" w:afterAutospacing="0"/>
        <w:rPr>
          <w:color w:val="000000" w:themeColor="text1"/>
          <w:sz w:val="18"/>
          <w:szCs w:val="18"/>
        </w:rPr>
      </w:pPr>
      <w:r>
        <w:rPr>
          <w:color w:val="000000" w:themeColor="text1"/>
          <w:sz w:val="18"/>
          <w:szCs w:val="18"/>
        </w:rPr>
        <w:t>S</w:t>
      </w:r>
      <w:r w:rsidR="002915BC" w:rsidRPr="00A203A6">
        <w:rPr>
          <w:color w:val="000000" w:themeColor="text1"/>
          <w:sz w:val="18"/>
          <w:szCs w:val="18"/>
        </w:rPr>
        <w:t xml:space="preserve">cholarly consensus as to the role played by any or all of these three elements’ in defining legitimacy is consolidated in David Beetham’s proposal for a tripartite understanding of legitimacy. Beetham constitutes legitimacy an attempted justification of an actor or an entity’s power that endeavors to demonstrate the consent of the actor or entity’s (relevant) subordinates, as well as performatively demonstrate the legality of the actions taken by the actor and what they purport to represent. (Beetham, </w:t>
      </w:r>
      <w:r w:rsidR="002915BC" w:rsidRPr="00A203A6">
        <w:rPr>
          <w:i/>
          <w:iCs/>
          <w:color w:val="000000" w:themeColor="text1"/>
          <w:sz w:val="18"/>
          <w:szCs w:val="18"/>
        </w:rPr>
        <w:t>The Legitimation of Power.</w:t>
      </w:r>
      <w:r w:rsidR="002915BC" w:rsidRPr="00A203A6">
        <w:rPr>
          <w:color w:val="000000" w:themeColor="text1"/>
          <w:sz w:val="18"/>
          <w:szCs w:val="18"/>
        </w:rPr>
        <w:t>)</w:t>
      </w:r>
    </w:p>
  </w:footnote>
  <w:footnote w:id="395">
    <w:p w14:paraId="4F9C58D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4, “Legitimacy.”</w:t>
      </w:r>
    </w:p>
  </w:footnote>
  <w:footnote w:id="396">
    <w:p w14:paraId="3C08A34B" w14:textId="1E2AD5B2" w:rsidR="002915BC" w:rsidRPr="00A203A6" w:rsidRDefault="002915BC" w:rsidP="00787EBB">
      <w:pPr>
        <w:pStyle w:val="FootnoteText"/>
        <w:snapToGrid w:val="0"/>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United Nations comprises six main organs: the Secretariat, the General Assembly, the Economic and Social Council, the Security Council, the International Court of Justice, and the Trusteeship Council. Within the structure of the United Nations, the General Assembly serves as its main deliberative body as well as the sole oversight mechanism over other United Nations bodies. Accordingly, Articles 10-16 (inclusive) of Chapter IV of the Charter of the United Nations mandate the General Assembly with “discuss[</w:t>
      </w:r>
      <w:proofErr w:type="spellStart"/>
      <w:r w:rsidRPr="00A203A6">
        <w:rPr>
          <w:rFonts w:cs="Times New Roman"/>
          <w:color w:val="000000" w:themeColor="text1"/>
          <w:sz w:val="18"/>
          <w:szCs w:val="18"/>
        </w:rPr>
        <w:t>ing</w:t>
      </w:r>
      <w:proofErr w:type="spellEnd"/>
      <w:r w:rsidRPr="00A203A6">
        <w:rPr>
          <w:rFonts w:cs="Times New Roman"/>
          <w:color w:val="000000" w:themeColor="text1"/>
          <w:sz w:val="18"/>
          <w:szCs w:val="18"/>
        </w:rPr>
        <w:t xml:space="preserve">] any questions or any matters within the… Charter [of the United Nations] or relating to the powers and functions of any organs provided for in the… Charter,” as well as considering “principles governing disarmament and the regulation of armaments,” making recommendations for “promoting international co-operation in the political field and encouraging the progressive development of international law and its codification.” As well, the General Assembly is the only United Nations organ with universal membership (provided for in Article 9 of Chapter IV of the Charter of the United Nations), wherein each member state is guaranteed a seat and a corresponding vote in sessions of the General Assembly. The General Assembly convenes in furtherance of its mandate on an annual basis, although special and emergency sessions may be called in specific circumstances. </w:t>
      </w:r>
    </w:p>
    <w:p w14:paraId="326D4BC3" w14:textId="77777777" w:rsidR="002915BC" w:rsidRPr="00A203A6" w:rsidRDefault="002915BC" w:rsidP="00787EBB">
      <w:pPr>
        <w:pStyle w:val="FootnoteText"/>
        <w:snapToGrid w:val="0"/>
        <w:spacing w:before="0" w:after="80"/>
        <w:rPr>
          <w:rFonts w:cs="Times New Roman"/>
          <w:color w:val="000000" w:themeColor="text1"/>
          <w:sz w:val="18"/>
          <w:szCs w:val="18"/>
        </w:rPr>
      </w:pPr>
      <w:r w:rsidRPr="00A203A6">
        <w:rPr>
          <w:rFonts w:cs="Times New Roman"/>
          <w:color w:val="000000" w:themeColor="text1"/>
          <w:sz w:val="18"/>
          <w:szCs w:val="18"/>
        </w:rPr>
        <w:t xml:space="preserve">The General Assembly’s main committees include the Disarmament and International Security committee, the Economic and Financial committee, the Social, Humanitarian and Cultural committee, the Special Political and Decolonization committee, the Administrative and Budgetary committee, and the Legal committee. These six committees, along with the General committee and the Credentials committee, are tasked with forwarding draft resolutions to the annual meetings of the General Assembly so that they can be voted on by the United Nations’ membership in its entirety. For further elaboration on the procedures and operations of the United Nations apparatus as a whole, see Linda M. </w:t>
      </w:r>
      <w:proofErr w:type="spellStart"/>
      <w:r w:rsidRPr="00A203A6">
        <w:rPr>
          <w:rFonts w:cs="Times New Roman"/>
          <w:color w:val="000000" w:themeColor="text1"/>
          <w:sz w:val="18"/>
          <w:szCs w:val="18"/>
        </w:rPr>
        <w:t>Fasulo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An Insider’s Guide to the United Nations</w:t>
      </w:r>
      <w:r w:rsidRPr="00A203A6">
        <w:rPr>
          <w:rFonts w:cs="Times New Roman"/>
          <w:color w:val="000000" w:themeColor="text1"/>
          <w:sz w:val="18"/>
          <w:szCs w:val="18"/>
        </w:rPr>
        <w:t xml:space="preserve"> (New Haven: Yale University Press, 2003).</w:t>
      </w:r>
    </w:p>
  </w:footnote>
  <w:footnote w:id="397">
    <w:p w14:paraId="22597001" w14:textId="77777777"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Gary </w:t>
      </w:r>
      <w:proofErr w:type="spellStart"/>
      <w:r w:rsidRPr="00A203A6">
        <w:rPr>
          <w:color w:val="000000" w:themeColor="text1"/>
          <w:sz w:val="18"/>
          <w:szCs w:val="18"/>
        </w:rPr>
        <w:t>LaFree</w:t>
      </w:r>
      <w:proofErr w:type="spellEnd"/>
      <w:r w:rsidRPr="00A203A6">
        <w:rPr>
          <w:color w:val="000000" w:themeColor="text1"/>
          <w:sz w:val="18"/>
          <w:szCs w:val="18"/>
        </w:rPr>
        <w:t>, Laura Dugan, Heather V. Fogg and Jeffrey Scott, “Building a Global Terrorism Database.” Federally Funded Grant Report Produced at the University of Maryland (2006).</w:t>
      </w:r>
    </w:p>
  </w:footnote>
  <w:footnote w:id="398">
    <w:p w14:paraId="5C2AA06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w:t>
      </w:r>
      <w:hyperlink r:id="rId5" w:tgtFrame="_blank" w:history="1">
        <w:r w:rsidRPr="00A203A6">
          <w:rPr>
            <w:rStyle w:val="HTMLCite"/>
            <w:rFonts w:cs="Times New Roman"/>
            <w:color w:val="000000" w:themeColor="text1"/>
            <w:sz w:val="18"/>
            <w:szCs w:val="18"/>
          </w:rPr>
          <w:t>United Nations, Department of Economic and Social Affairs, Population Division (2022).</w:t>
        </w:r>
        <w:r w:rsidRPr="00A203A6">
          <w:rPr>
            <w:rStyle w:val="apple-converted-space"/>
            <w:rFonts w:cs="Times New Roman"/>
            <w:i/>
            <w:iCs/>
            <w:color w:val="000000" w:themeColor="text1"/>
            <w:sz w:val="18"/>
            <w:szCs w:val="18"/>
          </w:rPr>
          <w:t> </w:t>
        </w:r>
        <w:r w:rsidRPr="00A203A6">
          <w:rPr>
            <w:rStyle w:val="HTMLCite"/>
            <w:rFonts w:cs="Times New Roman"/>
            <w:color w:val="000000" w:themeColor="text1"/>
            <w:sz w:val="18"/>
            <w:szCs w:val="18"/>
          </w:rPr>
          <w:t>World Population Prospects 2022: Data Sources.</w:t>
        </w:r>
      </w:hyperlink>
      <w:r w:rsidRPr="00A203A6">
        <w:rPr>
          <w:rFonts w:cs="Times New Roman"/>
          <w:color w:val="000000" w:themeColor="text1"/>
          <w:sz w:val="18"/>
          <w:szCs w:val="18"/>
        </w:rPr>
        <w:t xml:space="preserve"> </w:t>
      </w:r>
      <w:hyperlink r:id="rId6" w:tgtFrame="_blank" w:history="1">
        <w:r w:rsidRPr="00A203A6">
          <w:rPr>
            <w:rStyle w:val="HTMLCite"/>
            <w:rFonts w:cs="Times New Roman"/>
            <w:color w:val="000000" w:themeColor="text1"/>
            <w:sz w:val="18"/>
            <w:szCs w:val="18"/>
          </w:rPr>
          <w:t>(UN DESA/POP/2022/DC/NO. 9).</w:t>
        </w:r>
      </w:hyperlink>
    </w:p>
  </w:footnote>
  <w:footnote w:id="399">
    <w:p w14:paraId="6A5807D9"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Max Weber, Tony Waters (trans.) and Dagmar Waters (ed.), </w:t>
      </w:r>
      <w:r w:rsidRPr="00A203A6">
        <w:rPr>
          <w:rFonts w:cs="Times New Roman"/>
          <w:i/>
          <w:iCs/>
          <w:color w:val="000000" w:themeColor="text1"/>
          <w:sz w:val="18"/>
          <w:szCs w:val="18"/>
        </w:rPr>
        <w:t>Weber’s Rationalism and Modern Society.</w:t>
      </w:r>
      <w:r w:rsidRPr="00A203A6">
        <w:rPr>
          <w:rFonts w:cs="Times New Roman"/>
          <w:color w:val="000000" w:themeColor="text1"/>
          <w:sz w:val="18"/>
          <w:szCs w:val="18"/>
        </w:rPr>
        <w:t xml:space="preserve"> (New York: Palgrave Books, 2015): 129-198.</w:t>
      </w:r>
    </w:p>
  </w:footnote>
  <w:footnote w:id="400">
    <w:p w14:paraId="4E3202C6"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Barry Buzan, </w:t>
      </w:r>
      <w:r w:rsidRPr="00A203A6">
        <w:rPr>
          <w:rFonts w:cs="Times New Roman"/>
          <w:i/>
          <w:iCs/>
          <w:color w:val="000000" w:themeColor="text1"/>
          <w:sz w:val="18"/>
          <w:szCs w:val="18"/>
        </w:rPr>
        <w:t>People, States, and Fear: The National Security Problem in International Relations</w:t>
      </w:r>
      <w:r w:rsidRPr="00A203A6">
        <w:rPr>
          <w:rFonts w:cs="Times New Roman"/>
          <w:color w:val="000000" w:themeColor="text1"/>
          <w:sz w:val="18"/>
          <w:szCs w:val="18"/>
        </w:rPr>
        <w:t>. (Surrey: Thomson Press (1) Ltd, 1983): 9.</w:t>
      </w:r>
    </w:p>
  </w:footnote>
  <w:footnote w:id="401">
    <w:p w14:paraId="6FA131D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Fred </w:t>
      </w:r>
      <w:proofErr w:type="spellStart"/>
      <w:r w:rsidRPr="00A203A6">
        <w:rPr>
          <w:rFonts w:cs="Times New Roman"/>
          <w:color w:val="000000" w:themeColor="text1"/>
          <w:sz w:val="18"/>
          <w:szCs w:val="18"/>
        </w:rPr>
        <w:t>Vultee</w:t>
      </w:r>
      <w:proofErr w:type="spellEnd"/>
      <w:r w:rsidRPr="00A203A6">
        <w:rPr>
          <w:rFonts w:cs="Times New Roman"/>
          <w:color w:val="000000" w:themeColor="text1"/>
          <w:sz w:val="18"/>
          <w:szCs w:val="18"/>
        </w:rPr>
        <w:t xml:space="preserve">, “Securitization: A New Approach to the Framing of the ‘War on Terror.’” </w:t>
      </w:r>
      <w:r w:rsidRPr="00A203A6">
        <w:rPr>
          <w:rFonts w:cs="Times New Roman"/>
          <w:i/>
          <w:iCs/>
          <w:color w:val="000000" w:themeColor="text1"/>
          <w:sz w:val="18"/>
          <w:szCs w:val="18"/>
        </w:rPr>
        <w:t>Journalism Practice</w:t>
      </w:r>
      <w:r w:rsidRPr="00A203A6">
        <w:rPr>
          <w:rFonts w:cs="Times New Roman"/>
          <w:color w:val="000000" w:themeColor="text1"/>
          <w:sz w:val="18"/>
          <w:szCs w:val="18"/>
        </w:rPr>
        <w:t xml:space="preserve"> 4, no. 1 (January 22, 2010): 33-47.</w:t>
      </w:r>
    </w:p>
  </w:footnote>
  <w:footnote w:id="402">
    <w:p w14:paraId="1601924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 well-known example of this is the enactment of the 2001 Uniting and Strengthening America by Providing Appropriate Tools Required to Intercept and Obstruct Terrorism – the USA Patriot Act – in the aftermath of the September 11 terrorist attacks. See Harvey M. Sapolsky, Eugene </w:t>
      </w:r>
      <w:proofErr w:type="spellStart"/>
      <w:r w:rsidRPr="00A203A6">
        <w:rPr>
          <w:rFonts w:cs="Times New Roman"/>
          <w:color w:val="000000" w:themeColor="text1"/>
          <w:sz w:val="18"/>
          <w:szCs w:val="18"/>
        </w:rPr>
        <w:t>Gholz</w:t>
      </w:r>
      <w:proofErr w:type="spellEnd"/>
      <w:r w:rsidRPr="00A203A6">
        <w:rPr>
          <w:rFonts w:cs="Times New Roman"/>
          <w:color w:val="000000" w:themeColor="text1"/>
          <w:sz w:val="18"/>
          <w:szCs w:val="18"/>
        </w:rPr>
        <w:t xml:space="preserve"> and Caitlin Talmadge, </w:t>
      </w:r>
      <w:r w:rsidRPr="00A203A6">
        <w:rPr>
          <w:rFonts w:cs="Times New Roman"/>
          <w:i/>
          <w:iCs/>
          <w:color w:val="000000" w:themeColor="text1"/>
          <w:sz w:val="18"/>
          <w:szCs w:val="18"/>
        </w:rPr>
        <w:t>US Defense Politics: The Origins of Security Policy.</w:t>
      </w:r>
      <w:r w:rsidRPr="00A203A6">
        <w:rPr>
          <w:rFonts w:cs="Times New Roman"/>
          <w:color w:val="000000" w:themeColor="text1"/>
          <w:sz w:val="18"/>
          <w:szCs w:val="18"/>
        </w:rPr>
        <w:t xml:space="preserve"> 3</w:t>
      </w:r>
      <w:r w:rsidRPr="00A203A6">
        <w:rPr>
          <w:rFonts w:cs="Times New Roman"/>
          <w:color w:val="000000" w:themeColor="text1"/>
          <w:sz w:val="18"/>
          <w:szCs w:val="18"/>
          <w:vertAlign w:val="superscript"/>
        </w:rPr>
        <w:t>rd</w:t>
      </w:r>
      <w:r w:rsidRPr="00A203A6">
        <w:rPr>
          <w:rFonts w:cs="Times New Roman"/>
          <w:color w:val="000000" w:themeColor="text1"/>
          <w:sz w:val="18"/>
          <w:szCs w:val="18"/>
        </w:rPr>
        <w:t xml:space="preserve"> edition. (London: Routledge, 2017): 160-165.</w:t>
      </w:r>
    </w:p>
  </w:footnote>
  <w:footnote w:id="403">
    <w:p w14:paraId="55561FE3"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Barry Buzan and Ole </w:t>
      </w:r>
      <w:proofErr w:type="spellStart"/>
      <w:r w:rsidRPr="00A203A6">
        <w:rPr>
          <w:rFonts w:cs="Times New Roman"/>
          <w:color w:val="000000" w:themeColor="text1"/>
          <w:sz w:val="18"/>
          <w:szCs w:val="18"/>
        </w:rPr>
        <w:t>Waever</w:t>
      </w:r>
      <w:proofErr w:type="spellEnd"/>
      <w:r w:rsidRPr="00A203A6">
        <w:rPr>
          <w:rFonts w:cs="Times New Roman"/>
          <w:color w:val="000000" w:themeColor="text1"/>
          <w:sz w:val="18"/>
          <w:szCs w:val="18"/>
        </w:rPr>
        <w:t xml:space="preserve"> and Jaap de Wilde, </w:t>
      </w:r>
      <w:r w:rsidRPr="00A203A6">
        <w:rPr>
          <w:rFonts w:cs="Times New Roman"/>
          <w:i/>
          <w:iCs/>
          <w:color w:val="000000" w:themeColor="text1"/>
          <w:sz w:val="18"/>
          <w:szCs w:val="18"/>
        </w:rPr>
        <w:t>Security: A New Framework for Analysis</w:t>
      </w:r>
      <w:r w:rsidRPr="00A203A6">
        <w:rPr>
          <w:rFonts w:cs="Times New Roman"/>
          <w:color w:val="000000" w:themeColor="text1"/>
          <w:sz w:val="18"/>
          <w:szCs w:val="18"/>
        </w:rPr>
        <w:t xml:space="preserve"> (Boulder: Lynne </w:t>
      </w:r>
      <w:proofErr w:type="spellStart"/>
      <w:r w:rsidRPr="00A203A6">
        <w:rPr>
          <w:rFonts w:cs="Times New Roman"/>
          <w:color w:val="000000" w:themeColor="text1"/>
          <w:sz w:val="18"/>
          <w:szCs w:val="18"/>
        </w:rPr>
        <w:t>Rienner</w:t>
      </w:r>
      <w:proofErr w:type="spellEnd"/>
      <w:r w:rsidRPr="00A203A6">
        <w:rPr>
          <w:rFonts w:cs="Times New Roman"/>
          <w:color w:val="000000" w:themeColor="text1"/>
          <w:sz w:val="18"/>
          <w:szCs w:val="18"/>
        </w:rPr>
        <w:t>, 1998).</w:t>
      </w:r>
    </w:p>
  </w:footnote>
  <w:footnote w:id="404">
    <w:p w14:paraId="64121CBB"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3, “Terrorism and Post-Modern Warfare” (Pages 53-55).</w:t>
      </w:r>
    </w:p>
  </w:footnote>
  <w:footnote w:id="405">
    <w:p w14:paraId="25E526E6"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5, The Media and Political Communication” (Pages 108-111).</w:t>
      </w:r>
    </w:p>
  </w:footnote>
  <w:footnote w:id="406">
    <w:p w14:paraId="63120DC9"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Refer back to Footnote 15 (Chapter 1, Page 9) for clarification as to my use of the term International Relations (or IR) to refer to the academic discipline, and ‘international relations’ to describe real-world conduct and policies.</w:t>
      </w:r>
    </w:p>
  </w:footnote>
  <w:footnote w:id="407">
    <w:p w14:paraId="46A7B5C1"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5 “Propaganda of the Deed” (Pages 87-96).</w:t>
      </w:r>
    </w:p>
  </w:footnote>
  <w:footnote w:id="408">
    <w:p w14:paraId="2AF48FDF"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 take Schmid and Jongman’s 1988 identification of 22 “distinguishing features of terrorism,” based on 109 responses to a 1985 survey of “terrorism experts,” as my point of departure in identifying these 28 definitional elements. Alex P. Schmid, A.J. Jongman and Michael </w:t>
      </w:r>
      <w:proofErr w:type="spellStart"/>
      <w:r w:rsidRPr="00A203A6">
        <w:rPr>
          <w:rFonts w:cs="Times New Roman"/>
          <w:color w:val="000000" w:themeColor="text1"/>
          <w:sz w:val="18"/>
          <w:szCs w:val="18"/>
        </w:rPr>
        <w:t>Stohl</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 xml:space="preserve">Political Terrorism: A New Guide to Actors, Authors, Concepts, Data Bases, Theories, and Literature </w:t>
      </w:r>
      <w:r w:rsidRPr="00A203A6">
        <w:rPr>
          <w:rFonts w:cs="Times New Roman"/>
          <w:color w:val="000000" w:themeColor="text1"/>
          <w:sz w:val="18"/>
          <w:szCs w:val="18"/>
        </w:rPr>
        <w:t xml:space="preserve">(Amsterdam: North-Holland Pub. Co., 1988): 28. See Chapter 3, “A </w:t>
      </w:r>
      <w:r w:rsidRPr="00A203A6">
        <w:rPr>
          <w:rFonts w:cs="Times New Roman"/>
          <w:i/>
          <w:iCs/>
          <w:color w:val="000000" w:themeColor="text1"/>
          <w:sz w:val="18"/>
          <w:szCs w:val="18"/>
        </w:rPr>
        <w:t>De Minimis</w:t>
      </w:r>
      <w:r w:rsidRPr="00A203A6">
        <w:rPr>
          <w:rFonts w:cs="Times New Roman"/>
          <w:color w:val="000000" w:themeColor="text1"/>
          <w:sz w:val="18"/>
          <w:szCs w:val="18"/>
        </w:rPr>
        <w:t xml:space="preserve"> Scholarly Definition of Terrorism.”</w:t>
      </w:r>
    </w:p>
  </w:footnote>
  <w:footnote w:id="409">
    <w:p w14:paraId="034020ED" w14:textId="77777777" w:rsidR="002915BC" w:rsidRPr="00A203A6" w:rsidRDefault="002915BC"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3, “Conceiving of a </w:t>
      </w:r>
      <w:r w:rsidRPr="00A203A6">
        <w:rPr>
          <w:rFonts w:cs="Times New Roman"/>
          <w:i/>
          <w:iCs/>
          <w:color w:val="000000" w:themeColor="text1"/>
          <w:sz w:val="18"/>
          <w:szCs w:val="18"/>
        </w:rPr>
        <w:t>De Minimis</w:t>
      </w:r>
      <w:r w:rsidRPr="00A203A6">
        <w:rPr>
          <w:rFonts w:cs="Times New Roman"/>
          <w:color w:val="000000" w:themeColor="text1"/>
          <w:sz w:val="18"/>
          <w:szCs w:val="18"/>
        </w:rPr>
        <w:t xml:space="preserve"> Policy Definition of Terrorism” (Pages 45-53).</w:t>
      </w:r>
    </w:p>
  </w:footnote>
  <w:footnote w:id="410">
    <w:p w14:paraId="4E3BDF71"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To be clear, I did not undertake any formal significance testing here. In this context, “significance threshold” mentioned refers to the 50-percent cut-off that I determine for word element inclusion in the </w:t>
      </w:r>
      <w:r w:rsidRPr="00A203A6">
        <w:rPr>
          <w:rFonts w:cs="Times New Roman"/>
          <w:i/>
          <w:iCs/>
          <w:color w:val="000000" w:themeColor="text1"/>
          <w:sz w:val="18"/>
          <w:szCs w:val="18"/>
        </w:rPr>
        <w:t xml:space="preserve">de minimis </w:t>
      </w:r>
      <w:r w:rsidRPr="00A203A6">
        <w:rPr>
          <w:rFonts w:cs="Times New Roman"/>
          <w:color w:val="000000" w:themeColor="text1"/>
          <w:sz w:val="18"/>
          <w:szCs w:val="18"/>
        </w:rPr>
        <w:t xml:space="preserve">definition of terrorism that I establish in Chapter 3 See Chapter 3, “A </w:t>
      </w:r>
      <w:r w:rsidRPr="00A203A6">
        <w:rPr>
          <w:rFonts w:cs="Times New Roman"/>
          <w:i/>
          <w:iCs/>
          <w:color w:val="000000" w:themeColor="text1"/>
          <w:sz w:val="18"/>
          <w:szCs w:val="18"/>
        </w:rPr>
        <w:t xml:space="preserve">De Minimis </w:t>
      </w:r>
      <w:r w:rsidRPr="00A203A6">
        <w:rPr>
          <w:rFonts w:cs="Times New Roman"/>
          <w:color w:val="000000" w:themeColor="text1"/>
          <w:sz w:val="18"/>
          <w:szCs w:val="18"/>
        </w:rPr>
        <w:t>Scholarly Definition of Terrorism” (Pages 43-45).</w:t>
      </w:r>
    </w:p>
  </w:footnote>
  <w:footnote w:id="411">
    <w:p w14:paraId="69F7C67F" w14:textId="0EC3746B"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This classification accords with my understanding of terrorism as post-modern warfare. See Chapter 3, “A </w:t>
      </w:r>
      <w:r w:rsidRPr="00A203A6">
        <w:rPr>
          <w:rFonts w:cs="Times New Roman"/>
          <w:i/>
          <w:iCs/>
          <w:color w:val="000000" w:themeColor="text1"/>
          <w:sz w:val="18"/>
          <w:szCs w:val="18"/>
        </w:rPr>
        <w:t xml:space="preserve">De Minimis </w:t>
      </w:r>
      <w:r w:rsidRPr="00A203A6">
        <w:rPr>
          <w:rFonts w:cs="Times New Roman"/>
          <w:color w:val="000000" w:themeColor="text1"/>
          <w:sz w:val="18"/>
          <w:szCs w:val="18"/>
        </w:rPr>
        <w:t xml:space="preserve">Scholarly Definition of Terrorism.” Also see Appendix </w:t>
      </w:r>
      <w:r w:rsidR="002D25A7">
        <w:rPr>
          <w:rFonts w:cs="Times New Roman"/>
          <w:color w:val="000000" w:themeColor="text1"/>
          <w:sz w:val="18"/>
          <w:szCs w:val="18"/>
        </w:rPr>
        <w:t>F</w:t>
      </w:r>
      <w:r w:rsidRPr="00A203A6">
        <w:rPr>
          <w:rFonts w:cs="Times New Roman"/>
          <w:color w:val="000000" w:themeColor="text1"/>
          <w:sz w:val="18"/>
          <w:szCs w:val="18"/>
        </w:rPr>
        <w:t xml:space="preserve"> for a visual depiction of how these elements overlap and intersect with one another as one or more of the “means”, “mode”, “target”, and “objective” of terrorism.</w:t>
      </w:r>
    </w:p>
  </w:footnote>
  <w:footnote w:id="412">
    <w:p w14:paraId="6186DBD0" w14:textId="4B193935" w:rsidR="002915BC" w:rsidRPr="00A203A6" w:rsidRDefault="002915BC" w:rsidP="00787EBB">
      <w:pPr>
        <w:pStyle w:val="FootnoteText"/>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“An effective framework for packaging and presenting news amid the clutter of the modern media,” public drama </w:t>
      </w:r>
      <w:proofErr w:type="gramStart"/>
      <w:r w:rsidRPr="00A203A6">
        <w:rPr>
          <w:rFonts w:cs="Times New Roman"/>
          <w:color w:val="000000" w:themeColor="text1"/>
          <w:sz w:val="18"/>
          <w:szCs w:val="18"/>
        </w:rPr>
        <w:t>is ”simplistic</w:t>
      </w:r>
      <w:proofErr w:type="gramEnd"/>
      <w:r w:rsidRPr="00A203A6">
        <w:rPr>
          <w:rFonts w:cs="Times New Roman"/>
          <w:color w:val="000000" w:themeColor="text1"/>
          <w:sz w:val="18"/>
          <w:szCs w:val="18"/>
        </w:rPr>
        <w:t xml:space="preserve"> and story-driven… offer[</w:t>
      </w:r>
      <w:proofErr w:type="spellStart"/>
      <w:r w:rsidRPr="00A203A6">
        <w:rPr>
          <w:rFonts w:cs="Times New Roman"/>
          <w:color w:val="000000" w:themeColor="text1"/>
          <w:sz w:val="18"/>
          <w:szCs w:val="18"/>
        </w:rPr>
        <w:t>ing</w:t>
      </w:r>
      <w:proofErr w:type="spellEnd"/>
      <w:r w:rsidRPr="00A203A6">
        <w:rPr>
          <w:rFonts w:cs="Times New Roman"/>
          <w:color w:val="000000" w:themeColor="text1"/>
          <w:sz w:val="18"/>
          <w:szCs w:val="18"/>
        </w:rPr>
        <w:t xml:space="preserve">] a collection of compelling images and characters.” According to Brian Monahan, public drama is necessarily comprised of three core elements: media attention, media treatment, and audience investment. See Brian A. Monahan, </w:t>
      </w:r>
      <w:r w:rsidRPr="00A203A6">
        <w:rPr>
          <w:rFonts w:cs="Times New Roman"/>
          <w:i/>
          <w:iCs/>
          <w:color w:val="000000" w:themeColor="text1"/>
          <w:sz w:val="18"/>
          <w:szCs w:val="18"/>
        </w:rPr>
        <w:t>The Shock of the News: Media Coverage and the Making of 9/11.</w:t>
      </w:r>
      <w:r w:rsidRPr="00A203A6">
        <w:rPr>
          <w:rFonts w:cs="Times New Roman"/>
          <w:color w:val="000000" w:themeColor="text1"/>
          <w:sz w:val="18"/>
          <w:szCs w:val="18"/>
        </w:rPr>
        <w:t xml:space="preserve"> (New York: New York University Press, 2010): 39-55.</w:t>
      </w:r>
      <w:r w:rsidRPr="00A203A6">
        <w:rPr>
          <w:rFonts w:cs="Times New Roman"/>
          <w:i/>
          <w:iCs/>
          <w:color w:val="000000" w:themeColor="text1"/>
          <w:sz w:val="18"/>
          <w:szCs w:val="18"/>
        </w:rPr>
        <w:t xml:space="preserve"> </w:t>
      </w:r>
    </w:p>
  </w:footnote>
  <w:footnote w:id="413">
    <w:p w14:paraId="0DABA710" w14:textId="77777777"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More than 40 United Nations member states have legal systems based in a common law legal tradition. So, countries that are either common law or mixed law jurisdictions, per the official Federation of Law Societies of Canada (FLSC) classification. See “List of Common Law Jurisdictions.” Federation of Law Societies of Canada, 2021. </w:t>
      </w:r>
      <w:hyperlink r:id="rId7" w:history="1">
        <w:r w:rsidRPr="00A203A6">
          <w:rPr>
            <w:rStyle w:val="Hyperlink"/>
            <w:color w:val="000000" w:themeColor="text1"/>
            <w:sz w:val="18"/>
            <w:szCs w:val="18"/>
          </w:rPr>
          <w:t>https://nca.legal/wp-content/uploads/2021/10/NCA-Jurisdictions-Policies-Oct-2021.pdf</w:t>
        </w:r>
      </w:hyperlink>
      <w:r w:rsidRPr="00A203A6">
        <w:rPr>
          <w:color w:val="000000" w:themeColor="text1"/>
          <w:sz w:val="18"/>
          <w:szCs w:val="18"/>
        </w:rPr>
        <w:t xml:space="preserve">. </w:t>
      </w:r>
    </w:p>
  </w:footnote>
  <w:footnote w:id="414">
    <w:p w14:paraId="0D34C4E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Antonio Cassese. </w:t>
      </w:r>
      <w:r w:rsidRPr="00A203A6">
        <w:rPr>
          <w:rFonts w:cs="Times New Roman"/>
          <w:i/>
          <w:iCs/>
          <w:color w:val="000000" w:themeColor="text1"/>
          <w:sz w:val="18"/>
          <w:szCs w:val="18"/>
        </w:rPr>
        <w:t>Cassese’s International Criminal Law</w:t>
      </w:r>
      <w:r w:rsidRPr="00A203A6">
        <w:rPr>
          <w:rFonts w:cs="Times New Roman"/>
          <w:color w:val="000000" w:themeColor="text1"/>
          <w:sz w:val="18"/>
          <w:szCs w:val="18"/>
        </w:rPr>
        <w:t xml:space="preserve"> (3</w:t>
      </w:r>
      <w:r w:rsidRPr="00A203A6">
        <w:rPr>
          <w:rFonts w:cs="Times New Roman"/>
          <w:color w:val="000000" w:themeColor="text1"/>
          <w:sz w:val="18"/>
          <w:szCs w:val="18"/>
          <w:vertAlign w:val="superscript"/>
        </w:rPr>
        <w:t>rd</w:t>
      </w:r>
      <w:r w:rsidRPr="00A203A6">
        <w:rPr>
          <w:rFonts w:cs="Times New Roman"/>
          <w:color w:val="000000" w:themeColor="text1"/>
          <w:sz w:val="18"/>
          <w:szCs w:val="18"/>
        </w:rPr>
        <w:t xml:space="preserve"> ed.). (Oxford: Oxford University Press, 2013): 63-66.</w:t>
      </w:r>
    </w:p>
  </w:footnote>
  <w:footnote w:id="415">
    <w:p w14:paraId="3C721B85" w14:textId="05120D0A"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Frances M. </w:t>
      </w:r>
      <w:proofErr w:type="spellStart"/>
      <w:r w:rsidRPr="00A203A6">
        <w:rPr>
          <w:rFonts w:cs="Times New Roman"/>
          <w:color w:val="000000" w:themeColor="text1"/>
          <w:sz w:val="18"/>
          <w:szCs w:val="18"/>
        </w:rPr>
        <w:t>Kamm</w:t>
      </w:r>
      <w:proofErr w:type="spellEnd"/>
      <w:r w:rsidRPr="00A203A6">
        <w:rPr>
          <w:rFonts w:cs="Times New Roman"/>
          <w:color w:val="000000" w:themeColor="text1"/>
          <w:sz w:val="18"/>
          <w:szCs w:val="18"/>
        </w:rPr>
        <w:t>,</w:t>
      </w:r>
      <w:r w:rsidRPr="00A203A6">
        <w:rPr>
          <w:rFonts w:cs="Times New Roman"/>
          <w:i/>
          <w:iCs/>
          <w:color w:val="000000" w:themeColor="text1"/>
          <w:sz w:val="18"/>
          <w:szCs w:val="18"/>
        </w:rPr>
        <w:t> Intricate Ethics: Rights, Responsibilities, and Permissible Harm.</w:t>
      </w:r>
      <w:r w:rsidRPr="00A203A6">
        <w:rPr>
          <w:rFonts w:cs="Times New Roman"/>
          <w:color w:val="000000" w:themeColor="text1"/>
          <w:sz w:val="18"/>
          <w:szCs w:val="18"/>
        </w:rPr>
        <w:t> (New York: Oxford University Press, 2007): 28.</w:t>
      </w:r>
    </w:p>
  </w:footnote>
  <w:footnote w:id="416">
    <w:p w14:paraId="00969C1B"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3, “Terrorism and Post-Modern Warfare” (Pages 53-55), and Chapter 5, “The Symbiosis Between Terrorism and the Mass Media” (Pages 96-107).</w:t>
      </w:r>
    </w:p>
  </w:footnote>
  <w:footnote w:id="417">
    <w:p w14:paraId="2CEF62AB" w14:textId="77777777" w:rsidR="002915BC" w:rsidRPr="00A203A6" w:rsidRDefault="002915BC"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Terrorism constitutes itself a threat to the constituents of the state – the general public – challenging perceptions of the state’s ability (as the</w:t>
      </w:r>
      <w:r w:rsidRPr="00A203A6">
        <w:rPr>
          <w:rFonts w:cs="Times New Roman"/>
          <w:i/>
          <w:iCs/>
          <w:color w:val="000000" w:themeColor="text1"/>
          <w:sz w:val="18"/>
          <w:szCs w:val="18"/>
        </w:rPr>
        <w:t xml:space="preserve"> legitimate</w:t>
      </w:r>
      <w:r w:rsidRPr="00A203A6">
        <w:rPr>
          <w:rFonts w:cs="Times New Roman"/>
          <w:color w:val="000000" w:themeColor="text1"/>
          <w:sz w:val="18"/>
          <w:szCs w:val="18"/>
        </w:rPr>
        <w:t xml:space="preserve"> governing power) to protect its subordinates in its sovereign territory. Max Weber, Tony Waters (trans.) and Dagmar Waters (ed.), </w:t>
      </w:r>
      <w:r w:rsidRPr="00A203A6">
        <w:rPr>
          <w:rFonts w:cs="Times New Roman"/>
          <w:i/>
          <w:iCs/>
          <w:color w:val="000000" w:themeColor="text1"/>
          <w:sz w:val="18"/>
          <w:szCs w:val="18"/>
        </w:rPr>
        <w:t>Weber’s Rationalism and Modern Society.</w:t>
      </w:r>
      <w:r w:rsidRPr="00A203A6">
        <w:rPr>
          <w:rFonts w:cs="Times New Roman"/>
          <w:color w:val="000000" w:themeColor="text1"/>
          <w:sz w:val="18"/>
          <w:szCs w:val="18"/>
        </w:rPr>
        <w:t xml:space="preserve"> (New York: Palgrave Books, 2015): 129-198. See also Chapter 4, “Conclusion” (Pages 82-84).</w:t>
      </w:r>
    </w:p>
  </w:footnote>
  <w:footnote w:id="418">
    <w:p w14:paraId="76A91010"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total duration of the incident spanned eight minutes – from 1:24pm to 1:32pm. (Security camera footage from a business one city block south of Finch Avenue – where the incident started – suggests that the attack began at 1:24pm.  Police sources state that Minassian was arrested at 1:32pm.)</w:t>
      </w:r>
    </w:p>
  </w:footnote>
  <w:footnote w:id="419">
    <w:p w14:paraId="4EDA284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Natasha Fatah (@NatashaFatah), “#BREAKING Witness to truck ramming into pedestrians tells local Toronto TV station that the driver looked wide-eyed, angry and Middle Eastern,” Twitter, April 23, 2018, </w:t>
      </w:r>
      <w:hyperlink r:id="rId8" w:history="1">
        <w:r w:rsidRPr="00A203A6">
          <w:rPr>
            <w:rStyle w:val="Hyperlink"/>
            <w:rFonts w:cs="Times New Roman"/>
            <w:color w:val="000000" w:themeColor="text1"/>
            <w:sz w:val="18"/>
            <w:szCs w:val="18"/>
          </w:rPr>
          <w:t>https://twitter.com/NatashaFatah/status/988486858031222785</w:t>
        </w:r>
      </w:hyperlink>
      <w:r w:rsidRPr="00A203A6">
        <w:rPr>
          <w:rFonts w:cs="Times New Roman"/>
          <w:color w:val="000000" w:themeColor="text1"/>
          <w:sz w:val="18"/>
          <w:szCs w:val="18"/>
        </w:rPr>
        <w:t xml:space="preserve">. </w:t>
      </w:r>
    </w:p>
  </w:footnote>
  <w:footnote w:id="420">
    <w:p w14:paraId="224790E5"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Chris Tomlinson, “Fatalities as white van hits pedestrians in Toronto, driver described as “angry and Middle Eastern.” </w:t>
      </w:r>
      <w:r w:rsidRPr="00A203A6">
        <w:rPr>
          <w:rFonts w:cs="Times New Roman"/>
          <w:i/>
          <w:iCs/>
          <w:color w:val="000000" w:themeColor="text1"/>
          <w:sz w:val="18"/>
          <w:szCs w:val="18"/>
        </w:rPr>
        <w:t>Breitbart</w:t>
      </w:r>
      <w:r w:rsidRPr="00A203A6">
        <w:rPr>
          <w:rFonts w:cs="Times New Roman"/>
          <w:color w:val="000000" w:themeColor="text1"/>
          <w:sz w:val="18"/>
          <w:szCs w:val="18"/>
        </w:rPr>
        <w:t xml:space="preserve">, April 23, 2018, </w:t>
      </w:r>
      <w:hyperlink r:id="rId9" w:history="1">
        <w:r w:rsidRPr="00A203A6">
          <w:rPr>
            <w:rStyle w:val="Hyperlink"/>
            <w:rFonts w:cs="Times New Roman"/>
            <w:color w:val="000000" w:themeColor="text1"/>
            <w:sz w:val="18"/>
            <w:szCs w:val="18"/>
          </w:rPr>
          <w:t>https://www.breitbart.com/europe/2018/04/23/multiple-injuries-white-van-hits-pedestrians-near-major-toronto-transport-hub/</w:t>
        </w:r>
      </w:hyperlink>
      <w:r w:rsidRPr="00A203A6">
        <w:rPr>
          <w:rFonts w:cs="Times New Roman"/>
          <w:color w:val="000000" w:themeColor="text1"/>
          <w:sz w:val="18"/>
          <w:szCs w:val="18"/>
        </w:rPr>
        <w:t xml:space="preserve">. </w:t>
      </w:r>
    </w:p>
    <w:p w14:paraId="2E8E7304" w14:textId="77777777" w:rsidR="002915BC" w:rsidRPr="00A203A6" w:rsidRDefault="002915BC"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 xml:space="preserve">Please note that the original title of the article that I referenced in the text was changed, following widespread criticism online. Notwithstanding, a screenshot of the original article title can be found at the following URL: </w:t>
      </w:r>
      <w:hyperlink r:id="rId10" w:history="1">
        <w:r w:rsidRPr="00A203A6">
          <w:rPr>
            <w:rStyle w:val="Hyperlink"/>
            <w:rFonts w:cs="Times New Roman"/>
            <w:color w:val="000000" w:themeColor="text1"/>
            <w:sz w:val="18"/>
            <w:szCs w:val="18"/>
          </w:rPr>
          <w:t>https://img.buzzfeed.com/buzzfeed-static/static/2018-04/24/11/asset/buzzfeed-prod-web-06/sub-buzz-23712-1524583205-9.png?downsize=1600:*&amp;output-format=auto&amp;output-quality=auto</w:t>
        </w:r>
      </w:hyperlink>
      <w:r w:rsidRPr="00A203A6">
        <w:rPr>
          <w:rFonts w:cs="Times New Roman"/>
          <w:color w:val="000000" w:themeColor="text1"/>
          <w:sz w:val="18"/>
          <w:szCs w:val="18"/>
        </w:rPr>
        <w:t>.</w:t>
      </w:r>
    </w:p>
  </w:footnote>
  <w:footnote w:id="421">
    <w:p w14:paraId="29DF216B"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Mike </w:t>
      </w:r>
      <w:proofErr w:type="spellStart"/>
      <w:r w:rsidRPr="00A203A6">
        <w:rPr>
          <w:rFonts w:cs="Times New Roman"/>
          <w:color w:val="000000" w:themeColor="text1"/>
          <w:sz w:val="18"/>
          <w:szCs w:val="18"/>
        </w:rPr>
        <w:t>Drolet</w:t>
      </w:r>
      <w:proofErr w:type="spellEnd"/>
      <w:r w:rsidRPr="00A203A6">
        <w:rPr>
          <w:rFonts w:cs="Times New Roman"/>
          <w:color w:val="000000" w:themeColor="text1"/>
          <w:sz w:val="18"/>
          <w:szCs w:val="18"/>
        </w:rPr>
        <w:t xml:space="preserve"> (@MDroletGlobalTV), “</w:t>
      </w:r>
      <w:r w:rsidRPr="00A203A6">
        <w:rPr>
          <w:rFonts w:cs="Times New Roman"/>
          <w:color w:val="000000" w:themeColor="text1"/>
          <w:spacing w:val="4"/>
          <w:sz w:val="18"/>
          <w:szCs w:val="18"/>
          <w:shd w:val="clear" w:color="auto" w:fill="FFFFFF"/>
        </w:rPr>
        <w:t xml:space="preserve">Van used in alleged Toronto terror incident,” Twitter, April 23, 2018, </w:t>
      </w:r>
      <w:hyperlink r:id="rId11" w:history="1">
        <w:r w:rsidRPr="00A203A6">
          <w:rPr>
            <w:rStyle w:val="Hyperlink"/>
            <w:rFonts w:cs="Times New Roman"/>
            <w:color w:val="000000" w:themeColor="text1"/>
            <w:spacing w:val="4"/>
            <w:sz w:val="18"/>
            <w:szCs w:val="18"/>
            <w:shd w:val="clear" w:color="auto" w:fill="FFFFFF"/>
          </w:rPr>
          <w:t>https://t.co/H85APoDgRL</w:t>
        </w:r>
      </w:hyperlink>
      <w:r w:rsidRPr="00A203A6">
        <w:rPr>
          <w:rFonts w:cs="Times New Roman"/>
          <w:color w:val="000000" w:themeColor="text1"/>
          <w:spacing w:val="4"/>
          <w:sz w:val="18"/>
          <w:szCs w:val="18"/>
          <w:shd w:val="clear" w:color="auto" w:fill="FFFFFF"/>
        </w:rPr>
        <w:t xml:space="preserve">. </w:t>
      </w:r>
    </w:p>
  </w:footnote>
  <w:footnote w:id="422">
    <w:p w14:paraId="7011CBDA"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Nick </w:t>
      </w:r>
      <w:proofErr w:type="spellStart"/>
      <w:r w:rsidRPr="00A203A6">
        <w:rPr>
          <w:rFonts w:cs="Times New Roman"/>
          <w:color w:val="000000" w:themeColor="text1"/>
          <w:sz w:val="18"/>
          <w:szCs w:val="18"/>
        </w:rPr>
        <w:t>Westoll</w:t>
      </w:r>
      <w:proofErr w:type="spellEnd"/>
      <w:r w:rsidRPr="00A203A6">
        <w:rPr>
          <w:rFonts w:cs="Times New Roman"/>
          <w:color w:val="000000" w:themeColor="text1"/>
          <w:sz w:val="18"/>
          <w:szCs w:val="18"/>
        </w:rPr>
        <w:t xml:space="preserve"> and Jessica Patton, “Alek Minassian suspected driver in Toronto van attack that killed 10, injured 14.” </w:t>
      </w:r>
      <w:r w:rsidRPr="00A203A6">
        <w:rPr>
          <w:rFonts w:cs="Times New Roman"/>
          <w:i/>
          <w:iCs/>
          <w:color w:val="000000" w:themeColor="text1"/>
          <w:sz w:val="18"/>
          <w:szCs w:val="18"/>
        </w:rPr>
        <w:t>Global News</w:t>
      </w:r>
      <w:r w:rsidRPr="00A203A6">
        <w:rPr>
          <w:rFonts w:cs="Times New Roman"/>
          <w:color w:val="000000" w:themeColor="text1"/>
          <w:sz w:val="18"/>
          <w:szCs w:val="18"/>
        </w:rPr>
        <w:t xml:space="preserve">, April 23, 2018, </w:t>
      </w:r>
      <w:hyperlink r:id="rId12" w:history="1">
        <w:r w:rsidRPr="00A203A6">
          <w:rPr>
            <w:rStyle w:val="Hyperlink"/>
            <w:rFonts w:cs="Times New Roman"/>
            <w:color w:val="000000" w:themeColor="text1"/>
            <w:sz w:val="18"/>
            <w:szCs w:val="18"/>
          </w:rPr>
          <w:t>https://globalnews.ca/news/4161785/pedestrians-hit-white-van-toronto/</w:t>
        </w:r>
      </w:hyperlink>
      <w:r w:rsidRPr="00A203A6">
        <w:rPr>
          <w:rFonts w:cs="Times New Roman"/>
          <w:color w:val="000000" w:themeColor="text1"/>
          <w:sz w:val="18"/>
          <w:szCs w:val="18"/>
        </w:rPr>
        <w:t xml:space="preserve">. </w:t>
      </w:r>
    </w:p>
  </w:footnote>
  <w:footnote w:id="423">
    <w:p w14:paraId="75C65D0F" w14:textId="77777777"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Maclean’s. “Toronto Police Chief on van Attack: ‘The Officer Did a Fantastic Job.’” </w:t>
      </w:r>
      <w:r w:rsidRPr="00A203A6">
        <w:rPr>
          <w:i/>
          <w:iCs/>
          <w:color w:val="000000" w:themeColor="text1"/>
          <w:sz w:val="18"/>
          <w:szCs w:val="18"/>
        </w:rPr>
        <w:t>Macleans.ca</w:t>
      </w:r>
      <w:r w:rsidRPr="00A203A6">
        <w:rPr>
          <w:color w:val="000000" w:themeColor="text1"/>
          <w:sz w:val="18"/>
          <w:szCs w:val="18"/>
        </w:rPr>
        <w:t xml:space="preserve">, April 23, 2018, </w:t>
      </w:r>
      <w:hyperlink r:id="rId13" w:history="1">
        <w:r w:rsidRPr="00A203A6">
          <w:rPr>
            <w:rStyle w:val="Hyperlink"/>
            <w:color w:val="000000" w:themeColor="text1"/>
            <w:sz w:val="18"/>
            <w:szCs w:val="18"/>
          </w:rPr>
          <w:t>https://macleans.ca/news/canada/toronto-police-chief-on-van-attack-the-officer-did-a-fantastic-job</w:t>
        </w:r>
      </w:hyperlink>
      <w:r w:rsidRPr="00A203A6">
        <w:rPr>
          <w:color w:val="000000" w:themeColor="text1"/>
          <w:sz w:val="18"/>
          <w:szCs w:val="18"/>
        </w:rPr>
        <w:t xml:space="preserve">. </w:t>
      </w:r>
    </w:p>
  </w:footnote>
  <w:footnote w:id="424">
    <w:p w14:paraId="55ECF3D2"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Monahan, </w:t>
      </w:r>
      <w:r w:rsidRPr="00A203A6">
        <w:rPr>
          <w:rFonts w:cs="Times New Roman"/>
          <w:i/>
          <w:iCs/>
          <w:color w:val="000000" w:themeColor="text1"/>
          <w:sz w:val="18"/>
          <w:szCs w:val="18"/>
        </w:rPr>
        <w:t>The Shock of the News</w:t>
      </w:r>
      <w:r w:rsidRPr="00A203A6">
        <w:rPr>
          <w:rFonts w:cs="Times New Roman"/>
          <w:color w:val="000000" w:themeColor="text1"/>
          <w:sz w:val="18"/>
          <w:szCs w:val="18"/>
        </w:rPr>
        <w:t>, 36.</w:t>
      </w:r>
    </w:p>
  </w:footnote>
  <w:footnote w:id="425">
    <w:p w14:paraId="7E52A45D"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Monahan, </w:t>
      </w:r>
      <w:r w:rsidRPr="00A203A6">
        <w:rPr>
          <w:rFonts w:cs="Times New Roman"/>
          <w:i/>
          <w:iCs/>
          <w:color w:val="000000" w:themeColor="text1"/>
          <w:sz w:val="18"/>
          <w:szCs w:val="18"/>
        </w:rPr>
        <w:t>The Shock of the News</w:t>
      </w:r>
      <w:r w:rsidRPr="00A203A6">
        <w:rPr>
          <w:rFonts w:cs="Times New Roman"/>
          <w:color w:val="000000" w:themeColor="text1"/>
          <w:sz w:val="18"/>
          <w:szCs w:val="18"/>
        </w:rPr>
        <w:t>, 36-37.</w:t>
      </w:r>
    </w:p>
  </w:footnote>
  <w:footnote w:id="426">
    <w:p w14:paraId="43788543"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“Statement on Incident in Toronto.” New York City Police Department. Accessed April 16, 2024. </w:t>
      </w:r>
      <w:hyperlink r:id="rId14" w:history="1">
        <w:r w:rsidRPr="00A203A6">
          <w:rPr>
            <w:rStyle w:val="Hyperlink"/>
            <w:rFonts w:cs="Times New Roman"/>
            <w:color w:val="000000" w:themeColor="text1"/>
            <w:sz w:val="18"/>
            <w:szCs w:val="18"/>
          </w:rPr>
          <w:t>https://www.nyc.gov/site/nypd/news/s0423/statement-incident-toronto</w:t>
        </w:r>
      </w:hyperlink>
      <w:r w:rsidRPr="00A203A6">
        <w:rPr>
          <w:rFonts w:cs="Times New Roman"/>
          <w:color w:val="000000" w:themeColor="text1"/>
          <w:sz w:val="18"/>
          <w:szCs w:val="18"/>
        </w:rPr>
        <w:t xml:space="preserve">. </w:t>
      </w:r>
    </w:p>
  </w:footnote>
  <w:footnote w:id="427">
    <w:p w14:paraId="019D3063"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i/>
          <w:iCs/>
          <w:color w:val="000000" w:themeColor="text1"/>
          <w:sz w:val="18"/>
          <w:szCs w:val="18"/>
        </w:rPr>
        <w:t>Criminal Code</w:t>
      </w:r>
      <w:r w:rsidRPr="00A203A6">
        <w:rPr>
          <w:rFonts w:cs="Times New Roman"/>
          <w:color w:val="000000" w:themeColor="text1"/>
          <w:sz w:val="18"/>
          <w:szCs w:val="18"/>
        </w:rPr>
        <w:t>, RSC 1985, c C-46 s 83.01</w:t>
      </w:r>
    </w:p>
  </w:footnote>
  <w:footnote w:id="428">
    <w:p w14:paraId="0655FFAA" w14:textId="58EBF696"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hyperlink r:id="rId15" w:history="1">
        <w:r w:rsidRPr="00A203A6">
          <w:rPr>
            <w:rStyle w:val="fn"/>
            <w:rFonts w:cs="Times New Roman"/>
            <w:color w:val="000000" w:themeColor="text1"/>
            <w:sz w:val="18"/>
            <w:szCs w:val="18"/>
            <w:bdr w:val="none" w:sz="0" w:space="0" w:color="auto" w:frame="1"/>
          </w:rPr>
          <w:t>Jack L. Rozdilsky</w:t>
        </w:r>
      </w:hyperlink>
      <w:r w:rsidRPr="00A203A6">
        <w:rPr>
          <w:rFonts w:cs="Times New Roman"/>
          <w:color w:val="000000" w:themeColor="text1"/>
          <w:sz w:val="18"/>
          <w:szCs w:val="18"/>
        </w:rPr>
        <w:t xml:space="preserve"> and Edward Snowden, “</w:t>
      </w:r>
      <w:r w:rsidRPr="00A203A6">
        <w:rPr>
          <w:rStyle w:val="Strong"/>
          <w:rFonts w:cs="Times New Roman"/>
          <w:b w:val="0"/>
          <w:bCs w:val="0"/>
          <w:color w:val="000000" w:themeColor="text1"/>
          <w:sz w:val="18"/>
          <w:szCs w:val="18"/>
          <w:bdr w:val="none" w:sz="0" w:space="0" w:color="auto" w:frame="1"/>
          <w:shd w:val="clear" w:color="auto" w:fill="FFFFFF"/>
        </w:rPr>
        <w:t>Toronto van attack: Guilty verdict, but Canada still needs to tackle ideological violence</w:t>
      </w:r>
      <w:r w:rsidRPr="00A203A6">
        <w:rPr>
          <w:rFonts w:cs="Times New Roman"/>
          <w:color w:val="000000" w:themeColor="text1"/>
          <w:sz w:val="18"/>
          <w:szCs w:val="18"/>
        </w:rPr>
        <w:t xml:space="preserve">,” </w:t>
      </w:r>
      <w:r w:rsidRPr="00A203A6">
        <w:rPr>
          <w:rFonts w:cs="Times New Roman"/>
          <w:i/>
          <w:iCs/>
          <w:color w:val="000000" w:themeColor="text1"/>
          <w:sz w:val="18"/>
          <w:szCs w:val="18"/>
        </w:rPr>
        <w:t>The Conversation</w:t>
      </w:r>
      <w:r w:rsidRPr="00A203A6">
        <w:rPr>
          <w:rFonts w:cs="Times New Roman"/>
          <w:color w:val="000000" w:themeColor="text1"/>
          <w:sz w:val="18"/>
          <w:szCs w:val="18"/>
        </w:rPr>
        <w:t xml:space="preserve">, March 4, 2021, </w:t>
      </w:r>
      <w:hyperlink r:id="rId16" w:history="1">
        <w:r w:rsidRPr="00A203A6">
          <w:rPr>
            <w:rStyle w:val="Hyperlink"/>
            <w:rFonts w:cs="Times New Roman"/>
            <w:color w:val="000000" w:themeColor="text1"/>
            <w:sz w:val="18"/>
            <w:szCs w:val="18"/>
          </w:rPr>
          <w:t>https://theconversation.com/toronto-van-attack-guilty-verdict-but-canada-still-needs-to-tackle-ideological-violence-156452</w:t>
        </w:r>
      </w:hyperlink>
      <w:r w:rsidRPr="00A203A6">
        <w:rPr>
          <w:rFonts w:cs="Times New Roman"/>
          <w:color w:val="000000" w:themeColor="text1"/>
          <w:sz w:val="18"/>
          <w:szCs w:val="18"/>
        </w:rPr>
        <w:t>.</w:t>
      </w:r>
    </w:p>
  </w:footnote>
  <w:footnote w:id="429">
    <w:p w14:paraId="2C3DCAFE"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i/>
          <w:iCs/>
          <w:color w:val="000000" w:themeColor="text1"/>
          <w:sz w:val="18"/>
          <w:szCs w:val="18"/>
        </w:rPr>
        <w:t>Anti-Terrorism Act</w:t>
      </w:r>
      <w:r w:rsidRPr="00A203A6">
        <w:rPr>
          <w:rFonts w:cs="Times New Roman"/>
          <w:color w:val="000000" w:themeColor="text1"/>
          <w:sz w:val="18"/>
          <w:szCs w:val="18"/>
        </w:rPr>
        <w:t>, SC 2001, c 41</w:t>
      </w:r>
    </w:p>
  </w:footnote>
  <w:footnote w:id="430">
    <w:p w14:paraId="59A1340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Nick </w:t>
      </w:r>
      <w:proofErr w:type="spellStart"/>
      <w:r w:rsidRPr="00A203A6">
        <w:rPr>
          <w:rFonts w:cs="Times New Roman"/>
          <w:color w:val="000000" w:themeColor="text1"/>
          <w:sz w:val="18"/>
          <w:szCs w:val="18"/>
        </w:rPr>
        <w:t>Westoll</w:t>
      </w:r>
      <w:proofErr w:type="spellEnd"/>
      <w:r w:rsidRPr="00A203A6">
        <w:rPr>
          <w:rFonts w:cs="Times New Roman"/>
          <w:color w:val="000000" w:themeColor="text1"/>
          <w:sz w:val="18"/>
          <w:szCs w:val="18"/>
        </w:rPr>
        <w:t xml:space="preserve">, “17-year-old charged with 1st-degree murder after stabbing at Toronto massage parlour,” </w:t>
      </w:r>
      <w:r w:rsidRPr="00A203A6">
        <w:rPr>
          <w:rFonts w:cs="Times New Roman"/>
          <w:i/>
          <w:iCs/>
          <w:color w:val="000000" w:themeColor="text1"/>
          <w:sz w:val="18"/>
          <w:szCs w:val="18"/>
        </w:rPr>
        <w:t>Global News</w:t>
      </w:r>
      <w:r w:rsidRPr="00A203A6">
        <w:rPr>
          <w:rFonts w:cs="Times New Roman"/>
          <w:color w:val="000000" w:themeColor="text1"/>
          <w:sz w:val="18"/>
          <w:szCs w:val="18"/>
        </w:rPr>
        <w:t xml:space="preserve">, February 25, 2020, </w:t>
      </w:r>
      <w:hyperlink r:id="rId17" w:history="1">
        <w:r w:rsidRPr="00A203A6">
          <w:rPr>
            <w:rStyle w:val="Hyperlink"/>
            <w:rFonts w:cs="Times New Roman"/>
            <w:color w:val="000000" w:themeColor="text1"/>
            <w:sz w:val="18"/>
            <w:szCs w:val="18"/>
          </w:rPr>
          <w:t>https://globalnews.ca/news/6595156/ashley-noell-arzaga-murder-charges-laid/</w:t>
        </w:r>
      </w:hyperlink>
      <w:r w:rsidRPr="00A203A6">
        <w:rPr>
          <w:rFonts w:cs="Times New Roman"/>
          <w:color w:val="000000" w:themeColor="text1"/>
          <w:sz w:val="18"/>
          <w:szCs w:val="18"/>
        </w:rPr>
        <w:t>.</w:t>
      </w:r>
    </w:p>
  </w:footnote>
  <w:footnote w:id="431">
    <w:p w14:paraId="185571C8"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Nick Boisvert, “Homicide at Toronto massage parlour was an act of incel terrorism, police say,” </w:t>
      </w:r>
      <w:r w:rsidRPr="00A203A6">
        <w:rPr>
          <w:rFonts w:cs="Times New Roman"/>
          <w:i/>
          <w:iCs/>
          <w:color w:val="000000" w:themeColor="text1"/>
          <w:sz w:val="18"/>
          <w:szCs w:val="18"/>
          <w:lang w:val="en"/>
        </w:rPr>
        <w:t xml:space="preserve">Canadian Broadcasting Corporation (CBC), </w:t>
      </w:r>
      <w:r w:rsidRPr="00A203A6">
        <w:rPr>
          <w:rFonts w:cs="Times New Roman"/>
          <w:color w:val="000000" w:themeColor="text1"/>
          <w:sz w:val="18"/>
          <w:szCs w:val="18"/>
          <w:lang w:val="en"/>
        </w:rPr>
        <w:t xml:space="preserve">May 19, 2020, </w:t>
      </w:r>
      <w:hyperlink r:id="rId18" w:history="1">
        <w:r w:rsidRPr="00A203A6">
          <w:rPr>
            <w:rStyle w:val="Hyperlink"/>
            <w:rFonts w:cs="Times New Roman"/>
            <w:color w:val="000000" w:themeColor="text1"/>
            <w:sz w:val="18"/>
            <w:szCs w:val="18"/>
            <w:lang w:val="en"/>
          </w:rPr>
          <w:t>https://www.cbc.ca/news/canada/toronto/incel-terrorism-massage-parlour-1.5575689</w:t>
        </w:r>
      </w:hyperlink>
      <w:r w:rsidRPr="00A203A6">
        <w:rPr>
          <w:rFonts w:cs="Times New Roman"/>
          <w:color w:val="000000" w:themeColor="text1"/>
          <w:sz w:val="18"/>
          <w:szCs w:val="18"/>
          <w:lang w:val="en"/>
        </w:rPr>
        <w:t xml:space="preserve">.  </w:t>
      </w:r>
    </w:p>
  </w:footnote>
  <w:footnote w:id="432">
    <w:p w14:paraId="20FACC3E" w14:textId="77777777" w:rsidR="002915BC" w:rsidRPr="00A203A6" w:rsidRDefault="002915BC" w:rsidP="00787EBB">
      <w:pPr>
        <w:pStyle w:val="Heading1"/>
        <w:spacing w:before="0" w:beforeAutospacing="0" w:after="80" w:afterAutospacing="0"/>
        <w:rPr>
          <w:b w:val="0"/>
          <w:bCs w:val="0"/>
          <w:color w:val="000000" w:themeColor="text1"/>
          <w:sz w:val="18"/>
          <w:szCs w:val="18"/>
          <w:lang w:val="en" w:bidi="ar-SA"/>
        </w:rPr>
      </w:pPr>
      <w:r w:rsidRPr="00A203A6">
        <w:rPr>
          <w:rStyle w:val="FootnoteReference"/>
          <w:b w:val="0"/>
          <w:bCs w:val="0"/>
          <w:color w:val="000000" w:themeColor="text1"/>
          <w:sz w:val="18"/>
          <w:szCs w:val="18"/>
        </w:rPr>
        <w:footnoteRef/>
      </w:r>
      <w:r w:rsidRPr="00A203A6">
        <w:rPr>
          <w:b w:val="0"/>
          <w:bCs w:val="0"/>
          <w:color w:val="000000" w:themeColor="text1"/>
          <w:sz w:val="18"/>
          <w:szCs w:val="18"/>
        </w:rPr>
        <w:t xml:space="preserve"> The Canadian Press, “</w:t>
      </w:r>
      <w:r w:rsidRPr="00A203A6">
        <w:rPr>
          <w:b w:val="0"/>
          <w:bCs w:val="0"/>
          <w:color w:val="000000" w:themeColor="text1"/>
          <w:sz w:val="18"/>
          <w:szCs w:val="18"/>
          <w:lang w:val="en" w:bidi="ar-SA"/>
        </w:rPr>
        <w:t xml:space="preserve">Man guilty of incel-inspired terror attack on Toronto spa apologizes to victims,” </w:t>
      </w:r>
      <w:r w:rsidRPr="00A203A6">
        <w:rPr>
          <w:b w:val="0"/>
          <w:bCs w:val="0"/>
          <w:i/>
          <w:iCs/>
          <w:color w:val="000000" w:themeColor="text1"/>
          <w:sz w:val="18"/>
          <w:szCs w:val="18"/>
          <w:lang w:val="en" w:bidi="ar-SA"/>
        </w:rPr>
        <w:t xml:space="preserve">Canadian Broadcasting Corporation (CBC), </w:t>
      </w:r>
      <w:r w:rsidRPr="00A203A6">
        <w:rPr>
          <w:b w:val="0"/>
          <w:bCs w:val="0"/>
          <w:color w:val="000000" w:themeColor="text1"/>
          <w:sz w:val="18"/>
          <w:szCs w:val="18"/>
          <w:lang w:val="en" w:bidi="ar-SA"/>
        </w:rPr>
        <w:t>October 12, 2021,</w:t>
      </w:r>
      <w:r w:rsidRPr="00A203A6">
        <w:rPr>
          <w:b w:val="0"/>
          <w:bCs w:val="0"/>
          <w:color w:val="000000" w:themeColor="text1"/>
          <w:sz w:val="18"/>
          <w:szCs w:val="18"/>
        </w:rPr>
        <w:t xml:space="preserve"> </w:t>
      </w:r>
      <w:hyperlink r:id="rId19" w:history="1">
        <w:r w:rsidRPr="00A203A6">
          <w:rPr>
            <w:rStyle w:val="Hyperlink"/>
            <w:b w:val="0"/>
            <w:bCs w:val="0"/>
            <w:color w:val="000000" w:themeColor="text1"/>
            <w:sz w:val="18"/>
            <w:szCs w:val="18"/>
            <w:lang w:val="en" w:bidi="ar-SA"/>
          </w:rPr>
          <w:t>https://www.cbc.ca/news/canada/toronto/toronto-incel-spa-attack-court-1.6994063</w:t>
        </w:r>
      </w:hyperlink>
      <w:r w:rsidRPr="00A203A6">
        <w:rPr>
          <w:b w:val="0"/>
          <w:bCs w:val="0"/>
          <w:color w:val="000000" w:themeColor="text1"/>
          <w:sz w:val="18"/>
          <w:szCs w:val="18"/>
          <w:lang w:val="en" w:bidi="ar-SA"/>
        </w:rPr>
        <w:t xml:space="preserve">. </w:t>
      </w:r>
    </w:p>
  </w:footnote>
  <w:footnote w:id="433">
    <w:p w14:paraId="507A1E0B" w14:textId="61C378BA"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hyperlink r:id="rId20" w:history="1">
        <w:r w:rsidRPr="00A203A6">
          <w:rPr>
            <w:rStyle w:val="fn"/>
            <w:rFonts w:cs="Times New Roman"/>
            <w:color w:val="000000" w:themeColor="text1"/>
            <w:sz w:val="18"/>
            <w:szCs w:val="18"/>
            <w:bdr w:val="none" w:sz="0" w:space="0" w:color="auto" w:frame="1"/>
          </w:rPr>
          <w:t>Jack L. Rozdilsky</w:t>
        </w:r>
      </w:hyperlink>
      <w:r w:rsidRPr="00A203A6">
        <w:rPr>
          <w:rFonts w:cs="Times New Roman"/>
          <w:color w:val="000000" w:themeColor="text1"/>
          <w:sz w:val="18"/>
          <w:szCs w:val="18"/>
        </w:rPr>
        <w:t xml:space="preserve"> and Edward Snowden, “</w:t>
      </w:r>
      <w:r w:rsidRPr="00A203A6">
        <w:rPr>
          <w:rStyle w:val="Strong"/>
          <w:rFonts w:cs="Times New Roman"/>
          <w:b w:val="0"/>
          <w:bCs w:val="0"/>
          <w:color w:val="000000" w:themeColor="text1"/>
          <w:sz w:val="18"/>
          <w:szCs w:val="18"/>
          <w:bdr w:val="none" w:sz="0" w:space="0" w:color="auto" w:frame="1"/>
          <w:shd w:val="clear" w:color="auto" w:fill="FFFFFF"/>
        </w:rPr>
        <w:t>Toronto van attack: Guilty verdict, but Canada still needs to tackle ideological violence</w:t>
      </w:r>
      <w:r w:rsidRPr="00A203A6">
        <w:rPr>
          <w:rFonts w:cs="Times New Roman"/>
          <w:b/>
          <w:bCs/>
          <w:color w:val="000000" w:themeColor="text1"/>
          <w:sz w:val="18"/>
          <w:szCs w:val="18"/>
        </w:rPr>
        <w:t>,</w:t>
      </w:r>
      <w:r w:rsidRPr="00A203A6">
        <w:rPr>
          <w:rFonts w:cs="Times New Roman"/>
          <w:color w:val="000000" w:themeColor="text1"/>
          <w:sz w:val="18"/>
          <w:szCs w:val="18"/>
        </w:rPr>
        <w:t xml:space="preserve">” </w:t>
      </w:r>
      <w:r w:rsidRPr="00A203A6">
        <w:rPr>
          <w:rFonts w:cs="Times New Roman"/>
          <w:i/>
          <w:iCs/>
          <w:color w:val="000000" w:themeColor="text1"/>
          <w:sz w:val="18"/>
          <w:szCs w:val="18"/>
        </w:rPr>
        <w:t>The Conversation</w:t>
      </w:r>
      <w:r w:rsidRPr="00A203A6">
        <w:rPr>
          <w:rFonts w:cs="Times New Roman"/>
          <w:color w:val="000000" w:themeColor="text1"/>
          <w:sz w:val="18"/>
          <w:szCs w:val="18"/>
        </w:rPr>
        <w:t xml:space="preserve">, March 4, 2021, </w:t>
      </w:r>
      <w:hyperlink r:id="rId21" w:history="1">
        <w:r w:rsidR="00873EF9" w:rsidRPr="00A203A6">
          <w:rPr>
            <w:rStyle w:val="Hyperlink"/>
            <w:rFonts w:cs="Times New Roman"/>
            <w:color w:val="000000" w:themeColor="text1"/>
            <w:sz w:val="18"/>
            <w:szCs w:val="18"/>
          </w:rPr>
          <w:t>https://theconversation.com/toronto-van-attack-guilty-verdict-but-canada-still-needs-to-tackle-ideological-violence-156452.</w:t>
        </w:r>
      </w:hyperlink>
      <w:r w:rsidR="000F1AFA" w:rsidRPr="00A203A6">
        <w:rPr>
          <w:rFonts w:cs="Times New Roman"/>
          <w:color w:val="000000" w:themeColor="text1"/>
          <w:sz w:val="18"/>
          <w:szCs w:val="18"/>
        </w:rPr>
        <w:t xml:space="preserve"> </w:t>
      </w:r>
    </w:p>
  </w:footnote>
  <w:footnote w:id="434">
    <w:p w14:paraId="043A5E33" w14:textId="7ED7642F" w:rsidR="002D7823" w:rsidRPr="00A203A6" w:rsidRDefault="002D7823" w:rsidP="00787EBB">
      <w:pPr>
        <w:pStyle w:val="NormalWeb"/>
        <w:spacing w:before="0" w:beforeAutospacing="0" w:after="80" w:afterAutospacing="0"/>
        <w:rPr>
          <w:sz w:val="18"/>
          <w:szCs w:val="18"/>
        </w:rPr>
      </w:pPr>
      <w:r w:rsidRPr="00A203A6">
        <w:rPr>
          <w:rStyle w:val="FootnoteReference"/>
          <w:color w:val="000000" w:themeColor="text1"/>
          <w:sz w:val="18"/>
          <w:szCs w:val="18"/>
        </w:rPr>
        <w:footnoteRef/>
      </w:r>
      <w:r w:rsidRPr="00A203A6">
        <w:rPr>
          <w:color w:val="000000" w:themeColor="text1"/>
          <w:sz w:val="18"/>
          <w:szCs w:val="18"/>
        </w:rPr>
        <w:t xml:space="preserve"> </w:t>
      </w:r>
      <w:proofErr w:type="spellStart"/>
      <w:r w:rsidRPr="00A203A6">
        <w:rPr>
          <w:color w:val="000000" w:themeColor="text1"/>
          <w:sz w:val="18"/>
          <w:szCs w:val="18"/>
        </w:rPr>
        <w:t>Nikhilesh</w:t>
      </w:r>
      <w:proofErr w:type="spellEnd"/>
      <w:r w:rsidRPr="00A203A6">
        <w:rPr>
          <w:color w:val="000000" w:themeColor="text1"/>
          <w:sz w:val="18"/>
          <w:szCs w:val="18"/>
        </w:rPr>
        <w:t xml:space="preserve"> Dholakia and Ian Reyes, “Media, markets and violence.” </w:t>
      </w:r>
      <w:r w:rsidRPr="00A203A6">
        <w:rPr>
          <w:i/>
          <w:iCs/>
          <w:color w:val="000000" w:themeColor="text1"/>
          <w:sz w:val="18"/>
          <w:szCs w:val="18"/>
        </w:rPr>
        <w:t>Journal of Marketing Management</w:t>
      </w:r>
      <w:r w:rsidRPr="00A203A6">
        <w:rPr>
          <w:color w:val="000000" w:themeColor="text1"/>
          <w:sz w:val="18"/>
          <w:szCs w:val="18"/>
        </w:rPr>
        <w:t>, 34 (2018): 103</w:t>
      </w:r>
      <w:r w:rsidR="00A30B2C" w:rsidRPr="00A203A6">
        <w:rPr>
          <w:color w:val="000000" w:themeColor="text1"/>
          <w:sz w:val="18"/>
          <w:szCs w:val="18"/>
        </w:rPr>
        <w:t>5</w:t>
      </w:r>
      <w:r w:rsidRPr="00A203A6">
        <w:rPr>
          <w:color w:val="000000" w:themeColor="text1"/>
          <w:sz w:val="18"/>
          <w:szCs w:val="18"/>
        </w:rPr>
        <w:t>. Also see Brad</w:t>
      </w:r>
      <w:r w:rsidRPr="00A203A6">
        <w:rPr>
          <w:sz w:val="18"/>
          <w:szCs w:val="18"/>
        </w:rPr>
        <w:t xml:space="preserve"> Evans and Henry A. Giroux, </w:t>
      </w:r>
      <w:r w:rsidRPr="00A203A6">
        <w:rPr>
          <w:i/>
          <w:iCs/>
          <w:sz w:val="18"/>
          <w:szCs w:val="18"/>
        </w:rPr>
        <w:t>Disposable Futures.</w:t>
      </w:r>
      <w:r w:rsidRPr="00A203A6">
        <w:rPr>
          <w:sz w:val="18"/>
          <w:szCs w:val="18"/>
        </w:rPr>
        <w:t xml:space="preserve"> (San Francisco, CA: City Lights Books, 2015); Ian G.R. Shaw, “Playing war.” Social &amp; Cultural Geography, 11, no. 8 (2010), 789–803.</w:t>
      </w:r>
    </w:p>
  </w:footnote>
  <w:footnote w:id="435">
    <w:p w14:paraId="77DF7CAF"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4, “Legitimacy” (Pages 70-82, specifically Page 70-74).</w:t>
      </w:r>
    </w:p>
  </w:footnote>
  <w:footnote w:id="436">
    <w:p w14:paraId="53BF4CF8"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i/>
          <w:iCs/>
          <w:color w:val="000000" w:themeColor="text1"/>
          <w:sz w:val="18"/>
          <w:szCs w:val="18"/>
        </w:rPr>
        <w:t xml:space="preserve">Legality </w:t>
      </w:r>
      <w:r w:rsidRPr="00A203A6">
        <w:rPr>
          <w:rFonts w:cs="Times New Roman"/>
          <w:color w:val="000000" w:themeColor="text1"/>
          <w:sz w:val="18"/>
          <w:szCs w:val="18"/>
        </w:rPr>
        <w:t xml:space="preserve">refers to the recognition of the validity of rules (that the legitimate entity supports or endeavors to impose on its subordinates). </w:t>
      </w:r>
      <w:r w:rsidRPr="00A203A6">
        <w:rPr>
          <w:rFonts w:cs="Times New Roman"/>
          <w:i/>
          <w:iCs/>
          <w:color w:val="000000" w:themeColor="text1"/>
          <w:sz w:val="18"/>
          <w:szCs w:val="18"/>
        </w:rPr>
        <w:t xml:space="preserve"> Justification,</w:t>
      </w:r>
      <w:r w:rsidRPr="00A203A6">
        <w:rPr>
          <w:rFonts w:cs="Times New Roman"/>
          <w:color w:val="000000" w:themeColor="text1"/>
          <w:sz w:val="18"/>
          <w:szCs w:val="18"/>
        </w:rPr>
        <w:t xml:space="preserve"> refers to the “generalized perception of the assumption that the actions of an entity are desirable, proper, or appropriate within some socially constructed system of norms, values, beliefs, and definitions.</w:t>
      </w:r>
      <w:r w:rsidRPr="00A203A6">
        <w:rPr>
          <w:rFonts w:cs="Times New Roman"/>
          <w:i/>
          <w:iCs/>
          <w:color w:val="000000" w:themeColor="text1"/>
          <w:sz w:val="18"/>
          <w:szCs w:val="18"/>
        </w:rPr>
        <w:t xml:space="preserve"> Consent</w:t>
      </w:r>
      <w:r w:rsidRPr="00A203A6">
        <w:rPr>
          <w:rFonts w:cs="Times New Roman"/>
          <w:color w:val="000000" w:themeColor="text1"/>
          <w:sz w:val="18"/>
          <w:szCs w:val="18"/>
        </w:rPr>
        <w:t xml:space="preserve"> refers to subordinate (constituent) actions that indicate its acceptance of the dominant’s “right to rule.” (In other words, “the extent to which [constituents’ acceptance of its governors’ “right to rule” is] confirmed in practices demonstrating compliance.”)  (Craig Matheson, “Weber and the Classification of Forms of Legitimacy,” </w:t>
      </w:r>
      <w:r w:rsidRPr="00A203A6">
        <w:rPr>
          <w:rFonts w:cs="Times New Roman"/>
          <w:i/>
          <w:iCs/>
          <w:color w:val="000000" w:themeColor="text1"/>
          <w:sz w:val="18"/>
          <w:szCs w:val="18"/>
        </w:rPr>
        <w:t>The British Journal of Sociology</w:t>
      </w:r>
      <w:r w:rsidRPr="00A203A6">
        <w:rPr>
          <w:rFonts w:cs="Times New Roman"/>
          <w:color w:val="000000" w:themeColor="text1"/>
          <w:sz w:val="18"/>
          <w:szCs w:val="18"/>
        </w:rPr>
        <w:t xml:space="preserve"> 38, no. 2 (1987): 209-210; Mark C. </w:t>
      </w:r>
      <w:proofErr w:type="spellStart"/>
      <w:r w:rsidRPr="00A203A6">
        <w:rPr>
          <w:rFonts w:cs="Times New Roman"/>
          <w:color w:val="000000" w:themeColor="text1"/>
          <w:sz w:val="18"/>
          <w:szCs w:val="18"/>
        </w:rPr>
        <w:t>Suchman</w:t>
      </w:r>
      <w:proofErr w:type="spellEnd"/>
      <w:r w:rsidRPr="00A203A6">
        <w:rPr>
          <w:rFonts w:cs="Times New Roman"/>
          <w:color w:val="000000" w:themeColor="text1"/>
          <w:sz w:val="18"/>
          <w:szCs w:val="18"/>
        </w:rPr>
        <w:t xml:space="preserve">. “Managing Legitimacy: Strategic and Institutional Approaches.” </w:t>
      </w:r>
      <w:r w:rsidRPr="00A203A6">
        <w:rPr>
          <w:rFonts w:cs="Times New Roman"/>
          <w:i/>
          <w:iCs/>
          <w:color w:val="000000" w:themeColor="text1"/>
          <w:sz w:val="18"/>
          <w:szCs w:val="18"/>
        </w:rPr>
        <w:t>Academy of Management Review</w:t>
      </w:r>
      <w:r w:rsidRPr="00A203A6">
        <w:rPr>
          <w:rFonts w:cs="Times New Roman"/>
          <w:color w:val="000000" w:themeColor="text1"/>
          <w:sz w:val="18"/>
          <w:szCs w:val="18"/>
        </w:rPr>
        <w:t xml:space="preserve"> 20, no. 3 (1995): 571-610; Ian Clark. “International Legitimacy.” In Ian Clark. </w:t>
      </w:r>
      <w:r w:rsidRPr="00A203A6">
        <w:rPr>
          <w:rFonts w:cs="Times New Roman"/>
          <w:i/>
          <w:iCs/>
          <w:color w:val="000000" w:themeColor="text1"/>
          <w:sz w:val="18"/>
          <w:szCs w:val="18"/>
        </w:rPr>
        <w:t xml:space="preserve">Legitimacy in International Society </w:t>
      </w:r>
      <w:r w:rsidRPr="00A203A6">
        <w:rPr>
          <w:rFonts w:cs="Times New Roman"/>
          <w:color w:val="000000" w:themeColor="text1"/>
          <w:sz w:val="18"/>
          <w:szCs w:val="18"/>
        </w:rPr>
        <w:t xml:space="preserve">(Oxford: Oxford University Press, 2007): 12; David Beetham. </w:t>
      </w:r>
      <w:r w:rsidRPr="00A203A6">
        <w:rPr>
          <w:rFonts w:cs="Times New Roman"/>
          <w:i/>
          <w:iCs/>
          <w:color w:val="000000" w:themeColor="text1"/>
          <w:sz w:val="18"/>
          <w:szCs w:val="18"/>
        </w:rPr>
        <w:t>The Legitimation of Power.</w:t>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Houndsmill</w:t>
      </w:r>
      <w:proofErr w:type="spellEnd"/>
      <w:r w:rsidRPr="00A203A6">
        <w:rPr>
          <w:rFonts w:cs="Times New Roman"/>
          <w:color w:val="000000" w:themeColor="text1"/>
          <w:sz w:val="18"/>
          <w:szCs w:val="18"/>
        </w:rPr>
        <w:t>, Basingstoke, Hampshire: Macmillan Education, 1991): 15-16.); See Chapter 4, “Legitimacy” (Pages 70-82).</w:t>
      </w:r>
    </w:p>
  </w:footnote>
  <w:footnote w:id="437">
    <w:p w14:paraId="6CF8A89F"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Ayşe Zarakol, “What Makes Terrorism Modern? Terrorism, Legitimacy, and the International System.” </w:t>
      </w:r>
      <w:r w:rsidRPr="00A203A6">
        <w:rPr>
          <w:rFonts w:cs="Times New Roman"/>
          <w:i/>
          <w:color w:val="000000" w:themeColor="text1"/>
          <w:sz w:val="18"/>
          <w:szCs w:val="18"/>
        </w:rPr>
        <w:t>Review of International Studies</w:t>
      </w:r>
      <w:r w:rsidRPr="00A203A6">
        <w:rPr>
          <w:rFonts w:cs="Times New Roman"/>
          <w:color w:val="000000" w:themeColor="text1"/>
          <w:sz w:val="18"/>
          <w:szCs w:val="18"/>
        </w:rPr>
        <w:t xml:space="preserve"> 37, no. 5 (2011): 2311-2336.</w:t>
      </w:r>
    </w:p>
  </w:footnote>
  <w:footnote w:id="438">
    <w:p w14:paraId="1A69D67F"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Roland Robertson, “After Nostalgia? Wilful Nostalgia and the Phases of Globalization” in Bryan Turner (ed.), </w:t>
      </w:r>
      <w:r w:rsidRPr="00A203A6">
        <w:rPr>
          <w:rFonts w:cs="Times New Roman"/>
          <w:i/>
          <w:iCs/>
          <w:color w:val="000000" w:themeColor="text1"/>
          <w:sz w:val="18"/>
          <w:szCs w:val="18"/>
        </w:rPr>
        <w:t xml:space="preserve">Theories of Modernity and Postmodernity </w:t>
      </w:r>
      <w:r w:rsidRPr="00A203A6">
        <w:rPr>
          <w:rFonts w:cs="Times New Roman"/>
          <w:color w:val="000000" w:themeColor="text1"/>
          <w:sz w:val="18"/>
          <w:szCs w:val="18"/>
        </w:rPr>
        <w:t xml:space="preserve">(London: Sage, 1990): 45-61; Weber, </w:t>
      </w:r>
      <w:r w:rsidRPr="00A203A6">
        <w:rPr>
          <w:rFonts w:cs="Times New Roman"/>
          <w:i/>
          <w:iCs/>
          <w:color w:val="000000" w:themeColor="text1"/>
          <w:sz w:val="18"/>
          <w:szCs w:val="18"/>
        </w:rPr>
        <w:t>Weber’s Rationalism and Modern Society</w:t>
      </w:r>
      <w:r w:rsidRPr="00A203A6">
        <w:rPr>
          <w:rFonts w:cs="Times New Roman"/>
          <w:color w:val="000000" w:themeColor="text1"/>
          <w:sz w:val="18"/>
          <w:szCs w:val="18"/>
        </w:rPr>
        <w:t>, 129-198.</w:t>
      </w:r>
    </w:p>
  </w:footnote>
  <w:footnote w:id="439">
    <w:p w14:paraId="69568DFE" w14:textId="28DD0462"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Yiwei</w:t>
      </w:r>
      <w:proofErr w:type="spellEnd"/>
      <w:r w:rsidRPr="00A203A6">
        <w:rPr>
          <w:rFonts w:cs="Times New Roman"/>
          <w:color w:val="000000" w:themeColor="text1"/>
          <w:sz w:val="18"/>
          <w:szCs w:val="18"/>
        </w:rPr>
        <w:t xml:space="preserve"> Luo, Dallas Card, and Dan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xml:space="preserve">, “Detecting Stance in Media on Global Warming.” </w:t>
      </w:r>
      <w:r w:rsidRPr="00A203A6">
        <w:rPr>
          <w:rFonts w:cs="Times New Roman"/>
          <w:i/>
          <w:iCs/>
          <w:color w:val="000000" w:themeColor="text1"/>
          <w:sz w:val="18"/>
          <w:szCs w:val="18"/>
        </w:rPr>
        <w:t>Findings of the Association for Computational Linguistics: EMNLP 2020</w:t>
      </w:r>
      <w:r w:rsidRPr="00A203A6">
        <w:rPr>
          <w:rFonts w:cs="Times New Roman"/>
          <w:color w:val="000000" w:themeColor="text1"/>
          <w:sz w:val="18"/>
          <w:szCs w:val="18"/>
        </w:rPr>
        <w:t xml:space="preserve">: 3296-3315. Also see Appendix </w:t>
      </w:r>
      <w:r w:rsidR="002D25A7">
        <w:rPr>
          <w:rFonts w:cs="Times New Roman"/>
          <w:color w:val="000000" w:themeColor="text1"/>
          <w:sz w:val="18"/>
          <w:szCs w:val="18"/>
        </w:rPr>
        <w:t>E</w:t>
      </w:r>
      <w:r w:rsidRPr="00A203A6">
        <w:rPr>
          <w:rFonts w:cs="Times New Roman"/>
          <w:color w:val="000000" w:themeColor="text1"/>
          <w:sz w:val="18"/>
          <w:szCs w:val="18"/>
        </w:rPr>
        <w:t xml:space="preserve"> for the full dictionary of bias indicators I derive from Luo, Card, and </w:t>
      </w:r>
      <w:proofErr w:type="spellStart"/>
      <w:r w:rsidRPr="00A203A6">
        <w:rPr>
          <w:rFonts w:cs="Times New Roman"/>
          <w:color w:val="000000" w:themeColor="text1"/>
          <w:sz w:val="18"/>
          <w:szCs w:val="18"/>
        </w:rPr>
        <w:t>Jurafsky’s</w:t>
      </w:r>
      <w:proofErr w:type="spellEnd"/>
      <w:r w:rsidRPr="00A203A6">
        <w:rPr>
          <w:rFonts w:cs="Times New Roman"/>
          <w:color w:val="000000" w:themeColor="text1"/>
          <w:sz w:val="18"/>
          <w:szCs w:val="18"/>
        </w:rPr>
        <w:t xml:space="preserve"> research.</w:t>
      </w:r>
    </w:p>
  </w:footnote>
  <w:footnote w:id="440">
    <w:p w14:paraId="38922A88"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al. </w:t>
      </w:r>
      <w:proofErr w:type="gramStart"/>
      <w:r w:rsidRPr="00A203A6">
        <w:rPr>
          <w:rFonts w:cs="Times New Roman"/>
          <w:color w:val="000000" w:themeColor="text1"/>
          <w:sz w:val="18"/>
          <w:szCs w:val="18"/>
        </w:rPr>
        <w:t>conceive</w:t>
      </w:r>
      <w:proofErr w:type="gramEnd"/>
      <w:r w:rsidRPr="00A203A6">
        <w:rPr>
          <w:rFonts w:cs="Times New Roman"/>
          <w:color w:val="000000" w:themeColor="text1"/>
          <w:sz w:val="18"/>
          <w:szCs w:val="18"/>
        </w:rPr>
        <w:t xml:space="preserve"> of epistemological bias as “involving propositions that are either commonly agreed to be true or commonly agreed to be false and that are subtly presupposed, entailed, asserted or hedged in the text.” Factive and semi-factive verbs (and conversely, neg-factive verbs), entailments, hedges, and terms that focus on the quality or quantity of evidence are indicative of epistemological bias. In this context, hedges are “the expression of “tentativeness and possibility” in communication, or, to put it another way, language corresponding to “the writer withholding full commitment to statements.” (Marta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Cristian </w:t>
      </w:r>
      <w:proofErr w:type="spellStart"/>
      <w:r w:rsidRPr="00A203A6">
        <w:rPr>
          <w:rFonts w:cs="Times New Roman"/>
          <w:color w:val="000000" w:themeColor="text1"/>
          <w:sz w:val="18"/>
          <w:szCs w:val="18"/>
        </w:rPr>
        <w:t>Danescu</w:t>
      </w:r>
      <w:proofErr w:type="spellEnd"/>
      <w:r w:rsidRPr="00A203A6">
        <w:rPr>
          <w:rFonts w:cs="Times New Roman"/>
          <w:color w:val="000000" w:themeColor="text1"/>
          <w:sz w:val="18"/>
          <w:szCs w:val="18"/>
        </w:rPr>
        <w:t>-Niculescu-</w:t>
      </w:r>
      <w:proofErr w:type="spellStart"/>
      <w:r w:rsidRPr="00A203A6">
        <w:rPr>
          <w:rFonts w:cs="Times New Roman"/>
          <w:color w:val="000000" w:themeColor="text1"/>
          <w:sz w:val="18"/>
          <w:szCs w:val="18"/>
        </w:rPr>
        <w:t>Mizil</w:t>
      </w:r>
      <w:proofErr w:type="spellEnd"/>
      <w:r w:rsidRPr="00A203A6">
        <w:rPr>
          <w:rFonts w:cs="Times New Roman"/>
          <w:color w:val="000000" w:themeColor="text1"/>
          <w:sz w:val="18"/>
          <w:szCs w:val="18"/>
        </w:rPr>
        <w:t xml:space="preserve">, and Dan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xml:space="preserve">, “Linguistic Models for Analyzing and Detecting Biased Language.” </w:t>
      </w:r>
      <w:r w:rsidRPr="00A203A6">
        <w:rPr>
          <w:rFonts w:cs="Times New Roman"/>
          <w:i/>
          <w:iCs/>
          <w:color w:val="000000" w:themeColor="text1"/>
          <w:sz w:val="18"/>
          <w:szCs w:val="18"/>
        </w:rPr>
        <w:t>Proceedings of the 51</w:t>
      </w:r>
      <w:r w:rsidRPr="00A203A6">
        <w:rPr>
          <w:rFonts w:cs="Times New Roman"/>
          <w:i/>
          <w:iCs/>
          <w:color w:val="000000" w:themeColor="text1"/>
          <w:sz w:val="18"/>
          <w:szCs w:val="18"/>
          <w:vertAlign w:val="superscript"/>
        </w:rPr>
        <w:t>st</w:t>
      </w:r>
      <w:r w:rsidRPr="00A203A6">
        <w:rPr>
          <w:rFonts w:cs="Times New Roman"/>
          <w:i/>
          <w:iCs/>
          <w:color w:val="000000" w:themeColor="text1"/>
          <w:sz w:val="18"/>
          <w:szCs w:val="18"/>
        </w:rPr>
        <w:t xml:space="preserve"> Annual Meeting of the Association for Computational Linguistics </w:t>
      </w:r>
      <w:r w:rsidRPr="00A203A6">
        <w:rPr>
          <w:rFonts w:cs="Times New Roman"/>
          <w:color w:val="000000" w:themeColor="text1"/>
          <w:sz w:val="18"/>
          <w:szCs w:val="18"/>
        </w:rPr>
        <w:t xml:space="preserve">(2013): 1652; Ken Hyland, </w:t>
      </w:r>
      <w:r w:rsidRPr="00A203A6">
        <w:rPr>
          <w:rFonts w:cs="Times New Roman"/>
          <w:i/>
          <w:iCs/>
          <w:color w:val="000000" w:themeColor="text1"/>
          <w:sz w:val="18"/>
          <w:szCs w:val="18"/>
        </w:rPr>
        <w:t xml:space="preserve">Hedging in Scientific Research Articles. </w:t>
      </w:r>
      <w:r w:rsidRPr="00A203A6">
        <w:rPr>
          <w:rFonts w:cs="Times New Roman"/>
          <w:color w:val="000000" w:themeColor="text1"/>
          <w:sz w:val="18"/>
          <w:szCs w:val="18"/>
        </w:rPr>
        <w:t xml:space="preserve">(Amsterdam: John </w:t>
      </w:r>
      <w:proofErr w:type="spellStart"/>
      <w:r w:rsidRPr="00A203A6">
        <w:rPr>
          <w:rFonts w:cs="Times New Roman"/>
          <w:color w:val="000000" w:themeColor="text1"/>
          <w:sz w:val="18"/>
          <w:szCs w:val="18"/>
        </w:rPr>
        <w:t>Benjamins</w:t>
      </w:r>
      <w:proofErr w:type="spellEnd"/>
      <w:r w:rsidRPr="00A203A6">
        <w:rPr>
          <w:rFonts w:cs="Times New Roman"/>
          <w:color w:val="000000" w:themeColor="text1"/>
          <w:sz w:val="18"/>
          <w:szCs w:val="18"/>
        </w:rPr>
        <w:t xml:space="preserve"> Pub. Co., 1998): 3; </w:t>
      </w:r>
      <w:proofErr w:type="spellStart"/>
      <w:r w:rsidRPr="00A203A6">
        <w:rPr>
          <w:rFonts w:cs="Times New Roman"/>
          <w:color w:val="000000" w:themeColor="text1"/>
          <w:sz w:val="18"/>
          <w:szCs w:val="18"/>
        </w:rPr>
        <w:t>Eunsol</w:t>
      </w:r>
      <w:proofErr w:type="spellEnd"/>
      <w:r w:rsidRPr="00A203A6">
        <w:rPr>
          <w:rFonts w:cs="Times New Roman"/>
          <w:color w:val="000000" w:themeColor="text1"/>
          <w:sz w:val="18"/>
          <w:szCs w:val="18"/>
        </w:rPr>
        <w:t xml:space="preserve"> Choi, </w:t>
      </w:r>
      <w:proofErr w:type="spellStart"/>
      <w:r w:rsidRPr="00A203A6">
        <w:rPr>
          <w:rFonts w:cs="Times New Roman"/>
          <w:color w:val="000000" w:themeColor="text1"/>
          <w:sz w:val="18"/>
          <w:szCs w:val="18"/>
        </w:rPr>
        <w:t>Chenhao</w:t>
      </w:r>
      <w:proofErr w:type="spellEnd"/>
      <w:r w:rsidRPr="00A203A6">
        <w:rPr>
          <w:rFonts w:cs="Times New Roman"/>
          <w:color w:val="000000" w:themeColor="text1"/>
          <w:sz w:val="18"/>
          <w:szCs w:val="18"/>
        </w:rPr>
        <w:t xml:space="preserve"> Tan, Lillian Lee, Cristian </w:t>
      </w:r>
      <w:proofErr w:type="spellStart"/>
      <w:r w:rsidRPr="00A203A6">
        <w:rPr>
          <w:rFonts w:cs="Times New Roman"/>
          <w:color w:val="000000" w:themeColor="text1"/>
          <w:sz w:val="18"/>
          <w:szCs w:val="18"/>
        </w:rPr>
        <w:t>Danescu</w:t>
      </w:r>
      <w:proofErr w:type="spellEnd"/>
      <w:r w:rsidRPr="00A203A6">
        <w:rPr>
          <w:rFonts w:cs="Times New Roman"/>
          <w:color w:val="000000" w:themeColor="text1"/>
          <w:sz w:val="18"/>
          <w:szCs w:val="18"/>
        </w:rPr>
        <w:t>-Niculescu-</w:t>
      </w:r>
      <w:proofErr w:type="spellStart"/>
      <w:r w:rsidRPr="00A203A6">
        <w:rPr>
          <w:rFonts w:cs="Times New Roman"/>
          <w:color w:val="000000" w:themeColor="text1"/>
          <w:sz w:val="18"/>
          <w:szCs w:val="18"/>
        </w:rPr>
        <w:t>Mizil</w:t>
      </w:r>
      <w:proofErr w:type="spellEnd"/>
      <w:r w:rsidRPr="00A203A6">
        <w:rPr>
          <w:rFonts w:cs="Times New Roman"/>
          <w:color w:val="000000" w:themeColor="text1"/>
          <w:sz w:val="18"/>
          <w:szCs w:val="18"/>
        </w:rPr>
        <w:t xml:space="preserve"> and Jennifer </w:t>
      </w:r>
      <w:proofErr w:type="spellStart"/>
      <w:r w:rsidRPr="00A203A6">
        <w:rPr>
          <w:rFonts w:cs="Times New Roman"/>
          <w:color w:val="000000" w:themeColor="text1"/>
          <w:sz w:val="18"/>
          <w:szCs w:val="18"/>
        </w:rPr>
        <w:t>Spindel</w:t>
      </w:r>
      <w:proofErr w:type="spellEnd"/>
      <w:r w:rsidRPr="00A203A6">
        <w:rPr>
          <w:rFonts w:cs="Times New Roman"/>
          <w:color w:val="000000" w:themeColor="text1"/>
          <w:sz w:val="18"/>
          <w:szCs w:val="18"/>
        </w:rPr>
        <w:t xml:space="preserve">, “Hedge Detection as a Lens on Framing in the GMO Debates: A Position Paper.” </w:t>
      </w:r>
      <w:r w:rsidRPr="00A203A6">
        <w:rPr>
          <w:rFonts w:cs="Times New Roman"/>
          <w:i/>
          <w:iCs/>
          <w:color w:val="000000" w:themeColor="text1"/>
          <w:sz w:val="18"/>
          <w:szCs w:val="18"/>
        </w:rPr>
        <w:t>Proceedings of the Workshop on Extra-Propositional Aspects of Meaning in Computational Linguistics</w:t>
      </w:r>
      <w:r w:rsidRPr="00A203A6">
        <w:rPr>
          <w:rFonts w:cs="Times New Roman"/>
          <w:color w:val="000000" w:themeColor="text1"/>
          <w:sz w:val="18"/>
          <w:szCs w:val="18"/>
        </w:rPr>
        <w:t xml:space="preserve"> (2012): 71)</w:t>
      </w:r>
    </w:p>
  </w:footnote>
  <w:footnote w:id="441">
    <w:p w14:paraId="5A767467"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al, “Linguistic Models for Analyzing and Detecting Biased Language,” 1653.</w:t>
      </w:r>
    </w:p>
  </w:footnote>
  <w:footnote w:id="442">
    <w:p w14:paraId="0D5C7AD3"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 noted above, factive and semi-factive verbs (which “denote… a relation to the truth of a proposition”), entailments, hedges, and terms that focus on the quality or quantity of evidence are indicative of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w:t>
      </w:r>
      <w:proofErr w:type="spellStart"/>
      <w:r w:rsidRPr="00A203A6">
        <w:rPr>
          <w:rFonts w:cs="Times New Roman"/>
          <w:color w:val="000000" w:themeColor="text1"/>
          <w:sz w:val="18"/>
          <w:szCs w:val="18"/>
        </w:rPr>
        <w:t>al’s</w:t>
      </w:r>
      <w:proofErr w:type="spellEnd"/>
      <w:r w:rsidRPr="00A203A6">
        <w:rPr>
          <w:rFonts w:cs="Times New Roman"/>
          <w:color w:val="000000" w:themeColor="text1"/>
          <w:sz w:val="18"/>
          <w:szCs w:val="18"/>
        </w:rPr>
        <w:t xml:space="preserve"> epistemological bias. In this context, high commitment adjectives can be indicative of entailments within a text – “relation[s] between… </w:t>
      </w:r>
      <w:proofErr w:type="gramStart"/>
      <w:r w:rsidRPr="00A203A6">
        <w:rPr>
          <w:rFonts w:cs="Times New Roman"/>
          <w:color w:val="000000" w:themeColor="text1"/>
          <w:sz w:val="18"/>
          <w:szCs w:val="18"/>
        </w:rPr>
        <w:t>pair[</w:t>
      </w:r>
      <w:proofErr w:type="gramEnd"/>
      <w:r w:rsidRPr="00A203A6">
        <w:rPr>
          <w:rFonts w:cs="Times New Roman"/>
          <w:color w:val="000000" w:themeColor="text1"/>
          <w:sz w:val="18"/>
          <w:szCs w:val="18"/>
        </w:rPr>
        <w:t>s of propositions]… such that the truth of the second [proposition]… necessarily follows from the truth of the other.”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al, “Linguistic Models for Analyzing and Detecting Biased Language,” 1652; Roberts Colonna </w:t>
      </w:r>
      <w:proofErr w:type="spellStart"/>
      <w:r w:rsidRPr="00A203A6">
        <w:rPr>
          <w:rFonts w:cs="Times New Roman"/>
          <w:color w:val="000000" w:themeColor="text1"/>
          <w:sz w:val="18"/>
          <w:szCs w:val="18"/>
        </w:rPr>
        <w:t>Dahlman</w:t>
      </w:r>
      <w:proofErr w:type="spellEnd"/>
      <w:r w:rsidRPr="00A203A6">
        <w:rPr>
          <w:rFonts w:cs="Times New Roman"/>
          <w:color w:val="000000" w:themeColor="text1"/>
          <w:sz w:val="18"/>
          <w:szCs w:val="18"/>
        </w:rPr>
        <w:t xml:space="preserve"> and Joost van de </w:t>
      </w:r>
      <w:proofErr w:type="spellStart"/>
      <w:r w:rsidRPr="00A203A6">
        <w:rPr>
          <w:rFonts w:cs="Times New Roman"/>
          <w:color w:val="000000" w:themeColor="text1"/>
          <w:sz w:val="18"/>
          <w:szCs w:val="18"/>
        </w:rPr>
        <w:t>Weijer</w:t>
      </w:r>
      <w:proofErr w:type="spellEnd"/>
      <w:r w:rsidRPr="00A203A6">
        <w:rPr>
          <w:rFonts w:cs="Times New Roman"/>
          <w:color w:val="000000" w:themeColor="text1"/>
          <w:sz w:val="18"/>
          <w:szCs w:val="18"/>
        </w:rPr>
        <w:t xml:space="preserve">, “Cognitive Factive Verbs Across Languages.” </w:t>
      </w:r>
      <w:r w:rsidRPr="00A203A6">
        <w:rPr>
          <w:rFonts w:cs="Times New Roman"/>
          <w:i/>
          <w:iCs/>
          <w:color w:val="000000" w:themeColor="text1"/>
          <w:sz w:val="18"/>
          <w:szCs w:val="18"/>
        </w:rPr>
        <w:t xml:space="preserve">Language Sciences </w:t>
      </w:r>
      <w:r w:rsidRPr="00A203A6">
        <w:rPr>
          <w:rFonts w:cs="Times New Roman"/>
          <w:color w:val="000000" w:themeColor="text1"/>
          <w:sz w:val="18"/>
          <w:szCs w:val="18"/>
        </w:rPr>
        <w:t xml:space="preserve">90, no. 4 (2022): 101458; David Crystal, </w:t>
      </w:r>
      <w:r w:rsidRPr="00A203A6">
        <w:rPr>
          <w:rFonts w:cs="Times New Roman"/>
          <w:i/>
          <w:iCs/>
          <w:color w:val="000000" w:themeColor="text1"/>
          <w:sz w:val="18"/>
          <w:szCs w:val="18"/>
        </w:rPr>
        <w:t>A Dictionary of Language and Linguistics</w:t>
      </w:r>
      <w:r w:rsidRPr="00A203A6">
        <w:rPr>
          <w:rFonts w:cs="Times New Roman"/>
          <w:color w:val="000000" w:themeColor="text1"/>
          <w:sz w:val="18"/>
          <w:szCs w:val="18"/>
        </w:rPr>
        <w:t xml:space="preserve">. (New York: Basil Blackwell Ltd., 1985): 109; Huda Hadi Khalil, “Entailment in Meaning.” </w:t>
      </w:r>
      <w:r w:rsidRPr="00A203A6">
        <w:rPr>
          <w:rFonts w:cs="Times New Roman"/>
          <w:i/>
          <w:iCs/>
          <w:color w:val="000000" w:themeColor="text1"/>
          <w:sz w:val="18"/>
          <w:szCs w:val="18"/>
        </w:rPr>
        <w:t xml:space="preserve">Al </w:t>
      </w:r>
      <w:proofErr w:type="spellStart"/>
      <w:r w:rsidRPr="00A203A6">
        <w:rPr>
          <w:rFonts w:cs="Times New Roman"/>
          <w:i/>
          <w:iCs/>
          <w:color w:val="000000" w:themeColor="text1"/>
          <w:sz w:val="18"/>
          <w:szCs w:val="18"/>
        </w:rPr>
        <w:t>Turath</w:t>
      </w:r>
      <w:proofErr w:type="spellEnd"/>
      <w:r w:rsidRPr="00A203A6">
        <w:rPr>
          <w:rFonts w:cs="Times New Roman"/>
          <w:i/>
          <w:iCs/>
          <w:color w:val="000000" w:themeColor="text1"/>
          <w:sz w:val="18"/>
          <w:szCs w:val="18"/>
        </w:rPr>
        <w:t xml:space="preserve"> University College Journal</w:t>
      </w:r>
      <w:r w:rsidRPr="00A203A6">
        <w:rPr>
          <w:rFonts w:cs="Times New Roman"/>
          <w:color w:val="000000" w:themeColor="text1"/>
          <w:sz w:val="18"/>
          <w:szCs w:val="18"/>
        </w:rPr>
        <w:t xml:space="preserve"> (2002): 1.)</w:t>
      </w:r>
    </w:p>
  </w:footnote>
  <w:footnote w:id="443">
    <w:p w14:paraId="2FE0973E" w14:textId="77777777" w:rsidR="002915BC" w:rsidRPr="00A203A6" w:rsidRDefault="002915BC" w:rsidP="00787EBB">
      <w:pPr>
        <w:pStyle w:val="FootnoteText"/>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Marc J. </w:t>
      </w:r>
      <w:proofErr w:type="spellStart"/>
      <w:r w:rsidRPr="00A203A6">
        <w:rPr>
          <w:rFonts w:cs="Times New Roman"/>
          <w:color w:val="000000" w:themeColor="text1"/>
          <w:sz w:val="18"/>
          <w:szCs w:val="18"/>
        </w:rPr>
        <w:t>Lerchenmueller</w:t>
      </w:r>
      <w:proofErr w:type="spellEnd"/>
      <w:r w:rsidRPr="00A203A6">
        <w:rPr>
          <w:rFonts w:cs="Times New Roman"/>
          <w:color w:val="000000" w:themeColor="text1"/>
          <w:sz w:val="18"/>
          <w:szCs w:val="18"/>
        </w:rPr>
        <w:t xml:space="preserve">, Olav Sorenson and Anupam B. Jena, “Research: How Women Undersell Their Work.” </w:t>
      </w:r>
      <w:r w:rsidRPr="00A203A6">
        <w:rPr>
          <w:rFonts w:cs="Times New Roman"/>
          <w:i/>
          <w:iCs/>
          <w:color w:val="000000" w:themeColor="text1"/>
          <w:sz w:val="18"/>
          <w:szCs w:val="18"/>
        </w:rPr>
        <w:t xml:space="preserve">Harvard Business Review </w:t>
      </w:r>
      <w:r w:rsidRPr="00A203A6">
        <w:rPr>
          <w:rFonts w:cs="Times New Roman"/>
          <w:color w:val="000000" w:themeColor="text1"/>
          <w:sz w:val="18"/>
          <w:szCs w:val="18"/>
        </w:rPr>
        <w:t>(December 2019): 3.</w:t>
      </w:r>
    </w:p>
  </w:footnote>
  <w:footnote w:id="444">
    <w:p w14:paraId="023BD525" w14:textId="47D9AAC2" w:rsidR="002C562B" w:rsidRPr="00A203A6" w:rsidRDefault="002C562B" w:rsidP="00787EBB">
      <w:pPr>
        <w:pStyle w:val="FootnoteText"/>
        <w:spacing w:before="0" w:after="80"/>
        <w:rPr>
          <w:rFonts w:cs="Times New Roman"/>
          <w:sz w:val="18"/>
          <w:szCs w:val="18"/>
        </w:rPr>
      </w:pPr>
      <w:r w:rsidRPr="00A203A6">
        <w:rPr>
          <w:rStyle w:val="FootnoteReference"/>
          <w:rFonts w:cs="Times New Roman"/>
          <w:sz w:val="18"/>
          <w:szCs w:val="18"/>
        </w:rPr>
        <w:footnoteRef/>
      </w:r>
      <w:r w:rsidRPr="00A203A6">
        <w:rPr>
          <w:rFonts w:cs="Times New Roman"/>
          <w:sz w:val="18"/>
          <w:szCs w:val="18"/>
        </w:rPr>
        <w:t xml:space="preserve"> For fulsome explanation about the methodology </w:t>
      </w:r>
      <w:r w:rsidR="00776224" w:rsidRPr="00A203A6">
        <w:rPr>
          <w:rFonts w:cs="Times New Roman"/>
          <w:sz w:val="18"/>
          <w:szCs w:val="18"/>
        </w:rPr>
        <w:t xml:space="preserve">that </w:t>
      </w:r>
      <w:r w:rsidRPr="00A203A6">
        <w:rPr>
          <w:rFonts w:cs="Times New Roman"/>
          <w:sz w:val="18"/>
          <w:szCs w:val="18"/>
        </w:rPr>
        <w:t xml:space="preserve">I use to identify bias and the specific list of searches used to that effect, see Appendix </w:t>
      </w:r>
      <w:r w:rsidR="002D25A7">
        <w:rPr>
          <w:rFonts w:cs="Times New Roman"/>
          <w:sz w:val="18"/>
          <w:szCs w:val="18"/>
        </w:rPr>
        <w:t>B</w:t>
      </w:r>
      <w:r w:rsidRPr="00A203A6">
        <w:rPr>
          <w:rFonts w:cs="Times New Roman"/>
          <w:sz w:val="18"/>
          <w:szCs w:val="18"/>
        </w:rPr>
        <w:t>.</w:t>
      </w:r>
    </w:p>
  </w:footnote>
  <w:footnote w:id="445">
    <w:p w14:paraId="5616EDE7"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Per Table 7-1, 73.1% of the articles in my sampling frame involve positive bias towards terrorism, while 78.1% of the articles in my sampling frame involve positive bias towards the state.</w:t>
      </w:r>
    </w:p>
  </w:footnote>
  <w:footnote w:id="446">
    <w:p w14:paraId="48B1A297"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Collectively, these three types of negative bias indicators (low commitment verbs, low commitment modifiers, and undermining adjectives) are present in 96.6% of the articles in my sampling frame that involve negative bias towards terrorism, and 94.3% of the articles in my sampling frame that involve negative bias towards the state. (See Table 7-1, above.)</w:t>
      </w:r>
    </w:p>
  </w:footnote>
  <w:footnote w:id="447">
    <w:p w14:paraId="61B7555E"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 subset of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w:t>
      </w:r>
      <w:proofErr w:type="spellStart"/>
      <w:r w:rsidRPr="00A203A6">
        <w:rPr>
          <w:rFonts w:cs="Times New Roman"/>
          <w:color w:val="000000" w:themeColor="text1"/>
          <w:sz w:val="18"/>
          <w:szCs w:val="18"/>
        </w:rPr>
        <w:t>al’s</w:t>
      </w:r>
      <w:proofErr w:type="spellEnd"/>
      <w:r w:rsidRPr="00A203A6">
        <w:rPr>
          <w:rFonts w:cs="Times New Roman"/>
          <w:color w:val="000000" w:themeColor="text1"/>
          <w:sz w:val="18"/>
          <w:szCs w:val="18"/>
        </w:rPr>
        <w:t xml:space="preserve"> hedging typology, low commitment modifiers manifest as adjectives and adverbs that provide additional description to a claim, in order to make its meaning more specific. In the context of hedging, low commitment modifiers are “used to reduce one’s commitment to the truth of a proposition,” constitute “the expression of “tentativeness and possibility” in communication.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al, “Linguistic Models for Analyzing and Detecting Biased Language,” 1652; Hyland, </w:t>
      </w:r>
      <w:r w:rsidRPr="00A203A6">
        <w:rPr>
          <w:rFonts w:cs="Times New Roman"/>
          <w:i/>
          <w:iCs/>
          <w:color w:val="000000" w:themeColor="text1"/>
          <w:sz w:val="18"/>
          <w:szCs w:val="18"/>
        </w:rPr>
        <w:t>Hedging in Scientific Research Articles</w:t>
      </w:r>
      <w:r w:rsidRPr="00A203A6">
        <w:rPr>
          <w:rFonts w:cs="Times New Roman"/>
          <w:color w:val="000000" w:themeColor="text1"/>
          <w:sz w:val="18"/>
          <w:szCs w:val="18"/>
        </w:rPr>
        <w:t>, 3; Choi et. al, “Hedge Detection as a Lens on Framing in the GMO Debates,” 71; also see Footnote 386, above (Chapter 7, “States and Terrorists Compete for the Same Authority” (Page 149-150)).</w:t>
      </w:r>
    </w:p>
  </w:footnote>
  <w:footnote w:id="448">
    <w:p w14:paraId="5152E12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 second subset of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w:t>
      </w:r>
      <w:proofErr w:type="spellStart"/>
      <w:r w:rsidRPr="00A203A6">
        <w:rPr>
          <w:rFonts w:cs="Times New Roman"/>
          <w:color w:val="000000" w:themeColor="text1"/>
          <w:sz w:val="18"/>
          <w:szCs w:val="18"/>
        </w:rPr>
        <w:t>al’s</w:t>
      </w:r>
      <w:proofErr w:type="spellEnd"/>
      <w:r w:rsidRPr="00A203A6">
        <w:rPr>
          <w:rFonts w:cs="Times New Roman"/>
          <w:color w:val="000000" w:themeColor="text1"/>
          <w:sz w:val="18"/>
          <w:szCs w:val="18"/>
        </w:rPr>
        <w:t xml:space="preserve"> hedging typology (see Footnote 386, above Chapter 7, “States and Terrorists Compete for the Same Authority” (Page 149-150)), low commitment verbs constitute language corresponding to “the writer withholding full commitment to statements.” Hyland, </w:t>
      </w:r>
      <w:r w:rsidRPr="00A203A6">
        <w:rPr>
          <w:rFonts w:cs="Times New Roman"/>
          <w:i/>
          <w:iCs/>
          <w:color w:val="000000" w:themeColor="text1"/>
          <w:sz w:val="18"/>
          <w:szCs w:val="18"/>
        </w:rPr>
        <w:t>Hedging in Scientific Research Articles</w:t>
      </w:r>
      <w:r w:rsidRPr="00A203A6">
        <w:rPr>
          <w:rFonts w:cs="Times New Roman"/>
          <w:color w:val="000000" w:themeColor="text1"/>
          <w:sz w:val="18"/>
          <w:szCs w:val="18"/>
        </w:rPr>
        <w:t>, 3; Choi et. al, “Hedge Detection as a Lens on Framing in the GMO Debates,” 71.)</w:t>
      </w:r>
    </w:p>
  </w:footnote>
  <w:footnote w:id="449">
    <w:p w14:paraId="73952FA5" w14:textId="77777777" w:rsidR="002915BC" w:rsidRPr="00A203A6" w:rsidRDefault="002915BC"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Undermining adjectives, as conceived of by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al, are a type of subjective intensifier – “[an] adjective… or adverb… that add[s] (subjective) force to the meaning of a phrase or proposition.” In this context, undermining adjectives can be construed as the opposite of hyping adjectives (see Chapter 7, “States and Terrorists Compete for the Same Authority” (Page 149-150), above) as they damage the credibility of the claim with which they are associated with. (</w:t>
      </w:r>
      <w:proofErr w:type="spellStart"/>
      <w:r w:rsidRPr="00A203A6">
        <w:rPr>
          <w:rFonts w:cs="Times New Roman"/>
          <w:color w:val="000000" w:themeColor="text1"/>
          <w:sz w:val="18"/>
          <w:szCs w:val="18"/>
        </w:rPr>
        <w:t>Recasens</w:t>
      </w:r>
      <w:proofErr w:type="spellEnd"/>
      <w:r w:rsidRPr="00A203A6">
        <w:rPr>
          <w:rFonts w:cs="Times New Roman"/>
          <w:color w:val="000000" w:themeColor="text1"/>
          <w:sz w:val="18"/>
          <w:szCs w:val="18"/>
        </w:rPr>
        <w:t xml:space="preserve"> et. al, “Linguistic Models for Analyzing and Detecting Biased Language,” 1652-1653; </w:t>
      </w:r>
      <w:proofErr w:type="spellStart"/>
      <w:r w:rsidRPr="00A203A6">
        <w:rPr>
          <w:rFonts w:cs="Times New Roman"/>
          <w:color w:val="000000" w:themeColor="text1"/>
          <w:sz w:val="18"/>
          <w:szCs w:val="18"/>
        </w:rPr>
        <w:t>Lerchenmueller</w:t>
      </w:r>
      <w:proofErr w:type="spellEnd"/>
      <w:r w:rsidRPr="00A203A6">
        <w:rPr>
          <w:rFonts w:cs="Times New Roman"/>
          <w:color w:val="000000" w:themeColor="text1"/>
          <w:sz w:val="18"/>
          <w:szCs w:val="18"/>
        </w:rPr>
        <w:t xml:space="preserve"> et. al, “Research: How Women Undersell Their Work,” 3; </w:t>
      </w:r>
      <w:proofErr w:type="spellStart"/>
      <w:r w:rsidRPr="00A203A6">
        <w:rPr>
          <w:rFonts w:cs="Times New Roman"/>
          <w:color w:val="000000" w:themeColor="text1"/>
          <w:sz w:val="18"/>
          <w:szCs w:val="18"/>
        </w:rPr>
        <w:t>Yiwei</w:t>
      </w:r>
      <w:proofErr w:type="spellEnd"/>
      <w:r w:rsidRPr="00A203A6">
        <w:rPr>
          <w:rFonts w:cs="Times New Roman"/>
          <w:color w:val="000000" w:themeColor="text1"/>
          <w:sz w:val="18"/>
          <w:szCs w:val="18"/>
        </w:rPr>
        <w:t xml:space="preserve"> Luo, Dallas Card, and Dan </w:t>
      </w:r>
      <w:proofErr w:type="spellStart"/>
      <w:r w:rsidRPr="00A203A6">
        <w:rPr>
          <w:rFonts w:cs="Times New Roman"/>
          <w:color w:val="000000" w:themeColor="text1"/>
          <w:sz w:val="18"/>
          <w:szCs w:val="18"/>
        </w:rPr>
        <w:t>Jurafsky</w:t>
      </w:r>
      <w:proofErr w:type="spellEnd"/>
      <w:r w:rsidRPr="00A203A6">
        <w:rPr>
          <w:rFonts w:cs="Times New Roman"/>
          <w:color w:val="000000" w:themeColor="text1"/>
          <w:sz w:val="18"/>
          <w:szCs w:val="18"/>
        </w:rPr>
        <w:t xml:space="preserve">, “Detecting Stance in Media on Global Warming.” </w:t>
      </w:r>
      <w:r w:rsidRPr="00A203A6">
        <w:rPr>
          <w:rFonts w:cs="Times New Roman"/>
          <w:i/>
          <w:iCs/>
          <w:color w:val="000000" w:themeColor="text1"/>
          <w:sz w:val="18"/>
          <w:szCs w:val="18"/>
        </w:rPr>
        <w:t>Findings of the Association for Computational Linguistics: EMNLP 2020</w:t>
      </w:r>
      <w:r w:rsidRPr="00A203A6">
        <w:rPr>
          <w:rFonts w:cs="Times New Roman"/>
          <w:color w:val="000000" w:themeColor="text1"/>
          <w:sz w:val="18"/>
          <w:szCs w:val="18"/>
        </w:rPr>
        <w:t>: 3296-3315.)</w:t>
      </w:r>
    </w:p>
  </w:footnote>
  <w:footnote w:id="450">
    <w:p w14:paraId="03017B9F" w14:textId="7E900511" w:rsidR="00444B2E" w:rsidRPr="00444B2E" w:rsidRDefault="00444B2E" w:rsidP="00444B2E">
      <w:pPr>
        <w:pStyle w:val="FootnoteText"/>
        <w:spacing w:before="0" w:after="80"/>
        <w:rPr>
          <w:rFonts w:cs="Times New Roman"/>
          <w:color w:val="000000" w:themeColor="text1"/>
          <w:sz w:val="18"/>
          <w:szCs w:val="18"/>
        </w:rPr>
      </w:pPr>
      <w:r w:rsidRPr="00444B2E">
        <w:rPr>
          <w:rStyle w:val="FootnoteReference"/>
          <w:sz w:val="18"/>
          <w:szCs w:val="18"/>
        </w:rPr>
        <w:footnoteRef/>
      </w:r>
      <w:r w:rsidRPr="00444B2E">
        <w:rPr>
          <w:sz w:val="18"/>
          <w:szCs w:val="18"/>
        </w:rPr>
        <w:t xml:space="preserve"> See Appendix H </w:t>
      </w:r>
      <w:r w:rsidRPr="00444B2E">
        <w:rPr>
          <w:rFonts w:cs="Times New Roman"/>
          <w:color w:val="000000" w:themeColor="text1"/>
          <w:sz w:val="18"/>
          <w:szCs w:val="18"/>
        </w:rPr>
        <w:t xml:space="preserve">for examples of how each of the different subtypes of the positive and negative bias indicators discussed here manifest in the context of the </w:t>
      </w:r>
      <w:r w:rsidR="002D25A7" w:rsidRPr="00444B2E">
        <w:rPr>
          <w:rFonts w:cs="Times New Roman"/>
          <w:color w:val="000000" w:themeColor="text1"/>
          <w:sz w:val="18"/>
          <w:szCs w:val="18"/>
        </w:rPr>
        <w:t>2,776-article</w:t>
      </w:r>
      <w:r w:rsidRPr="00444B2E">
        <w:rPr>
          <w:rFonts w:cs="Times New Roman"/>
          <w:color w:val="000000" w:themeColor="text1"/>
          <w:sz w:val="18"/>
          <w:szCs w:val="18"/>
        </w:rPr>
        <w:t xml:space="preserve"> sampling frame that constitutes media coverage of terrorism for </w:t>
      </w:r>
      <w:r w:rsidR="002D25A7">
        <w:rPr>
          <w:rFonts w:cs="Times New Roman"/>
          <w:color w:val="000000" w:themeColor="text1"/>
          <w:sz w:val="18"/>
          <w:szCs w:val="18"/>
        </w:rPr>
        <w:t>the</w:t>
      </w:r>
      <w:r w:rsidRPr="00444B2E">
        <w:rPr>
          <w:rFonts w:cs="Times New Roman"/>
          <w:color w:val="000000" w:themeColor="text1"/>
          <w:sz w:val="18"/>
          <w:szCs w:val="18"/>
        </w:rPr>
        <w:t xml:space="preserve"> analysis</w:t>
      </w:r>
      <w:r w:rsidR="002D25A7">
        <w:rPr>
          <w:rFonts w:cs="Times New Roman"/>
          <w:color w:val="000000" w:themeColor="text1"/>
          <w:sz w:val="18"/>
          <w:szCs w:val="18"/>
        </w:rPr>
        <w:t xml:space="preserve"> discussed in this chapter.</w:t>
      </w:r>
    </w:p>
    <w:p w14:paraId="78F2CEBD" w14:textId="6AF030FD" w:rsidR="00444B2E" w:rsidRDefault="00444B2E">
      <w:pPr>
        <w:pStyle w:val="FootnoteText"/>
      </w:pPr>
    </w:p>
  </w:footnote>
  <w:footnote w:id="451">
    <w:p w14:paraId="3D51C4E7"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 conceive of international legitimacy as predicated on the state possessing legality, justification, and consent. In other words, as an international institution the state can be considered more legitimate when the public perceives it to have increased its adherence to the rule of law, its actions adherence to accepted international norms, and its constituents’ level of support for its governance. See Chapter 4.</w:t>
      </w:r>
    </w:p>
  </w:footnote>
  <w:footnote w:id="452">
    <w:p w14:paraId="04FBA46B"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Robert M. </w:t>
      </w:r>
      <w:proofErr w:type="spellStart"/>
      <w:r w:rsidRPr="00A203A6">
        <w:rPr>
          <w:rFonts w:cs="Times New Roman"/>
          <w:color w:val="000000" w:themeColor="text1"/>
          <w:sz w:val="18"/>
          <w:szCs w:val="18"/>
        </w:rPr>
        <w:t>Entman</w:t>
      </w:r>
      <w:proofErr w:type="spellEnd"/>
      <w:r w:rsidRPr="00A203A6">
        <w:rPr>
          <w:rFonts w:cs="Times New Roman"/>
          <w:color w:val="000000" w:themeColor="text1"/>
          <w:sz w:val="18"/>
          <w:szCs w:val="18"/>
        </w:rPr>
        <w:t xml:space="preserve">. “Framing: Toward a Classification of a Fractured Paradigm.” </w:t>
      </w:r>
      <w:r w:rsidRPr="00A203A6">
        <w:rPr>
          <w:rFonts w:cs="Times New Roman"/>
          <w:i/>
          <w:iCs/>
          <w:color w:val="000000" w:themeColor="text1"/>
          <w:sz w:val="18"/>
          <w:szCs w:val="18"/>
        </w:rPr>
        <w:t>Journal of Communication</w:t>
      </w:r>
      <w:r w:rsidRPr="00A203A6">
        <w:rPr>
          <w:rFonts w:cs="Times New Roman"/>
          <w:color w:val="000000" w:themeColor="text1"/>
          <w:sz w:val="18"/>
          <w:szCs w:val="18"/>
        </w:rPr>
        <w:t xml:space="preserve"> 43, no. 2 (1993): 51-58.</w:t>
      </w:r>
    </w:p>
  </w:footnote>
  <w:footnote w:id="453">
    <w:p w14:paraId="44DF4FD3" w14:textId="77777777"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Significantly, Syed Qadri notes that “While a particular frame does not need to satisfy each of [the function and focus] dimensions – nor are the different lenses impervious to overlap – </w:t>
      </w:r>
      <w:proofErr w:type="spellStart"/>
      <w:r w:rsidRPr="00A203A6">
        <w:rPr>
          <w:color w:val="000000" w:themeColor="text1"/>
          <w:sz w:val="18"/>
          <w:szCs w:val="18"/>
        </w:rPr>
        <w:t>Entman’s</w:t>
      </w:r>
      <w:proofErr w:type="spellEnd"/>
      <w:r w:rsidRPr="00A203A6">
        <w:rPr>
          <w:color w:val="000000" w:themeColor="text1"/>
          <w:sz w:val="18"/>
          <w:szCs w:val="18"/>
        </w:rPr>
        <w:t xml:space="preserve"> matrix demonstrates the selections made by framers to describe, analyze, evaluate and deal with an issue, event or actor.” (See Syed Nasser Qadri, “Framing Terrorism and Migration in the USA: The Role of the Media in Securitization Processes.” </w:t>
      </w:r>
      <w:r w:rsidRPr="00A203A6">
        <w:rPr>
          <w:i/>
          <w:iCs/>
          <w:color w:val="000000" w:themeColor="text1"/>
          <w:sz w:val="18"/>
          <w:szCs w:val="18"/>
        </w:rPr>
        <w:t>Ph.D. diss.</w:t>
      </w:r>
      <w:r w:rsidRPr="00A203A6">
        <w:rPr>
          <w:color w:val="000000" w:themeColor="text1"/>
          <w:sz w:val="18"/>
          <w:szCs w:val="18"/>
        </w:rPr>
        <w:t>, University of Glasgow (2019): 38-39.)</w:t>
      </w:r>
    </w:p>
  </w:footnote>
  <w:footnote w:id="454">
    <w:p w14:paraId="460618E9"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Qadri, “Framing Terrorism and Migration in the USA,” 38.</w:t>
      </w:r>
    </w:p>
  </w:footnote>
  <w:footnote w:id="455">
    <w:p w14:paraId="72F6728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Qadri, “Framing Terrorism and Migration in the USA,” 38-39.</w:t>
      </w:r>
    </w:p>
  </w:footnote>
  <w:footnote w:id="456">
    <w:p w14:paraId="739423EB"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Entman</w:t>
      </w:r>
      <w:proofErr w:type="spellEnd"/>
      <w:r w:rsidRPr="00A203A6">
        <w:rPr>
          <w:rFonts w:cs="Times New Roman"/>
          <w:color w:val="000000" w:themeColor="text1"/>
          <w:sz w:val="18"/>
          <w:szCs w:val="18"/>
        </w:rPr>
        <w:t>, “Framing”, 51-58; Also see Chapter 5, “Media Bias and Framing” (Pages 111-117).</w:t>
      </w:r>
    </w:p>
  </w:footnote>
  <w:footnote w:id="457">
    <w:p w14:paraId="1532D2DA"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Robert M. </w:t>
      </w:r>
      <w:proofErr w:type="spellStart"/>
      <w:r w:rsidRPr="00A203A6">
        <w:rPr>
          <w:rFonts w:cs="Times New Roman"/>
          <w:color w:val="000000" w:themeColor="text1"/>
          <w:sz w:val="18"/>
          <w:szCs w:val="18"/>
        </w:rPr>
        <w:t>Entman</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 xml:space="preserve">Projections of Power: Framing News, Public Opinion, and U.S. Foreign Policy. </w:t>
      </w:r>
      <w:r w:rsidRPr="00A203A6">
        <w:rPr>
          <w:rFonts w:cs="Times New Roman"/>
          <w:color w:val="000000" w:themeColor="text1"/>
          <w:sz w:val="18"/>
          <w:szCs w:val="18"/>
        </w:rPr>
        <w:t>(Chicago: University of Chicago Press, 2004): 24-25.</w:t>
      </w:r>
    </w:p>
  </w:footnote>
  <w:footnote w:id="458">
    <w:p w14:paraId="59CFBF00"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Entman</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Projections of Power</w:t>
      </w:r>
      <w:r w:rsidRPr="00A203A6">
        <w:rPr>
          <w:rFonts w:cs="Times New Roman"/>
          <w:color w:val="000000" w:themeColor="text1"/>
          <w:sz w:val="18"/>
          <w:szCs w:val="18"/>
        </w:rPr>
        <w:t>, 24; Qadri, “Framing Terrorism and Migration in the USA,” 38.</w:t>
      </w:r>
    </w:p>
  </w:footnote>
  <w:footnote w:id="459">
    <w:p w14:paraId="11DF399F"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Content Analysis is a method of generating meaning from text that involves “a summarizing, quantitative analysis of messages that relies on the scientific method [to enumerate media] frames as they naturally occur.” (Robert Philip Weber. </w:t>
      </w:r>
      <w:r w:rsidRPr="00A203A6">
        <w:rPr>
          <w:rFonts w:cs="Times New Roman"/>
          <w:i/>
          <w:iCs/>
          <w:color w:val="000000" w:themeColor="text1"/>
          <w:sz w:val="18"/>
          <w:szCs w:val="18"/>
        </w:rPr>
        <w:t>Basic Content Analysis</w:t>
      </w:r>
      <w:r w:rsidRPr="00A203A6">
        <w:rPr>
          <w:rFonts w:cs="Times New Roman"/>
          <w:color w:val="000000" w:themeColor="text1"/>
          <w:sz w:val="18"/>
          <w:szCs w:val="18"/>
        </w:rPr>
        <w:t xml:space="preserve">. (California: SAGE, 1990): 19; Kimberly A. </w:t>
      </w:r>
      <w:proofErr w:type="spellStart"/>
      <w:r w:rsidRPr="00A203A6">
        <w:rPr>
          <w:rFonts w:cs="Times New Roman"/>
          <w:color w:val="000000" w:themeColor="text1"/>
          <w:sz w:val="18"/>
          <w:szCs w:val="18"/>
        </w:rPr>
        <w:t>Neuendorf</w:t>
      </w:r>
      <w:proofErr w:type="spellEnd"/>
      <w:r w:rsidRPr="00A203A6">
        <w:rPr>
          <w:rFonts w:cs="Times New Roman"/>
          <w:color w:val="000000" w:themeColor="text1"/>
          <w:sz w:val="18"/>
          <w:szCs w:val="18"/>
        </w:rPr>
        <w:t xml:space="preserve">, “Content Analysis: A Contrast and Complement to Discourse Analysis.” </w:t>
      </w:r>
      <w:r w:rsidRPr="00A203A6">
        <w:rPr>
          <w:rFonts w:cs="Times New Roman"/>
          <w:i/>
          <w:iCs/>
          <w:color w:val="000000" w:themeColor="text1"/>
          <w:sz w:val="18"/>
          <w:szCs w:val="18"/>
        </w:rPr>
        <w:t>Qualitative Methods</w:t>
      </w:r>
      <w:r w:rsidRPr="00A203A6">
        <w:rPr>
          <w:rFonts w:cs="Times New Roman"/>
          <w:color w:val="000000" w:themeColor="text1"/>
          <w:sz w:val="18"/>
          <w:szCs w:val="18"/>
        </w:rPr>
        <w:t xml:space="preserve"> 2, no. 1 (2004): 33.)</w:t>
      </w:r>
    </w:p>
  </w:footnote>
  <w:footnote w:id="460">
    <w:p w14:paraId="3BB23B57" w14:textId="2E0BB600"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This narrower sampling frame comprises 2,276 unique </w:t>
      </w:r>
      <w:r w:rsidR="00F74D09" w:rsidRPr="00A203A6">
        <w:rPr>
          <w:rFonts w:cs="Times New Roman"/>
          <w:color w:val="000000" w:themeColor="text1"/>
          <w:sz w:val="18"/>
          <w:szCs w:val="18"/>
        </w:rPr>
        <w:t>media</w:t>
      </w:r>
      <w:r w:rsidRPr="00A203A6">
        <w:rPr>
          <w:rFonts w:cs="Times New Roman"/>
          <w:color w:val="000000" w:themeColor="text1"/>
          <w:sz w:val="18"/>
          <w:szCs w:val="18"/>
        </w:rPr>
        <w:t xml:space="preserve"> bulletins – accounting for 1.2% of the coverage of terrorism produced in the time frame constituted by the larger sampling frame. Moreover, these 2,276 articles comprise 2.1% of the unique </w:t>
      </w:r>
      <w:r w:rsidR="00F74D09" w:rsidRPr="00A203A6">
        <w:rPr>
          <w:rFonts w:cs="Times New Roman"/>
          <w:color w:val="000000" w:themeColor="text1"/>
          <w:sz w:val="18"/>
          <w:szCs w:val="18"/>
        </w:rPr>
        <w:t>media</w:t>
      </w:r>
      <w:r w:rsidRPr="00A203A6">
        <w:rPr>
          <w:rFonts w:cs="Times New Roman"/>
          <w:color w:val="000000" w:themeColor="text1"/>
          <w:sz w:val="18"/>
          <w:szCs w:val="18"/>
        </w:rPr>
        <w:t xml:space="preserve"> bulletins produced on these 42 dates. This is roughly equivalent to the ratio of media coverage of terrorism to all </w:t>
      </w:r>
      <w:r w:rsidR="00F74D09" w:rsidRPr="00A203A6">
        <w:rPr>
          <w:rFonts w:cs="Times New Roman"/>
          <w:color w:val="000000" w:themeColor="text1"/>
          <w:sz w:val="18"/>
          <w:szCs w:val="18"/>
        </w:rPr>
        <w:t>media</w:t>
      </w:r>
      <w:r w:rsidRPr="00A203A6">
        <w:rPr>
          <w:rFonts w:cs="Times New Roman"/>
          <w:color w:val="000000" w:themeColor="text1"/>
          <w:sz w:val="18"/>
          <w:szCs w:val="18"/>
        </w:rPr>
        <w:t xml:space="preserve"> bulletins produced by these three international newswires for the entirety of the seven-year time period that comprises the larger sampling frame (2.2%).</w:t>
      </w:r>
    </w:p>
    <w:p w14:paraId="3F9B4362" w14:textId="77777777" w:rsidR="002915BC" w:rsidRPr="00A203A6" w:rsidRDefault="002915BC" w:rsidP="00787EBB">
      <w:pPr>
        <w:pStyle w:val="FootnoteText"/>
        <w:spacing w:before="0" w:after="80"/>
        <w:rPr>
          <w:rFonts w:cs="Times New Roman"/>
          <w:color w:val="000000" w:themeColor="text1"/>
          <w:sz w:val="18"/>
          <w:szCs w:val="18"/>
        </w:rPr>
      </w:pPr>
      <w:r w:rsidRPr="00A203A6">
        <w:rPr>
          <w:rFonts w:cs="Times New Roman"/>
          <w:color w:val="000000" w:themeColor="text1"/>
          <w:sz w:val="18"/>
          <w:szCs w:val="18"/>
        </w:rPr>
        <w:t>(See Chapter 2, “Quantitative Methodology (Statistical Analysis)” (Pages 24-29) for a detailed overview of the methodology used to identify high coverage and low coverage dates within the larger sampling frame.)</w:t>
      </w:r>
    </w:p>
  </w:footnote>
  <w:footnote w:id="461">
    <w:p w14:paraId="4274EB15" w14:textId="77BB82BC"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 manually verified each search result generated by </w:t>
      </w:r>
      <w:proofErr w:type="spellStart"/>
      <w:r w:rsidRPr="00A203A6">
        <w:rPr>
          <w:rFonts w:cs="Times New Roman"/>
          <w:color w:val="000000" w:themeColor="text1"/>
          <w:sz w:val="18"/>
          <w:szCs w:val="18"/>
        </w:rPr>
        <w:t>WordStat</w:t>
      </w:r>
      <w:proofErr w:type="spellEnd"/>
      <w:r w:rsidRPr="00A203A6">
        <w:rPr>
          <w:rFonts w:cs="Times New Roman"/>
          <w:color w:val="000000" w:themeColor="text1"/>
          <w:sz w:val="18"/>
          <w:szCs w:val="18"/>
        </w:rPr>
        <w:t xml:space="preserve">. Moreover, I also compared the frame recurrence frequencies calculated on the basis of the </w:t>
      </w:r>
      <w:proofErr w:type="spellStart"/>
      <w:r w:rsidRPr="00A203A6">
        <w:rPr>
          <w:rFonts w:cs="Times New Roman"/>
          <w:color w:val="000000" w:themeColor="text1"/>
          <w:sz w:val="18"/>
          <w:szCs w:val="18"/>
        </w:rPr>
        <w:t>WordStat</w:t>
      </w:r>
      <w:proofErr w:type="spellEnd"/>
      <w:r w:rsidRPr="00A203A6">
        <w:rPr>
          <w:rFonts w:cs="Times New Roman"/>
          <w:color w:val="000000" w:themeColor="text1"/>
          <w:sz w:val="18"/>
          <w:szCs w:val="18"/>
        </w:rPr>
        <w:t xml:space="preserve"> results with the frequency that each frame recurred in the context of the smaller 836 </w:t>
      </w:r>
      <w:r w:rsidR="00F74D09" w:rsidRPr="00A203A6">
        <w:rPr>
          <w:rFonts w:cs="Times New Roman"/>
          <w:color w:val="000000" w:themeColor="text1"/>
          <w:sz w:val="18"/>
          <w:szCs w:val="18"/>
        </w:rPr>
        <w:t>media</w:t>
      </w:r>
      <w:r w:rsidRPr="00A203A6">
        <w:rPr>
          <w:rFonts w:cs="Times New Roman"/>
          <w:color w:val="000000" w:themeColor="text1"/>
          <w:sz w:val="18"/>
          <w:szCs w:val="18"/>
        </w:rPr>
        <w:t xml:space="preserve"> bulletin sample that was entirely hand-coded. See Chapter 2, “Qualitative Methodology” (Pages 30-32).</w:t>
      </w:r>
    </w:p>
  </w:footnote>
  <w:footnote w:id="462">
    <w:p w14:paraId="1A6B4E5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After Frames A and D, Frame B ((international) unity) recurs with the next highest frequency, recurring in just over a third (33.5%) of the articles that comprise the sampling frame. See Table 7-3.</w:t>
      </w:r>
    </w:p>
  </w:footnote>
  <w:footnote w:id="463">
    <w:p w14:paraId="21A9EF13"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 vehicular attack occurred in Nice, France on July 14, when a 19-tonne truck was deliberately driven into crowds of people celebrating Bastille Day. This attack resulted in 85 fatalities and 308 injuries. The perpetrator, French Tunisian Mohamed </w:t>
      </w:r>
      <w:proofErr w:type="spellStart"/>
      <w:r w:rsidRPr="00A203A6">
        <w:rPr>
          <w:rFonts w:cs="Times New Roman"/>
          <w:color w:val="000000" w:themeColor="text1"/>
          <w:sz w:val="18"/>
          <w:szCs w:val="18"/>
        </w:rPr>
        <w:t>Lahouaiej</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Bouhlel</w:t>
      </w:r>
      <w:proofErr w:type="spellEnd"/>
      <w:r w:rsidRPr="00A203A6">
        <w:rPr>
          <w:rFonts w:cs="Times New Roman"/>
          <w:color w:val="000000" w:themeColor="text1"/>
          <w:sz w:val="18"/>
          <w:szCs w:val="18"/>
        </w:rPr>
        <w:t xml:space="preserve">, who has since been identified as an ISIL operative of the Islamic State in Iraq and the Levant (ISIL), was killed at the scene following an exchange of gunfire with law enforcement officials. (Alissa J. Rubin, Kimiko de </w:t>
      </w:r>
      <w:proofErr w:type="spellStart"/>
      <w:r w:rsidRPr="00A203A6">
        <w:rPr>
          <w:rFonts w:cs="Times New Roman"/>
          <w:color w:val="000000" w:themeColor="text1"/>
          <w:sz w:val="18"/>
          <w:szCs w:val="18"/>
        </w:rPr>
        <w:t>Freytas</w:t>
      </w:r>
      <w:proofErr w:type="spellEnd"/>
      <w:r w:rsidRPr="00A203A6">
        <w:rPr>
          <w:rFonts w:cs="Times New Roman"/>
          <w:color w:val="000000" w:themeColor="text1"/>
          <w:sz w:val="18"/>
          <w:szCs w:val="18"/>
        </w:rPr>
        <w:t xml:space="preserve">-Tamura and </w:t>
      </w:r>
      <w:proofErr w:type="spellStart"/>
      <w:r w:rsidRPr="00A203A6">
        <w:rPr>
          <w:rFonts w:cs="Times New Roman"/>
          <w:color w:val="000000" w:themeColor="text1"/>
          <w:sz w:val="18"/>
          <w:szCs w:val="18"/>
        </w:rPr>
        <w:t>Aurelien</w:t>
      </w:r>
      <w:proofErr w:type="spellEnd"/>
      <w:r w:rsidRPr="00A203A6">
        <w:rPr>
          <w:rFonts w:cs="Times New Roman"/>
          <w:color w:val="000000" w:themeColor="text1"/>
          <w:sz w:val="18"/>
          <w:szCs w:val="18"/>
        </w:rPr>
        <w:t xml:space="preserve"> Breeden, “Brothers Among 3 Brussels Suicide Attackers; Another Assailant is Sought.” </w:t>
      </w:r>
      <w:r w:rsidRPr="00A203A6">
        <w:rPr>
          <w:rFonts w:cs="Times New Roman"/>
          <w:i/>
          <w:color w:val="000000" w:themeColor="text1"/>
          <w:sz w:val="18"/>
          <w:szCs w:val="18"/>
        </w:rPr>
        <w:t>New York Times.</w:t>
      </w:r>
      <w:r w:rsidRPr="00A203A6">
        <w:rPr>
          <w:rFonts w:cs="Times New Roman"/>
          <w:color w:val="000000" w:themeColor="text1"/>
          <w:sz w:val="18"/>
          <w:szCs w:val="18"/>
        </w:rPr>
        <w:t xml:space="preserve"> March 23, 2016. </w:t>
      </w:r>
      <w:r w:rsidRPr="00A203A6">
        <w:rPr>
          <w:rFonts w:cs="Times New Roman"/>
          <w:color w:val="000000" w:themeColor="text1"/>
          <w:sz w:val="18"/>
          <w:szCs w:val="18"/>
          <w:u w:val="single"/>
        </w:rPr>
        <w:t>https://www.nytimes.com/2016/03/24/world/europe/brussels-attack.html</w:t>
      </w:r>
      <w:r w:rsidRPr="00A203A6">
        <w:rPr>
          <w:rFonts w:cs="Times New Roman"/>
          <w:color w:val="000000" w:themeColor="text1"/>
          <w:sz w:val="18"/>
          <w:szCs w:val="18"/>
        </w:rPr>
        <w:t xml:space="preserve"> (accessed March 17, 2023).)</w:t>
      </w:r>
    </w:p>
  </w:footnote>
  <w:footnote w:id="464">
    <w:p w14:paraId="0F45629A" w14:textId="13F1DC5C"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On the evening of November 13, 2015, ISIL orchestrated a wave of eight attacks throughout Paris that caused 129 fatalities and wounded 352 additional individuals. These attacks made use of weaponry such as </w:t>
      </w:r>
      <w:proofErr w:type="spellStart"/>
      <w:r w:rsidRPr="00A203A6">
        <w:rPr>
          <w:rFonts w:cs="Times New Roman"/>
          <w:i/>
          <w:iCs/>
          <w:color w:val="000000" w:themeColor="text1"/>
          <w:sz w:val="18"/>
          <w:szCs w:val="18"/>
          <w:lang w:val="ru"/>
        </w:rPr>
        <w:t>Avtomat</w:t>
      </w:r>
      <w:proofErr w:type="spellEnd"/>
      <w:r w:rsidRPr="00A203A6">
        <w:rPr>
          <w:rFonts w:cs="Times New Roman"/>
          <w:i/>
          <w:iCs/>
          <w:color w:val="000000" w:themeColor="text1"/>
          <w:sz w:val="18"/>
          <w:szCs w:val="18"/>
          <w:lang w:val="ru"/>
        </w:rPr>
        <w:t xml:space="preserve"> </w:t>
      </w:r>
      <w:proofErr w:type="spellStart"/>
      <w:r w:rsidRPr="00A203A6">
        <w:rPr>
          <w:rFonts w:cs="Times New Roman"/>
          <w:i/>
          <w:iCs/>
          <w:color w:val="000000" w:themeColor="text1"/>
          <w:sz w:val="18"/>
          <w:szCs w:val="18"/>
          <w:lang w:val="ru"/>
        </w:rPr>
        <w:t>Kalashnikova</w:t>
      </w:r>
      <w:proofErr w:type="spellEnd"/>
      <w:r w:rsidRPr="00A203A6">
        <w:rPr>
          <w:rFonts w:cs="Times New Roman"/>
          <w:i/>
          <w:iCs/>
          <w:color w:val="000000" w:themeColor="text1"/>
          <w:sz w:val="18"/>
          <w:szCs w:val="18"/>
          <w:lang w:val="ru"/>
        </w:rPr>
        <w:t xml:space="preserve"> </w:t>
      </w:r>
      <w:proofErr w:type="spellStart"/>
      <w:r w:rsidRPr="00A203A6">
        <w:rPr>
          <w:rFonts w:cs="Times New Roman"/>
          <w:i/>
          <w:iCs/>
          <w:color w:val="000000" w:themeColor="text1"/>
          <w:sz w:val="18"/>
          <w:szCs w:val="18"/>
          <w:lang w:val="ru"/>
        </w:rPr>
        <w:t>modernizirovanny</w:t>
      </w:r>
      <w:proofErr w:type="spellEnd"/>
      <w:r w:rsidRPr="00A203A6">
        <w:rPr>
          <w:rFonts w:cs="Times New Roman"/>
          <w:i/>
          <w:iCs/>
          <w:color w:val="000000" w:themeColor="text1"/>
          <w:sz w:val="18"/>
          <w:szCs w:val="18"/>
        </w:rPr>
        <w:t xml:space="preserve"> (</w:t>
      </w:r>
      <w:r w:rsidRPr="00A203A6">
        <w:rPr>
          <w:rFonts w:cs="Times New Roman"/>
          <w:color w:val="000000" w:themeColor="text1"/>
          <w:sz w:val="18"/>
          <w:szCs w:val="18"/>
        </w:rPr>
        <w:t xml:space="preserve">AKM) assault rifles, hand grenades, and </w:t>
      </w:r>
      <w:proofErr w:type="spellStart"/>
      <w:r w:rsidRPr="00A203A6">
        <w:rPr>
          <w:rFonts w:cs="Times New Roman"/>
          <w:color w:val="000000" w:themeColor="text1"/>
          <w:sz w:val="18"/>
          <w:szCs w:val="18"/>
        </w:rPr>
        <w:t>Triacetone</w:t>
      </w:r>
      <w:proofErr w:type="spellEnd"/>
      <w:r w:rsidRPr="00A203A6">
        <w:rPr>
          <w:rFonts w:cs="Times New Roman"/>
          <w:color w:val="000000" w:themeColor="text1"/>
          <w:sz w:val="18"/>
          <w:szCs w:val="18"/>
        </w:rPr>
        <w:t xml:space="preserve"> Triperoxide (TATP) suicide belts. Three teams of three perpetrators were responsible for conducting the wave of attacks, for a total of nine terrorists. Seven perpetrators were killed at the scene of the attacks, while the remaining two were killed by a police raid in Saint-Denis that occurred two days later. The perpetrators of the attacks have since been connected to ISIL’s Brussels cell. (Sybille de la </w:t>
      </w:r>
      <w:proofErr w:type="spellStart"/>
      <w:r w:rsidRPr="00A203A6">
        <w:rPr>
          <w:rFonts w:cs="Times New Roman"/>
          <w:color w:val="000000" w:themeColor="text1"/>
          <w:sz w:val="18"/>
          <w:szCs w:val="18"/>
        </w:rPr>
        <w:t>Hamaide</w:t>
      </w:r>
      <w:proofErr w:type="spellEnd"/>
      <w:r w:rsidRPr="00A203A6">
        <w:rPr>
          <w:rFonts w:cs="Times New Roman"/>
          <w:color w:val="000000" w:themeColor="text1"/>
          <w:sz w:val="18"/>
          <w:szCs w:val="18"/>
        </w:rPr>
        <w:t xml:space="preserve"> and Mark John (ed.), “Timeline of Paris Attacks According to Public Prosecutor.” </w:t>
      </w:r>
      <w:r w:rsidRPr="00A203A6">
        <w:rPr>
          <w:rFonts w:cs="Times New Roman"/>
          <w:i/>
          <w:color w:val="000000" w:themeColor="text1"/>
          <w:sz w:val="18"/>
          <w:szCs w:val="18"/>
        </w:rPr>
        <w:t>Reuters.</w:t>
      </w:r>
      <w:r w:rsidRPr="00A203A6">
        <w:rPr>
          <w:rFonts w:cs="Times New Roman"/>
          <w:color w:val="000000" w:themeColor="text1"/>
          <w:sz w:val="18"/>
          <w:szCs w:val="18"/>
        </w:rPr>
        <w:t xml:space="preserve"> November 14, 2015. </w:t>
      </w:r>
      <w:r w:rsidRPr="00A203A6">
        <w:rPr>
          <w:rFonts w:cs="Times New Roman"/>
          <w:color w:val="000000" w:themeColor="text1"/>
          <w:sz w:val="18"/>
          <w:szCs w:val="18"/>
          <w:u w:val="single"/>
        </w:rPr>
        <w:t>https://www.reuters.com/article/us-france-shooting-timeline-idUSKCN0T31BS20151114</w:t>
      </w:r>
      <w:r w:rsidRPr="00A203A6">
        <w:rPr>
          <w:rFonts w:cs="Times New Roman"/>
          <w:color w:val="000000" w:themeColor="text1"/>
          <w:sz w:val="18"/>
          <w:szCs w:val="18"/>
        </w:rPr>
        <w:t xml:space="preserve"> (accessed March 17, 2023); Joe </w:t>
      </w:r>
      <w:proofErr w:type="spellStart"/>
      <w:r w:rsidRPr="00A203A6">
        <w:rPr>
          <w:rFonts w:cs="Times New Roman"/>
          <w:color w:val="000000" w:themeColor="text1"/>
          <w:sz w:val="18"/>
          <w:szCs w:val="18"/>
        </w:rPr>
        <w:t>Mozingo</w:t>
      </w:r>
      <w:proofErr w:type="spellEnd"/>
      <w:r w:rsidRPr="00A203A6">
        <w:rPr>
          <w:rFonts w:cs="Times New Roman"/>
          <w:color w:val="000000" w:themeColor="text1"/>
          <w:sz w:val="18"/>
          <w:szCs w:val="18"/>
        </w:rPr>
        <w:t>, Richard A. Serrano, Henry Chu and Michael Finnegan, “</w:t>
      </w:r>
      <w:r w:rsidRPr="00A203A6">
        <w:rPr>
          <w:rFonts w:eastAsia="Times New Roman" w:cs="Times New Roman"/>
          <w:color w:val="000000" w:themeColor="text1"/>
          <w:sz w:val="18"/>
          <w:szCs w:val="18"/>
          <w:shd w:val="clear" w:color="auto" w:fill="FFFFFF"/>
        </w:rPr>
        <w:t>As Paris reels, investigators piece together the attackers' stories</w:t>
      </w:r>
      <w:r w:rsidRPr="00A203A6">
        <w:rPr>
          <w:rFonts w:cs="Times New Roman"/>
          <w:color w:val="000000" w:themeColor="text1"/>
          <w:sz w:val="18"/>
          <w:szCs w:val="18"/>
        </w:rPr>
        <w:t xml:space="preserve">.” </w:t>
      </w:r>
      <w:r w:rsidRPr="00A203A6">
        <w:rPr>
          <w:rFonts w:cs="Times New Roman"/>
          <w:i/>
          <w:color w:val="000000" w:themeColor="text1"/>
          <w:sz w:val="18"/>
          <w:szCs w:val="18"/>
        </w:rPr>
        <w:t xml:space="preserve">Los Angeles Times. </w:t>
      </w:r>
      <w:r w:rsidRPr="00A203A6">
        <w:rPr>
          <w:rFonts w:cs="Times New Roman"/>
          <w:color w:val="000000" w:themeColor="text1"/>
          <w:sz w:val="18"/>
          <w:szCs w:val="18"/>
        </w:rPr>
        <w:t xml:space="preserve">November 14, 2015. </w:t>
      </w:r>
      <w:r w:rsidRPr="00A203A6">
        <w:rPr>
          <w:rFonts w:cs="Times New Roman"/>
          <w:color w:val="000000" w:themeColor="text1"/>
          <w:sz w:val="18"/>
          <w:szCs w:val="18"/>
          <w:u w:val="single"/>
        </w:rPr>
        <w:t>https://www.latimes.com/world/europe/la-fg-paris-attacks-20151114-story.html</w:t>
      </w:r>
      <w:r w:rsidRPr="00A203A6">
        <w:rPr>
          <w:rFonts w:cs="Times New Roman"/>
          <w:color w:val="000000" w:themeColor="text1"/>
          <w:sz w:val="18"/>
          <w:szCs w:val="18"/>
        </w:rPr>
        <w:t xml:space="preserve"> (accessed March 17, 2023).)</w:t>
      </w:r>
    </w:p>
  </w:footnote>
  <w:footnote w:id="465">
    <w:p w14:paraId="78B57D04" w14:textId="77777777" w:rsidR="00C61B98" w:rsidRPr="00A203A6" w:rsidRDefault="00C61B9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Renée Jeffery, “Evil and the Problem of Responsibility.” </w:t>
      </w:r>
      <w:r w:rsidRPr="00A203A6">
        <w:rPr>
          <w:rFonts w:cs="Times New Roman"/>
          <w:i/>
          <w:iCs/>
          <w:color w:val="000000" w:themeColor="text1"/>
          <w:sz w:val="18"/>
          <w:szCs w:val="18"/>
        </w:rPr>
        <w:t>Confronting Evil in International Relations: Ethical Reponses to Problems of Moral Agency</w:t>
      </w:r>
      <w:r w:rsidRPr="00A203A6">
        <w:rPr>
          <w:rFonts w:cs="Times New Roman"/>
          <w:color w:val="000000" w:themeColor="text1"/>
          <w:sz w:val="18"/>
          <w:szCs w:val="18"/>
        </w:rPr>
        <w:t xml:space="preserve"> (2008): 13.</w:t>
      </w:r>
    </w:p>
  </w:footnote>
  <w:footnote w:id="466">
    <w:p w14:paraId="658A03C7" w14:textId="77777777" w:rsidR="00C61B98" w:rsidRPr="00A203A6" w:rsidRDefault="00C61B9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Jeffery, “Evil and the Problem of Responsibility,” 12.</w:t>
      </w:r>
    </w:p>
  </w:footnote>
  <w:footnote w:id="467">
    <w:p w14:paraId="7ABFD6E9" w14:textId="77777777" w:rsidR="00C61B98" w:rsidRPr="00A203A6" w:rsidRDefault="00C61B98"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Jeffery, “Evil and the Problem of Responsibility,” 27.</w:t>
      </w:r>
    </w:p>
  </w:footnote>
  <w:footnote w:id="468">
    <w:p w14:paraId="52FB60C1"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Recall that in Chapter 3, I conceive of the clash underlying an issue as necessarily associated with the implicit question(s) that its competing proposed definitions are trying to answer. To that end, clash constitutes a means that forces us to face definitional irreconcilabilities. See Chapter 3, “The Analytical Utility of “Essentially Contested Concepts”: Conceptual Clash” (Pages 41-43).</w:t>
      </w:r>
    </w:p>
  </w:footnote>
  <w:footnote w:id="469">
    <w:p w14:paraId="10BBBAC9"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David A. Snow and Robert D. </w:t>
      </w:r>
      <w:proofErr w:type="spellStart"/>
      <w:r w:rsidRPr="00A203A6">
        <w:rPr>
          <w:rFonts w:cs="Times New Roman"/>
          <w:color w:val="000000" w:themeColor="text1"/>
          <w:sz w:val="18"/>
          <w:szCs w:val="18"/>
        </w:rPr>
        <w:t>Benford</w:t>
      </w:r>
      <w:proofErr w:type="spellEnd"/>
      <w:r w:rsidRPr="00A203A6">
        <w:rPr>
          <w:rFonts w:cs="Times New Roman"/>
          <w:color w:val="000000" w:themeColor="text1"/>
          <w:sz w:val="18"/>
          <w:szCs w:val="18"/>
        </w:rPr>
        <w:t xml:space="preserve">, “Framing processes and social movements: An overview and assessment.” </w:t>
      </w:r>
      <w:r w:rsidRPr="00A203A6">
        <w:rPr>
          <w:rFonts w:cs="Times New Roman"/>
          <w:i/>
          <w:iCs/>
          <w:color w:val="000000" w:themeColor="text1"/>
          <w:sz w:val="18"/>
          <w:szCs w:val="18"/>
        </w:rPr>
        <w:t>Annual Review of Sociology</w:t>
      </w:r>
      <w:r w:rsidRPr="00A203A6">
        <w:rPr>
          <w:rFonts w:cs="Times New Roman"/>
          <w:color w:val="000000" w:themeColor="text1"/>
          <w:sz w:val="18"/>
          <w:szCs w:val="18"/>
        </w:rPr>
        <w:t xml:space="preserve"> 26 (1992): 611-639; Robert D. </w:t>
      </w:r>
      <w:proofErr w:type="spellStart"/>
      <w:r w:rsidRPr="00A203A6">
        <w:rPr>
          <w:rFonts w:cs="Times New Roman"/>
          <w:color w:val="000000" w:themeColor="text1"/>
          <w:sz w:val="18"/>
          <w:szCs w:val="18"/>
        </w:rPr>
        <w:t>Benford</w:t>
      </w:r>
      <w:proofErr w:type="spellEnd"/>
      <w:r w:rsidRPr="00A203A6">
        <w:rPr>
          <w:rFonts w:cs="Times New Roman"/>
          <w:color w:val="000000" w:themeColor="text1"/>
          <w:sz w:val="18"/>
          <w:szCs w:val="18"/>
        </w:rPr>
        <w:t xml:space="preserve">, “Master frame.” In David A. Snow, Donatella </w:t>
      </w:r>
      <w:proofErr w:type="spellStart"/>
      <w:r w:rsidRPr="00A203A6">
        <w:rPr>
          <w:rFonts w:cs="Times New Roman"/>
          <w:color w:val="000000" w:themeColor="text1"/>
          <w:sz w:val="18"/>
          <w:szCs w:val="18"/>
        </w:rPr>
        <w:t>della</w:t>
      </w:r>
      <w:proofErr w:type="spellEnd"/>
      <w:r w:rsidRPr="00A203A6">
        <w:rPr>
          <w:rFonts w:cs="Times New Roman"/>
          <w:color w:val="000000" w:themeColor="text1"/>
          <w:sz w:val="18"/>
          <w:szCs w:val="18"/>
        </w:rPr>
        <w:t xml:space="preserve"> Porta, Bert </w:t>
      </w:r>
      <w:proofErr w:type="spellStart"/>
      <w:r w:rsidRPr="00A203A6">
        <w:rPr>
          <w:rFonts w:cs="Times New Roman"/>
          <w:color w:val="000000" w:themeColor="text1"/>
          <w:sz w:val="18"/>
          <w:szCs w:val="18"/>
        </w:rPr>
        <w:t>Klandermans</w:t>
      </w:r>
      <w:proofErr w:type="spellEnd"/>
      <w:r w:rsidRPr="00A203A6">
        <w:rPr>
          <w:rFonts w:cs="Times New Roman"/>
          <w:color w:val="000000" w:themeColor="text1"/>
          <w:sz w:val="18"/>
          <w:szCs w:val="18"/>
        </w:rPr>
        <w:t xml:space="preserve"> and Doug McAdam (eds.), </w:t>
      </w:r>
      <w:r w:rsidRPr="00A203A6">
        <w:rPr>
          <w:rFonts w:cs="Times New Roman"/>
          <w:i/>
          <w:iCs/>
          <w:color w:val="000000" w:themeColor="text1"/>
          <w:sz w:val="18"/>
          <w:szCs w:val="18"/>
        </w:rPr>
        <w:t xml:space="preserve">The Wiley-Blackwell Encyclopedia of Social and Political Movements </w:t>
      </w:r>
      <w:r w:rsidRPr="00A203A6">
        <w:rPr>
          <w:rFonts w:cs="Times New Roman"/>
          <w:color w:val="000000" w:themeColor="text1"/>
          <w:sz w:val="18"/>
          <w:szCs w:val="18"/>
        </w:rPr>
        <w:t xml:space="preserve">(Hoboken: Blackwell Publishing Ltd., 2013). Available online at </w:t>
      </w:r>
      <w:r w:rsidRPr="00A203A6">
        <w:rPr>
          <w:rFonts w:cs="Times New Roman"/>
          <w:color w:val="000000" w:themeColor="text1"/>
          <w:sz w:val="18"/>
          <w:szCs w:val="18"/>
          <w:u w:val="single"/>
        </w:rPr>
        <w:t>https://doi.org/10.1002/9780470674871.wbespm126</w:t>
      </w:r>
      <w:r w:rsidRPr="00A203A6">
        <w:rPr>
          <w:rFonts w:cs="Times New Roman"/>
          <w:color w:val="000000" w:themeColor="text1"/>
          <w:sz w:val="18"/>
          <w:szCs w:val="18"/>
        </w:rPr>
        <w:t>.</w:t>
      </w:r>
    </w:p>
  </w:footnote>
  <w:footnote w:id="470">
    <w:p w14:paraId="0CF96F5D"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Bruce </w:t>
      </w:r>
      <w:proofErr w:type="spellStart"/>
      <w:r w:rsidRPr="00A203A6">
        <w:rPr>
          <w:rFonts w:cs="Times New Roman"/>
          <w:color w:val="000000" w:themeColor="text1"/>
          <w:sz w:val="18"/>
          <w:szCs w:val="18"/>
        </w:rPr>
        <w:t>Russett</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Grasping the Democratic Peace: Principles for a Post-Cold War World.</w:t>
      </w:r>
      <w:r w:rsidRPr="00A203A6">
        <w:rPr>
          <w:rFonts w:cs="Times New Roman"/>
          <w:color w:val="000000" w:themeColor="text1"/>
          <w:sz w:val="18"/>
          <w:szCs w:val="18"/>
        </w:rPr>
        <w:t xml:space="preserve"> (Princeton: Princeton University Press, 1993): 10.</w:t>
      </w:r>
    </w:p>
  </w:footnote>
  <w:footnote w:id="471">
    <w:p w14:paraId="5831FB0E"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Michael Sheehan characterizes “total warfare” as a stage in the overall evolution of warfare that was brought about by World War I. Defined as per German General Erich </w:t>
      </w:r>
      <w:proofErr w:type="spellStart"/>
      <w:r w:rsidRPr="00A203A6">
        <w:rPr>
          <w:rFonts w:cs="Times New Roman"/>
          <w:color w:val="000000" w:themeColor="text1"/>
          <w:sz w:val="18"/>
          <w:szCs w:val="18"/>
        </w:rPr>
        <w:t>Ludendorf</w:t>
      </w:r>
      <w:proofErr w:type="spellEnd"/>
      <w:r w:rsidRPr="00A203A6">
        <w:rPr>
          <w:rFonts w:cs="Times New Roman"/>
          <w:color w:val="000000" w:themeColor="text1"/>
          <w:sz w:val="18"/>
          <w:szCs w:val="18"/>
        </w:rPr>
        <w:t xml:space="preserve">, “total warfare” constitutes the total mobilization of military, economic and human resources of the state with the objective of affecting the unconditional surrender of the state’s perceived enemy. The accompanying mentality exemplified by the idiom ‘kick them when they are down’ resulted in the punitive conditions imposed by the 1919 Treaty of Versailles that ultimately caused the ‘total warfare’ of the Second World War. See Michael Sheehan, “The Evolution of Modern Warfare.” In John Baylis, James </w:t>
      </w:r>
      <w:proofErr w:type="spellStart"/>
      <w:r w:rsidRPr="00A203A6">
        <w:rPr>
          <w:rFonts w:cs="Times New Roman"/>
          <w:color w:val="000000" w:themeColor="text1"/>
          <w:sz w:val="18"/>
          <w:szCs w:val="18"/>
        </w:rPr>
        <w:t>Witrz</w:t>
      </w:r>
      <w:proofErr w:type="spellEnd"/>
      <w:r w:rsidRPr="00A203A6">
        <w:rPr>
          <w:rFonts w:cs="Times New Roman"/>
          <w:color w:val="000000" w:themeColor="text1"/>
          <w:sz w:val="18"/>
          <w:szCs w:val="18"/>
        </w:rPr>
        <w:t xml:space="preserve"> and Colin Gray (eds.), </w:t>
      </w:r>
      <w:r w:rsidRPr="00A203A6">
        <w:rPr>
          <w:rFonts w:cs="Times New Roman"/>
          <w:i/>
          <w:iCs/>
          <w:color w:val="000000" w:themeColor="text1"/>
          <w:sz w:val="18"/>
          <w:szCs w:val="18"/>
        </w:rPr>
        <w:t>Strategy in the Contemporary World</w:t>
      </w:r>
      <w:r w:rsidRPr="00A203A6">
        <w:rPr>
          <w:rFonts w:cs="Times New Roman"/>
          <w:color w:val="000000" w:themeColor="text1"/>
          <w:sz w:val="18"/>
          <w:szCs w:val="18"/>
        </w:rPr>
        <w:t xml:space="preserve"> (4</w:t>
      </w:r>
      <w:r w:rsidRPr="00A203A6">
        <w:rPr>
          <w:rFonts w:cs="Times New Roman"/>
          <w:color w:val="000000" w:themeColor="text1"/>
          <w:sz w:val="18"/>
          <w:szCs w:val="18"/>
          <w:vertAlign w:val="superscript"/>
        </w:rPr>
        <w:t>th</w:t>
      </w:r>
      <w:r w:rsidRPr="00A203A6">
        <w:rPr>
          <w:rFonts w:cs="Times New Roman"/>
          <w:color w:val="000000" w:themeColor="text1"/>
          <w:sz w:val="18"/>
          <w:szCs w:val="18"/>
        </w:rPr>
        <w:t xml:space="preserve"> ed.) (Oxford: Oxford University Press, 2013): 42-65.)</w:t>
      </w:r>
    </w:p>
  </w:footnote>
  <w:footnote w:id="472">
    <w:p w14:paraId="107931BD"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Russett</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Grasping the Democratic Peace</w:t>
      </w:r>
      <w:r w:rsidRPr="00A203A6">
        <w:rPr>
          <w:rFonts w:cs="Times New Roman"/>
          <w:color w:val="000000" w:themeColor="text1"/>
          <w:sz w:val="18"/>
          <w:szCs w:val="18"/>
        </w:rPr>
        <w:t>, 3.</w:t>
      </w:r>
    </w:p>
  </w:footnote>
  <w:footnote w:id="473">
    <w:p w14:paraId="1475D77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United States’ reliance on containment strategies in its foreign policy towards the USSR dominated the first phase of the Cold War, which spanned 1945 to 1962. The near-miss constituted by the 1962 Cuban Missile Crisis then changed the United States’ priorities, which shifted from stopping the spread of communism to preventing the outbreak of nuclear war. This manifested as the détente period that characterized the second phase of the Cold War, which lasted from 1962 to 1990. See John W. Young and John Kent, “The Origins and Development of the Cold War.” In John W. Young and John Kent. </w:t>
      </w:r>
      <w:r w:rsidRPr="00A203A6">
        <w:rPr>
          <w:rFonts w:cs="Times New Roman"/>
          <w:i/>
          <w:iCs/>
          <w:color w:val="000000" w:themeColor="text1"/>
          <w:sz w:val="18"/>
          <w:szCs w:val="18"/>
        </w:rPr>
        <w:t>International Relations Since 1945.</w:t>
      </w:r>
      <w:r w:rsidRPr="00A203A6">
        <w:rPr>
          <w:rFonts w:cs="Times New Roman"/>
          <w:color w:val="000000" w:themeColor="text1"/>
          <w:sz w:val="18"/>
          <w:szCs w:val="18"/>
        </w:rPr>
        <w:t xml:space="preserve"> (Oxford: Oxford University Press, 2004): 19-51.</w:t>
      </w:r>
    </w:p>
  </w:footnote>
  <w:footnote w:id="474">
    <w:p w14:paraId="07D86FE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Karin von Hippel, </w:t>
      </w:r>
      <w:r w:rsidRPr="00A203A6">
        <w:rPr>
          <w:rFonts w:cs="Times New Roman"/>
          <w:i/>
          <w:iCs/>
          <w:color w:val="000000" w:themeColor="text1"/>
          <w:sz w:val="18"/>
          <w:szCs w:val="18"/>
        </w:rPr>
        <w:t>Democracy by Force: US Military Intervention in the Post-Cold War World.</w:t>
      </w:r>
      <w:r w:rsidRPr="00A203A6">
        <w:rPr>
          <w:rFonts w:cs="Times New Roman"/>
          <w:color w:val="000000" w:themeColor="text1"/>
          <w:sz w:val="18"/>
          <w:szCs w:val="18"/>
        </w:rPr>
        <w:t xml:space="preserve"> (Cambridge: Cambridge University Press, 2004): 4.</w:t>
      </w:r>
    </w:p>
  </w:footnote>
  <w:footnote w:id="475">
    <w:p w14:paraId="15492804"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Andrew Mumford, “Proxy Warfare and the Future of Conflict.” </w:t>
      </w:r>
      <w:r w:rsidRPr="00A203A6">
        <w:rPr>
          <w:rFonts w:cs="Times New Roman"/>
          <w:i/>
          <w:iCs/>
          <w:color w:val="000000" w:themeColor="text1"/>
          <w:sz w:val="18"/>
          <w:szCs w:val="18"/>
        </w:rPr>
        <w:t>The RUSI Journal</w:t>
      </w:r>
      <w:r w:rsidRPr="00A203A6">
        <w:rPr>
          <w:rFonts w:cs="Times New Roman"/>
          <w:color w:val="000000" w:themeColor="text1"/>
          <w:sz w:val="18"/>
          <w:szCs w:val="18"/>
        </w:rPr>
        <w:t xml:space="preserve"> 158, no. 2 (2013): 40.</w:t>
      </w:r>
    </w:p>
  </w:footnote>
  <w:footnote w:id="476">
    <w:p w14:paraId="3290DF0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Von Hippel, </w:t>
      </w:r>
      <w:r w:rsidRPr="00A203A6">
        <w:rPr>
          <w:rFonts w:cs="Times New Roman"/>
          <w:i/>
          <w:iCs/>
          <w:color w:val="000000" w:themeColor="text1"/>
          <w:sz w:val="18"/>
          <w:szCs w:val="18"/>
        </w:rPr>
        <w:t>Democracy by Force</w:t>
      </w:r>
      <w:r w:rsidRPr="00A203A6">
        <w:rPr>
          <w:rFonts w:cs="Times New Roman"/>
          <w:color w:val="000000" w:themeColor="text1"/>
          <w:sz w:val="18"/>
          <w:szCs w:val="18"/>
        </w:rPr>
        <w:t>, 2.</w:t>
      </w:r>
    </w:p>
  </w:footnote>
  <w:footnote w:id="477">
    <w:p w14:paraId="7AC98EA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Von Hippel, </w:t>
      </w:r>
      <w:r w:rsidRPr="00A203A6">
        <w:rPr>
          <w:rFonts w:cs="Times New Roman"/>
          <w:i/>
          <w:iCs/>
          <w:color w:val="000000" w:themeColor="text1"/>
          <w:sz w:val="18"/>
          <w:szCs w:val="18"/>
        </w:rPr>
        <w:t>Democracy by Force</w:t>
      </w:r>
      <w:r w:rsidRPr="00A203A6">
        <w:rPr>
          <w:rFonts w:cs="Times New Roman"/>
          <w:color w:val="000000" w:themeColor="text1"/>
          <w:sz w:val="18"/>
          <w:szCs w:val="18"/>
        </w:rPr>
        <w:t>, 4.</w:t>
      </w:r>
    </w:p>
  </w:footnote>
  <w:footnote w:id="478">
    <w:p w14:paraId="217348F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Coined by H.G. Wells, the phrase “war to end all wars” is generally used to refer to World War I, due to its manifestation as the first instance of ‘total warfare’: the total mobilization of military, economic and human resources of the state with the objective of securing the unconditional surrender of the state’s perceived enemy. (H.G. Wells, </w:t>
      </w:r>
      <w:r w:rsidRPr="00A203A6">
        <w:rPr>
          <w:rFonts w:cs="Times New Roman"/>
          <w:i/>
          <w:iCs/>
          <w:color w:val="000000" w:themeColor="text1"/>
          <w:sz w:val="18"/>
          <w:szCs w:val="18"/>
        </w:rPr>
        <w:t>The War That Will End War.</w:t>
      </w:r>
      <w:r w:rsidRPr="00A203A6">
        <w:rPr>
          <w:rFonts w:cs="Times New Roman"/>
          <w:color w:val="000000" w:themeColor="text1"/>
          <w:sz w:val="18"/>
          <w:szCs w:val="18"/>
        </w:rPr>
        <w:t xml:space="preserve"> (New York: Duffield and Co., 1914); also see Sheehan, “The Evolution of Modern Warfare,” 36-52.)</w:t>
      </w:r>
    </w:p>
  </w:footnote>
  <w:footnote w:id="479">
    <w:p w14:paraId="5EC39F9F"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4, “Statehood” (Pages 62-70).</w:t>
      </w:r>
    </w:p>
  </w:footnote>
  <w:footnote w:id="480">
    <w:p w14:paraId="11CF79D2"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term “violent non-state actor” was coined by the United States Armed Forces in 2002 for use in publications relating to military strategy to refer to terrorist entities. It has been used to refer to “formal institutions… [with discernible] patterns of activity, authority relationships and membership… [that employ] conspiracy violence” in an attempt to affect its goals relating to political change (William </w:t>
      </w:r>
      <w:proofErr w:type="spellStart"/>
      <w:r w:rsidRPr="00A203A6">
        <w:rPr>
          <w:rFonts w:cs="Times New Roman"/>
          <w:color w:val="000000" w:themeColor="text1"/>
          <w:sz w:val="18"/>
          <w:szCs w:val="18"/>
        </w:rPr>
        <w:t>Casebeer</w:t>
      </w:r>
      <w:proofErr w:type="spellEnd"/>
      <w:r w:rsidRPr="00A203A6">
        <w:rPr>
          <w:rFonts w:cs="Times New Roman"/>
          <w:color w:val="000000" w:themeColor="text1"/>
          <w:sz w:val="18"/>
          <w:szCs w:val="18"/>
        </w:rPr>
        <w:t xml:space="preserve"> and Maj. Troy Thomas. “Deterring Violent Non-State Actors in the New Millennium.” </w:t>
      </w:r>
      <w:r w:rsidRPr="00A203A6">
        <w:rPr>
          <w:rFonts w:cs="Times New Roman"/>
          <w:i/>
          <w:color w:val="000000" w:themeColor="text1"/>
          <w:sz w:val="18"/>
          <w:szCs w:val="18"/>
        </w:rPr>
        <w:t>Strategic Insight</w:t>
      </w:r>
      <w:r w:rsidRPr="00A203A6">
        <w:rPr>
          <w:rFonts w:cs="Times New Roman"/>
          <w:color w:val="000000" w:themeColor="text1"/>
          <w:sz w:val="18"/>
          <w:szCs w:val="18"/>
        </w:rPr>
        <w:t xml:space="preserve"> 1, no. 10 (December 2002): Retrieved on February 15, 2020, from </w:t>
      </w:r>
      <w:r w:rsidRPr="00A203A6">
        <w:rPr>
          <w:rFonts w:cs="Times New Roman"/>
          <w:color w:val="000000" w:themeColor="text1"/>
          <w:sz w:val="18"/>
          <w:szCs w:val="18"/>
          <w:u w:val="single"/>
        </w:rPr>
        <w:t>https://www.hsdl.org/?view&amp;did=1422</w:t>
      </w:r>
      <w:r w:rsidRPr="00A203A6">
        <w:rPr>
          <w:rFonts w:cs="Times New Roman"/>
          <w:color w:val="000000" w:themeColor="text1"/>
          <w:sz w:val="18"/>
          <w:szCs w:val="18"/>
        </w:rPr>
        <w:t>.). The most recent definition of VNSA, by the Geneva Centre for the Democratic Control of Armed Forces (DCAF) in 2015, conceives of VNSAs as “organized group[s] with a basic structure of command operating outside state control that uses force to achieve its political or allegedly political objectives” (The Geneva Centre for the Democratic Control of Armed Forces, “Armed Non-State Actors: Current Trends and Future Challenges,” (Geneva: DCAF, 2015).</w:t>
      </w:r>
    </w:p>
  </w:footnote>
  <w:footnote w:id="481">
    <w:p w14:paraId="5F8125B5" w14:textId="540D8BD7"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First articulated by the 1994 United Nations Development Programme (UNDP) Human Development Report, ‘human security’ is the idea that the international community has a responsibility to prioritize individual human beings’ freedom from fear and want based on seven essential dimensions. In 1997, Keith Krause and Michael C. Williams expanded on this basic premise within the IR scholarship, amalgamating contributions from the Copenhagen School, critical security studies, and gender studies. Critical security studies provided the initial impetus for the redefinition of ‘security’ with its challenging of the state as its referent object.</w:t>
      </w:r>
      <w:r w:rsidRPr="00A203A6">
        <w:rPr>
          <w:color w:val="000000" w:themeColor="text1"/>
          <w:position w:val="8"/>
          <w:sz w:val="18"/>
          <w:szCs w:val="18"/>
        </w:rPr>
        <w:t xml:space="preserve"> </w:t>
      </w:r>
      <w:r w:rsidRPr="00A203A6">
        <w:rPr>
          <w:color w:val="000000" w:themeColor="text1"/>
          <w:sz w:val="18"/>
          <w:szCs w:val="18"/>
        </w:rPr>
        <w:t xml:space="preserve">The Copenhagen School then built on this idea through two distinct contributions. The first is the role that Barry Buzan’s sectoral analysis of security plays, in conjunction with Arnold Wolfers’ definition of security as “the absence of threats to acquired values,” in establishing the notion of security’s association with non-military topic areas. The second is Ole </w:t>
      </w:r>
      <w:proofErr w:type="spellStart"/>
      <w:r w:rsidRPr="00A203A6">
        <w:rPr>
          <w:color w:val="000000" w:themeColor="text1"/>
          <w:sz w:val="18"/>
          <w:szCs w:val="18"/>
        </w:rPr>
        <w:t>Waever’s</w:t>
      </w:r>
      <w:proofErr w:type="spellEnd"/>
      <w:r w:rsidRPr="00A203A6">
        <w:rPr>
          <w:color w:val="000000" w:themeColor="text1"/>
          <w:sz w:val="18"/>
          <w:szCs w:val="18"/>
        </w:rPr>
        <w:t xml:space="preserve"> treatment of security issues as speech-acts (‘securitization’).</w:t>
      </w:r>
      <w:r w:rsidRPr="00A203A6">
        <w:rPr>
          <w:color w:val="000000" w:themeColor="text1"/>
          <w:position w:val="8"/>
          <w:sz w:val="18"/>
          <w:szCs w:val="18"/>
        </w:rPr>
        <w:t xml:space="preserve"> </w:t>
      </w:r>
      <w:r w:rsidRPr="00A203A6">
        <w:rPr>
          <w:color w:val="000000" w:themeColor="text1"/>
          <w:sz w:val="18"/>
          <w:szCs w:val="18"/>
        </w:rPr>
        <w:t xml:space="preserve">Gender studies then joins the discourse, suggesting that as an academic discipline, International Relations (IR) shift away from focusing solely on state actors. The ‘human security’ debate within IR academia thus conceives of a mutual relationship between gender and security. This has extended conceptions of security from the state to the </w:t>
      </w:r>
      <w:r w:rsidR="002149BD" w:rsidRPr="00A203A6">
        <w:rPr>
          <w:color w:val="000000" w:themeColor="text1"/>
          <w:sz w:val="18"/>
          <w:szCs w:val="18"/>
        </w:rPr>
        <w:t>individual and</w:t>
      </w:r>
      <w:r w:rsidRPr="00A203A6">
        <w:rPr>
          <w:color w:val="000000" w:themeColor="text1"/>
          <w:sz w:val="18"/>
          <w:szCs w:val="18"/>
        </w:rPr>
        <w:t xml:space="preserve"> downplayed the traditionally military focus associated with the notion of security.  (United Nations Development Programme, </w:t>
      </w:r>
      <w:r w:rsidRPr="00A203A6">
        <w:rPr>
          <w:i/>
          <w:iCs/>
          <w:color w:val="000000" w:themeColor="text1"/>
          <w:sz w:val="18"/>
          <w:szCs w:val="18"/>
        </w:rPr>
        <w:t xml:space="preserve">Human Development Report 1994 – New Dimensions of Human Security </w:t>
      </w:r>
      <w:r w:rsidRPr="00A203A6">
        <w:rPr>
          <w:color w:val="000000" w:themeColor="text1"/>
          <w:sz w:val="18"/>
          <w:szCs w:val="18"/>
        </w:rPr>
        <w:t xml:space="preserve">(March 16, 1994), available at </w:t>
      </w:r>
      <w:r w:rsidRPr="00A203A6">
        <w:rPr>
          <w:color w:val="000000" w:themeColor="text1"/>
          <w:sz w:val="18"/>
          <w:szCs w:val="18"/>
          <w:u w:val="single"/>
        </w:rPr>
        <w:t>http://www.hdr.undp.org/sites/default/files/reports/255/hdr_1994_en_complete_nostats.pdf</w:t>
      </w:r>
      <w:r w:rsidRPr="00A203A6">
        <w:rPr>
          <w:color w:val="000000" w:themeColor="text1"/>
          <w:sz w:val="18"/>
          <w:szCs w:val="18"/>
        </w:rPr>
        <w:t xml:space="preserve">; Keith Krause and Michael C. Williams, </w:t>
      </w:r>
      <w:r w:rsidRPr="00A203A6">
        <w:rPr>
          <w:i/>
          <w:iCs/>
          <w:color w:val="000000" w:themeColor="text1"/>
          <w:sz w:val="18"/>
          <w:szCs w:val="18"/>
        </w:rPr>
        <w:t xml:space="preserve">Critical Security Studies: Concepts and Cases </w:t>
      </w:r>
      <w:r w:rsidRPr="00A203A6">
        <w:rPr>
          <w:color w:val="000000" w:themeColor="text1"/>
          <w:sz w:val="18"/>
          <w:szCs w:val="18"/>
        </w:rPr>
        <w:t xml:space="preserve">(Minneapolis: University of Minnesota Press, 1997); Barry Buzan, </w:t>
      </w:r>
      <w:r w:rsidRPr="00A203A6">
        <w:rPr>
          <w:i/>
          <w:iCs/>
          <w:color w:val="000000" w:themeColor="text1"/>
          <w:sz w:val="18"/>
          <w:szCs w:val="18"/>
        </w:rPr>
        <w:t xml:space="preserve">People, States &amp; Fear: An Agenda for International Security Studies in the Post-Cold War Era </w:t>
      </w:r>
      <w:r w:rsidRPr="00A203A6">
        <w:rPr>
          <w:color w:val="000000" w:themeColor="text1"/>
          <w:sz w:val="18"/>
          <w:szCs w:val="18"/>
        </w:rPr>
        <w:t xml:space="preserve">(Brighton: Wheatsheaf, 1991); Arnold Wolfers, “National Security as an Ambiguous Symbol,” </w:t>
      </w:r>
      <w:r w:rsidRPr="00A203A6">
        <w:rPr>
          <w:i/>
          <w:iCs/>
          <w:color w:val="000000" w:themeColor="text1"/>
          <w:sz w:val="18"/>
          <w:szCs w:val="18"/>
        </w:rPr>
        <w:t xml:space="preserve">Political Science Quarterly </w:t>
      </w:r>
      <w:r w:rsidRPr="00A203A6">
        <w:rPr>
          <w:color w:val="000000" w:themeColor="text1"/>
          <w:sz w:val="18"/>
          <w:szCs w:val="18"/>
        </w:rPr>
        <w:t xml:space="preserve">67, no. 4 (1952): 485; Barry Buzan, Ole </w:t>
      </w:r>
      <w:proofErr w:type="spellStart"/>
      <w:r w:rsidRPr="00A203A6">
        <w:rPr>
          <w:color w:val="000000" w:themeColor="text1"/>
          <w:sz w:val="18"/>
          <w:szCs w:val="18"/>
        </w:rPr>
        <w:t>Waever</w:t>
      </w:r>
      <w:proofErr w:type="spellEnd"/>
      <w:r w:rsidRPr="00A203A6">
        <w:rPr>
          <w:color w:val="000000" w:themeColor="text1"/>
          <w:sz w:val="18"/>
          <w:szCs w:val="18"/>
        </w:rPr>
        <w:t xml:space="preserve"> and Jaap De Wilde, </w:t>
      </w:r>
      <w:r w:rsidRPr="00A203A6">
        <w:rPr>
          <w:i/>
          <w:iCs/>
          <w:color w:val="000000" w:themeColor="text1"/>
          <w:sz w:val="18"/>
          <w:szCs w:val="18"/>
        </w:rPr>
        <w:t xml:space="preserve">Security: A New Framework for Analysis </w:t>
      </w:r>
      <w:r w:rsidRPr="00A203A6">
        <w:rPr>
          <w:color w:val="000000" w:themeColor="text1"/>
          <w:sz w:val="18"/>
          <w:szCs w:val="18"/>
        </w:rPr>
        <w:t xml:space="preserve">(Boulder, Lynne </w:t>
      </w:r>
      <w:proofErr w:type="spellStart"/>
      <w:r w:rsidRPr="00A203A6">
        <w:rPr>
          <w:color w:val="000000" w:themeColor="text1"/>
          <w:sz w:val="18"/>
          <w:szCs w:val="18"/>
        </w:rPr>
        <w:t>Rienner</w:t>
      </w:r>
      <w:proofErr w:type="spellEnd"/>
      <w:r w:rsidRPr="00A203A6">
        <w:rPr>
          <w:color w:val="000000" w:themeColor="text1"/>
          <w:sz w:val="18"/>
          <w:szCs w:val="18"/>
        </w:rPr>
        <w:t>, 1998))</w:t>
      </w:r>
    </w:p>
  </w:footnote>
  <w:footnote w:id="482">
    <w:p w14:paraId="78908856" w14:textId="77777777" w:rsidR="002915BC" w:rsidRPr="00A203A6" w:rsidRDefault="002915BC" w:rsidP="00787EBB">
      <w:pPr>
        <w:shd w:val="clear" w:color="auto" w:fill="FFFFFF"/>
        <w:spacing w:before="0" w:after="80"/>
        <w:rPr>
          <w:rFonts w:eastAsia="Times New Roman"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eastAsia="Times New Roman" w:cs="Times New Roman"/>
          <w:color w:val="000000" w:themeColor="text1"/>
          <w:sz w:val="18"/>
          <w:szCs w:val="18"/>
        </w:rPr>
        <w:t xml:space="preserve">Scott Burchill and Andrew Linklater (eds.), </w:t>
      </w:r>
      <w:r w:rsidRPr="00A203A6">
        <w:rPr>
          <w:rFonts w:eastAsia="Times New Roman" w:cs="Times New Roman"/>
          <w:i/>
          <w:iCs/>
          <w:color w:val="000000" w:themeColor="text1"/>
          <w:sz w:val="18"/>
          <w:szCs w:val="18"/>
        </w:rPr>
        <w:t xml:space="preserve">Theories of International Relations </w:t>
      </w:r>
      <w:r w:rsidRPr="00A203A6">
        <w:rPr>
          <w:rFonts w:eastAsia="Times New Roman" w:cs="Times New Roman"/>
          <w:color w:val="000000" w:themeColor="text1"/>
          <w:sz w:val="18"/>
          <w:szCs w:val="18"/>
        </w:rPr>
        <w:t>(5th ed.) (</w:t>
      </w:r>
      <w:proofErr w:type="spellStart"/>
      <w:r w:rsidRPr="00A203A6">
        <w:rPr>
          <w:rFonts w:eastAsia="Times New Roman" w:cs="Times New Roman"/>
          <w:color w:val="000000" w:themeColor="text1"/>
          <w:sz w:val="18"/>
          <w:szCs w:val="18"/>
        </w:rPr>
        <w:t>Houndmills</w:t>
      </w:r>
      <w:proofErr w:type="spellEnd"/>
      <w:r w:rsidRPr="00A203A6">
        <w:rPr>
          <w:rFonts w:eastAsia="Times New Roman" w:cs="Times New Roman"/>
          <w:color w:val="000000" w:themeColor="text1"/>
          <w:sz w:val="18"/>
          <w:szCs w:val="18"/>
        </w:rPr>
        <w:t>, Basingstoke, Hampshire: Palgrave Macmillan, 2013): 241.</w:t>
      </w:r>
    </w:p>
  </w:footnote>
  <w:footnote w:id="483">
    <w:p w14:paraId="5BCB478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Footnote 424, above. (Chapter 7, “Media Coverage of Terrorism Places States and Terrorists on the Same Level” (Page 164)).</w:t>
      </w:r>
    </w:p>
  </w:footnote>
  <w:footnote w:id="484">
    <w:p w14:paraId="2084ACE3"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assumption that is specifically relevant here is the idea that the nature of state decision-making is not unitary, and therefore not necessarily rational. See Andrew </w:t>
      </w:r>
      <w:proofErr w:type="spellStart"/>
      <w:r w:rsidRPr="00A203A6">
        <w:rPr>
          <w:rFonts w:cs="Times New Roman"/>
          <w:color w:val="000000" w:themeColor="text1"/>
          <w:sz w:val="18"/>
          <w:szCs w:val="18"/>
        </w:rPr>
        <w:t>Moravcsik</w:t>
      </w:r>
      <w:proofErr w:type="spellEnd"/>
      <w:r w:rsidRPr="00A203A6">
        <w:rPr>
          <w:rFonts w:cs="Times New Roman"/>
          <w:color w:val="000000" w:themeColor="text1"/>
          <w:sz w:val="18"/>
          <w:szCs w:val="18"/>
        </w:rPr>
        <w:t xml:space="preserve">, “Taking Preferences Seriously: A Liberal Theory of International Politics,” </w:t>
      </w:r>
      <w:r w:rsidRPr="00A203A6">
        <w:rPr>
          <w:rStyle w:val="None"/>
          <w:rFonts w:cs="Times New Roman"/>
          <w:i/>
          <w:iCs/>
          <w:color w:val="000000" w:themeColor="text1"/>
          <w:sz w:val="18"/>
          <w:szCs w:val="18"/>
        </w:rPr>
        <w:t>International Organization</w:t>
      </w:r>
      <w:r w:rsidRPr="00A203A6">
        <w:rPr>
          <w:rStyle w:val="None"/>
          <w:rFonts w:cs="Times New Roman"/>
          <w:color w:val="000000" w:themeColor="text1"/>
          <w:sz w:val="18"/>
          <w:szCs w:val="18"/>
        </w:rPr>
        <w:t xml:space="preserve"> 51, no. 4 (1997): 513-553.</w:t>
      </w:r>
    </w:p>
  </w:footnote>
  <w:footnote w:id="485">
    <w:p w14:paraId="1CE950F1" w14:textId="77777777" w:rsidR="002915BC" w:rsidRPr="00A203A6" w:rsidRDefault="002915BC" w:rsidP="00787EBB">
      <w:pPr>
        <w:pStyle w:val="NormalWeb"/>
        <w:shd w:val="clear" w:color="auto" w:fill="FFFFFF"/>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See Tony Shaw, and Denise J. Youngblood, “Cold War Sport, Film, and Propaganda: A Comparative Analysis of the Superpowers.” </w:t>
      </w:r>
      <w:r w:rsidRPr="00A203A6">
        <w:rPr>
          <w:i/>
          <w:iCs/>
          <w:color w:val="000000" w:themeColor="text1"/>
          <w:sz w:val="18"/>
          <w:szCs w:val="18"/>
        </w:rPr>
        <w:t>Journal of Cold War Studies</w:t>
      </w:r>
      <w:r w:rsidRPr="00A203A6">
        <w:rPr>
          <w:color w:val="000000" w:themeColor="text1"/>
          <w:sz w:val="18"/>
          <w:szCs w:val="18"/>
        </w:rPr>
        <w:t>, Vol. 19, no. 1 (2017): 160-192.)</w:t>
      </w:r>
    </w:p>
  </w:footnote>
  <w:footnote w:id="486">
    <w:p w14:paraId="3DD2E42D"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 Scott </w:t>
      </w:r>
      <w:r w:rsidRPr="00A203A6">
        <w:rPr>
          <w:rFonts w:cs="Times New Roman"/>
          <w:color w:val="000000" w:themeColor="text1"/>
          <w:sz w:val="18"/>
          <w:szCs w:val="18"/>
          <w:shd w:val="clear" w:color="auto" w:fill="FCFCFC"/>
        </w:rPr>
        <w:t xml:space="preserve">Lucas, “Beyond Diplomacy: Propaganda and the History of the Cold War.” In </w:t>
      </w:r>
      <w:r w:rsidRPr="00A203A6">
        <w:rPr>
          <w:rFonts w:cs="Times New Roman"/>
          <w:color w:val="000000" w:themeColor="text1"/>
          <w:sz w:val="18"/>
          <w:szCs w:val="18"/>
        </w:rPr>
        <w:t xml:space="preserve">Gary D. Rawnsley (ed.), </w:t>
      </w:r>
      <w:r w:rsidRPr="00A203A6">
        <w:rPr>
          <w:rFonts w:cs="Times New Roman"/>
          <w:i/>
          <w:iCs/>
          <w:color w:val="000000" w:themeColor="text1"/>
          <w:sz w:val="18"/>
          <w:szCs w:val="18"/>
        </w:rPr>
        <w:t>Cold-War Propaganda in the 1950s.</w:t>
      </w:r>
      <w:r w:rsidRPr="00A203A6">
        <w:rPr>
          <w:rFonts w:cs="Times New Roman"/>
          <w:color w:val="000000" w:themeColor="text1"/>
          <w:sz w:val="18"/>
          <w:szCs w:val="18"/>
        </w:rPr>
        <w:t xml:space="preserve"> (London: Palgrave Macmillan, 1999):</w:t>
      </w:r>
      <w:r w:rsidRPr="00A203A6">
        <w:rPr>
          <w:rFonts w:cs="Times New Roman"/>
          <w:i/>
          <w:iCs/>
          <w:color w:val="000000" w:themeColor="text1"/>
          <w:sz w:val="18"/>
          <w:szCs w:val="18"/>
        </w:rPr>
        <w:t xml:space="preserve"> </w:t>
      </w:r>
      <w:r w:rsidRPr="00A203A6">
        <w:rPr>
          <w:rFonts w:cs="Times New Roman"/>
          <w:color w:val="000000" w:themeColor="text1"/>
          <w:sz w:val="18"/>
          <w:szCs w:val="18"/>
        </w:rPr>
        <w:t>11-30.</w:t>
      </w:r>
    </w:p>
  </w:footnote>
  <w:footnote w:id="487">
    <w:p w14:paraId="5E8855C8" w14:textId="77777777" w:rsidR="002915BC" w:rsidRPr="00A203A6" w:rsidRDefault="002915BC" w:rsidP="00787EBB">
      <w:pPr>
        <w:pStyle w:val="NormalWeb"/>
        <w:shd w:val="clear" w:color="auto" w:fill="FFFFFF"/>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See Richard </w:t>
      </w:r>
      <w:proofErr w:type="spellStart"/>
      <w:r w:rsidRPr="00A203A6">
        <w:rPr>
          <w:color w:val="000000" w:themeColor="text1"/>
          <w:sz w:val="18"/>
          <w:szCs w:val="18"/>
        </w:rPr>
        <w:t>Stites</w:t>
      </w:r>
      <w:proofErr w:type="spellEnd"/>
      <w:r w:rsidRPr="00A203A6">
        <w:rPr>
          <w:color w:val="000000" w:themeColor="text1"/>
          <w:sz w:val="18"/>
          <w:szCs w:val="18"/>
        </w:rPr>
        <w:t xml:space="preserve">, “Heaven and Hell: Soviet Propaganda Constructs the World.” In Rawnsley, </w:t>
      </w:r>
      <w:r w:rsidRPr="00A203A6">
        <w:rPr>
          <w:i/>
          <w:iCs/>
          <w:color w:val="000000" w:themeColor="text1"/>
          <w:sz w:val="18"/>
          <w:szCs w:val="18"/>
        </w:rPr>
        <w:t>Cold-War Propaganda in the 1950s</w:t>
      </w:r>
      <w:r w:rsidRPr="00A203A6">
        <w:rPr>
          <w:color w:val="000000" w:themeColor="text1"/>
          <w:sz w:val="18"/>
          <w:szCs w:val="18"/>
        </w:rPr>
        <w:t xml:space="preserve">, 85-104, and Michael Nelson, </w:t>
      </w:r>
      <w:r w:rsidRPr="00A203A6">
        <w:rPr>
          <w:i/>
          <w:iCs/>
          <w:color w:val="000000" w:themeColor="text1"/>
          <w:sz w:val="18"/>
          <w:szCs w:val="18"/>
        </w:rPr>
        <w:t>War of the Black Heavens: The Battles of Western Broadcasting in the Cold War.</w:t>
      </w:r>
      <w:r w:rsidRPr="00A203A6">
        <w:rPr>
          <w:color w:val="000000" w:themeColor="text1"/>
          <w:sz w:val="18"/>
          <w:szCs w:val="18"/>
        </w:rPr>
        <w:t xml:space="preserve"> (Syracuse: Syracuse University Press, 1997).</w:t>
      </w:r>
    </w:p>
  </w:footnote>
  <w:footnote w:id="488">
    <w:p w14:paraId="2F4FC5C7" w14:textId="77777777"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United Nations Office on Drugs and Crime, </w:t>
      </w:r>
      <w:r w:rsidRPr="00A203A6">
        <w:rPr>
          <w:i/>
          <w:iCs/>
          <w:color w:val="000000" w:themeColor="text1"/>
          <w:sz w:val="18"/>
          <w:szCs w:val="18"/>
        </w:rPr>
        <w:t xml:space="preserve">Frequently Asked Questions on International Law Aspects of Countering Terrorism </w:t>
      </w:r>
      <w:r w:rsidRPr="00A203A6">
        <w:rPr>
          <w:color w:val="000000" w:themeColor="text1"/>
          <w:sz w:val="18"/>
          <w:szCs w:val="18"/>
        </w:rPr>
        <w:t xml:space="preserve">(2009), available from unodc.org/documents/terrorism/Publications/FAQ/English.pdf </w:t>
      </w:r>
    </w:p>
  </w:footnote>
  <w:footnote w:id="489">
    <w:p w14:paraId="22634141"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Gillian Youngs, “Media and Mediation in the ‘War on Terror’: Issues and Challenges,” </w:t>
      </w:r>
      <w:r w:rsidRPr="00A203A6">
        <w:rPr>
          <w:rFonts w:cs="Times New Roman"/>
          <w:i/>
          <w:iCs/>
          <w:color w:val="000000" w:themeColor="text1"/>
          <w:sz w:val="18"/>
          <w:szCs w:val="18"/>
        </w:rPr>
        <w:t>Critical Studies on Terrorism</w:t>
      </w:r>
      <w:r w:rsidRPr="00A203A6">
        <w:rPr>
          <w:rFonts w:cs="Times New Roman"/>
          <w:color w:val="000000" w:themeColor="text1"/>
          <w:sz w:val="18"/>
          <w:szCs w:val="18"/>
        </w:rPr>
        <w:t xml:space="preserve"> 2, no. 1 (2009): 99. See Chapter 5, “The Media and Political Communication” (Pages 108-111).</w:t>
      </w:r>
    </w:p>
  </w:footnote>
  <w:footnote w:id="490">
    <w:p w14:paraId="54CB2BE9" w14:textId="77777777"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Notable examples of this type of scholarship include Mary Kaldor’s New Wars Theory, and Frank Hoffman’s conception of hybrid wars. Kaldor argues that </w:t>
      </w:r>
      <w:r w:rsidRPr="00A203A6">
        <w:rPr>
          <w:color w:val="000000" w:themeColor="text1"/>
          <w:spacing w:val="-4"/>
          <w:sz w:val="18"/>
          <w:szCs w:val="18"/>
        </w:rPr>
        <w:t>the increase in globalization experienced in the years leading up to the turn of the century created a new type of organized violence that world leaders do not understand. (This begets her inauguration of the term “new wars”: conflicts that increasingly rely on tactics associated with asymmetrical warfare, amalgamate resources from both within and outside state borders, and ultimately center on identity politics rather than ideology or territory.)</w:t>
      </w:r>
      <w:r w:rsidRPr="00A203A6">
        <w:rPr>
          <w:color w:val="000000" w:themeColor="text1"/>
          <w:sz w:val="18"/>
          <w:szCs w:val="18"/>
        </w:rPr>
        <w:t xml:space="preserve"> </w:t>
      </w:r>
      <w:r w:rsidRPr="00A203A6">
        <w:rPr>
          <w:color w:val="000000" w:themeColor="text1"/>
          <w:spacing w:val="-4"/>
          <w:sz w:val="18"/>
          <w:szCs w:val="18"/>
        </w:rPr>
        <w:t xml:space="preserve">Frank Hoffman makes similar arguments in advancing his conceptualization of “hybrid wars”: conflicts “conducted by both states and a variety of non-state actors [that incorporate] … a range of different modes of warfare, including conventional capabilities, irregular tactics and formations, terrorist acts including indiscriminate violence and coercion, and criminal disorder.” </w:t>
      </w:r>
      <w:r w:rsidRPr="00A203A6">
        <w:rPr>
          <w:color w:val="000000" w:themeColor="text1"/>
          <w:sz w:val="18"/>
          <w:szCs w:val="18"/>
        </w:rPr>
        <w:t xml:space="preserve">(Mary Kaldor, </w:t>
      </w:r>
      <w:r w:rsidRPr="00A203A6">
        <w:rPr>
          <w:i/>
          <w:color w:val="000000" w:themeColor="text1"/>
          <w:sz w:val="18"/>
          <w:szCs w:val="18"/>
        </w:rPr>
        <w:t>New and Old Wars</w:t>
      </w:r>
      <w:r w:rsidRPr="00A203A6">
        <w:rPr>
          <w:color w:val="000000" w:themeColor="text1"/>
          <w:sz w:val="18"/>
          <w:szCs w:val="18"/>
        </w:rPr>
        <w:t xml:space="preserve"> (Arlington, VA: Potomac Institute for Policy Studies, 1999): 2; Frank Hoffman, </w:t>
      </w:r>
      <w:r w:rsidRPr="00A203A6">
        <w:rPr>
          <w:i/>
          <w:color w:val="000000" w:themeColor="text1"/>
          <w:sz w:val="18"/>
          <w:szCs w:val="18"/>
        </w:rPr>
        <w:t>Conflict in the 21</w:t>
      </w:r>
      <w:r w:rsidRPr="00A203A6">
        <w:rPr>
          <w:i/>
          <w:color w:val="000000" w:themeColor="text1"/>
          <w:sz w:val="18"/>
          <w:szCs w:val="18"/>
          <w:vertAlign w:val="superscript"/>
        </w:rPr>
        <w:t>st</w:t>
      </w:r>
      <w:r w:rsidRPr="00A203A6">
        <w:rPr>
          <w:i/>
          <w:color w:val="000000" w:themeColor="text1"/>
          <w:sz w:val="18"/>
          <w:szCs w:val="18"/>
        </w:rPr>
        <w:t xml:space="preserve"> Century: The Rise of Hybrid Wars</w:t>
      </w:r>
      <w:r w:rsidRPr="00A203A6">
        <w:rPr>
          <w:color w:val="000000" w:themeColor="text1"/>
          <w:sz w:val="18"/>
          <w:szCs w:val="18"/>
        </w:rPr>
        <w:t xml:space="preserve"> (Arlington, VA: Potomac Institute for Policy Studies, 2007): 14.)</w:t>
      </w:r>
    </w:p>
  </w:footnote>
  <w:footnote w:id="491">
    <w:p w14:paraId="1160668F"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5, “The Symbiosis between Terrorism and the Mass Media” (Pages 96-107).</w:t>
      </w:r>
    </w:p>
  </w:footnote>
  <w:footnote w:id="492">
    <w:p w14:paraId="3A4B386B" w14:textId="77777777" w:rsidR="002915BC" w:rsidRPr="00A203A6" w:rsidRDefault="002915BC"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 identify definitional element 19 as presenting with a recurrence frequency of 66% in the context of the media coverage of terrorism that comprises my sampling frame. See “Terrorism Manifests in Opposition to State Authority” (Pages 144-148), above.</w:t>
      </w:r>
    </w:p>
  </w:footnote>
  <w:footnote w:id="493">
    <w:p w14:paraId="72C02ABF" w14:textId="1CBEC03F"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Robert O. Keohane argues that “reneging on commitments has consequences for [a state’s] reputation only when a limiting set of conditions is met.” To that end, he quotes Philip </w:t>
      </w:r>
      <w:proofErr w:type="spellStart"/>
      <w:r w:rsidRPr="00A203A6">
        <w:rPr>
          <w:color w:val="000000" w:themeColor="text1"/>
          <w:sz w:val="18"/>
          <w:szCs w:val="18"/>
        </w:rPr>
        <w:t>Heymann</w:t>
      </w:r>
      <w:proofErr w:type="spellEnd"/>
      <w:r w:rsidRPr="00A203A6">
        <w:rPr>
          <w:color w:val="000000" w:themeColor="text1"/>
          <w:sz w:val="18"/>
          <w:szCs w:val="18"/>
        </w:rPr>
        <w:t>, noting that “[A]</w:t>
      </w:r>
      <w:proofErr w:type="spellStart"/>
      <w:r w:rsidRPr="00A203A6">
        <w:rPr>
          <w:color w:val="000000" w:themeColor="text1"/>
          <w:sz w:val="18"/>
          <w:szCs w:val="18"/>
        </w:rPr>
        <w:t>ny</w:t>
      </w:r>
      <w:proofErr w:type="spellEnd"/>
      <w:r w:rsidRPr="00A203A6">
        <w:rPr>
          <w:color w:val="000000" w:themeColor="text1"/>
          <w:sz w:val="18"/>
          <w:szCs w:val="18"/>
        </w:rPr>
        <w:t xml:space="preserve"> violation must be known; it must be known by a party whose reactions to the violation are important to the violator; and the expected costs of violation to the violator must exceed the benefits of giving in to the conflicting temptation.” Philip B. </w:t>
      </w:r>
      <w:proofErr w:type="spellStart"/>
      <w:r w:rsidRPr="00A203A6">
        <w:rPr>
          <w:color w:val="000000" w:themeColor="text1"/>
          <w:sz w:val="18"/>
          <w:szCs w:val="18"/>
        </w:rPr>
        <w:t>Heymann</w:t>
      </w:r>
      <w:proofErr w:type="spellEnd"/>
      <w:r w:rsidRPr="00A203A6">
        <w:rPr>
          <w:color w:val="000000" w:themeColor="text1"/>
          <w:sz w:val="18"/>
          <w:szCs w:val="18"/>
        </w:rPr>
        <w:t xml:space="preserve">, “The Problem of Coordination: Bargaining and Rules,” </w:t>
      </w:r>
      <w:r w:rsidRPr="00A203A6">
        <w:rPr>
          <w:i/>
          <w:iCs/>
          <w:color w:val="000000" w:themeColor="text1"/>
          <w:sz w:val="18"/>
          <w:szCs w:val="18"/>
        </w:rPr>
        <w:t>Harvard Law Review</w:t>
      </w:r>
      <w:r w:rsidRPr="00A203A6">
        <w:rPr>
          <w:color w:val="000000" w:themeColor="text1"/>
          <w:sz w:val="18"/>
          <w:szCs w:val="18"/>
        </w:rPr>
        <w:t xml:space="preserve"> 86, no. 797 (1973): 822-823, cited in Robert O. Keohane, “International relations and international law: two optics.”  In Robert O. Keohane (ed.), </w:t>
      </w:r>
      <w:r w:rsidRPr="00A203A6">
        <w:rPr>
          <w:i/>
          <w:iCs/>
          <w:color w:val="000000" w:themeColor="text1"/>
          <w:sz w:val="18"/>
          <w:szCs w:val="18"/>
        </w:rPr>
        <w:t>Power and Governance in a Partially Globalized World</w:t>
      </w:r>
      <w:r w:rsidRPr="00A203A6">
        <w:rPr>
          <w:color w:val="000000" w:themeColor="text1"/>
          <w:sz w:val="18"/>
          <w:szCs w:val="18"/>
        </w:rPr>
        <w:t xml:space="preserve"> (London: Routledge, 2002): 117-131.</w:t>
      </w:r>
    </w:p>
  </w:footnote>
  <w:footnote w:id="494">
    <w:p w14:paraId="5134E556"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Here, I lower the inclusion threshold from 50 percent to 20 percent because no definitional elements are present in more than 50 percent of the public figures’ statements analyzed.</w:t>
      </w:r>
    </w:p>
  </w:footnote>
  <w:footnote w:id="495">
    <w:p w14:paraId="754EE922" w14:textId="77777777" w:rsidR="002915BC" w:rsidRPr="00A203A6" w:rsidRDefault="002915BC" w:rsidP="00787EBB">
      <w:pPr>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Analysis of the overlap between the way that state policy definition of terrorism and the manner that state officials’ statements implicitly define terrorism results in the elimination of Element [4] - </w:t>
      </w:r>
      <w:r w:rsidRPr="00A203A6">
        <w:rPr>
          <w:rFonts w:cs="Times New Roman"/>
          <w:i/>
          <w:iCs/>
          <w:color w:val="000000" w:themeColor="text1"/>
          <w:sz w:val="18"/>
          <w:szCs w:val="18"/>
        </w:rPr>
        <w:t>physical injury; homicide; death of a victim</w:t>
      </w:r>
      <w:r w:rsidRPr="00A203A6">
        <w:rPr>
          <w:rFonts w:cs="Times New Roman"/>
          <w:color w:val="000000" w:themeColor="text1"/>
          <w:sz w:val="18"/>
          <w:szCs w:val="18"/>
        </w:rPr>
        <w:t>, which recurs with a frequency of 24% in the context of the statements analyzed, when the question of their overlap with the definitions of terrorism put forward in the relevant countries’ legislation is not taken into account.</w:t>
      </w:r>
    </w:p>
  </w:footnote>
  <w:footnote w:id="496">
    <w:p w14:paraId="6F52B5D5" w14:textId="2B907810"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Appendix </w:t>
      </w:r>
      <w:r w:rsidR="002D25A7">
        <w:rPr>
          <w:rFonts w:cs="Times New Roman"/>
          <w:color w:val="000000" w:themeColor="text1"/>
          <w:sz w:val="18"/>
          <w:szCs w:val="18"/>
        </w:rPr>
        <w:t>G</w:t>
      </w:r>
      <w:r w:rsidRPr="00A203A6">
        <w:rPr>
          <w:rFonts w:cs="Times New Roman"/>
          <w:color w:val="000000" w:themeColor="text1"/>
          <w:sz w:val="18"/>
          <w:szCs w:val="18"/>
        </w:rPr>
        <w:t xml:space="preserve"> for an in-depth comparison of 34 countries’ state practice definitions of terrorism with their counterparts in states’ domestic legislation.</w:t>
      </w:r>
    </w:p>
  </w:footnote>
  <w:footnote w:id="497">
    <w:p w14:paraId="5316AF94" w14:textId="77777777" w:rsidR="002915BC" w:rsidRPr="00A203A6" w:rsidRDefault="002915BC" w:rsidP="00787EBB">
      <w:pPr>
        <w:pStyle w:val="NormalWeb"/>
        <w:spacing w:before="0" w:beforeAutospacing="0" w:after="80" w:afterAutospacing="0"/>
        <w:rPr>
          <w:color w:val="000000" w:themeColor="text1"/>
          <w:sz w:val="18"/>
          <w:szCs w:val="18"/>
        </w:rPr>
      </w:pPr>
      <w:r w:rsidRPr="00A203A6">
        <w:rPr>
          <w:rStyle w:val="FootnoteReference"/>
          <w:color w:val="000000" w:themeColor="text1"/>
          <w:sz w:val="18"/>
          <w:szCs w:val="18"/>
        </w:rPr>
        <w:footnoteRef/>
      </w:r>
      <w:r w:rsidRPr="00A203A6">
        <w:rPr>
          <w:color w:val="000000" w:themeColor="text1"/>
          <w:sz w:val="18"/>
          <w:szCs w:val="18"/>
        </w:rPr>
        <w:t xml:space="preserve"> This means that my original </w:t>
      </w:r>
      <w:r w:rsidRPr="00A203A6">
        <w:rPr>
          <w:i/>
          <w:iCs/>
          <w:color w:val="000000" w:themeColor="text1"/>
          <w:sz w:val="18"/>
          <w:szCs w:val="18"/>
        </w:rPr>
        <w:t>de minimis</w:t>
      </w:r>
      <w:r w:rsidRPr="00A203A6">
        <w:rPr>
          <w:color w:val="000000" w:themeColor="text1"/>
          <w:sz w:val="18"/>
          <w:szCs w:val="18"/>
        </w:rPr>
        <w:t xml:space="preserve"> policy definition of terrorism, which included 10 definitional elements on the basis of a 50-percent inclusion threshold, expands to include 21 definitional elements for the purposes of this analysis.</w:t>
      </w:r>
    </w:p>
  </w:footnote>
  <w:footnote w:id="498">
    <w:p w14:paraId="285A9CB4" w14:textId="77777777" w:rsidR="002915BC" w:rsidRPr="00A203A6" w:rsidRDefault="002915BC" w:rsidP="00787EBB">
      <w:pPr>
        <w:pStyle w:val="FootnoteText"/>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These 18 elements are definitional elements [4] – </w:t>
      </w:r>
      <w:r w:rsidRPr="00A203A6">
        <w:rPr>
          <w:rFonts w:cs="Times New Roman"/>
          <w:i/>
          <w:iCs/>
          <w:color w:val="000000" w:themeColor="text1"/>
          <w:sz w:val="18"/>
          <w:szCs w:val="18"/>
        </w:rPr>
        <w:t>physical injury; homicide; death of a victim</w:t>
      </w:r>
      <w:r w:rsidRPr="00A203A6">
        <w:rPr>
          <w:rFonts w:cs="Times New Roman"/>
          <w:color w:val="000000" w:themeColor="text1"/>
          <w:sz w:val="18"/>
          <w:szCs w:val="18"/>
        </w:rPr>
        <w:t xml:space="preserve">; [14] – </w:t>
      </w:r>
      <w:r w:rsidRPr="00A203A6">
        <w:rPr>
          <w:rFonts w:cs="Times New Roman"/>
          <w:i/>
          <w:iCs/>
          <w:color w:val="000000" w:themeColor="text1"/>
          <w:sz w:val="18"/>
          <w:szCs w:val="18"/>
        </w:rPr>
        <w:t>intention; the deliberate, purposive taking of action</w:t>
      </w:r>
      <w:r w:rsidRPr="00A203A6">
        <w:rPr>
          <w:rFonts w:cs="Times New Roman"/>
          <w:color w:val="000000" w:themeColor="text1"/>
          <w:sz w:val="18"/>
          <w:szCs w:val="18"/>
        </w:rPr>
        <w:t xml:space="preserve">; [2] – </w:t>
      </w:r>
      <w:r w:rsidRPr="00A203A6">
        <w:rPr>
          <w:rFonts w:cs="Times New Roman"/>
          <w:i/>
          <w:iCs/>
          <w:color w:val="000000" w:themeColor="text1"/>
          <w:sz w:val="18"/>
          <w:szCs w:val="18"/>
        </w:rPr>
        <w:t>destruction of, or damage to property</w:t>
      </w:r>
      <w:r w:rsidRPr="00A203A6">
        <w:rPr>
          <w:rFonts w:cs="Times New Roman"/>
          <w:color w:val="000000" w:themeColor="text1"/>
          <w:sz w:val="18"/>
          <w:szCs w:val="18"/>
        </w:rPr>
        <w:t xml:space="preserve">; [15] – </w:t>
      </w:r>
      <w:r w:rsidRPr="00A203A6">
        <w:rPr>
          <w:rFonts w:cs="Times New Roman"/>
          <w:i/>
          <w:iCs/>
          <w:color w:val="000000" w:themeColor="text1"/>
          <w:sz w:val="18"/>
          <w:szCs w:val="18"/>
        </w:rPr>
        <w:t>influence decision-makers’ taking of action, or a failure to take action</w:t>
      </w:r>
      <w:r w:rsidRPr="00A203A6">
        <w:rPr>
          <w:rFonts w:cs="Times New Roman"/>
          <w:color w:val="000000" w:themeColor="text1"/>
          <w:sz w:val="18"/>
          <w:szCs w:val="18"/>
        </w:rPr>
        <w:t xml:space="preserve">; [6] – </w:t>
      </w:r>
      <w:r w:rsidRPr="00A203A6">
        <w:rPr>
          <w:rFonts w:cs="Times New Roman"/>
          <w:i/>
          <w:iCs/>
          <w:color w:val="000000" w:themeColor="text1"/>
          <w:sz w:val="18"/>
          <w:szCs w:val="18"/>
        </w:rPr>
        <w:t>intimidation</w:t>
      </w:r>
      <w:r w:rsidRPr="00A203A6">
        <w:rPr>
          <w:rFonts w:cs="Times New Roman"/>
          <w:color w:val="000000" w:themeColor="text1"/>
          <w:sz w:val="18"/>
          <w:szCs w:val="18"/>
        </w:rPr>
        <w:t xml:space="preserve">; [21] – </w:t>
      </w:r>
      <w:r w:rsidRPr="00A203A6">
        <w:rPr>
          <w:rFonts w:cs="Times New Roman"/>
          <w:i/>
          <w:iCs/>
          <w:color w:val="000000" w:themeColor="text1"/>
          <w:sz w:val="18"/>
          <w:szCs w:val="18"/>
        </w:rPr>
        <w:t>criminal; unlawful</w:t>
      </w:r>
      <w:r w:rsidRPr="00A203A6">
        <w:rPr>
          <w:rFonts w:cs="Times New Roman"/>
          <w:color w:val="000000" w:themeColor="text1"/>
          <w:sz w:val="18"/>
          <w:szCs w:val="18"/>
        </w:rPr>
        <w:t xml:space="preserve">; [7] – </w:t>
      </w:r>
      <w:r w:rsidRPr="00A203A6">
        <w:rPr>
          <w:rFonts w:cs="Times New Roman"/>
          <w:i/>
          <w:iCs/>
          <w:color w:val="000000" w:themeColor="text1"/>
          <w:sz w:val="18"/>
          <w:szCs w:val="18"/>
        </w:rPr>
        <w:t>threat</w:t>
      </w:r>
      <w:r w:rsidRPr="00A203A6">
        <w:rPr>
          <w:rFonts w:cs="Times New Roman"/>
          <w:color w:val="000000" w:themeColor="text1"/>
          <w:sz w:val="18"/>
          <w:szCs w:val="18"/>
        </w:rPr>
        <w:t xml:space="preserve">; [11] – </w:t>
      </w:r>
      <w:r w:rsidRPr="00A203A6">
        <w:rPr>
          <w:rFonts w:cs="Times New Roman"/>
          <w:i/>
          <w:iCs/>
          <w:color w:val="000000" w:themeColor="text1"/>
          <w:sz w:val="18"/>
          <w:szCs w:val="18"/>
        </w:rPr>
        <w:t>groups, associations, movements</w:t>
      </w:r>
      <w:r w:rsidRPr="00A203A6">
        <w:rPr>
          <w:rFonts w:cs="Times New Roman"/>
          <w:color w:val="000000" w:themeColor="text1"/>
          <w:sz w:val="18"/>
          <w:szCs w:val="18"/>
        </w:rPr>
        <w:t xml:space="preserve">; [16] – </w:t>
      </w:r>
      <w:r w:rsidRPr="00A203A6">
        <w:rPr>
          <w:rFonts w:cs="Times New Roman"/>
          <w:i/>
          <w:iCs/>
          <w:color w:val="000000" w:themeColor="text1"/>
          <w:sz w:val="18"/>
          <w:szCs w:val="18"/>
        </w:rPr>
        <w:t>political</w:t>
      </w:r>
      <w:r w:rsidRPr="00A203A6">
        <w:rPr>
          <w:rFonts w:cs="Times New Roman"/>
          <w:color w:val="000000" w:themeColor="text1"/>
          <w:sz w:val="18"/>
          <w:szCs w:val="18"/>
        </w:rPr>
        <w:t xml:space="preserve">; [5] – </w:t>
      </w:r>
      <w:r w:rsidRPr="00A203A6">
        <w:rPr>
          <w:rFonts w:cs="Times New Roman"/>
          <w:i/>
          <w:iCs/>
          <w:color w:val="000000" w:themeColor="text1"/>
          <w:sz w:val="18"/>
          <w:szCs w:val="18"/>
        </w:rPr>
        <w:t>fear, terror</w:t>
      </w:r>
      <w:r w:rsidRPr="00A203A6">
        <w:rPr>
          <w:rFonts w:cs="Times New Roman"/>
          <w:color w:val="000000" w:themeColor="text1"/>
          <w:sz w:val="18"/>
          <w:szCs w:val="18"/>
        </w:rPr>
        <w:t xml:space="preserve">; [23] – </w:t>
      </w:r>
      <w:r w:rsidRPr="00A203A6">
        <w:rPr>
          <w:rFonts w:cs="Times New Roman"/>
          <w:i/>
          <w:iCs/>
          <w:color w:val="000000" w:themeColor="text1"/>
          <w:sz w:val="18"/>
          <w:szCs w:val="18"/>
        </w:rPr>
        <w:t>security</w:t>
      </w:r>
      <w:r w:rsidRPr="00A203A6">
        <w:rPr>
          <w:rFonts w:cs="Times New Roman"/>
          <w:color w:val="000000" w:themeColor="text1"/>
          <w:sz w:val="18"/>
          <w:szCs w:val="18"/>
        </w:rPr>
        <w:t xml:space="preserve">; [3] – </w:t>
      </w:r>
      <w:r w:rsidRPr="00A203A6">
        <w:rPr>
          <w:rFonts w:cs="Times New Roman"/>
          <w:i/>
          <w:iCs/>
          <w:color w:val="000000" w:themeColor="text1"/>
          <w:sz w:val="18"/>
          <w:szCs w:val="18"/>
        </w:rPr>
        <w:t>damage of, or destruction to the environment</w:t>
      </w:r>
      <w:r w:rsidRPr="00A203A6">
        <w:rPr>
          <w:rFonts w:cs="Times New Roman"/>
          <w:color w:val="000000" w:themeColor="text1"/>
          <w:sz w:val="18"/>
          <w:szCs w:val="18"/>
        </w:rPr>
        <w:t xml:space="preserve">; [12] – </w:t>
      </w:r>
      <w:r w:rsidRPr="00A203A6">
        <w:rPr>
          <w:rFonts w:cs="Times New Roman"/>
          <w:i/>
          <w:iCs/>
          <w:color w:val="000000" w:themeColor="text1"/>
          <w:sz w:val="18"/>
          <w:szCs w:val="18"/>
        </w:rPr>
        <w:t>premeditated , planned, organized action</w:t>
      </w:r>
      <w:r w:rsidRPr="00A203A6">
        <w:rPr>
          <w:rFonts w:cs="Times New Roman"/>
          <w:color w:val="000000" w:themeColor="text1"/>
          <w:sz w:val="18"/>
          <w:szCs w:val="18"/>
        </w:rPr>
        <w:t xml:space="preserve">; [25] – </w:t>
      </w:r>
      <w:r w:rsidRPr="00A203A6">
        <w:rPr>
          <w:rFonts w:cs="Times New Roman"/>
          <w:i/>
          <w:iCs/>
          <w:color w:val="000000" w:themeColor="text1"/>
          <w:sz w:val="18"/>
          <w:szCs w:val="18"/>
        </w:rPr>
        <w:t>sovereignty</w:t>
      </w:r>
      <w:r w:rsidRPr="00A203A6">
        <w:rPr>
          <w:rFonts w:cs="Times New Roman"/>
          <w:color w:val="000000" w:themeColor="text1"/>
          <w:sz w:val="18"/>
          <w:szCs w:val="18"/>
        </w:rPr>
        <w:t xml:space="preserve">; [1] – </w:t>
      </w:r>
      <w:r w:rsidRPr="00A203A6">
        <w:rPr>
          <w:rFonts w:cs="Times New Roman"/>
          <w:i/>
          <w:iCs/>
          <w:color w:val="000000" w:themeColor="text1"/>
          <w:sz w:val="18"/>
          <w:szCs w:val="18"/>
        </w:rPr>
        <w:t>use of force, violence</w:t>
      </w:r>
      <w:r w:rsidRPr="00A203A6">
        <w:rPr>
          <w:rFonts w:cs="Times New Roman"/>
          <w:color w:val="000000" w:themeColor="text1"/>
          <w:sz w:val="18"/>
          <w:szCs w:val="18"/>
        </w:rPr>
        <w:t xml:space="preserve">; [20] – </w:t>
      </w:r>
      <w:r w:rsidRPr="00A203A6">
        <w:rPr>
          <w:rFonts w:cs="Times New Roman"/>
          <w:i/>
          <w:iCs/>
          <w:color w:val="000000" w:themeColor="text1"/>
          <w:sz w:val="18"/>
          <w:szCs w:val="18"/>
        </w:rPr>
        <w:t>incitement</w:t>
      </w:r>
      <w:r w:rsidRPr="00A203A6">
        <w:rPr>
          <w:rFonts w:cs="Times New Roman"/>
          <w:color w:val="000000" w:themeColor="text1"/>
          <w:sz w:val="18"/>
          <w:szCs w:val="18"/>
        </w:rPr>
        <w:t xml:space="preserve">; [17] – </w:t>
      </w:r>
      <w:r w:rsidRPr="00A203A6">
        <w:rPr>
          <w:rFonts w:cs="Times New Roman"/>
          <w:i/>
          <w:iCs/>
          <w:color w:val="000000" w:themeColor="text1"/>
          <w:sz w:val="18"/>
          <w:szCs w:val="18"/>
        </w:rPr>
        <w:t>religious</w:t>
      </w:r>
      <w:r w:rsidRPr="00A203A6">
        <w:rPr>
          <w:rFonts w:cs="Times New Roman"/>
          <w:color w:val="000000" w:themeColor="text1"/>
          <w:sz w:val="18"/>
          <w:szCs w:val="18"/>
        </w:rPr>
        <w:t xml:space="preserve">; [9] – </w:t>
      </w:r>
      <w:r w:rsidRPr="00A203A6">
        <w:rPr>
          <w:rFonts w:cs="Times New Roman"/>
          <w:i/>
          <w:iCs/>
          <w:color w:val="000000" w:themeColor="text1"/>
          <w:sz w:val="18"/>
          <w:szCs w:val="18"/>
        </w:rPr>
        <w:t>coercion, extortion</w:t>
      </w:r>
      <w:r w:rsidRPr="00A203A6">
        <w:rPr>
          <w:rFonts w:cs="Times New Roman"/>
          <w:color w:val="000000" w:themeColor="text1"/>
          <w:sz w:val="18"/>
          <w:szCs w:val="18"/>
        </w:rPr>
        <w:t>.</w:t>
      </w:r>
    </w:p>
  </w:footnote>
  <w:footnote w:id="499">
    <w:p w14:paraId="373A7A5C"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These 13 elements are definitional elements [2] – </w:t>
      </w:r>
      <w:r w:rsidRPr="00A203A6">
        <w:rPr>
          <w:rFonts w:cs="Times New Roman"/>
          <w:i/>
          <w:iCs/>
          <w:color w:val="000000" w:themeColor="text1"/>
          <w:sz w:val="18"/>
          <w:szCs w:val="18"/>
        </w:rPr>
        <w:t>destruction of, or damage to property</w:t>
      </w:r>
      <w:r w:rsidRPr="00A203A6">
        <w:rPr>
          <w:rFonts w:cs="Times New Roman"/>
          <w:color w:val="000000" w:themeColor="text1"/>
          <w:sz w:val="18"/>
          <w:szCs w:val="18"/>
        </w:rPr>
        <w:t xml:space="preserve">; [19] – </w:t>
      </w:r>
      <w:r w:rsidRPr="00A203A6">
        <w:rPr>
          <w:rFonts w:cs="Times New Roman"/>
          <w:i/>
          <w:iCs/>
          <w:color w:val="000000" w:themeColor="text1"/>
          <w:sz w:val="18"/>
          <w:szCs w:val="18"/>
        </w:rPr>
        <w:t>publicity, propaganda</w:t>
      </w:r>
      <w:r w:rsidRPr="00A203A6">
        <w:rPr>
          <w:rFonts w:cs="Times New Roman"/>
          <w:color w:val="000000" w:themeColor="text1"/>
          <w:sz w:val="18"/>
          <w:szCs w:val="18"/>
        </w:rPr>
        <w:t xml:space="preserve">; [4] – </w:t>
      </w:r>
      <w:r w:rsidRPr="00A203A6">
        <w:rPr>
          <w:rFonts w:cs="Times New Roman"/>
          <w:i/>
          <w:iCs/>
          <w:color w:val="000000" w:themeColor="text1"/>
          <w:sz w:val="18"/>
          <w:szCs w:val="18"/>
        </w:rPr>
        <w:t>physical injury; homicide; death of a victim</w:t>
      </w:r>
      <w:r w:rsidRPr="00A203A6">
        <w:rPr>
          <w:rFonts w:cs="Times New Roman"/>
          <w:color w:val="000000" w:themeColor="text1"/>
          <w:sz w:val="18"/>
          <w:szCs w:val="18"/>
        </w:rPr>
        <w:t xml:space="preserve">; [14] – </w:t>
      </w:r>
      <w:r w:rsidRPr="00A203A6">
        <w:rPr>
          <w:rFonts w:cs="Times New Roman"/>
          <w:i/>
          <w:iCs/>
          <w:color w:val="000000" w:themeColor="text1"/>
          <w:sz w:val="18"/>
          <w:szCs w:val="18"/>
        </w:rPr>
        <w:t>intention; the deliberate, purposive taking of action</w:t>
      </w:r>
      <w:r w:rsidRPr="00A203A6">
        <w:rPr>
          <w:rFonts w:cs="Times New Roman"/>
          <w:color w:val="000000" w:themeColor="text1"/>
          <w:sz w:val="18"/>
          <w:szCs w:val="18"/>
        </w:rPr>
        <w:t xml:space="preserve">; [7] – </w:t>
      </w:r>
      <w:r w:rsidRPr="00A203A6">
        <w:rPr>
          <w:rFonts w:cs="Times New Roman"/>
          <w:i/>
          <w:iCs/>
          <w:color w:val="000000" w:themeColor="text1"/>
          <w:sz w:val="18"/>
          <w:szCs w:val="18"/>
        </w:rPr>
        <w:t>threat</w:t>
      </w:r>
      <w:r w:rsidRPr="00A203A6">
        <w:rPr>
          <w:rFonts w:cs="Times New Roman"/>
          <w:color w:val="000000" w:themeColor="text1"/>
          <w:sz w:val="18"/>
          <w:szCs w:val="18"/>
        </w:rPr>
        <w:t xml:space="preserve">; [25] – </w:t>
      </w:r>
      <w:r w:rsidRPr="00A203A6">
        <w:rPr>
          <w:rFonts w:cs="Times New Roman"/>
          <w:i/>
          <w:iCs/>
          <w:color w:val="000000" w:themeColor="text1"/>
          <w:sz w:val="18"/>
          <w:szCs w:val="18"/>
        </w:rPr>
        <w:t>sovereignty</w:t>
      </w:r>
      <w:r w:rsidRPr="00A203A6">
        <w:rPr>
          <w:rFonts w:cs="Times New Roman"/>
          <w:color w:val="000000" w:themeColor="text1"/>
          <w:sz w:val="18"/>
          <w:szCs w:val="18"/>
        </w:rPr>
        <w:t xml:space="preserve">; [10] – </w:t>
      </w:r>
      <w:r w:rsidRPr="00A203A6">
        <w:rPr>
          <w:rFonts w:cs="Times New Roman"/>
          <w:i/>
          <w:iCs/>
          <w:color w:val="000000" w:themeColor="text1"/>
          <w:sz w:val="18"/>
          <w:szCs w:val="18"/>
        </w:rPr>
        <w:t>arbitrariness, unpredictability</w:t>
      </w:r>
      <w:r w:rsidRPr="00A203A6">
        <w:rPr>
          <w:rFonts w:cs="Times New Roman"/>
          <w:color w:val="000000" w:themeColor="text1"/>
          <w:sz w:val="18"/>
          <w:szCs w:val="18"/>
        </w:rPr>
        <w:t xml:space="preserve">; [22] – </w:t>
      </w:r>
      <w:r w:rsidRPr="00A203A6">
        <w:rPr>
          <w:rFonts w:cs="Times New Roman"/>
          <w:i/>
          <w:iCs/>
          <w:color w:val="000000" w:themeColor="text1"/>
          <w:sz w:val="18"/>
          <w:szCs w:val="18"/>
        </w:rPr>
        <w:t>symbolism</w:t>
      </w:r>
      <w:r w:rsidRPr="00A203A6">
        <w:rPr>
          <w:rFonts w:cs="Times New Roman"/>
          <w:color w:val="000000" w:themeColor="text1"/>
          <w:sz w:val="18"/>
          <w:szCs w:val="18"/>
        </w:rPr>
        <w:t xml:space="preserve">; [20] – </w:t>
      </w:r>
      <w:r w:rsidRPr="00A203A6">
        <w:rPr>
          <w:rFonts w:cs="Times New Roman"/>
          <w:i/>
          <w:iCs/>
          <w:color w:val="000000" w:themeColor="text1"/>
          <w:sz w:val="18"/>
          <w:szCs w:val="18"/>
        </w:rPr>
        <w:t>incitement</w:t>
      </w:r>
      <w:r w:rsidRPr="00A203A6">
        <w:rPr>
          <w:rFonts w:cs="Times New Roman"/>
          <w:color w:val="000000" w:themeColor="text1"/>
          <w:sz w:val="18"/>
          <w:szCs w:val="18"/>
        </w:rPr>
        <w:t xml:space="preserve">; [6] – </w:t>
      </w:r>
      <w:r w:rsidRPr="00A203A6">
        <w:rPr>
          <w:rFonts w:cs="Times New Roman"/>
          <w:i/>
          <w:iCs/>
          <w:color w:val="000000" w:themeColor="text1"/>
          <w:sz w:val="18"/>
          <w:szCs w:val="18"/>
        </w:rPr>
        <w:t>intimidation</w:t>
      </w:r>
      <w:r w:rsidRPr="00A203A6">
        <w:rPr>
          <w:rFonts w:cs="Times New Roman"/>
          <w:color w:val="000000" w:themeColor="text1"/>
          <w:sz w:val="18"/>
          <w:szCs w:val="18"/>
        </w:rPr>
        <w:t xml:space="preserve">; [12] – </w:t>
      </w:r>
      <w:r w:rsidRPr="00A203A6">
        <w:rPr>
          <w:rFonts w:cs="Times New Roman"/>
          <w:i/>
          <w:iCs/>
          <w:color w:val="000000" w:themeColor="text1"/>
          <w:sz w:val="18"/>
          <w:szCs w:val="18"/>
        </w:rPr>
        <w:t>premeditated , planned, organized action</w:t>
      </w:r>
      <w:r w:rsidRPr="00A203A6">
        <w:rPr>
          <w:rFonts w:cs="Times New Roman"/>
          <w:color w:val="000000" w:themeColor="text1"/>
          <w:sz w:val="18"/>
          <w:szCs w:val="18"/>
        </w:rPr>
        <w:t xml:space="preserve">; [16] – </w:t>
      </w:r>
      <w:r w:rsidRPr="00A203A6">
        <w:rPr>
          <w:rFonts w:cs="Times New Roman"/>
          <w:i/>
          <w:iCs/>
          <w:color w:val="000000" w:themeColor="text1"/>
          <w:sz w:val="18"/>
          <w:szCs w:val="18"/>
        </w:rPr>
        <w:t>political</w:t>
      </w:r>
      <w:r w:rsidRPr="00A203A6">
        <w:rPr>
          <w:rFonts w:cs="Times New Roman"/>
          <w:color w:val="000000" w:themeColor="text1"/>
          <w:sz w:val="18"/>
          <w:szCs w:val="18"/>
        </w:rPr>
        <w:t xml:space="preserve">; [18] – </w:t>
      </w:r>
      <w:r w:rsidRPr="00A203A6">
        <w:rPr>
          <w:rFonts w:cs="Times New Roman"/>
          <w:i/>
          <w:iCs/>
          <w:color w:val="000000" w:themeColor="text1"/>
          <w:sz w:val="18"/>
          <w:szCs w:val="18"/>
        </w:rPr>
        <w:t>ideological</w:t>
      </w:r>
      <w:r w:rsidRPr="00A203A6">
        <w:rPr>
          <w:rFonts w:cs="Times New Roman"/>
          <w:color w:val="000000" w:themeColor="text1"/>
          <w:sz w:val="18"/>
          <w:szCs w:val="18"/>
        </w:rPr>
        <w:t>.</w:t>
      </w:r>
    </w:p>
  </w:footnote>
  <w:footnote w:id="500">
    <w:p w14:paraId="5974F483"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Kevin G. </w:t>
      </w:r>
      <w:proofErr w:type="spellStart"/>
      <w:r w:rsidRPr="00A203A6">
        <w:rPr>
          <w:rFonts w:cs="Times New Roman"/>
          <w:color w:val="000000" w:themeColor="text1"/>
          <w:sz w:val="18"/>
          <w:szCs w:val="18"/>
        </w:rPr>
        <w:t>Barnhurst</w:t>
      </w:r>
      <w:proofErr w:type="spellEnd"/>
      <w:r w:rsidRPr="00A203A6">
        <w:rPr>
          <w:rFonts w:cs="Times New Roman"/>
          <w:color w:val="000000" w:themeColor="text1"/>
          <w:sz w:val="18"/>
          <w:szCs w:val="18"/>
        </w:rPr>
        <w:t xml:space="preserve">, “The Literature of Terrorism.” In A. </w:t>
      </w:r>
      <w:proofErr w:type="spellStart"/>
      <w:r w:rsidRPr="00A203A6">
        <w:rPr>
          <w:rFonts w:cs="Times New Roman"/>
          <w:color w:val="000000" w:themeColor="text1"/>
          <w:sz w:val="18"/>
          <w:szCs w:val="18"/>
        </w:rPr>
        <w:t>Odasuo</w:t>
      </w:r>
      <w:proofErr w:type="spellEnd"/>
      <w:r w:rsidRPr="00A203A6">
        <w:rPr>
          <w:rFonts w:cs="Times New Roman"/>
          <w:color w:val="000000" w:themeColor="text1"/>
          <w:sz w:val="18"/>
          <w:szCs w:val="18"/>
        </w:rPr>
        <w:t xml:space="preserve"> Alali and </w:t>
      </w:r>
      <w:proofErr w:type="spellStart"/>
      <w:r w:rsidRPr="00A203A6">
        <w:rPr>
          <w:rFonts w:cs="Times New Roman"/>
          <w:color w:val="000000" w:themeColor="text1"/>
          <w:sz w:val="18"/>
          <w:szCs w:val="18"/>
        </w:rPr>
        <w:t>Kenoye</w:t>
      </w:r>
      <w:proofErr w:type="spellEnd"/>
      <w:r w:rsidRPr="00A203A6">
        <w:rPr>
          <w:rFonts w:cs="Times New Roman"/>
          <w:color w:val="000000" w:themeColor="text1"/>
          <w:sz w:val="18"/>
          <w:szCs w:val="18"/>
        </w:rPr>
        <w:t xml:space="preserve"> Kelvin Eke (eds.), </w:t>
      </w:r>
      <w:r w:rsidRPr="00A203A6">
        <w:rPr>
          <w:rFonts w:cs="Times New Roman"/>
          <w:i/>
          <w:iCs/>
          <w:color w:val="000000" w:themeColor="text1"/>
          <w:sz w:val="18"/>
          <w:szCs w:val="18"/>
        </w:rPr>
        <w:t>Media Coverage of Terrorism: Methods of Diffusion</w:t>
      </w:r>
      <w:r w:rsidRPr="00A203A6">
        <w:rPr>
          <w:rFonts w:cs="Times New Roman"/>
          <w:color w:val="000000" w:themeColor="text1"/>
          <w:sz w:val="18"/>
          <w:szCs w:val="18"/>
        </w:rPr>
        <w:t>. (Newbury Park: Sage Publications Inc., 1991): 115-119; See Chapter 5, “The Symbiosis between Terrorism and the Mass Media” (Pages 96-107).</w:t>
      </w:r>
    </w:p>
  </w:footnote>
  <w:footnote w:id="501">
    <w:p w14:paraId="76D51E4D" w14:textId="77777777" w:rsidR="002915BC" w:rsidRPr="00A203A6" w:rsidRDefault="002915BC"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David L. </w:t>
      </w:r>
      <w:proofErr w:type="spellStart"/>
      <w:r w:rsidRPr="00A203A6">
        <w:rPr>
          <w:rFonts w:cs="Times New Roman"/>
          <w:color w:val="000000" w:themeColor="text1"/>
          <w:sz w:val="18"/>
          <w:szCs w:val="18"/>
        </w:rPr>
        <w:t>Paletz</w:t>
      </w:r>
      <w:proofErr w:type="spellEnd"/>
      <w:r w:rsidRPr="00A203A6">
        <w:rPr>
          <w:rFonts w:cs="Times New Roman"/>
          <w:color w:val="000000" w:themeColor="text1"/>
          <w:sz w:val="18"/>
          <w:szCs w:val="18"/>
        </w:rPr>
        <w:t xml:space="preserve"> and John </w:t>
      </w:r>
      <w:proofErr w:type="spellStart"/>
      <w:r w:rsidRPr="00A203A6">
        <w:rPr>
          <w:rFonts w:cs="Times New Roman"/>
          <w:color w:val="000000" w:themeColor="text1"/>
          <w:sz w:val="18"/>
          <w:szCs w:val="18"/>
        </w:rPr>
        <w:t>Boiney</w:t>
      </w:r>
      <w:proofErr w:type="spellEnd"/>
      <w:r w:rsidRPr="00A203A6">
        <w:rPr>
          <w:rFonts w:cs="Times New Roman"/>
          <w:color w:val="000000" w:themeColor="text1"/>
          <w:sz w:val="18"/>
          <w:szCs w:val="18"/>
        </w:rPr>
        <w:t xml:space="preserve">, “Researchers’ Perspectives.” In David L. </w:t>
      </w:r>
      <w:proofErr w:type="spellStart"/>
      <w:r w:rsidRPr="00A203A6">
        <w:rPr>
          <w:rFonts w:cs="Times New Roman"/>
          <w:color w:val="000000" w:themeColor="text1"/>
          <w:sz w:val="18"/>
          <w:szCs w:val="18"/>
        </w:rPr>
        <w:t>Paletz</w:t>
      </w:r>
      <w:proofErr w:type="spellEnd"/>
      <w:r w:rsidRPr="00A203A6">
        <w:rPr>
          <w:rFonts w:cs="Times New Roman"/>
          <w:color w:val="000000" w:themeColor="text1"/>
          <w:sz w:val="18"/>
          <w:szCs w:val="18"/>
        </w:rPr>
        <w:t xml:space="preserve"> and Alex P. Schmid (eds.),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(Newbury Park: Sage Publications Inc., 1992): 10.</w:t>
      </w:r>
    </w:p>
  </w:footnote>
  <w:footnote w:id="502">
    <w:p w14:paraId="5AE06DFE"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Kevin G. </w:t>
      </w:r>
      <w:proofErr w:type="spellStart"/>
      <w:r w:rsidRPr="00A203A6">
        <w:rPr>
          <w:rFonts w:cs="Times New Roman"/>
          <w:color w:val="000000" w:themeColor="text1"/>
          <w:sz w:val="18"/>
          <w:szCs w:val="18"/>
        </w:rPr>
        <w:t>Barnhurst</w:t>
      </w:r>
      <w:proofErr w:type="spellEnd"/>
      <w:r w:rsidRPr="00A203A6">
        <w:rPr>
          <w:rFonts w:cs="Times New Roman"/>
          <w:color w:val="000000" w:themeColor="text1"/>
          <w:sz w:val="18"/>
          <w:szCs w:val="18"/>
        </w:rPr>
        <w:t xml:space="preserve">, “The Literature of Terrorism.” In A. </w:t>
      </w:r>
      <w:proofErr w:type="spellStart"/>
      <w:r w:rsidRPr="00A203A6">
        <w:rPr>
          <w:rFonts w:cs="Times New Roman"/>
          <w:color w:val="000000" w:themeColor="text1"/>
          <w:sz w:val="18"/>
          <w:szCs w:val="18"/>
        </w:rPr>
        <w:t>Odasuo</w:t>
      </w:r>
      <w:proofErr w:type="spellEnd"/>
      <w:r w:rsidRPr="00A203A6">
        <w:rPr>
          <w:rFonts w:cs="Times New Roman"/>
          <w:color w:val="000000" w:themeColor="text1"/>
          <w:sz w:val="18"/>
          <w:szCs w:val="18"/>
        </w:rPr>
        <w:t xml:space="preserve"> Alali and </w:t>
      </w:r>
      <w:proofErr w:type="spellStart"/>
      <w:r w:rsidRPr="00A203A6">
        <w:rPr>
          <w:rFonts w:cs="Times New Roman"/>
          <w:color w:val="000000" w:themeColor="text1"/>
          <w:sz w:val="18"/>
          <w:szCs w:val="18"/>
        </w:rPr>
        <w:t>Kenoye</w:t>
      </w:r>
      <w:proofErr w:type="spellEnd"/>
      <w:r w:rsidRPr="00A203A6">
        <w:rPr>
          <w:rFonts w:cs="Times New Roman"/>
          <w:color w:val="000000" w:themeColor="text1"/>
          <w:sz w:val="18"/>
          <w:szCs w:val="18"/>
        </w:rPr>
        <w:t xml:space="preserve"> Kelvin Eke (eds.), </w:t>
      </w:r>
      <w:r w:rsidRPr="00A203A6">
        <w:rPr>
          <w:rFonts w:cs="Times New Roman"/>
          <w:i/>
          <w:iCs/>
          <w:color w:val="000000" w:themeColor="text1"/>
          <w:sz w:val="18"/>
          <w:szCs w:val="18"/>
        </w:rPr>
        <w:t>Media Coverage of Terrorism: Methods of Diffusion</w:t>
      </w:r>
      <w:r w:rsidRPr="00A203A6">
        <w:rPr>
          <w:rFonts w:cs="Times New Roman"/>
          <w:color w:val="000000" w:themeColor="text1"/>
          <w:sz w:val="18"/>
          <w:szCs w:val="18"/>
        </w:rPr>
        <w:t xml:space="preserve"> (Newbury Park: Sage Publications Inc., 1991): 115-119.</w:t>
      </w:r>
    </w:p>
  </w:footnote>
  <w:footnote w:id="503">
    <w:p w14:paraId="6EE8838F"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Jean-Paul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Mirta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(ed.), </w:t>
      </w:r>
      <w:r w:rsidRPr="00A203A6">
        <w:rPr>
          <w:rFonts w:cs="Times New Roman"/>
          <w:i/>
          <w:iCs/>
          <w:color w:val="000000" w:themeColor="text1"/>
          <w:sz w:val="18"/>
          <w:szCs w:val="18"/>
        </w:rPr>
        <w:t>Terrorism and the Media: A Handbook for Journalists</w:t>
      </w:r>
      <w:r w:rsidRPr="00A203A6">
        <w:rPr>
          <w:rFonts w:cs="Times New Roman"/>
          <w:color w:val="000000" w:themeColor="text1"/>
          <w:sz w:val="18"/>
          <w:szCs w:val="18"/>
        </w:rPr>
        <w:t xml:space="preserve"> (Paris: United Nations Educational, Scientific and Cultural Organization (UNESCO), 2017): 5.</w:t>
      </w:r>
    </w:p>
  </w:footnote>
  <w:footnote w:id="504">
    <w:p w14:paraId="690C006E"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46-48.</w:t>
      </w:r>
    </w:p>
  </w:footnote>
  <w:footnote w:id="505">
    <w:p w14:paraId="0C7962FE"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54-55.</w:t>
      </w:r>
    </w:p>
  </w:footnote>
  <w:footnote w:id="506">
    <w:p w14:paraId="27D75463"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54.</w:t>
      </w:r>
    </w:p>
  </w:footnote>
  <w:footnote w:id="507">
    <w:p w14:paraId="0ACD1097"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r w:rsidRPr="00A203A6">
        <w:rPr>
          <w:rFonts w:cs="Times New Roman"/>
          <w:color w:val="000000" w:themeColor="text1"/>
          <w:spacing w:val="-2"/>
          <w:sz w:val="18"/>
          <w:szCs w:val="18"/>
        </w:rPr>
        <w:t xml:space="preserve">This is exceptionally evident in the handbook’s list of “Essential reading on terrorism and media.” Of the eighteen books listed, only two are published by a university-affiliated publisher. Moreover, all but three of the authors listed are journalists, or affiliated with organizations that focus on journalism and the production of media coverage. See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109-110.</w:t>
      </w:r>
    </w:p>
  </w:footnote>
  <w:footnote w:id="508">
    <w:p w14:paraId="7802344A"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mentions the Al Jazeera style guide in the context of the debate about journalist use of the term ‘jihad’ in framing terrorism. See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56.</w:t>
      </w:r>
    </w:p>
  </w:footnote>
  <w:footnote w:id="509">
    <w:p w14:paraId="079CE702"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Yonah Alexander, “Terrorism and the Media: Some Considerations.”</w:t>
      </w:r>
      <w:r w:rsidRPr="00A203A6">
        <w:rPr>
          <w:rFonts w:cs="Times New Roman"/>
          <w:i/>
          <w:iCs/>
          <w:color w:val="000000" w:themeColor="text1"/>
          <w:sz w:val="18"/>
          <w:szCs w:val="18"/>
        </w:rPr>
        <w:t xml:space="preserve"> </w:t>
      </w:r>
      <w:r w:rsidRPr="00A203A6">
        <w:rPr>
          <w:rFonts w:cs="Times New Roman"/>
          <w:color w:val="000000" w:themeColor="text1"/>
          <w:sz w:val="18"/>
          <w:szCs w:val="18"/>
        </w:rPr>
        <w:t>In Lewis M. Alexander (ed.),</w:t>
      </w:r>
      <w:r w:rsidRPr="00A203A6">
        <w:rPr>
          <w:rFonts w:cs="Times New Roman"/>
          <w:i/>
          <w:iCs/>
          <w:color w:val="000000" w:themeColor="text1"/>
          <w:sz w:val="18"/>
          <w:szCs w:val="18"/>
        </w:rPr>
        <w:t xml:space="preserve"> Terrorism: Theory and Practice.</w:t>
      </w:r>
      <w:r w:rsidRPr="00A203A6">
        <w:rPr>
          <w:rFonts w:cs="Times New Roman"/>
          <w:color w:val="000000" w:themeColor="text1"/>
          <w:sz w:val="18"/>
          <w:szCs w:val="18"/>
        </w:rPr>
        <w:t xml:space="preserve"> (London: Routledge, 1979): 159-174.</w:t>
      </w:r>
    </w:p>
  </w:footnote>
  <w:footnote w:id="510">
    <w:p w14:paraId="2956EF66"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 xml:space="preserve">Terrorism and the Media, </w:t>
      </w:r>
      <w:r w:rsidRPr="00A203A6">
        <w:rPr>
          <w:rFonts w:cs="Times New Roman"/>
          <w:color w:val="000000" w:themeColor="text1"/>
          <w:sz w:val="18"/>
          <w:szCs w:val="18"/>
        </w:rPr>
        <w:t>31.</w:t>
      </w:r>
    </w:p>
  </w:footnote>
  <w:footnote w:id="511">
    <w:p w14:paraId="072AF453" w14:textId="77777777" w:rsidR="009A57BF" w:rsidRPr="00A203A6" w:rsidRDefault="009A57BF" w:rsidP="00787EBB">
      <w:pPr>
        <w:spacing w:before="0" w:after="80"/>
        <w:rPr>
          <w:rFonts w:cs="Times New Roman"/>
          <w:color w:val="000000" w:themeColor="text1"/>
          <w:spacing w:val="-2"/>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Josef </w:t>
      </w:r>
      <w:proofErr w:type="spellStart"/>
      <w:r w:rsidRPr="00A203A6">
        <w:rPr>
          <w:rFonts w:eastAsia="Times New Roman" w:cs="Times New Roman"/>
          <w:color w:val="000000" w:themeColor="text1"/>
          <w:spacing w:val="-2"/>
          <w:sz w:val="18"/>
          <w:szCs w:val="18"/>
          <w:shd w:val="clear" w:color="auto" w:fill="FFFFFF"/>
        </w:rPr>
        <w:t>Jařab</w:t>
      </w:r>
      <w:proofErr w:type="spellEnd"/>
      <w:r w:rsidRPr="00A203A6">
        <w:rPr>
          <w:rFonts w:eastAsia="Times New Roman" w:cs="Times New Roman"/>
          <w:color w:val="000000" w:themeColor="text1"/>
          <w:spacing w:val="-2"/>
          <w:sz w:val="18"/>
          <w:szCs w:val="18"/>
        </w:rPr>
        <w:t>, “</w:t>
      </w:r>
      <w:r w:rsidRPr="00A203A6">
        <w:rPr>
          <w:rFonts w:cs="Times New Roman"/>
          <w:color w:val="000000" w:themeColor="text1"/>
          <w:spacing w:val="-2"/>
          <w:sz w:val="18"/>
          <w:szCs w:val="18"/>
        </w:rPr>
        <w:t xml:space="preserve">Draft Recommendation: Media and Terrorism.” </w:t>
      </w:r>
      <w:r w:rsidRPr="00A203A6">
        <w:rPr>
          <w:rFonts w:cs="Times New Roman"/>
          <w:i/>
          <w:iCs/>
          <w:color w:val="000000" w:themeColor="text1"/>
          <w:spacing w:val="-2"/>
          <w:sz w:val="18"/>
          <w:szCs w:val="18"/>
        </w:rPr>
        <w:t>Report to the Committee on Culture, Science and Education</w:t>
      </w:r>
      <w:r w:rsidRPr="00A203A6">
        <w:rPr>
          <w:rFonts w:cs="Times New Roman"/>
          <w:color w:val="000000" w:themeColor="text1"/>
          <w:spacing w:val="-2"/>
          <w:sz w:val="18"/>
          <w:szCs w:val="18"/>
        </w:rPr>
        <w:t xml:space="preserve">. May 20 2005. </w:t>
      </w:r>
      <w:r w:rsidRPr="00A203A6">
        <w:rPr>
          <w:rFonts w:cs="Times New Roman"/>
          <w:color w:val="000000" w:themeColor="text1"/>
          <w:spacing w:val="-2"/>
          <w:sz w:val="18"/>
          <w:szCs w:val="18"/>
          <w:u w:val="single"/>
        </w:rPr>
        <w:t>http://assembly.coe.int/nw/xml/XRef/X2H-Xref-ViewHTML.asp?FileID=10914&amp;lang=EN</w:t>
      </w:r>
      <w:r w:rsidRPr="00A203A6">
        <w:rPr>
          <w:rFonts w:cs="Times New Roman"/>
          <w:color w:val="000000" w:themeColor="text1"/>
          <w:spacing w:val="-2"/>
          <w:sz w:val="18"/>
          <w:szCs w:val="18"/>
        </w:rPr>
        <w:t xml:space="preserve"> (accessed March 22, 2023).</w:t>
      </w:r>
    </w:p>
  </w:footnote>
  <w:footnote w:id="512">
    <w:p w14:paraId="15EBC695"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J</w:t>
      </w:r>
      <w:r w:rsidRPr="00A203A6">
        <w:rPr>
          <w:rFonts w:eastAsia="Times New Roman" w:cs="Times New Roman"/>
          <w:color w:val="000000" w:themeColor="text1"/>
          <w:spacing w:val="-2"/>
          <w:sz w:val="18"/>
          <w:szCs w:val="18"/>
          <w:shd w:val="clear" w:color="auto" w:fill="FFFFFF"/>
        </w:rPr>
        <w:t>ařab</w:t>
      </w:r>
      <w:proofErr w:type="spellEnd"/>
      <w:r w:rsidRPr="00A203A6">
        <w:rPr>
          <w:rFonts w:eastAsia="Times New Roman" w:cs="Times New Roman"/>
          <w:color w:val="000000" w:themeColor="text1"/>
          <w:spacing w:val="-2"/>
          <w:sz w:val="18"/>
          <w:szCs w:val="18"/>
        </w:rPr>
        <w:t>, “</w:t>
      </w:r>
      <w:r w:rsidRPr="00A203A6">
        <w:rPr>
          <w:rFonts w:cs="Times New Roman"/>
          <w:color w:val="000000" w:themeColor="text1"/>
          <w:spacing w:val="-2"/>
          <w:sz w:val="18"/>
          <w:szCs w:val="18"/>
        </w:rPr>
        <w:t>Draft Recommendation: Media and Terrorism.”</w:t>
      </w:r>
    </w:p>
  </w:footnote>
  <w:footnote w:id="513">
    <w:p w14:paraId="112DFEF9"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eastAsia="Times New Roman" w:cs="Times New Roman"/>
          <w:color w:val="000000" w:themeColor="text1"/>
          <w:spacing w:val="-2"/>
          <w:sz w:val="18"/>
          <w:szCs w:val="18"/>
          <w:shd w:val="clear" w:color="auto" w:fill="FFFFFF"/>
        </w:rPr>
        <w:t>Jařab</w:t>
      </w:r>
      <w:proofErr w:type="spellEnd"/>
      <w:r w:rsidRPr="00A203A6">
        <w:rPr>
          <w:rFonts w:eastAsia="Times New Roman" w:cs="Times New Roman"/>
          <w:color w:val="000000" w:themeColor="text1"/>
          <w:spacing w:val="-2"/>
          <w:sz w:val="18"/>
          <w:szCs w:val="18"/>
        </w:rPr>
        <w:t>, “</w:t>
      </w:r>
      <w:r w:rsidRPr="00A203A6">
        <w:rPr>
          <w:rFonts w:cs="Times New Roman"/>
          <w:color w:val="000000" w:themeColor="text1"/>
          <w:spacing w:val="-2"/>
          <w:sz w:val="18"/>
          <w:szCs w:val="18"/>
        </w:rPr>
        <w:t>Draft Recommendation: Media and Terrorism.”</w:t>
      </w:r>
    </w:p>
  </w:footnote>
  <w:footnote w:id="514">
    <w:p w14:paraId="2C9B5CD1"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J.M. Berger, “</w:t>
      </w:r>
      <w:r w:rsidRPr="00A203A6">
        <w:rPr>
          <w:rFonts w:cs="Times New Roman"/>
          <w:color w:val="000000" w:themeColor="text1"/>
          <w:spacing w:val="-2"/>
          <w:sz w:val="18"/>
          <w:szCs w:val="18"/>
        </w:rPr>
        <w:t xml:space="preserve">The Evolution of Terrorist Propaganda: The Paris Attack and Social Media.” </w:t>
      </w:r>
      <w:r w:rsidRPr="00A203A6">
        <w:rPr>
          <w:rFonts w:cs="Times New Roman"/>
          <w:i/>
          <w:iCs/>
          <w:color w:val="000000" w:themeColor="text1"/>
          <w:spacing w:val="-2"/>
          <w:sz w:val="18"/>
          <w:szCs w:val="18"/>
        </w:rPr>
        <w:t>Testimony Before the United States House of Representatives Committee on Foreign Affairs.</w:t>
      </w:r>
      <w:r w:rsidRPr="00A203A6">
        <w:rPr>
          <w:rFonts w:cs="Times New Roman"/>
          <w:color w:val="000000" w:themeColor="text1"/>
          <w:spacing w:val="-2"/>
          <w:sz w:val="18"/>
          <w:szCs w:val="18"/>
        </w:rPr>
        <w:t xml:space="preserve"> January 27, 2015. </w:t>
      </w:r>
      <w:r w:rsidRPr="00A203A6">
        <w:rPr>
          <w:rFonts w:cs="Times New Roman"/>
          <w:color w:val="000000" w:themeColor="text1"/>
          <w:spacing w:val="-2"/>
          <w:sz w:val="18"/>
          <w:szCs w:val="18"/>
          <w:u w:val="single"/>
        </w:rPr>
        <w:t>https://www.brookings.edu/testimonies/the-evolution-of-terrorist-propaganda-the-paris-attack-and-social-media/</w:t>
      </w:r>
      <w:r w:rsidRPr="00A203A6">
        <w:rPr>
          <w:rFonts w:cs="Times New Roman"/>
          <w:color w:val="000000" w:themeColor="text1"/>
          <w:spacing w:val="-2"/>
          <w:sz w:val="18"/>
          <w:szCs w:val="18"/>
        </w:rPr>
        <w:t xml:space="preserve"> (accessed March 22, 2023).</w:t>
      </w:r>
    </w:p>
  </w:footnote>
  <w:footnote w:id="515">
    <w:p w14:paraId="5F4486E8"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Berger, “</w:t>
      </w:r>
      <w:r w:rsidRPr="00A203A6">
        <w:rPr>
          <w:rFonts w:cs="Times New Roman"/>
          <w:color w:val="000000" w:themeColor="text1"/>
          <w:spacing w:val="-2"/>
          <w:sz w:val="18"/>
          <w:szCs w:val="18"/>
        </w:rPr>
        <w:t>The Evolution of Terrorist Propaganda: The Paris Attack and Social Media.”</w:t>
      </w:r>
    </w:p>
  </w:footnote>
  <w:footnote w:id="516">
    <w:p w14:paraId="62F848F9"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Michael B. </w:t>
      </w:r>
      <w:proofErr w:type="spellStart"/>
      <w:r w:rsidRPr="00A203A6">
        <w:rPr>
          <w:rFonts w:cs="Times New Roman"/>
          <w:color w:val="000000" w:themeColor="text1"/>
          <w:sz w:val="18"/>
          <w:szCs w:val="18"/>
        </w:rPr>
        <w:t>Munnik</w:t>
      </w:r>
      <w:proofErr w:type="spellEnd"/>
      <w:r w:rsidRPr="00A203A6">
        <w:rPr>
          <w:rFonts w:cs="Times New Roman"/>
          <w:color w:val="000000" w:themeColor="text1"/>
          <w:sz w:val="18"/>
          <w:szCs w:val="18"/>
        </w:rPr>
        <w:t xml:space="preserve">, “What Style Guides Tell Secular Journalists about Muslims and Islam.” </w:t>
      </w:r>
      <w:r w:rsidRPr="00A203A6">
        <w:rPr>
          <w:rFonts w:cs="Times New Roman"/>
          <w:i/>
          <w:iCs/>
          <w:color w:val="000000" w:themeColor="text1"/>
          <w:sz w:val="18"/>
          <w:szCs w:val="18"/>
        </w:rPr>
        <w:t>Journal of Religion, Media and Digital Culture</w:t>
      </w:r>
      <w:r w:rsidRPr="00A203A6">
        <w:rPr>
          <w:rFonts w:cs="Times New Roman"/>
          <w:color w:val="000000" w:themeColor="text1"/>
          <w:sz w:val="18"/>
          <w:szCs w:val="18"/>
        </w:rPr>
        <w:t xml:space="preserve"> (2023): 3.</w:t>
      </w:r>
    </w:p>
  </w:footnote>
  <w:footnote w:id="517">
    <w:p w14:paraId="6A14585D"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Munnik</w:t>
      </w:r>
      <w:proofErr w:type="spellEnd"/>
      <w:r w:rsidRPr="00A203A6">
        <w:rPr>
          <w:rFonts w:cs="Times New Roman"/>
          <w:color w:val="000000" w:themeColor="text1"/>
          <w:sz w:val="18"/>
          <w:szCs w:val="18"/>
        </w:rPr>
        <w:t>, “What Style Guides Tell Secular Journalists about Muslims and Islam,” 4.</w:t>
      </w:r>
    </w:p>
  </w:footnote>
  <w:footnote w:id="518">
    <w:p w14:paraId="298ED4CF"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Deborah Cameron, </w:t>
      </w:r>
      <w:r w:rsidRPr="00A203A6">
        <w:rPr>
          <w:rFonts w:cs="Times New Roman"/>
          <w:i/>
          <w:iCs/>
          <w:color w:val="000000" w:themeColor="text1"/>
          <w:sz w:val="18"/>
          <w:szCs w:val="18"/>
        </w:rPr>
        <w:t xml:space="preserve">Verbal Hygiene </w:t>
      </w:r>
      <w:r w:rsidRPr="00A203A6">
        <w:rPr>
          <w:rFonts w:cs="Times New Roman"/>
          <w:color w:val="000000" w:themeColor="text1"/>
          <w:sz w:val="18"/>
          <w:szCs w:val="18"/>
        </w:rPr>
        <w:t xml:space="preserve">(London: Routledge, 1996): 60. As cited in </w:t>
      </w:r>
      <w:proofErr w:type="spellStart"/>
      <w:r w:rsidRPr="00A203A6">
        <w:rPr>
          <w:rFonts w:cs="Times New Roman"/>
          <w:color w:val="000000" w:themeColor="text1"/>
          <w:sz w:val="18"/>
          <w:szCs w:val="18"/>
        </w:rPr>
        <w:t>Munnik</w:t>
      </w:r>
      <w:proofErr w:type="spellEnd"/>
      <w:r w:rsidRPr="00A203A6">
        <w:rPr>
          <w:rFonts w:cs="Times New Roman"/>
          <w:color w:val="000000" w:themeColor="text1"/>
          <w:sz w:val="18"/>
          <w:szCs w:val="18"/>
        </w:rPr>
        <w:t>, “What Style Guides Tell Secular Journalists about Muslims and Islam,” 5.</w:t>
      </w:r>
    </w:p>
  </w:footnote>
  <w:footnote w:id="519">
    <w:p w14:paraId="6786C7B0" w14:textId="77777777" w:rsidR="009A57BF" w:rsidRPr="00A203A6" w:rsidRDefault="009A57BF" w:rsidP="00787EBB">
      <w:pPr>
        <w:pStyle w:val="FootnoteText"/>
        <w:spacing w:before="0" w:after="80"/>
        <w:rPr>
          <w:rFonts w:cs="Times New Roman"/>
          <w:i/>
          <w:iCs/>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Cameron, </w:t>
      </w:r>
      <w:r w:rsidRPr="00A203A6">
        <w:rPr>
          <w:rFonts w:cs="Times New Roman"/>
          <w:i/>
          <w:iCs/>
          <w:color w:val="000000" w:themeColor="text1"/>
          <w:sz w:val="18"/>
          <w:szCs w:val="18"/>
        </w:rPr>
        <w:t xml:space="preserve">Verbal </w:t>
      </w:r>
      <w:proofErr w:type="spellStart"/>
      <w:r w:rsidRPr="00A203A6">
        <w:rPr>
          <w:rFonts w:cs="Times New Roman"/>
          <w:i/>
          <w:iCs/>
          <w:color w:val="000000" w:themeColor="text1"/>
          <w:sz w:val="18"/>
          <w:szCs w:val="18"/>
        </w:rPr>
        <w:t>Hygeine</w:t>
      </w:r>
      <w:proofErr w:type="spellEnd"/>
      <w:r w:rsidRPr="00A203A6">
        <w:rPr>
          <w:rFonts w:cs="Times New Roman"/>
          <w:i/>
          <w:iCs/>
          <w:color w:val="000000" w:themeColor="text1"/>
          <w:sz w:val="18"/>
          <w:szCs w:val="18"/>
        </w:rPr>
        <w:t xml:space="preserve">, </w:t>
      </w:r>
      <w:r w:rsidRPr="00A203A6">
        <w:rPr>
          <w:rFonts w:cs="Times New Roman"/>
          <w:color w:val="000000" w:themeColor="text1"/>
          <w:sz w:val="18"/>
          <w:szCs w:val="18"/>
        </w:rPr>
        <w:t>60.</w:t>
      </w:r>
    </w:p>
  </w:footnote>
  <w:footnote w:id="520">
    <w:p w14:paraId="38A79782"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Munnik</w:t>
      </w:r>
      <w:proofErr w:type="spellEnd"/>
      <w:r w:rsidRPr="00A203A6">
        <w:rPr>
          <w:rFonts w:cs="Times New Roman"/>
          <w:color w:val="000000" w:themeColor="text1"/>
          <w:sz w:val="18"/>
          <w:szCs w:val="18"/>
        </w:rPr>
        <w:t xml:space="preserve">, “What Style Guides Tell Secular Journalists about Muslims and Islam,” 6; Fred </w:t>
      </w:r>
      <w:proofErr w:type="spellStart"/>
      <w:r w:rsidRPr="00A203A6">
        <w:rPr>
          <w:rFonts w:cs="Times New Roman"/>
          <w:color w:val="000000" w:themeColor="text1"/>
          <w:sz w:val="18"/>
          <w:szCs w:val="18"/>
        </w:rPr>
        <w:t>Vultee</w:t>
      </w:r>
      <w:proofErr w:type="spellEnd"/>
      <w:r w:rsidRPr="00A203A6">
        <w:rPr>
          <w:rFonts w:cs="Times New Roman"/>
          <w:color w:val="000000" w:themeColor="text1"/>
          <w:sz w:val="18"/>
          <w:szCs w:val="18"/>
        </w:rPr>
        <w:t xml:space="preserve">, “‘Fatwa on the Bunny’: News Language and the Creation of Meaning About the Middle East.” </w:t>
      </w:r>
      <w:r w:rsidRPr="00A203A6">
        <w:rPr>
          <w:rFonts w:cs="Times New Roman"/>
          <w:i/>
          <w:iCs/>
          <w:color w:val="000000" w:themeColor="text1"/>
          <w:sz w:val="18"/>
          <w:szCs w:val="18"/>
        </w:rPr>
        <w:t xml:space="preserve">Journal of Communication Inquiry </w:t>
      </w:r>
      <w:r w:rsidRPr="00A203A6">
        <w:rPr>
          <w:rFonts w:cs="Times New Roman"/>
          <w:color w:val="000000" w:themeColor="text1"/>
          <w:sz w:val="18"/>
          <w:szCs w:val="18"/>
        </w:rPr>
        <w:t>30, no. 4 (2006): 452-461.</w:t>
      </w:r>
    </w:p>
  </w:footnote>
  <w:footnote w:id="521">
    <w:p w14:paraId="106C37A3"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Munnik</w:t>
      </w:r>
      <w:proofErr w:type="spellEnd"/>
      <w:r w:rsidRPr="00A203A6">
        <w:rPr>
          <w:rFonts w:cs="Times New Roman"/>
          <w:color w:val="000000" w:themeColor="text1"/>
          <w:sz w:val="18"/>
          <w:szCs w:val="18"/>
        </w:rPr>
        <w:t>, “What Style Guides Tell Secular Journalists about Muslims and Islam,” 7.</w:t>
      </w:r>
    </w:p>
  </w:footnote>
  <w:footnote w:id="522">
    <w:p w14:paraId="229F20CA" w14:textId="77777777" w:rsidR="009A57BF" w:rsidRPr="00A203A6" w:rsidRDefault="009A57BF" w:rsidP="00787EBB">
      <w:pPr>
        <w:shd w:val="clear" w:color="auto" w:fill="FFFFFF"/>
        <w:spacing w:before="0" w:after="80"/>
        <w:textAlignment w:val="baseline"/>
        <w:rPr>
          <w:rFonts w:eastAsia="Times New Roman"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w:t>
      </w:r>
      <w:proofErr w:type="spellStart"/>
      <w:r w:rsidRPr="00A203A6">
        <w:rPr>
          <w:rFonts w:cs="Times New Roman"/>
          <w:color w:val="000000" w:themeColor="text1"/>
          <w:sz w:val="18"/>
          <w:szCs w:val="18"/>
        </w:rPr>
        <w:t>Agence</w:t>
      </w:r>
      <w:proofErr w:type="spellEnd"/>
      <w:r w:rsidRPr="00A203A6">
        <w:rPr>
          <w:rFonts w:cs="Times New Roman"/>
          <w:color w:val="000000" w:themeColor="text1"/>
          <w:sz w:val="18"/>
          <w:szCs w:val="18"/>
        </w:rPr>
        <w:t xml:space="preserve"> France-Presse, </w:t>
      </w:r>
      <w:proofErr w:type="spellStart"/>
      <w:r w:rsidRPr="00A203A6">
        <w:rPr>
          <w:rFonts w:eastAsia="Times New Roman" w:cs="Times New Roman"/>
          <w:i/>
          <w:iCs/>
          <w:color w:val="000000" w:themeColor="text1"/>
          <w:kern w:val="36"/>
          <w:sz w:val="18"/>
          <w:szCs w:val="18"/>
          <w:bdr w:val="none" w:sz="0" w:space="0" w:color="auto" w:frame="1"/>
        </w:rPr>
        <w:t>Abécédaire</w:t>
      </w:r>
      <w:proofErr w:type="spellEnd"/>
      <w:r w:rsidRPr="00A203A6">
        <w:rPr>
          <w:rFonts w:eastAsia="Times New Roman" w:cs="Times New Roman"/>
          <w:i/>
          <w:iCs/>
          <w:color w:val="000000" w:themeColor="text1"/>
          <w:kern w:val="36"/>
          <w:sz w:val="18"/>
          <w:szCs w:val="18"/>
          <w:bdr w:val="none" w:sz="0" w:space="0" w:color="auto" w:frame="1"/>
        </w:rPr>
        <w:t xml:space="preserve"> de </w:t>
      </w:r>
      <w:proofErr w:type="spellStart"/>
      <w:r w:rsidRPr="00A203A6">
        <w:rPr>
          <w:rFonts w:eastAsia="Times New Roman" w:cs="Times New Roman"/>
          <w:i/>
          <w:iCs/>
          <w:color w:val="000000" w:themeColor="text1"/>
          <w:kern w:val="36"/>
          <w:sz w:val="18"/>
          <w:szCs w:val="18"/>
          <w:bdr w:val="none" w:sz="0" w:space="0" w:color="auto" w:frame="1"/>
        </w:rPr>
        <w:t>l'AFP</w:t>
      </w:r>
      <w:proofErr w:type="spellEnd"/>
      <w:r w:rsidRPr="00A203A6">
        <w:rPr>
          <w:rFonts w:eastAsia="Times New Roman" w:cs="Times New Roman"/>
          <w:i/>
          <w:iCs/>
          <w:color w:val="000000" w:themeColor="text1"/>
          <w:kern w:val="36"/>
          <w:sz w:val="18"/>
          <w:szCs w:val="18"/>
          <w:bdr w:val="none" w:sz="0" w:space="0" w:color="auto" w:frame="1"/>
        </w:rPr>
        <w:t>.</w:t>
      </w:r>
      <w:r w:rsidRPr="00A203A6">
        <w:rPr>
          <w:rFonts w:eastAsia="Times New Roman" w:cs="Times New Roman"/>
          <w:color w:val="000000" w:themeColor="text1"/>
          <w:kern w:val="36"/>
          <w:sz w:val="18"/>
          <w:szCs w:val="18"/>
          <w:bdr w:val="none" w:sz="0" w:space="0" w:color="auto" w:frame="1"/>
        </w:rPr>
        <w:t xml:space="preserve"> (Paris: </w:t>
      </w:r>
      <w:proofErr w:type="spellStart"/>
      <w:r w:rsidRPr="00A203A6">
        <w:rPr>
          <w:rFonts w:eastAsia="Times New Roman" w:cs="Times New Roman"/>
          <w:color w:val="000000" w:themeColor="text1"/>
          <w:kern w:val="36"/>
          <w:sz w:val="18"/>
          <w:szCs w:val="18"/>
          <w:bdr w:val="none" w:sz="0" w:space="0" w:color="auto" w:frame="1"/>
        </w:rPr>
        <w:t>Victoires</w:t>
      </w:r>
      <w:proofErr w:type="spellEnd"/>
      <w:r w:rsidRPr="00A203A6">
        <w:rPr>
          <w:rFonts w:eastAsia="Times New Roman" w:cs="Times New Roman"/>
          <w:color w:val="000000" w:themeColor="text1"/>
          <w:kern w:val="36"/>
          <w:sz w:val="18"/>
          <w:szCs w:val="18"/>
          <w:bdr w:val="none" w:sz="0" w:space="0" w:color="auto" w:frame="1"/>
        </w:rPr>
        <w:t xml:space="preserve"> Editions, 2010).</w:t>
      </w:r>
    </w:p>
  </w:footnote>
  <w:footnote w:id="523">
    <w:p w14:paraId="4DB99E2E"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International Press Telecommunications Council, “</w:t>
      </w:r>
      <w:proofErr w:type="spellStart"/>
      <w:r w:rsidRPr="00A203A6">
        <w:rPr>
          <w:rFonts w:cs="Times New Roman"/>
          <w:color w:val="000000" w:themeColor="text1"/>
          <w:sz w:val="18"/>
          <w:szCs w:val="18"/>
        </w:rPr>
        <w:t>NewsCodes</w:t>
      </w:r>
      <w:proofErr w:type="spellEnd"/>
      <w:r w:rsidRPr="00A203A6">
        <w:rPr>
          <w:rFonts w:cs="Times New Roman"/>
          <w:color w:val="000000" w:themeColor="text1"/>
          <w:sz w:val="18"/>
          <w:szCs w:val="18"/>
        </w:rPr>
        <w:t xml:space="preserve">: Controlled Vocabularies for the Media,” IPTC, September 21, 2002. </w:t>
      </w:r>
      <w:r w:rsidRPr="00A203A6">
        <w:rPr>
          <w:rFonts w:cs="Times New Roman"/>
          <w:color w:val="000000" w:themeColor="text1"/>
          <w:sz w:val="18"/>
          <w:szCs w:val="18"/>
          <w:u w:val="single"/>
        </w:rPr>
        <w:t>https://iptc.org/standards/newscodes/</w:t>
      </w:r>
      <w:r w:rsidRPr="00A203A6">
        <w:rPr>
          <w:rFonts w:cs="Times New Roman"/>
          <w:color w:val="000000" w:themeColor="text1"/>
          <w:sz w:val="18"/>
          <w:szCs w:val="18"/>
        </w:rPr>
        <w:t xml:space="preserve">.  </w:t>
      </w:r>
    </w:p>
  </w:footnote>
  <w:footnote w:id="524">
    <w:p w14:paraId="64F61869"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International Press Telecommunications Council, “</w:t>
      </w:r>
      <w:proofErr w:type="spellStart"/>
      <w:r w:rsidRPr="00A203A6">
        <w:rPr>
          <w:rFonts w:cs="Times New Roman"/>
          <w:color w:val="000000" w:themeColor="text1"/>
          <w:sz w:val="18"/>
          <w:szCs w:val="18"/>
        </w:rPr>
        <w:t>NewsCodes</w:t>
      </w:r>
      <w:proofErr w:type="spellEnd"/>
      <w:r w:rsidRPr="00A203A6">
        <w:rPr>
          <w:rFonts w:cs="Times New Roman"/>
          <w:color w:val="000000" w:themeColor="text1"/>
          <w:sz w:val="18"/>
          <w:szCs w:val="18"/>
        </w:rPr>
        <w:t xml:space="preserve">.”; Michael B. Palmer, “News Technology: All </w:t>
      </w:r>
      <w:proofErr w:type="gramStart"/>
      <w:r w:rsidRPr="00A203A6">
        <w:rPr>
          <w:rFonts w:cs="Times New Roman"/>
          <w:color w:val="000000" w:themeColor="text1"/>
          <w:sz w:val="18"/>
          <w:szCs w:val="18"/>
        </w:rPr>
        <w:t>Together?;</w:t>
      </w:r>
      <w:proofErr w:type="gramEnd"/>
      <w:r w:rsidRPr="00A203A6">
        <w:rPr>
          <w:rFonts w:cs="Times New Roman"/>
          <w:color w:val="000000" w:themeColor="text1"/>
          <w:sz w:val="18"/>
          <w:szCs w:val="18"/>
        </w:rPr>
        <w:t xml:space="preserve"> On the News Front – “Yes” and “No”.” In Michael B. Palmer, </w:t>
      </w:r>
      <w:r w:rsidRPr="00A203A6">
        <w:rPr>
          <w:rFonts w:cs="Times New Roman"/>
          <w:i/>
          <w:iCs/>
          <w:color w:val="000000" w:themeColor="text1"/>
          <w:sz w:val="18"/>
          <w:szCs w:val="18"/>
        </w:rPr>
        <w:t>International News Agencies: A History.</w:t>
      </w:r>
      <w:r w:rsidRPr="00A203A6">
        <w:rPr>
          <w:rFonts w:cs="Times New Roman"/>
          <w:color w:val="000000" w:themeColor="text1"/>
          <w:sz w:val="18"/>
          <w:szCs w:val="18"/>
        </w:rPr>
        <w:t xml:space="preserve"> (Cham: Palgrave Macmillan, 2019): 232.</w:t>
      </w:r>
    </w:p>
  </w:footnote>
  <w:footnote w:id="525">
    <w:p w14:paraId="50135BD8" w14:textId="77777777" w:rsidR="009A57BF" w:rsidRPr="00A203A6" w:rsidRDefault="009A57BF" w:rsidP="00787EBB">
      <w:pPr>
        <w:pStyle w:val="FootnoteText"/>
        <w:spacing w:before="0" w:after="80"/>
        <w:rPr>
          <w:rFonts w:cs="Times New Roman"/>
          <w:color w:val="000000" w:themeColor="text1"/>
          <w:kern w:val="2"/>
          <w:sz w:val="18"/>
          <w:szCs w:val="18"/>
          <w14:ligatures w14:val="standardContextual"/>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IPTC Subject Codes define ‘crime, law and justice’ as “[t]he establishment and/or statement of the rules of behaviour in society, the enforcement of these rules, breaches of the rules, the punishment of offenders and the organisations and bodies involved in these activities.” The IPTC defines ‘unrest, conflicts and war’ as “[a]</w:t>
      </w:r>
      <w:proofErr w:type="spellStart"/>
      <w:r w:rsidRPr="00A203A6">
        <w:rPr>
          <w:rFonts w:cs="Times New Roman"/>
          <w:color w:val="000000" w:themeColor="text1"/>
          <w:sz w:val="18"/>
          <w:szCs w:val="18"/>
        </w:rPr>
        <w:t>cts</w:t>
      </w:r>
      <w:proofErr w:type="spellEnd"/>
      <w:r w:rsidRPr="00A203A6">
        <w:rPr>
          <w:rFonts w:cs="Times New Roman"/>
          <w:color w:val="000000" w:themeColor="text1"/>
          <w:sz w:val="18"/>
          <w:szCs w:val="18"/>
        </w:rPr>
        <w:t xml:space="preserve"> of socially or politically motivated protest and/or violence.” Moreover, the IPTC Subject Codes situate ‘bioterrorism,’ originally defined as “[u]se of biological agent to raise the level of fear within a population, whether deaths occur or not”, under ‘guerilla activity (“[a]</w:t>
      </w:r>
      <w:proofErr w:type="spellStart"/>
      <w:r w:rsidRPr="00A203A6">
        <w:rPr>
          <w:rFonts w:cs="Times New Roman"/>
          <w:color w:val="000000" w:themeColor="text1"/>
          <w:sz w:val="18"/>
          <w:szCs w:val="18"/>
        </w:rPr>
        <w:t>nti</w:t>
      </w:r>
      <w:proofErr w:type="spellEnd"/>
      <w:r w:rsidRPr="00A203A6">
        <w:rPr>
          <w:rFonts w:cs="Times New Roman"/>
          <w:color w:val="000000" w:themeColor="text1"/>
          <w:sz w:val="18"/>
          <w:szCs w:val="18"/>
        </w:rPr>
        <w:t xml:space="preserve">-government actions by clandestine groups using hit-and-run techniques or sabotage, kidnapping and the like”), which is a different subdivision of the ‘unrest, conflicts and war’ categorization. Please note that since 2010, the IPTC has advocated for the use of Media Topic </w:t>
      </w:r>
      <w:proofErr w:type="spellStart"/>
      <w:r w:rsidRPr="00A203A6">
        <w:rPr>
          <w:rFonts w:cs="Times New Roman"/>
          <w:color w:val="000000" w:themeColor="text1"/>
          <w:sz w:val="18"/>
          <w:szCs w:val="18"/>
        </w:rPr>
        <w:t>NewsCodes</w:t>
      </w:r>
      <w:proofErr w:type="spellEnd"/>
      <w:r w:rsidRPr="00A203A6">
        <w:rPr>
          <w:rFonts w:cs="Times New Roman"/>
          <w:color w:val="000000" w:themeColor="text1"/>
          <w:sz w:val="18"/>
          <w:szCs w:val="18"/>
        </w:rPr>
        <w:t xml:space="preserve"> to replace its original Subject Codes. (See International Press Telecommunications Council, “</w:t>
      </w:r>
      <w:proofErr w:type="spellStart"/>
      <w:r w:rsidRPr="00A203A6">
        <w:rPr>
          <w:rFonts w:cs="Times New Roman"/>
          <w:color w:val="000000" w:themeColor="text1"/>
          <w:sz w:val="18"/>
          <w:szCs w:val="18"/>
        </w:rPr>
        <w:t>NewsCodes</w:t>
      </w:r>
      <w:proofErr w:type="spellEnd"/>
      <w:r w:rsidRPr="00A203A6">
        <w:rPr>
          <w:rFonts w:cs="Times New Roman"/>
          <w:color w:val="000000" w:themeColor="text1"/>
          <w:sz w:val="18"/>
          <w:szCs w:val="18"/>
        </w:rPr>
        <w:t xml:space="preserve">.”) </w:t>
      </w:r>
      <w:r w:rsidRPr="00A203A6">
        <w:rPr>
          <w:rFonts w:cs="Times New Roman"/>
          <w:color w:val="000000" w:themeColor="text1"/>
          <w:kern w:val="2"/>
          <w:sz w:val="18"/>
          <w:szCs w:val="18"/>
          <w14:ligatures w14:val="standardContextual"/>
        </w:rPr>
        <w:t>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Concept: Terrorism,” IPTC, July 10, 2012. </w:t>
      </w:r>
      <w:r w:rsidRPr="00A203A6">
        <w:rPr>
          <w:rFonts w:cs="Times New Roman"/>
          <w:color w:val="000000" w:themeColor="text1"/>
          <w:kern w:val="2"/>
          <w:sz w:val="18"/>
          <w:szCs w:val="18"/>
          <w:u w:val="single"/>
          <w14:ligatures w14:val="standardContextual"/>
        </w:rPr>
        <w:t>http://cv.iptc.org/newscodes/subjectcode/02001010</w:t>
      </w:r>
      <w:r w:rsidRPr="00A203A6">
        <w:rPr>
          <w:rFonts w:cs="Times New Roman"/>
          <w:color w:val="000000" w:themeColor="text1"/>
          <w:kern w:val="2"/>
          <w:sz w:val="18"/>
          <w:szCs w:val="18"/>
          <w14:ligatures w14:val="standardContextual"/>
        </w:rPr>
        <w:t>;</w:t>
      </w:r>
      <w:r w:rsidRPr="00A203A6">
        <w:rPr>
          <w:rFonts w:cs="Times New Roman"/>
          <w:color w:val="000000" w:themeColor="text1"/>
          <w:sz w:val="18"/>
          <w:szCs w:val="18"/>
        </w:rPr>
        <w:t xml:space="preserve"> </w:t>
      </w:r>
      <w:r w:rsidRPr="00A203A6">
        <w:rPr>
          <w:rFonts w:cs="Times New Roman"/>
          <w:color w:val="000000" w:themeColor="text1"/>
          <w:kern w:val="2"/>
          <w:sz w:val="18"/>
          <w:szCs w:val="18"/>
          <w14:ligatures w14:val="standardContextual"/>
        </w:rPr>
        <w:t>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Concept: Crime, Law and Justice,” IPTC, December 15, 2010. </w:t>
      </w:r>
      <w:r w:rsidRPr="00A203A6">
        <w:rPr>
          <w:rFonts w:cs="Times New Roman"/>
          <w:color w:val="000000" w:themeColor="text1"/>
          <w:kern w:val="2"/>
          <w:sz w:val="18"/>
          <w:szCs w:val="18"/>
          <w:u w:val="single"/>
          <w14:ligatures w14:val="standardContextual"/>
        </w:rPr>
        <w:t>http://cv.iptc.org/newscodes/subjectcode/02000000</w:t>
      </w:r>
      <w:r w:rsidRPr="00A203A6">
        <w:rPr>
          <w:rFonts w:cs="Times New Roman"/>
          <w:color w:val="000000" w:themeColor="text1"/>
          <w:kern w:val="2"/>
          <w:sz w:val="18"/>
          <w:szCs w:val="18"/>
          <w14:ligatures w14:val="standardContextual"/>
        </w:rPr>
        <w:t>; 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Concept: Act of Terror,” IPTC, December 15, 2010. </w:t>
      </w:r>
      <w:r w:rsidRPr="00A203A6">
        <w:rPr>
          <w:rFonts w:cs="Times New Roman"/>
          <w:color w:val="000000" w:themeColor="text1"/>
          <w:kern w:val="2"/>
          <w:sz w:val="18"/>
          <w:szCs w:val="18"/>
          <w:u w:val="single"/>
          <w14:ligatures w14:val="standardContextual"/>
        </w:rPr>
        <w:t>http://cv.iptc.org/newscodes/subjectcode/160010000</w:t>
      </w:r>
      <w:r w:rsidRPr="00A203A6">
        <w:rPr>
          <w:rFonts w:cs="Times New Roman"/>
          <w:color w:val="000000" w:themeColor="text1"/>
          <w:kern w:val="2"/>
          <w:sz w:val="18"/>
          <w:szCs w:val="18"/>
          <w14:ligatures w14:val="standardContextual"/>
        </w:rPr>
        <w:t>; 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Concept: Unrest, Conflicts and War,” IPTC, December 15, 2010. </w:t>
      </w:r>
      <w:r w:rsidRPr="00A203A6">
        <w:rPr>
          <w:rFonts w:cs="Times New Roman"/>
          <w:color w:val="000000" w:themeColor="text1"/>
          <w:kern w:val="2"/>
          <w:sz w:val="18"/>
          <w:szCs w:val="18"/>
          <w:u w:val="single"/>
          <w14:ligatures w14:val="standardContextual"/>
        </w:rPr>
        <w:t>http://cv.iptc.org/newscodes/subjectcode/16000000</w:t>
      </w:r>
      <w:r w:rsidRPr="00A203A6">
        <w:rPr>
          <w:rFonts w:cs="Times New Roman"/>
          <w:color w:val="000000" w:themeColor="text1"/>
          <w:kern w:val="2"/>
          <w:sz w:val="18"/>
          <w:szCs w:val="18"/>
          <w14:ligatures w14:val="standardContextual"/>
        </w:rPr>
        <w:t>; 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Concept: Bioterrorism,” IPTC, July 10, 2012. </w:t>
      </w:r>
      <w:r w:rsidRPr="00A203A6">
        <w:rPr>
          <w:rFonts w:cs="Times New Roman"/>
          <w:color w:val="000000" w:themeColor="text1"/>
          <w:kern w:val="2"/>
          <w:sz w:val="18"/>
          <w:szCs w:val="18"/>
          <w:u w:val="single"/>
          <w14:ligatures w14:val="standardContextual"/>
        </w:rPr>
        <w:t>http://cv.iptc.org/newscodes/subjectcode/16005001</w:t>
      </w:r>
      <w:r w:rsidRPr="00A203A6">
        <w:rPr>
          <w:rFonts w:cs="Times New Roman"/>
          <w:color w:val="000000" w:themeColor="text1"/>
          <w:kern w:val="2"/>
          <w:sz w:val="18"/>
          <w:szCs w:val="18"/>
          <w14:ligatures w14:val="standardContextual"/>
        </w:rPr>
        <w:t>; 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Concept: Guerilla Activity,” IPTC, July 10, 2012. </w:t>
      </w:r>
      <w:r w:rsidRPr="00A203A6">
        <w:rPr>
          <w:rFonts w:cs="Times New Roman"/>
          <w:color w:val="000000" w:themeColor="text1"/>
          <w:kern w:val="2"/>
          <w:sz w:val="18"/>
          <w:szCs w:val="18"/>
          <w:u w:val="single"/>
          <w14:ligatures w14:val="standardContextual"/>
        </w:rPr>
        <w:t>http://cv.iptc.org/newscodes/subjectcode/16005000</w:t>
      </w:r>
      <w:r w:rsidRPr="00A203A6">
        <w:rPr>
          <w:rFonts w:cs="Times New Roman"/>
          <w:color w:val="000000" w:themeColor="text1"/>
          <w:kern w:val="2"/>
          <w:sz w:val="18"/>
          <w:szCs w:val="18"/>
          <w14:ligatures w14:val="standardContextual"/>
        </w:rPr>
        <w:t>.</w:t>
      </w:r>
    </w:p>
  </w:footnote>
  <w:footnote w:id="526">
    <w:p w14:paraId="11B7564C"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IPTC conceives of ‘conflict, war and peace’ as “[a]</w:t>
      </w:r>
      <w:proofErr w:type="spellStart"/>
      <w:r w:rsidRPr="00A203A6">
        <w:rPr>
          <w:rFonts w:cs="Times New Roman"/>
          <w:color w:val="000000" w:themeColor="text1"/>
          <w:sz w:val="18"/>
          <w:szCs w:val="18"/>
        </w:rPr>
        <w:t>cts</w:t>
      </w:r>
      <w:proofErr w:type="spellEnd"/>
      <w:r w:rsidRPr="00A203A6">
        <w:rPr>
          <w:rFonts w:cs="Times New Roman"/>
          <w:color w:val="000000" w:themeColor="text1"/>
          <w:sz w:val="18"/>
          <w:szCs w:val="18"/>
        </w:rPr>
        <w:t xml:space="preserve"> of socially or politically motivated protest or violence, military activities, geopolitical conflicts, as well as resolution efforts.” </w:t>
      </w:r>
      <w:r w:rsidRPr="00A203A6">
        <w:rPr>
          <w:rFonts w:cs="Times New Roman"/>
          <w:color w:val="000000" w:themeColor="text1"/>
          <w:kern w:val="2"/>
          <w:sz w:val="18"/>
          <w:szCs w:val="18"/>
          <w14:ligatures w14:val="standardContextual"/>
        </w:rPr>
        <w:t>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Concept: Conflict, War and Peace,” IPTC, February 18, 2021. </w:t>
      </w:r>
      <w:r w:rsidRPr="00A203A6">
        <w:rPr>
          <w:rFonts w:cs="Times New Roman"/>
          <w:color w:val="000000" w:themeColor="text1"/>
          <w:sz w:val="18"/>
          <w:szCs w:val="18"/>
          <w:u w:val="single"/>
        </w:rPr>
        <w:t>http://cv.iptc.org/newscodes/mediatopic/16000000.</w:t>
      </w:r>
    </w:p>
  </w:footnote>
  <w:footnote w:id="527">
    <w:p w14:paraId="41765982"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w:t>
      </w:r>
      <w:r w:rsidRPr="00A203A6">
        <w:rPr>
          <w:rFonts w:cs="Times New Roman"/>
          <w:color w:val="000000" w:themeColor="text1"/>
          <w:kern w:val="2"/>
          <w:sz w:val="18"/>
          <w:szCs w:val="18"/>
          <w14:ligatures w14:val="standardContextual"/>
        </w:rPr>
        <w:t>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Concept: Bioterrorism,” IPTC, February 18, 2021. </w:t>
      </w:r>
      <w:r w:rsidRPr="00A203A6">
        <w:rPr>
          <w:rFonts w:cs="Times New Roman"/>
          <w:color w:val="000000" w:themeColor="text1"/>
          <w:sz w:val="18"/>
          <w:szCs w:val="18"/>
          <w:u w:val="single"/>
        </w:rPr>
        <w:t>http://cv.iptc.org/newscodes/mediatopic/16005001.</w:t>
      </w:r>
    </w:p>
  </w:footnote>
  <w:footnote w:id="528">
    <w:p w14:paraId="74549708"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Michael Palmer, “‘PRESS on the appropriate button in the reader’s mind’: News agencies cover terrorism.” </w:t>
      </w:r>
      <w:r w:rsidRPr="00A203A6">
        <w:rPr>
          <w:rFonts w:cs="Times New Roman"/>
          <w:i/>
          <w:iCs/>
          <w:color w:val="000000" w:themeColor="text1"/>
          <w:sz w:val="18"/>
          <w:szCs w:val="18"/>
        </w:rPr>
        <w:t xml:space="preserve">Global Media and Communication </w:t>
      </w:r>
      <w:r w:rsidRPr="00A203A6">
        <w:rPr>
          <w:rFonts w:cs="Times New Roman"/>
          <w:color w:val="000000" w:themeColor="text1"/>
          <w:sz w:val="18"/>
          <w:szCs w:val="18"/>
        </w:rPr>
        <w:t>7, no. 3 (2011): 258.</w:t>
      </w:r>
    </w:p>
  </w:footnote>
  <w:footnote w:id="529">
    <w:p w14:paraId="6C3300B2"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Reuters, “The Reuters Style Guide.” </w:t>
      </w:r>
      <w:r w:rsidRPr="00A203A6">
        <w:rPr>
          <w:rFonts w:cs="Times New Roman"/>
          <w:i/>
          <w:iCs/>
          <w:color w:val="000000" w:themeColor="text1"/>
          <w:sz w:val="18"/>
          <w:szCs w:val="18"/>
        </w:rPr>
        <w:t>Handbook of Journalism.</w:t>
      </w:r>
      <w:r w:rsidRPr="00A203A6">
        <w:rPr>
          <w:rFonts w:cs="Times New Roman"/>
          <w:color w:val="000000" w:themeColor="text1"/>
          <w:sz w:val="18"/>
          <w:szCs w:val="18"/>
        </w:rPr>
        <w:t xml:space="preserve"> Canary Wharf: Reuters News Agency, 2008. Thomson-Reuters Corporation. </w:t>
      </w:r>
      <w:r w:rsidRPr="00A203A6">
        <w:rPr>
          <w:rFonts w:cs="Times New Roman"/>
          <w:color w:val="000000" w:themeColor="text1"/>
          <w:sz w:val="18"/>
          <w:szCs w:val="18"/>
          <w:u w:val="single"/>
        </w:rPr>
        <w:t>http://handbook.reuters.com/index.php</w:t>
      </w:r>
      <w:r w:rsidRPr="00A203A6">
        <w:rPr>
          <w:rFonts w:cs="Times New Roman"/>
          <w:color w:val="000000" w:themeColor="text1"/>
          <w:sz w:val="18"/>
          <w:szCs w:val="18"/>
        </w:rPr>
        <w:t>. (Accessed June 22 2020).</w:t>
      </w:r>
    </w:p>
  </w:footnote>
  <w:footnote w:id="530">
    <w:p w14:paraId="7BAE90FD"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Reuters, “The Reuters Style Guide.”</w:t>
      </w:r>
    </w:p>
  </w:footnote>
  <w:footnote w:id="531">
    <w:p w14:paraId="72FD4280"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The AP style guide contains entries for no less than 13 terrorist organizations: al-Qaida, Abu Sayyaf, Al-</w:t>
      </w:r>
      <w:proofErr w:type="spellStart"/>
      <w:r w:rsidRPr="00A203A6">
        <w:rPr>
          <w:rFonts w:cs="Times New Roman"/>
          <w:color w:val="000000" w:themeColor="text1"/>
          <w:sz w:val="18"/>
          <w:szCs w:val="18"/>
        </w:rPr>
        <w:t>Shabbab</w:t>
      </w:r>
      <w:proofErr w:type="spellEnd"/>
      <w:r w:rsidRPr="00A203A6">
        <w:rPr>
          <w:rFonts w:cs="Times New Roman"/>
          <w:color w:val="000000" w:themeColor="text1"/>
          <w:sz w:val="18"/>
          <w:szCs w:val="18"/>
        </w:rPr>
        <w:t xml:space="preserve">, Boko Haram, Fatah, Hamas, the Haqqani network, Hezbollah, the Irish Republican Army/Provisional Irish Republican Army/Sinn Fein, the Islamic State group, Jemaah Islamiyah, the Palestinian Liberation Organization, and the Taliban. Moreover, the guide also contains an entry for Osama bin Laden, and five entries that specifically relate to the September 11, 2001 terrorist attacks on the United States: One World Trade Center; World Trade Center; Sept. 11, Sept. 11 Memorial; 9/11; and Twin Towers. Notwithstanding, the only explicit mention of terrorism occurs in the context of the style guide entry for “9/11” reads “For the September 11, 2001, terrorist attacks, 9/11 is acceptable in all references.” Associated Press, </w:t>
      </w:r>
      <w:r w:rsidRPr="00A203A6">
        <w:rPr>
          <w:rFonts w:cs="Times New Roman"/>
          <w:i/>
          <w:iCs/>
          <w:color w:val="000000" w:themeColor="text1"/>
          <w:sz w:val="18"/>
          <w:szCs w:val="18"/>
        </w:rPr>
        <w:t>The Associated Press Stylebook (53</w:t>
      </w:r>
      <w:r w:rsidRPr="00A203A6">
        <w:rPr>
          <w:rFonts w:cs="Times New Roman"/>
          <w:i/>
          <w:iCs/>
          <w:color w:val="000000" w:themeColor="text1"/>
          <w:sz w:val="18"/>
          <w:szCs w:val="18"/>
          <w:vertAlign w:val="superscript"/>
        </w:rPr>
        <w:t>rd</w:t>
      </w:r>
      <w:r w:rsidRPr="00A203A6">
        <w:rPr>
          <w:rFonts w:cs="Times New Roman"/>
          <w:i/>
          <w:iCs/>
          <w:color w:val="000000" w:themeColor="text1"/>
          <w:sz w:val="18"/>
          <w:szCs w:val="18"/>
        </w:rPr>
        <w:t xml:space="preserve"> ed.). </w:t>
      </w:r>
      <w:r w:rsidRPr="00A203A6">
        <w:rPr>
          <w:rFonts w:cs="Times New Roman"/>
          <w:color w:val="000000" w:themeColor="text1"/>
          <w:sz w:val="18"/>
          <w:szCs w:val="18"/>
        </w:rPr>
        <w:t>(New York: Basic Books, 2018): 201.</w:t>
      </w:r>
    </w:p>
  </w:footnote>
  <w:footnote w:id="532">
    <w:p w14:paraId="78ED2DCB"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Associated Press, </w:t>
      </w:r>
      <w:r w:rsidRPr="00A203A6">
        <w:rPr>
          <w:rFonts w:cs="Times New Roman"/>
          <w:i/>
          <w:iCs/>
          <w:color w:val="000000" w:themeColor="text1"/>
          <w:sz w:val="18"/>
          <w:szCs w:val="18"/>
        </w:rPr>
        <w:t xml:space="preserve">The Associated Press Stylebook, </w:t>
      </w:r>
      <w:r w:rsidRPr="00A203A6">
        <w:rPr>
          <w:rFonts w:cs="Times New Roman"/>
          <w:color w:val="000000" w:themeColor="text1"/>
          <w:sz w:val="18"/>
          <w:szCs w:val="18"/>
        </w:rPr>
        <w:t>201.</w:t>
      </w:r>
    </w:p>
  </w:footnote>
  <w:footnote w:id="533">
    <w:p w14:paraId="3E02CA58"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Associated Press, </w:t>
      </w:r>
      <w:r w:rsidRPr="00A203A6">
        <w:rPr>
          <w:rFonts w:cs="Times New Roman"/>
          <w:i/>
          <w:iCs/>
          <w:color w:val="000000" w:themeColor="text1"/>
          <w:sz w:val="18"/>
          <w:szCs w:val="18"/>
        </w:rPr>
        <w:t>The Associated Press Stylebook</w:t>
      </w:r>
      <w:r w:rsidRPr="00A203A6">
        <w:rPr>
          <w:rFonts w:cs="Times New Roman"/>
          <w:color w:val="000000" w:themeColor="text1"/>
          <w:sz w:val="18"/>
          <w:szCs w:val="18"/>
        </w:rPr>
        <w:t>, 158; 387-388; Reuters, “The Reuters Style Guide.”</w:t>
      </w:r>
    </w:p>
  </w:footnote>
  <w:footnote w:id="534">
    <w:p w14:paraId="0C1966B7"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Reuters, “The Reuters Style Guide.”</w:t>
      </w:r>
    </w:p>
  </w:footnote>
  <w:footnote w:id="535">
    <w:p w14:paraId="45863EAA"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 mentioned above, the AP style guide does mention pejorative descriptive terms including guerilla, fundamentalist, radical, jihadist and Islamist, even going as far as to designate select words “non-preferred terms.” See Associated Press, </w:t>
      </w:r>
      <w:r w:rsidRPr="00A203A6">
        <w:rPr>
          <w:rFonts w:cs="Times New Roman"/>
          <w:i/>
          <w:iCs/>
          <w:color w:val="000000" w:themeColor="text1"/>
          <w:sz w:val="18"/>
          <w:szCs w:val="18"/>
        </w:rPr>
        <w:t>The Associated Press Stylebook</w:t>
      </w:r>
      <w:r w:rsidRPr="00A203A6">
        <w:rPr>
          <w:rFonts w:cs="Times New Roman"/>
          <w:color w:val="000000" w:themeColor="text1"/>
          <w:sz w:val="18"/>
          <w:szCs w:val="18"/>
        </w:rPr>
        <w:t>, 580.</w:t>
      </w:r>
    </w:p>
  </w:footnote>
  <w:footnote w:id="536">
    <w:p w14:paraId="4A1EE4D6"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The </w:t>
      </w:r>
      <w:r w:rsidRPr="00A203A6">
        <w:rPr>
          <w:rFonts w:cs="Times New Roman"/>
          <w:color w:val="000000" w:themeColor="text1"/>
          <w:kern w:val="2"/>
          <w:sz w:val="18"/>
          <w:szCs w:val="18"/>
          <w14:ligatures w14:val="standardContextual"/>
        </w:rPr>
        <w:t>International Press Telecommunications Council, “</w:t>
      </w:r>
      <w:proofErr w:type="spellStart"/>
      <w:r w:rsidRPr="00A203A6">
        <w:rPr>
          <w:rFonts w:cs="Times New Roman"/>
          <w:color w:val="000000" w:themeColor="text1"/>
          <w:kern w:val="2"/>
          <w:sz w:val="18"/>
          <w:szCs w:val="18"/>
          <w14:ligatures w14:val="standardContextual"/>
        </w:rPr>
        <w:t>NewsCodes</w:t>
      </w:r>
      <w:proofErr w:type="spellEnd"/>
      <w:r w:rsidRPr="00A203A6">
        <w:rPr>
          <w:rFonts w:cs="Times New Roman"/>
          <w:color w:val="000000" w:themeColor="text1"/>
          <w:kern w:val="2"/>
          <w:sz w:val="18"/>
          <w:szCs w:val="18"/>
          <w14:ligatures w14:val="standardContextual"/>
        </w:rPr>
        <w:t xml:space="preserve"> Scheme (Controlled Vocabulary),” IPTC. </w:t>
      </w:r>
      <w:r w:rsidRPr="00A203A6">
        <w:rPr>
          <w:rFonts w:cs="Times New Roman"/>
          <w:color w:val="000000" w:themeColor="text1"/>
          <w:sz w:val="18"/>
          <w:szCs w:val="18"/>
          <w:u w:val="single"/>
        </w:rPr>
        <w:t>https://cv.iptc.org/newscodes/mediatopic/</w:t>
      </w:r>
      <w:r w:rsidRPr="00A203A6">
        <w:rPr>
          <w:rFonts w:cs="Times New Roman"/>
          <w:color w:val="000000" w:themeColor="text1"/>
          <w:sz w:val="18"/>
          <w:szCs w:val="18"/>
        </w:rPr>
        <w:t xml:space="preserve"> (accessed March 25, 2023).</w:t>
      </w:r>
    </w:p>
  </w:footnote>
  <w:footnote w:id="537">
    <w:p w14:paraId="1E3DC0DB" w14:textId="11756CE1"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Table 7-4 (Chapter 7, “Media Coverage of Terrorism Places States and Terrorists on the Same Level</w:t>
      </w:r>
      <w:r w:rsidR="00C63BAA" w:rsidRPr="00A203A6">
        <w:rPr>
          <w:rFonts w:cs="Times New Roman"/>
          <w:color w:val="000000" w:themeColor="text1"/>
          <w:sz w:val="18"/>
          <w:szCs w:val="18"/>
        </w:rPr>
        <w:t>.</w:t>
      </w:r>
      <w:r w:rsidRPr="00A203A6">
        <w:rPr>
          <w:rFonts w:cs="Times New Roman"/>
          <w:color w:val="000000" w:themeColor="text1"/>
          <w:sz w:val="18"/>
          <w:szCs w:val="18"/>
        </w:rPr>
        <w:t>”</w:t>
      </w:r>
      <w:r w:rsidR="00C63BAA" w:rsidRPr="00A203A6">
        <w:rPr>
          <w:rFonts w:cs="Times New Roman"/>
          <w:color w:val="000000" w:themeColor="text1"/>
          <w:sz w:val="18"/>
          <w:szCs w:val="18"/>
        </w:rPr>
        <w:t>)</w:t>
      </w:r>
    </w:p>
  </w:footnote>
  <w:footnote w:id="538">
    <w:p w14:paraId="421C669A"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Reuters, “The Reuters Style Guide.”</w:t>
      </w:r>
    </w:p>
  </w:footnote>
  <w:footnote w:id="539">
    <w:p w14:paraId="56990201"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Associated Press, </w:t>
      </w:r>
      <w:r w:rsidRPr="00A203A6">
        <w:rPr>
          <w:rFonts w:cs="Times New Roman"/>
          <w:i/>
          <w:iCs/>
          <w:color w:val="000000" w:themeColor="text1"/>
          <w:sz w:val="18"/>
          <w:szCs w:val="18"/>
        </w:rPr>
        <w:t>The Associated Press Stylebook</w:t>
      </w:r>
      <w:r w:rsidRPr="00A203A6">
        <w:rPr>
          <w:rFonts w:cs="Times New Roman"/>
          <w:color w:val="000000" w:themeColor="text1"/>
          <w:sz w:val="18"/>
          <w:szCs w:val="18"/>
        </w:rPr>
        <w:t>, 524.</w:t>
      </w:r>
    </w:p>
  </w:footnote>
  <w:footnote w:id="540">
    <w:p w14:paraId="46EEB4F5"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Agence</w:t>
      </w:r>
      <w:proofErr w:type="spellEnd"/>
      <w:r w:rsidRPr="00A203A6">
        <w:rPr>
          <w:rFonts w:cs="Times New Roman"/>
          <w:color w:val="000000" w:themeColor="text1"/>
          <w:sz w:val="18"/>
          <w:szCs w:val="18"/>
        </w:rPr>
        <w:t xml:space="preserve"> France-Presse, “AFP Editorial Standards and Best Practices,” AFP, June 22, 2016. </w:t>
      </w:r>
      <w:r w:rsidRPr="00A203A6">
        <w:rPr>
          <w:rFonts w:cs="Times New Roman"/>
          <w:color w:val="000000" w:themeColor="text1"/>
          <w:sz w:val="18"/>
          <w:szCs w:val="18"/>
          <w:u w:val="single"/>
        </w:rPr>
        <w:t>https://www.afp.com/sites/default/files/_afp_ethic_mars_2023.pdf</w:t>
      </w:r>
      <w:r w:rsidRPr="00A203A6">
        <w:rPr>
          <w:rFonts w:cs="Times New Roman"/>
          <w:color w:val="000000" w:themeColor="text1"/>
          <w:sz w:val="18"/>
          <w:szCs w:val="18"/>
        </w:rPr>
        <w:t xml:space="preserve"> (accessed March 25, 2023).</w:t>
      </w:r>
    </w:p>
  </w:footnote>
  <w:footnote w:id="541">
    <w:p w14:paraId="4EA0F79D"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7, “Media Coverage of Terrorism Places States and Terrorists on the Same Level” (Pages 154-167).</w:t>
      </w:r>
    </w:p>
  </w:footnote>
  <w:footnote w:id="542">
    <w:p w14:paraId="10482F5C" w14:textId="77777777" w:rsidR="009A57BF" w:rsidRPr="00A203A6" w:rsidRDefault="009A57BF"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Associated Press, </w:t>
      </w:r>
      <w:r w:rsidRPr="00A203A6">
        <w:rPr>
          <w:rFonts w:cs="Times New Roman"/>
          <w:i/>
          <w:iCs/>
          <w:color w:val="000000" w:themeColor="text1"/>
          <w:sz w:val="18"/>
          <w:szCs w:val="18"/>
        </w:rPr>
        <w:t>The Associated Press Stylebook</w:t>
      </w:r>
      <w:r w:rsidRPr="00A203A6">
        <w:rPr>
          <w:rFonts w:cs="Times New Roman"/>
          <w:color w:val="000000" w:themeColor="text1"/>
          <w:sz w:val="18"/>
          <w:szCs w:val="18"/>
        </w:rPr>
        <w:t xml:space="preserve"> 509-522.</w:t>
      </w:r>
    </w:p>
  </w:footnote>
  <w:footnote w:id="543">
    <w:p w14:paraId="3484F352"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J.K. Rowling</w:t>
      </w:r>
      <w:r w:rsidRPr="00A203A6">
        <w:rPr>
          <w:rFonts w:cs="Times New Roman"/>
          <w:i/>
          <w:iCs/>
          <w:color w:val="000000" w:themeColor="text1"/>
          <w:sz w:val="18"/>
          <w:szCs w:val="18"/>
        </w:rPr>
        <w:t>, Harry Potter and the Philosopher’s Stone</w:t>
      </w:r>
      <w:r w:rsidRPr="00A203A6">
        <w:rPr>
          <w:rFonts w:cs="Times New Roman"/>
          <w:color w:val="000000" w:themeColor="text1"/>
          <w:sz w:val="18"/>
          <w:szCs w:val="18"/>
        </w:rPr>
        <w:t xml:space="preserve"> (London: Bloomsbury, 1997): 240.</w:t>
      </w:r>
    </w:p>
  </w:footnote>
  <w:footnote w:id="544">
    <w:p w14:paraId="6B776EF9"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Rowling, </w:t>
      </w:r>
      <w:r w:rsidRPr="00A203A6">
        <w:rPr>
          <w:rFonts w:cs="Times New Roman"/>
          <w:i/>
          <w:iCs/>
          <w:color w:val="000000" w:themeColor="text1"/>
          <w:sz w:val="18"/>
          <w:szCs w:val="18"/>
        </w:rPr>
        <w:t>Harry Potter and the Philosopher’s Stone</w:t>
      </w:r>
      <w:r w:rsidRPr="00A203A6">
        <w:rPr>
          <w:rFonts w:cs="Times New Roman"/>
          <w:color w:val="000000" w:themeColor="text1"/>
          <w:sz w:val="18"/>
          <w:szCs w:val="18"/>
        </w:rPr>
        <w:t>, 240.</w:t>
      </w:r>
    </w:p>
  </w:footnote>
  <w:footnote w:id="545">
    <w:p w14:paraId="5FE92CA8"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Richard Jackson, “Core Commitments of Critical Terrorism Studies,” </w:t>
      </w:r>
      <w:r w:rsidRPr="00A203A6">
        <w:rPr>
          <w:rFonts w:cs="Times New Roman"/>
          <w:i/>
          <w:iCs/>
          <w:color w:val="000000" w:themeColor="text1"/>
          <w:sz w:val="18"/>
          <w:szCs w:val="18"/>
        </w:rPr>
        <w:t xml:space="preserve">European Political Science </w:t>
      </w:r>
      <w:r w:rsidRPr="00A203A6">
        <w:rPr>
          <w:rFonts w:cs="Times New Roman"/>
          <w:color w:val="000000" w:themeColor="text1"/>
          <w:sz w:val="18"/>
          <w:szCs w:val="18"/>
        </w:rPr>
        <w:t>6, no. 3 (2007): 244-251.</w:t>
      </w:r>
    </w:p>
  </w:footnote>
  <w:footnote w:id="546">
    <w:p w14:paraId="0F631FF2"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Boaz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w:t>
      </w:r>
      <w:r w:rsidRPr="00A203A6">
        <w:rPr>
          <w:rFonts w:cs="Times New Roman"/>
          <w:i/>
          <w:iCs/>
          <w:color w:val="000000" w:themeColor="text1"/>
          <w:sz w:val="18"/>
          <w:szCs w:val="18"/>
        </w:rPr>
        <w:t xml:space="preserve"> The Counter-Terrorism Puzzle</w:t>
      </w:r>
      <w:r w:rsidRPr="00A203A6">
        <w:rPr>
          <w:rFonts w:cs="Times New Roman"/>
          <w:color w:val="000000" w:themeColor="text1"/>
          <w:sz w:val="18"/>
          <w:szCs w:val="18"/>
        </w:rPr>
        <w:t xml:space="preserve"> (Herzliya: Transaction Publishers, 2005): 1-16.</w:t>
      </w:r>
    </w:p>
  </w:footnote>
  <w:footnote w:id="547">
    <w:p w14:paraId="68CD4481"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Fiona de </w:t>
      </w:r>
      <w:proofErr w:type="spellStart"/>
      <w:r w:rsidRPr="00A203A6">
        <w:rPr>
          <w:rFonts w:cs="Times New Roman"/>
          <w:color w:val="000000" w:themeColor="text1"/>
          <w:sz w:val="18"/>
          <w:szCs w:val="18"/>
        </w:rPr>
        <w:t>Londras</w:t>
      </w:r>
      <w:proofErr w:type="spellEnd"/>
      <w:r w:rsidRPr="00A203A6">
        <w:rPr>
          <w:rFonts w:cs="Times New Roman"/>
          <w:color w:val="000000" w:themeColor="text1"/>
          <w:sz w:val="18"/>
          <w:szCs w:val="18"/>
        </w:rPr>
        <w:t xml:space="preserve">, “Terrorism as an international crime,” in William A Schabas and Nadia </w:t>
      </w:r>
      <w:proofErr w:type="spellStart"/>
      <w:r w:rsidRPr="00A203A6">
        <w:rPr>
          <w:rFonts w:cs="Times New Roman"/>
          <w:color w:val="000000" w:themeColor="text1"/>
          <w:sz w:val="18"/>
          <w:szCs w:val="18"/>
        </w:rPr>
        <w:t>Bernaz</w:t>
      </w:r>
      <w:proofErr w:type="spellEnd"/>
      <w:r w:rsidRPr="00A203A6">
        <w:rPr>
          <w:rFonts w:cs="Times New Roman"/>
          <w:color w:val="000000" w:themeColor="text1"/>
          <w:sz w:val="18"/>
          <w:szCs w:val="18"/>
        </w:rPr>
        <w:t xml:space="preserve"> (eds.), </w:t>
      </w:r>
      <w:r w:rsidRPr="00A203A6">
        <w:rPr>
          <w:rFonts w:cs="Times New Roman"/>
          <w:i/>
          <w:iCs/>
          <w:color w:val="000000" w:themeColor="text1"/>
          <w:sz w:val="18"/>
          <w:szCs w:val="18"/>
        </w:rPr>
        <w:t xml:space="preserve">Routledge Handbook of International Criminal Law </w:t>
      </w:r>
      <w:r w:rsidRPr="00A203A6">
        <w:rPr>
          <w:rFonts w:cs="Times New Roman"/>
          <w:color w:val="000000" w:themeColor="text1"/>
          <w:sz w:val="18"/>
          <w:szCs w:val="18"/>
        </w:rPr>
        <w:t>(London: Routledge, 2010): 168.</w:t>
      </w:r>
    </w:p>
  </w:footnote>
  <w:footnote w:id="548">
    <w:p w14:paraId="25C9EE8B"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Rowling, </w:t>
      </w:r>
      <w:r w:rsidRPr="00A203A6">
        <w:rPr>
          <w:rFonts w:cs="Times New Roman"/>
          <w:i/>
          <w:iCs/>
          <w:color w:val="000000" w:themeColor="text1"/>
          <w:sz w:val="18"/>
          <w:szCs w:val="18"/>
        </w:rPr>
        <w:t>Harry Potter and the Philosopher’s Stone</w:t>
      </w:r>
      <w:r w:rsidRPr="00A203A6">
        <w:rPr>
          <w:rFonts w:cs="Times New Roman"/>
          <w:color w:val="000000" w:themeColor="text1"/>
          <w:sz w:val="18"/>
          <w:szCs w:val="18"/>
        </w:rPr>
        <w:t>, 240.</w:t>
      </w:r>
    </w:p>
  </w:footnote>
  <w:footnote w:id="549">
    <w:p w14:paraId="4ED110A1"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Refer back to Footnote 15 (Chapter 1, Page 9) for clarification as to my use of the term International Relations (or IR) to refer to the academic discipline, and ‘international relations’ to describe real-world conduct and policies.</w:t>
      </w:r>
    </w:p>
  </w:footnote>
  <w:footnote w:id="550">
    <w:p w14:paraId="4577CAED"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Kevin G. </w:t>
      </w:r>
      <w:proofErr w:type="spellStart"/>
      <w:r w:rsidRPr="00A203A6">
        <w:rPr>
          <w:rFonts w:cs="Times New Roman"/>
          <w:color w:val="000000" w:themeColor="text1"/>
          <w:sz w:val="18"/>
          <w:szCs w:val="18"/>
        </w:rPr>
        <w:t>Barnhurst</w:t>
      </w:r>
      <w:proofErr w:type="spellEnd"/>
      <w:r w:rsidRPr="00A203A6">
        <w:rPr>
          <w:rFonts w:cs="Times New Roman"/>
          <w:color w:val="000000" w:themeColor="text1"/>
          <w:sz w:val="18"/>
          <w:szCs w:val="18"/>
        </w:rPr>
        <w:t xml:space="preserve">, “The Literature of Terrorism.” In A. </w:t>
      </w:r>
      <w:proofErr w:type="spellStart"/>
      <w:r w:rsidRPr="00A203A6">
        <w:rPr>
          <w:rFonts w:cs="Times New Roman"/>
          <w:color w:val="000000" w:themeColor="text1"/>
          <w:sz w:val="18"/>
          <w:szCs w:val="18"/>
        </w:rPr>
        <w:t>Odasuo</w:t>
      </w:r>
      <w:proofErr w:type="spellEnd"/>
      <w:r w:rsidRPr="00A203A6">
        <w:rPr>
          <w:rFonts w:cs="Times New Roman"/>
          <w:color w:val="000000" w:themeColor="text1"/>
          <w:sz w:val="18"/>
          <w:szCs w:val="18"/>
        </w:rPr>
        <w:t xml:space="preserve"> Alali and </w:t>
      </w:r>
      <w:proofErr w:type="spellStart"/>
      <w:r w:rsidRPr="00A203A6">
        <w:rPr>
          <w:rFonts w:cs="Times New Roman"/>
          <w:color w:val="000000" w:themeColor="text1"/>
          <w:sz w:val="18"/>
          <w:szCs w:val="18"/>
        </w:rPr>
        <w:t>Kenoye</w:t>
      </w:r>
      <w:proofErr w:type="spellEnd"/>
      <w:r w:rsidRPr="00A203A6">
        <w:rPr>
          <w:rFonts w:cs="Times New Roman"/>
          <w:color w:val="000000" w:themeColor="text1"/>
          <w:sz w:val="18"/>
          <w:szCs w:val="18"/>
        </w:rPr>
        <w:t xml:space="preserve"> Kelvin Eke (eds.), </w:t>
      </w:r>
      <w:r w:rsidRPr="00A203A6">
        <w:rPr>
          <w:rFonts w:cs="Times New Roman"/>
          <w:i/>
          <w:iCs/>
          <w:color w:val="000000" w:themeColor="text1"/>
          <w:sz w:val="18"/>
          <w:szCs w:val="18"/>
        </w:rPr>
        <w:t>Media Coverage of Terrorism: Methods of Diffusion</w:t>
      </w:r>
      <w:r w:rsidRPr="00A203A6">
        <w:rPr>
          <w:rFonts w:cs="Times New Roman"/>
          <w:color w:val="000000" w:themeColor="text1"/>
          <w:sz w:val="18"/>
          <w:szCs w:val="18"/>
        </w:rPr>
        <w:t>. (Newbury Park: Sage Publications Inc., 1991): 115-119.</w:t>
      </w:r>
    </w:p>
  </w:footnote>
  <w:footnote w:id="551">
    <w:p w14:paraId="1FB0C928"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Paul Wilkinson, “The Media and Terrorism: A Reassessment,” </w:t>
      </w:r>
      <w:r w:rsidRPr="00A203A6">
        <w:rPr>
          <w:rFonts w:cs="Times New Roman"/>
          <w:i/>
          <w:iCs/>
          <w:color w:val="000000" w:themeColor="text1"/>
          <w:sz w:val="18"/>
          <w:szCs w:val="18"/>
        </w:rPr>
        <w:t>Terrorism and Political Violence</w:t>
      </w:r>
      <w:r w:rsidRPr="00A203A6">
        <w:rPr>
          <w:rFonts w:cs="Times New Roman"/>
          <w:color w:val="000000" w:themeColor="text1"/>
          <w:sz w:val="18"/>
          <w:szCs w:val="18"/>
        </w:rPr>
        <w:t xml:space="preserve"> 9, no. 2 (1997): 51. For further analysis of the relationship between the media coverage of terrorist activity, see Alex P. Schmid and Janny de Graaf, </w:t>
      </w:r>
      <w:r w:rsidRPr="00A203A6">
        <w:rPr>
          <w:rFonts w:cs="Times New Roman"/>
          <w:i/>
          <w:iCs/>
          <w:color w:val="000000" w:themeColor="text1"/>
          <w:sz w:val="18"/>
          <w:szCs w:val="18"/>
        </w:rPr>
        <w:t>Violence as Communication: Insurgent Terrorism and the Western News Media</w:t>
      </w:r>
      <w:r w:rsidRPr="00A203A6">
        <w:rPr>
          <w:rFonts w:cs="Times New Roman"/>
          <w:color w:val="000000" w:themeColor="text1"/>
          <w:sz w:val="18"/>
          <w:szCs w:val="18"/>
        </w:rPr>
        <w:t xml:space="preserve"> (Beverly Hills: Sage, 1982); Richard Clutterbuck, </w:t>
      </w:r>
      <w:r w:rsidRPr="00A203A6">
        <w:rPr>
          <w:rFonts w:cs="Times New Roman"/>
          <w:i/>
          <w:iCs/>
          <w:color w:val="000000" w:themeColor="text1"/>
          <w:sz w:val="18"/>
          <w:szCs w:val="18"/>
        </w:rPr>
        <w:t xml:space="preserve">The Media and Political Violence </w:t>
      </w:r>
      <w:r w:rsidRPr="00A203A6">
        <w:rPr>
          <w:rFonts w:cs="Times New Roman"/>
          <w:color w:val="000000" w:themeColor="text1"/>
          <w:sz w:val="18"/>
          <w:szCs w:val="18"/>
        </w:rPr>
        <w:t xml:space="preserve">(London: Macmillan, 1981); Abraham Miller (ed.), </w:t>
      </w:r>
      <w:r w:rsidRPr="00A203A6">
        <w:rPr>
          <w:rFonts w:cs="Times New Roman"/>
          <w:i/>
          <w:iCs/>
          <w:color w:val="000000" w:themeColor="text1"/>
          <w:sz w:val="18"/>
          <w:szCs w:val="18"/>
        </w:rPr>
        <w:t>Terror, the Media and the Law</w:t>
      </w:r>
      <w:r w:rsidRPr="00A203A6">
        <w:rPr>
          <w:rFonts w:cs="Times New Roman"/>
          <w:color w:val="000000" w:themeColor="text1"/>
          <w:sz w:val="18"/>
          <w:szCs w:val="18"/>
        </w:rPr>
        <w:t xml:space="preserve"> (Dobbs Ferry: Transaction, 1982).</w:t>
      </w:r>
    </w:p>
  </w:footnote>
  <w:footnote w:id="552">
    <w:p w14:paraId="5C21BBF3"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Munnik</w:t>
      </w:r>
      <w:proofErr w:type="spellEnd"/>
      <w:r w:rsidRPr="00A203A6">
        <w:rPr>
          <w:rFonts w:cs="Times New Roman"/>
          <w:color w:val="000000" w:themeColor="text1"/>
          <w:sz w:val="18"/>
          <w:szCs w:val="18"/>
        </w:rPr>
        <w:t>, “What Style Guides Tell Secular Journalists about Muslims and Islam,” 25.</w:t>
      </w:r>
    </w:p>
  </w:footnote>
  <w:footnote w:id="553">
    <w:p w14:paraId="153450DE"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12.</w:t>
      </w:r>
    </w:p>
  </w:footnote>
  <w:footnote w:id="554">
    <w:p w14:paraId="130F043B"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Agence</w:t>
      </w:r>
      <w:proofErr w:type="spellEnd"/>
      <w:r w:rsidRPr="00A203A6">
        <w:rPr>
          <w:rFonts w:cs="Times New Roman"/>
          <w:color w:val="000000" w:themeColor="text1"/>
          <w:sz w:val="18"/>
          <w:szCs w:val="18"/>
        </w:rPr>
        <w:t xml:space="preserve"> France-Presse, “AFP Editorial Standards and Best Practices,” 9; </w:t>
      </w:r>
      <w:proofErr w:type="spellStart"/>
      <w:r w:rsidRPr="00A203A6">
        <w:rPr>
          <w:rFonts w:cs="Times New Roman"/>
          <w:color w:val="000000" w:themeColor="text1"/>
          <w:sz w:val="18"/>
          <w:szCs w:val="18"/>
        </w:rPr>
        <w:t>Marthoz</w:t>
      </w:r>
      <w:proofErr w:type="spellEnd"/>
      <w:r w:rsidRPr="00A203A6">
        <w:rPr>
          <w:rFonts w:cs="Times New Roman"/>
          <w:color w:val="000000" w:themeColor="text1"/>
          <w:sz w:val="18"/>
          <w:szCs w:val="18"/>
        </w:rPr>
        <w:t xml:space="preserve"> and </w:t>
      </w:r>
      <w:proofErr w:type="spellStart"/>
      <w:r w:rsidRPr="00A203A6">
        <w:rPr>
          <w:rFonts w:cs="Times New Roman"/>
          <w:color w:val="000000" w:themeColor="text1"/>
          <w:sz w:val="18"/>
          <w:szCs w:val="18"/>
        </w:rPr>
        <w:t>Lourenço</w:t>
      </w:r>
      <w:proofErr w:type="spellEnd"/>
      <w:r w:rsidRPr="00A203A6">
        <w:rPr>
          <w:rFonts w:cs="Times New Roman"/>
          <w:color w:val="000000" w:themeColor="text1"/>
          <w:sz w:val="18"/>
          <w:szCs w:val="18"/>
        </w:rPr>
        <w:t xml:space="preserve">, </w:t>
      </w:r>
      <w:r w:rsidRPr="00A203A6">
        <w:rPr>
          <w:rFonts w:cs="Times New Roman"/>
          <w:i/>
          <w:iCs/>
          <w:color w:val="000000" w:themeColor="text1"/>
          <w:sz w:val="18"/>
          <w:szCs w:val="18"/>
        </w:rPr>
        <w:t>Terrorism and the Media</w:t>
      </w:r>
      <w:r w:rsidRPr="00A203A6">
        <w:rPr>
          <w:rFonts w:cs="Times New Roman"/>
          <w:color w:val="000000" w:themeColor="text1"/>
          <w:sz w:val="18"/>
          <w:szCs w:val="18"/>
        </w:rPr>
        <w:t>, 66; 87.</w:t>
      </w:r>
    </w:p>
  </w:footnote>
  <w:footnote w:id="555">
    <w:p w14:paraId="42220C06"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w:t>
      </w:r>
      <w:r w:rsidRPr="00A203A6">
        <w:rPr>
          <w:rFonts w:cs="Times New Roman"/>
          <w:i/>
          <w:iCs/>
          <w:color w:val="000000" w:themeColor="text1"/>
          <w:sz w:val="18"/>
          <w:szCs w:val="18"/>
        </w:rPr>
        <w:t xml:space="preserve"> The Counter-Terrorism Puzzle</w:t>
      </w:r>
      <w:r w:rsidRPr="00A203A6">
        <w:rPr>
          <w:rFonts w:cs="Times New Roman"/>
          <w:color w:val="000000" w:themeColor="text1"/>
          <w:sz w:val="18"/>
          <w:szCs w:val="18"/>
        </w:rPr>
        <w:t>, 237.</w:t>
      </w:r>
    </w:p>
  </w:footnote>
  <w:footnote w:id="556">
    <w:p w14:paraId="2F340BB0"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Gabriel </w:t>
      </w:r>
      <w:proofErr w:type="spellStart"/>
      <w:r w:rsidRPr="00A203A6">
        <w:rPr>
          <w:rFonts w:cs="Times New Roman"/>
          <w:color w:val="000000" w:themeColor="text1"/>
          <w:sz w:val="18"/>
          <w:szCs w:val="18"/>
        </w:rPr>
        <w:t>Weimann</w:t>
      </w:r>
      <w:proofErr w:type="spellEnd"/>
      <w:r w:rsidRPr="00A203A6">
        <w:rPr>
          <w:rFonts w:cs="Times New Roman"/>
          <w:color w:val="000000" w:themeColor="text1"/>
          <w:sz w:val="18"/>
          <w:szCs w:val="18"/>
        </w:rPr>
        <w:t xml:space="preserve"> and Conrad Winn, </w:t>
      </w:r>
      <w:r w:rsidRPr="00A203A6">
        <w:rPr>
          <w:rFonts w:cs="Times New Roman"/>
          <w:i/>
          <w:iCs/>
          <w:color w:val="000000" w:themeColor="text1"/>
          <w:sz w:val="18"/>
          <w:szCs w:val="18"/>
        </w:rPr>
        <w:t xml:space="preserve">The Theatre of Terror: The Mass Media and International Terrorism </w:t>
      </w:r>
      <w:r w:rsidRPr="00A203A6">
        <w:rPr>
          <w:rFonts w:cs="Times New Roman"/>
          <w:color w:val="000000" w:themeColor="text1"/>
          <w:sz w:val="18"/>
          <w:szCs w:val="18"/>
        </w:rPr>
        <w:t xml:space="preserve">(New York: Longman Publishing/Addison-Wesley, 1993): 295; </w:t>
      </w:r>
      <w:proofErr w:type="spellStart"/>
      <w:r w:rsidRPr="00A203A6">
        <w:rPr>
          <w:rFonts w:cs="Times New Roman"/>
          <w:color w:val="000000" w:themeColor="text1"/>
          <w:sz w:val="18"/>
          <w:szCs w:val="18"/>
        </w:rPr>
        <w:t>Ganor</w:t>
      </w:r>
      <w:proofErr w:type="spellEnd"/>
      <w:r w:rsidRPr="00A203A6">
        <w:rPr>
          <w:rFonts w:cs="Times New Roman"/>
          <w:color w:val="000000" w:themeColor="text1"/>
          <w:sz w:val="18"/>
          <w:szCs w:val="18"/>
        </w:rPr>
        <w:t>,</w:t>
      </w:r>
      <w:r w:rsidRPr="00A203A6">
        <w:rPr>
          <w:rFonts w:cs="Times New Roman"/>
          <w:i/>
          <w:iCs/>
          <w:color w:val="000000" w:themeColor="text1"/>
          <w:sz w:val="18"/>
          <w:szCs w:val="18"/>
        </w:rPr>
        <w:t xml:space="preserve"> The Counter-Terrorism Puzzle</w:t>
      </w:r>
      <w:r w:rsidRPr="00A203A6">
        <w:rPr>
          <w:rFonts w:cs="Times New Roman"/>
          <w:color w:val="000000" w:themeColor="text1"/>
          <w:sz w:val="18"/>
          <w:szCs w:val="18"/>
        </w:rPr>
        <w:t>, 238.</w:t>
      </w:r>
    </w:p>
  </w:footnote>
  <w:footnote w:id="557">
    <w:p w14:paraId="7AB119AE"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Jacqui Ewart, Kate O’Donnell and April </w:t>
      </w:r>
      <w:proofErr w:type="spellStart"/>
      <w:r w:rsidRPr="00A203A6">
        <w:rPr>
          <w:rFonts w:cs="Times New Roman"/>
          <w:color w:val="000000" w:themeColor="text1"/>
          <w:sz w:val="18"/>
          <w:szCs w:val="18"/>
        </w:rPr>
        <w:t>Chrzanowski</w:t>
      </w:r>
      <w:proofErr w:type="spellEnd"/>
      <w:r w:rsidRPr="00A203A6">
        <w:rPr>
          <w:rFonts w:cs="Times New Roman"/>
          <w:color w:val="000000" w:themeColor="text1"/>
          <w:sz w:val="18"/>
          <w:szCs w:val="18"/>
        </w:rPr>
        <w:t xml:space="preserve">, “What a Difference Training Can Make: Impacts of Targeted Training on Journalists, Journalism Educators and Journalism Students’ Knowledge of Islam and Muslims.” </w:t>
      </w:r>
      <w:r w:rsidRPr="00A203A6">
        <w:rPr>
          <w:rFonts w:cs="Times New Roman"/>
          <w:i/>
          <w:iCs/>
          <w:color w:val="000000" w:themeColor="text1"/>
          <w:sz w:val="18"/>
          <w:szCs w:val="18"/>
        </w:rPr>
        <w:t xml:space="preserve">Journalism </w:t>
      </w:r>
      <w:r w:rsidRPr="00A203A6">
        <w:rPr>
          <w:rFonts w:cs="Times New Roman"/>
          <w:color w:val="000000" w:themeColor="text1"/>
          <w:sz w:val="18"/>
          <w:szCs w:val="18"/>
        </w:rPr>
        <w:t>19, no. 6 (2017): 762-781.</w:t>
      </w:r>
    </w:p>
  </w:footnote>
  <w:footnote w:id="558">
    <w:p w14:paraId="773311A2"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Nick Davies, </w:t>
      </w:r>
      <w:r w:rsidRPr="00A203A6">
        <w:rPr>
          <w:rFonts w:cs="Times New Roman"/>
          <w:i/>
          <w:iCs/>
          <w:color w:val="000000" w:themeColor="text1"/>
          <w:sz w:val="18"/>
          <w:szCs w:val="18"/>
        </w:rPr>
        <w:t>Flat Earth News.</w:t>
      </w:r>
      <w:r w:rsidRPr="00A203A6">
        <w:rPr>
          <w:rFonts w:cs="Times New Roman"/>
          <w:color w:val="000000" w:themeColor="text1"/>
          <w:sz w:val="18"/>
          <w:szCs w:val="18"/>
        </w:rPr>
        <w:t xml:space="preserve"> (London: Chatto and </w:t>
      </w:r>
      <w:proofErr w:type="spellStart"/>
      <w:r w:rsidRPr="00A203A6">
        <w:rPr>
          <w:rFonts w:cs="Times New Roman"/>
          <w:color w:val="000000" w:themeColor="text1"/>
          <w:sz w:val="18"/>
          <w:szCs w:val="18"/>
        </w:rPr>
        <w:t>Windus</w:t>
      </w:r>
      <w:proofErr w:type="spellEnd"/>
      <w:r w:rsidRPr="00A203A6">
        <w:rPr>
          <w:rFonts w:cs="Times New Roman"/>
          <w:color w:val="000000" w:themeColor="text1"/>
          <w:sz w:val="18"/>
          <w:szCs w:val="18"/>
        </w:rPr>
        <w:t>, 2008): 101-105.</w:t>
      </w:r>
    </w:p>
  </w:footnote>
  <w:footnote w:id="559">
    <w:p w14:paraId="7D386391"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Michael Palmer and </w:t>
      </w:r>
      <w:proofErr w:type="spellStart"/>
      <w:r w:rsidRPr="00A203A6">
        <w:rPr>
          <w:rFonts w:cs="Times New Roman"/>
          <w:color w:val="000000" w:themeColor="text1"/>
          <w:sz w:val="18"/>
          <w:szCs w:val="18"/>
        </w:rPr>
        <w:t>Jérémie</w:t>
      </w:r>
      <w:proofErr w:type="spellEnd"/>
      <w:r w:rsidRPr="00A203A6">
        <w:rPr>
          <w:rFonts w:cs="Times New Roman"/>
          <w:color w:val="000000" w:themeColor="text1"/>
          <w:sz w:val="18"/>
          <w:szCs w:val="18"/>
        </w:rPr>
        <w:t xml:space="preserve"> </w:t>
      </w:r>
      <w:proofErr w:type="spellStart"/>
      <w:r w:rsidRPr="00A203A6">
        <w:rPr>
          <w:rFonts w:cs="Times New Roman"/>
          <w:color w:val="000000" w:themeColor="text1"/>
          <w:sz w:val="18"/>
          <w:szCs w:val="18"/>
        </w:rPr>
        <w:t>Nicey</w:t>
      </w:r>
      <w:proofErr w:type="spellEnd"/>
      <w:r w:rsidRPr="00A203A6">
        <w:rPr>
          <w:rFonts w:cs="Times New Roman"/>
          <w:color w:val="000000" w:themeColor="text1"/>
          <w:sz w:val="18"/>
          <w:szCs w:val="18"/>
        </w:rPr>
        <w:t xml:space="preserve">, “Social Media and the Freedom of the Press: A Long-term Perspective from within International News Agencies (AFP, Reuters).” </w:t>
      </w:r>
      <w:r w:rsidRPr="00A203A6">
        <w:rPr>
          <w:rFonts w:cs="Times New Roman"/>
          <w:i/>
          <w:iCs/>
          <w:color w:val="000000" w:themeColor="text1"/>
          <w:sz w:val="18"/>
          <w:szCs w:val="18"/>
        </w:rPr>
        <w:t>Journal for Communication Studies</w:t>
      </w:r>
      <w:r w:rsidRPr="00A203A6">
        <w:rPr>
          <w:rFonts w:cs="Times New Roman"/>
          <w:color w:val="000000" w:themeColor="text1"/>
          <w:sz w:val="18"/>
          <w:szCs w:val="18"/>
        </w:rPr>
        <w:t xml:space="preserve"> 5, no. 1 (2012): 112; Palmer, “‘PRESS on the appropriate button in the reader’s mind’”, 258.</w:t>
      </w:r>
    </w:p>
  </w:footnote>
  <w:footnote w:id="560">
    <w:p w14:paraId="7750AB48"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2, “Identifying Bias” (Pages 26-29).</w:t>
      </w:r>
    </w:p>
  </w:footnote>
  <w:footnote w:id="561">
    <w:p w14:paraId="6CC7E1DD"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Edward Behr, </w:t>
      </w:r>
      <w:r w:rsidRPr="00A203A6">
        <w:rPr>
          <w:rFonts w:cs="Times New Roman"/>
          <w:i/>
          <w:iCs/>
          <w:color w:val="000000" w:themeColor="text1"/>
          <w:sz w:val="18"/>
          <w:szCs w:val="18"/>
        </w:rPr>
        <w:t>Anyone Here Been Raped and Speaks English?</w:t>
      </w:r>
      <w:r w:rsidRPr="00A203A6">
        <w:rPr>
          <w:rFonts w:cs="Times New Roman"/>
          <w:color w:val="000000" w:themeColor="text1"/>
          <w:sz w:val="18"/>
          <w:szCs w:val="18"/>
        </w:rPr>
        <w:t xml:space="preserve"> (London: New English Library Ltd., 1985): 103.</w:t>
      </w:r>
    </w:p>
  </w:footnote>
  <w:footnote w:id="562">
    <w:p w14:paraId="4B30CD1A" w14:textId="77777777" w:rsidR="00B72623" w:rsidRPr="00A203A6" w:rsidRDefault="00B72623" w:rsidP="00787EBB">
      <w:pPr>
        <w:pStyle w:val="FootnoteText"/>
        <w:spacing w:before="0" w:after="80"/>
        <w:rPr>
          <w:rFonts w:cs="Times New Roman"/>
          <w:color w:val="000000" w:themeColor="text1"/>
          <w:sz w:val="18"/>
          <w:szCs w:val="18"/>
        </w:rPr>
      </w:pPr>
      <w:r w:rsidRPr="00A203A6">
        <w:rPr>
          <w:rStyle w:val="FootnoteReference"/>
          <w:rFonts w:cs="Times New Roman"/>
          <w:color w:val="000000" w:themeColor="text1"/>
          <w:sz w:val="18"/>
          <w:szCs w:val="18"/>
        </w:rPr>
        <w:footnoteRef/>
      </w:r>
      <w:r w:rsidRPr="00A203A6">
        <w:rPr>
          <w:rFonts w:cs="Times New Roman"/>
          <w:color w:val="000000" w:themeColor="text1"/>
          <w:sz w:val="18"/>
          <w:szCs w:val="18"/>
        </w:rPr>
        <w:t xml:space="preserve"> See Chapter 7, “Media Coverage of Terrorism Places States and Terrorists on the Same Level” (Pages 154-167).</w:t>
      </w:r>
    </w:p>
  </w:footnote>
  <w:footnote w:id="563">
    <w:p w14:paraId="09F72A4E" w14:textId="77777777" w:rsidR="00C13AC5" w:rsidRPr="00B86941" w:rsidRDefault="00C13AC5" w:rsidP="00C13AC5">
      <w:pPr>
        <w:pStyle w:val="FootnoteText"/>
        <w:rPr>
          <w:caps/>
        </w:rPr>
      </w:pPr>
      <w:r>
        <w:rPr>
          <w:rStyle w:val="FootnoteReference"/>
        </w:rPr>
        <w:footnoteRef/>
      </w:r>
      <w:r>
        <w:t xml:space="preserve"> </w:t>
      </w:r>
      <w:proofErr w:type="spellStart"/>
      <w:r w:rsidRPr="00632B0E">
        <w:rPr>
          <w:rFonts w:cs="Times New Roman"/>
        </w:rPr>
        <w:t>Yiwei</w:t>
      </w:r>
      <w:proofErr w:type="spellEnd"/>
      <w:r w:rsidRPr="00632B0E">
        <w:rPr>
          <w:rFonts w:cs="Times New Roman"/>
        </w:rPr>
        <w:t xml:space="preserve"> Luo, Dallas Card, and Dan </w:t>
      </w:r>
      <w:proofErr w:type="spellStart"/>
      <w:r w:rsidRPr="00632B0E">
        <w:rPr>
          <w:rFonts w:cs="Times New Roman"/>
        </w:rPr>
        <w:t>Jurafsky</w:t>
      </w:r>
      <w:proofErr w:type="spellEnd"/>
      <w:r w:rsidRPr="00632B0E">
        <w:rPr>
          <w:rFonts w:cs="Times New Roman"/>
        </w:rPr>
        <w:t xml:space="preserve">, “Detecting Stance in Media on Global Warming.” </w:t>
      </w:r>
      <w:r w:rsidRPr="00632B0E">
        <w:rPr>
          <w:rFonts w:cs="Times New Roman"/>
          <w:i/>
          <w:iCs/>
        </w:rPr>
        <w:t>Findings of the Association for Computational Linguistics: EMNLP 2020</w:t>
      </w:r>
      <w:r w:rsidRPr="00632B0E">
        <w:rPr>
          <w:rFonts w:cs="Times New Roman"/>
        </w:rPr>
        <w:t>: 3296-3315.</w:t>
      </w:r>
    </w:p>
  </w:footnote>
  <w:footnote w:id="564">
    <w:p w14:paraId="12EC61F8" w14:textId="77777777" w:rsidR="007B741B" w:rsidRPr="00CE4D20" w:rsidRDefault="007B741B" w:rsidP="007B741B">
      <w:pPr>
        <w:pStyle w:val="FootnoteText"/>
        <w:rPr>
          <w:rFonts w:cs="Times New Roman"/>
        </w:rPr>
      </w:pPr>
      <w:r w:rsidRPr="00CE4D20">
        <w:rPr>
          <w:rStyle w:val="FootnoteReference"/>
          <w:rFonts w:cs="Times New Roman"/>
        </w:rPr>
        <w:footnoteRef/>
      </w:r>
      <w:r w:rsidRPr="00CE4D20">
        <w:rPr>
          <w:rFonts w:cs="Times New Roman"/>
        </w:rPr>
        <w:t xml:space="preserve"> Alex P. Schmid, Albert Jongman and Michael </w:t>
      </w:r>
      <w:proofErr w:type="spellStart"/>
      <w:r w:rsidRPr="00CE4D20">
        <w:rPr>
          <w:rFonts w:cs="Times New Roman"/>
        </w:rPr>
        <w:t>Stohl</w:t>
      </w:r>
      <w:proofErr w:type="spellEnd"/>
      <w:r w:rsidRPr="00CE4D20">
        <w:rPr>
          <w:rFonts w:cs="Times New Roman"/>
        </w:rPr>
        <w:t xml:space="preserve">. </w:t>
      </w:r>
      <w:r w:rsidRPr="00CE4D20">
        <w:rPr>
          <w:rFonts w:cs="Times New Roman"/>
          <w:i/>
          <w:iCs/>
        </w:rPr>
        <w:t>Political Terrorism: A New Guide to Actors, Authors, Concepts, Data Bases, Theories, and Literature.</w:t>
      </w:r>
      <w:r w:rsidRPr="00CE4D20">
        <w:rPr>
          <w:rFonts w:cs="Times New Roman"/>
        </w:rPr>
        <w:t xml:space="preserve"> (New Brunswick: Transaction Books, 1988</w:t>
      </w:r>
      <w:r>
        <w:rPr>
          <w:rFonts w:cs="Times New Roman"/>
        </w:rPr>
        <w:t>).</w:t>
      </w:r>
    </w:p>
  </w:footnote>
  <w:footnote w:id="565">
    <w:p w14:paraId="117716FA" w14:textId="77777777" w:rsidR="007B741B" w:rsidRPr="00DF6253" w:rsidRDefault="007B741B" w:rsidP="007B741B">
      <w:pPr>
        <w:pStyle w:val="FootnoteText"/>
        <w:rPr>
          <w:rFonts w:cs="Times New Roman"/>
        </w:rPr>
      </w:pPr>
      <w:r w:rsidRPr="00DF6253">
        <w:rPr>
          <w:rStyle w:val="FootnoteReference"/>
          <w:rFonts w:cs="Times New Roman"/>
        </w:rPr>
        <w:footnoteRef/>
      </w:r>
      <w:r w:rsidRPr="00DF6253">
        <w:rPr>
          <w:rFonts w:cs="Times New Roman"/>
        </w:rPr>
        <w:t xml:space="preserve"> Alex P. Schmid. “Terrorism – The Definitional Problem.” </w:t>
      </w:r>
      <w:r w:rsidRPr="00DF6253">
        <w:rPr>
          <w:rFonts w:cs="Times New Roman"/>
          <w:i/>
          <w:iCs/>
        </w:rPr>
        <w:t>Case Western Reserve Journal of International Law</w:t>
      </w:r>
      <w:r w:rsidRPr="00DF6253">
        <w:rPr>
          <w:rFonts w:cs="Times New Roman"/>
        </w:rPr>
        <w:t xml:space="preserve"> 2, no. 26 (2004): 382.</w:t>
      </w:r>
    </w:p>
  </w:footnote>
  <w:footnote w:id="566">
    <w:p w14:paraId="20B92AEC" w14:textId="77777777" w:rsidR="007B741B" w:rsidRPr="00DF6253" w:rsidRDefault="007B741B" w:rsidP="007B741B">
      <w:pPr>
        <w:pStyle w:val="FootnoteText"/>
      </w:pPr>
      <w:r w:rsidRPr="00DF6253">
        <w:rPr>
          <w:rStyle w:val="FootnoteReference"/>
          <w:rFonts w:cs="Times New Roman"/>
        </w:rPr>
        <w:footnoteRef/>
      </w:r>
      <w:r w:rsidRPr="00DF6253">
        <w:rPr>
          <w:rFonts w:cs="Times New Roman"/>
        </w:rPr>
        <w:t xml:space="preserve"> Leonard Weinberg, Ami </w:t>
      </w:r>
      <w:proofErr w:type="spellStart"/>
      <w:r w:rsidRPr="00DF6253">
        <w:rPr>
          <w:rFonts w:cs="Times New Roman"/>
        </w:rPr>
        <w:t>Pedahzur</w:t>
      </w:r>
      <w:proofErr w:type="spellEnd"/>
      <w:r w:rsidRPr="00DF6253">
        <w:rPr>
          <w:rFonts w:cs="Times New Roman"/>
        </w:rPr>
        <w:t xml:space="preserve"> and Sivan Hirsch-</w:t>
      </w:r>
      <w:proofErr w:type="spellStart"/>
      <w:r w:rsidRPr="00DF6253">
        <w:rPr>
          <w:rFonts w:cs="Times New Roman"/>
        </w:rPr>
        <w:t>Hoefler</w:t>
      </w:r>
      <w:proofErr w:type="spellEnd"/>
      <w:r>
        <w:rPr>
          <w:rFonts w:cs="Times New Roman"/>
        </w:rPr>
        <w:t>.</w:t>
      </w:r>
      <w:r w:rsidRPr="00DF6253">
        <w:rPr>
          <w:rFonts w:cs="Times New Roman"/>
        </w:rPr>
        <w:t xml:space="preserve"> “The Challenges of Conceptualizing Terrorism.” </w:t>
      </w:r>
      <w:r w:rsidRPr="00DF6253">
        <w:rPr>
          <w:rFonts w:cs="Times New Roman"/>
          <w:i/>
          <w:iCs/>
        </w:rPr>
        <w:t>Terrorism and Political Violence</w:t>
      </w:r>
      <w:r w:rsidRPr="00DF6253">
        <w:rPr>
          <w:rFonts w:cs="Times New Roman"/>
        </w:rPr>
        <w:t xml:space="preserve"> 16, no. 4 (2004): 777-794.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9795629"/>
      <w:docPartObj>
        <w:docPartGallery w:val="Page Numbers (Top of Page)"/>
        <w:docPartUnique/>
      </w:docPartObj>
    </w:sdtPr>
    <w:sdtContent>
      <w:p w14:paraId="768CCE15" w14:textId="26B89CA8" w:rsidR="00B078F3" w:rsidRDefault="00B078F3" w:rsidP="00446A0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0048">
          <w:rPr>
            <w:rStyle w:val="PageNumber"/>
            <w:noProof/>
          </w:rPr>
          <w:t>iii</w:t>
        </w:r>
        <w:r>
          <w:rPr>
            <w:rStyle w:val="PageNumber"/>
          </w:rPr>
          <w:fldChar w:fldCharType="end"/>
        </w:r>
      </w:p>
    </w:sdtContent>
  </w:sdt>
  <w:p w14:paraId="12B78CBD" w14:textId="77777777" w:rsidR="00B078F3" w:rsidRDefault="00B078F3" w:rsidP="00B078F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2640" w14:textId="16C1B886" w:rsidR="00B078F3" w:rsidRPr="008A7443" w:rsidRDefault="00B078F3" w:rsidP="00B078F3">
    <w:pPr>
      <w:pStyle w:val="Header"/>
      <w:ind w:right="360"/>
      <w:rPr>
        <w:rFont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B693" w14:textId="77777777" w:rsidR="00870D5B" w:rsidRDefault="00870D5B" w:rsidP="00870D5B">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0624894"/>
      <w:docPartObj>
        <w:docPartGallery w:val="Page Numbers (Top of Page)"/>
        <w:docPartUnique/>
      </w:docPartObj>
    </w:sdtPr>
    <w:sdtContent>
      <w:p w14:paraId="24A1D84C" w14:textId="481F0F96" w:rsidR="00446A06" w:rsidRDefault="00446A06" w:rsidP="00C536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749D580F" w14:textId="77777777" w:rsidR="00446A06" w:rsidRPr="008A7443" w:rsidRDefault="00446A06" w:rsidP="00B078F3">
    <w:pPr>
      <w:pStyle w:val="Header"/>
      <w:ind w:right="360"/>
      <w:rPr>
        <w:rFonts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0363340"/>
      <w:docPartObj>
        <w:docPartGallery w:val="Page Numbers (Top of Page)"/>
        <w:docPartUnique/>
      </w:docPartObj>
    </w:sdtPr>
    <w:sdtContent>
      <w:p w14:paraId="217B097B" w14:textId="77777777" w:rsidR="00446A06" w:rsidRDefault="00446A06" w:rsidP="00C536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0827758D" w14:textId="77777777" w:rsidR="00446A06" w:rsidRDefault="00446A06" w:rsidP="00870D5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1C8C"/>
    <w:multiLevelType w:val="hybridMultilevel"/>
    <w:tmpl w:val="415240F6"/>
    <w:lvl w:ilvl="0" w:tplc="2FCADE8C">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2761B1F"/>
    <w:multiLevelType w:val="hybridMultilevel"/>
    <w:tmpl w:val="7A8CE3E2"/>
    <w:lvl w:ilvl="0" w:tplc="E29636BE">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95452"/>
    <w:multiLevelType w:val="hybridMultilevel"/>
    <w:tmpl w:val="33C0B9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91B87"/>
    <w:multiLevelType w:val="hybridMultilevel"/>
    <w:tmpl w:val="081ED2BE"/>
    <w:lvl w:ilvl="0" w:tplc="CA0CD39E">
      <w:start w:val="1"/>
      <w:numFmt w:val="upp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4" w15:restartNumberingAfterBreak="0">
    <w:nsid w:val="0C2E7A9C"/>
    <w:multiLevelType w:val="hybridMultilevel"/>
    <w:tmpl w:val="3606E4AE"/>
    <w:lvl w:ilvl="0" w:tplc="19AAF016">
      <w:start w:val="1"/>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E866DA6"/>
    <w:multiLevelType w:val="hybridMultilevel"/>
    <w:tmpl w:val="CAF228E6"/>
    <w:lvl w:ilvl="0" w:tplc="71D0C172">
      <w:start w:val="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74153"/>
    <w:multiLevelType w:val="hybridMultilevel"/>
    <w:tmpl w:val="6B02C15A"/>
    <w:lvl w:ilvl="0" w:tplc="B4D020F8">
      <w:start w:val="7"/>
      <w:numFmt w:val="bullet"/>
      <w:lvlText w:val="-"/>
      <w:lvlJc w:val="left"/>
      <w:pPr>
        <w:ind w:left="1080" w:hanging="360"/>
      </w:pPr>
      <w:rPr>
        <w:rFonts w:ascii="Times New Roman" w:eastAsia="Times New Roman" w:hAnsi="Times New Roman" w:cs="Times New Roman"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7B4A02"/>
    <w:multiLevelType w:val="hybridMultilevel"/>
    <w:tmpl w:val="E1E84000"/>
    <w:lvl w:ilvl="0" w:tplc="38E61B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F46C21"/>
    <w:multiLevelType w:val="hybridMultilevel"/>
    <w:tmpl w:val="76285BB4"/>
    <w:lvl w:ilvl="0" w:tplc="9796CEAC">
      <w:start w:val="1"/>
      <w:numFmt w:val="decimal"/>
      <w:lvlText w:val="(%1)"/>
      <w:lvlJc w:val="left"/>
      <w:pPr>
        <w:ind w:left="3960" w:hanging="360"/>
      </w:pPr>
      <w:rPr>
        <w:rFonts w:hint="default"/>
        <w:b w:val="0"/>
        <w:bCs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1C7747C1"/>
    <w:multiLevelType w:val="hybridMultilevel"/>
    <w:tmpl w:val="816A44D4"/>
    <w:lvl w:ilvl="0" w:tplc="04090011">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23A00"/>
    <w:multiLevelType w:val="hybridMultilevel"/>
    <w:tmpl w:val="3C74AB04"/>
    <w:lvl w:ilvl="0" w:tplc="0409000F">
      <w:start w:val="1"/>
      <w:numFmt w:val="decimal"/>
      <w:lvlText w:val="%1."/>
      <w:lvlJc w:val="left"/>
      <w:pPr>
        <w:ind w:left="720" w:hanging="360"/>
      </w:pPr>
    </w:lvl>
    <w:lvl w:ilvl="1" w:tplc="63CC1070">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F3AA2"/>
    <w:multiLevelType w:val="hybridMultilevel"/>
    <w:tmpl w:val="EB3634AC"/>
    <w:lvl w:ilvl="0" w:tplc="E6BC78FC">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47005"/>
    <w:multiLevelType w:val="hybridMultilevel"/>
    <w:tmpl w:val="0332E722"/>
    <w:lvl w:ilvl="0" w:tplc="616E105A">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B33E12"/>
    <w:multiLevelType w:val="hybridMultilevel"/>
    <w:tmpl w:val="A95A8174"/>
    <w:lvl w:ilvl="0" w:tplc="A984C4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664CE4"/>
    <w:multiLevelType w:val="hybridMultilevel"/>
    <w:tmpl w:val="037E6E08"/>
    <w:lvl w:ilvl="0" w:tplc="C80C197C">
      <w:numFmt w:val="bullet"/>
      <w:lvlText w:val="-"/>
      <w:lvlJc w:val="left"/>
      <w:pPr>
        <w:ind w:left="1080" w:hanging="360"/>
      </w:pPr>
      <w:rPr>
        <w:rFonts w:ascii="TimesNewRomanPSMT" w:eastAsia="Times New Roman" w:hAnsi="TimesNewRomanPSMT"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F07CEA"/>
    <w:multiLevelType w:val="hybridMultilevel"/>
    <w:tmpl w:val="4E021118"/>
    <w:lvl w:ilvl="0" w:tplc="1F2E83F0">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87F9A"/>
    <w:multiLevelType w:val="hybridMultilevel"/>
    <w:tmpl w:val="A0D82988"/>
    <w:lvl w:ilvl="0" w:tplc="BEBE1E60">
      <w:start w:val="1"/>
      <w:numFmt w:val="decimal"/>
      <w:lvlText w:val="%1)"/>
      <w:lvlJc w:val="left"/>
      <w:pPr>
        <w:ind w:left="1080" w:hanging="360"/>
      </w:pPr>
      <w:rPr>
        <w:rFonts w:ascii="Times New Roman" w:eastAsiaTheme="minorEastAsia"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ED074C3"/>
    <w:multiLevelType w:val="hybridMultilevel"/>
    <w:tmpl w:val="A1B635E0"/>
    <w:lvl w:ilvl="0" w:tplc="05608152">
      <w:start w:val="7"/>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0FB1ECA"/>
    <w:multiLevelType w:val="hybridMultilevel"/>
    <w:tmpl w:val="B680C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481F49"/>
    <w:multiLevelType w:val="hybridMultilevel"/>
    <w:tmpl w:val="AEF69C6A"/>
    <w:lvl w:ilvl="0" w:tplc="14A422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911C9"/>
    <w:multiLevelType w:val="hybridMultilevel"/>
    <w:tmpl w:val="138E9E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2F5A0B"/>
    <w:multiLevelType w:val="hybridMultilevel"/>
    <w:tmpl w:val="620CFC84"/>
    <w:lvl w:ilvl="0" w:tplc="CDF48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2A098C"/>
    <w:multiLevelType w:val="hybridMultilevel"/>
    <w:tmpl w:val="1CCAD672"/>
    <w:lvl w:ilvl="0" w:tplc="CB4A7BA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E24206"/>
    <w:multiLevelType w:val="hybridMultilevel"/>
    <w:tmpl w:val="40D6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217F4A"/>
    <w:multiLevelType w:val="hybridMultilevel"/>
    <w:tmpl w:val="86D40AF8"/>
    <w:lvl w:ilvl="0" w:tplc="CDE2109C">
      <w:start w:val="64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411D58"/>
    <w:multiLevelType w:val="hybridMultilevel"/>
    <w:tmpl w:val="34981718"/>
    <w:lvl w:ilvl="0" w:tplc="2594E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8575DD"/>
    <w:multiLevelType w:val="hybridMultilevel"/>
    <w:tmpl w:val="C680B88E"/>
    <w:lvl w:ilvl="0" w:tplc="1F80D1E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7D0243"/>
    <w:multiLevelType w:val="hybridMultilevel"/>
    <w:tmpl w:val="293EBB46"/>
    <w:lvl w:ilvl="0" w:tplc="D2BC18D6">
      <w:start w:val="1"/>
      <w:numFmt w:val="upperLetter"/>
      <w:lvlText w:val="(%1)"/>
      <w:lvlJc w:val="left"/>
      <w:pPr>
        <w:ind w:left="760" w:hanging="40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094CCB"/>
    <w:multiLevelType w:val="hybridMultilevel"/>
    <w:tmpl w:val="9340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A6CFF"/>
    <w:multiLevelType w:val="hybridMultilevel"/>
    <w:tmpl w:val="EAAAF9CE"/>
    <w:lvl w:ilvl="0" w:tplc="B014874C">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6B4573"/>
    <w:multiLevelType w:val="hybridMultilevel"/>
    <w:tmpl w:val="621C45F2"/>
    <w:lvl w:ilvl="0" w:tplc="E8A4630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E44285"/>
    <w:multiLevelType w:val="hybridMultilevel"/>
    <w:tmpl w:val="05501436"/>
    <w:lvl w:ilvl="0" w:tplc="4BE0276E">
      <w:start w:val="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01807"/>
    <w:multiLevelType w:val="hybridMultilevel"/>
    <w:tmpl w:val="BEF098AA"/>
    <w:lvl w:ilvl="0" w:tplc="5FFEF04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4088958">
    <w:abstractNumId w:val="30"/>
  </w:num>
  <w:num w:numId="2" w16cid:durableId="7684094">
    <w:abstractNumId w:val="31"/>
  </w:num>
  <w:num w:numId="3" w16cid:durableId="2031645227">
    <w:abstractNumId w:val="13"/>
  </w:num>
  <w:num w:numId="4" w16cid:durableId="925723086">
    <w:abstractNumId w:val="0"/>
  </w:num>
  <w:num w:numId="5" w16cid:durableId="1194079588">
    <w:abstractNumId w:val="21"/>
  </w:num>
  <w:num w:numId="6" w16cid:durableId="1329409907">
    <w:abstractNumId w:val="9"/>
  </w:num>
  <w:num w:numId="7" w16cid:durableId="1140657966">
    <w:abstractNumId w:val="25"/>
  </w:num>
  <w:num w:numId="8" w16cid:durableId="1339190481">
    <w:abstractNumId w:val="16"/>
  </w:num>
  <w:num w:numId="9" w16cid:durableId="493111112">
    <w:abstractNumId w:val="18"/>
  </w:num>
  <w:num w:numId="10" w16cid:durableId="1572734872">
    <w:abstractNumId w:val="12"/>
  </w:num>
  <w:num w:numId="11" w16cid:durableId="1274827577">
    <w:abstractNumId w:val="28"/>
  </w:num>
  <w:num w:numId="12" w16cid:durableId="1317494310">
    <w:abstractNumId w:val="7"/>
  </w:num>
  <w:num w:numId="13" w16cid:durableId="307441363">
    <w:abstractNumId w:val="17"/>
  </w:num>
  <w:num w:numId="14" w16cid:durableId="590086599">
    <w:abstractNumId w:val="5"/>
  </w:num>
  <w:num w:numId="15" w16cid:durableId="1298990695">
    <w:abstractNumId w:val="14"/>
  </w:num>
  <w:num w:numId="16" w16cid:durableId="107310563">
    <w:abstractNumId w:val="22"/>
  </w:num>
  <w:num w:numId="17" w16cid:durableId="1965191269">
    <w:abstractNumId w:val="4"/>
  </w:num>
  <w:num w:numId="18" w16cid:durableId="847790239">
    <w:abstractNumId w:val="27"/>
  </w:num>
  <w:num w:numId="19" w16cid:durableId="1530871129">
    <w:abstractNumId w:val="3"/>
  </w:num>
  <w:num w:numId="20" w16cid:durableId="759839157">
    <w:abstractNumId w:val="6"/>
  </w:num>
  <w:num w:numId="21" w16cid:durableId="414395889">
    <w:abstractNumId w:val="15"/>
  </w:num>
  <w:num w:numId="22" w16cid:durableId="1699308965">
    <w:abstractNumId w:val="32"/>
  </w:num>
  <w:num w:numId="23" w16cid:durableId="1988194942">
    <w:abstractNumId w:val="26"/>
  </w:num>
  <w:num w:numId="24" w16cid:durableId="1673029895">
    <w:abstractNumId w:val="19"/>
  </w:num>
  <w:num w:numId="25" w16cid:durableId="1416627610">
    <w:abstractNumId w:val="2"/>
  </w:num>
  <w:num w:numId="26" w16cid:durableId="933055229">
    <w:abstractNumId w:val="20"/>
  </w:num>
  <w:num w:numId="27" w16cid:durableId="1811940984">
    <w:abstractNumId w:val="24"/>
  </w:num>
  <w:num w:numId="28" w16cid:durableId="1492525485">
    <w:abstractNumId w:val="8"/>
  </w:num>
  <w:num w:numId="29" w16cid:durableId="1890990283">
    <w:abstractNumId w:val="1"/>
  </w:num>
  <w:num w:numId="30" w16cid:durableId="1432318923">
    <w:abstractNumId w:val="11"/>
  </w:num>
  <w:num w:numId="31" w16cid:durableId="944533828">
    <w:abstractNumId w:val="10"/>
  </w:num>
  <w:num w:numId="32" w16cid:durableId="344400829">
    <w:abstractNumId w:val="23"/>
  </w:num>
  <w:num w:numId="33" w16cid:durableId="122822728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03E"/>
    <w:rsid w:val="00002932"/>
    <w:rsid w:val="00007C2C"/>
    <w:rsid w:val="00014A12"/>
    <w:rsid w:val="00015FB3"/>
    <w:rsid w:val="0003013F"/>
    <w:rsid w:val="00037772"/>
    <w:rsid w:val="00040531"/>
    <w:rsid w:val="00052641"/>
    <w:rsid w:val="00053C72"/>
    <w:rsid w:val="00070357"/>
    <w:rsid w:val="00071625"/>
    <w:rsid w:val="00071D4D"/>
    <w:rsid w:val="00080804"/>
    <w:rsid w:val="00081228"/>
    <w:rsid w:val="00081AD8"/>
    <w:rsid w:val="000A0F94"/>
    <w:rsid w:val="000B121A"/>
    <w:rsid w:val="000C203A"/>
    <w:rsid w:val="000C6C2E"/>
    <w:rsid w:val="000D01E8"/>
    <w:rsid w:val="000D4834"/>
    <w:rsid w:val="000F1AFA"/>
    <w:rsid w:val="000F5FF7"/>
    <w:rsid w:val="000F6384"/>
    <w:rsid w:val="00107557"/>
    <w:rsid w:val="00111A81"/>
    <w:rsid w:val="00125059"/>
    <w:rsid w:val="00125C35"/>
    <w:rsid w:val="00130D47"/>
    <w:rsid w:val="00141460"/>
    <w:rsid w:val="00151EFF"/>
    <w:rsid w:val="00157E4A"/>
    <w:rsid w:val="00165296"/>
    <w:rsid w:val="00186533"/>
    <w:rsid w:val="00190729"/>
    <w:rsid w:val="001948CD"/>
    <w:rsid w:val="00196E58"/>
    <w:rsid w:val="001A454D"/>
    <w:rsid w:val="001B1CAC"/>
    <w:rsid w:val="001C1E92"/>
    <w:rsid w:val="001E0842"/>
    <w:rsid w:val="001E1F62"/>
    <w:rsid w:val="001E2BE4"/>
    <w:rsid w:val="001F6DE8"/>
    <w:rsid w:val="002149BD"/>
    <w:rsid w:val="00223280"/>
    <w:rsid w:val="0023690F"/>
    <w:rsid w:val="00260E70"/>
    <w:rsid w:val="002629DF"/>
    <w:rsid w:val="00264F1B"/>
    <w:rsid w:val="0026633F"/>
    <w:rsid w:val="00280554"/>
    <w:rsid w:val="0028151C"/>
    <w:rsid w:val="0028762A"/>
    <w:rsid w:val="002915BC"/>
    <w:rsid w:val="00297285"/>
    <w:rsid w:val="002A36D2"/>
    <w:rsid w:val="002A7192"/>
    <w:rsid w:val="002C562B"/>
    <w:rsid w:val="002C7062"/>
    <w:rsid w:val="002D25A7"/>
    <w:rsid w:val="002D7823"/>
    <w:rsid w:val="002E1744"/>
    <w:rsid w:val="002E23C7"/>
    <w:rsid w:val="002E4DC0"/>
    <w:rsid w:val="002F704A"/>
    <w:rsid w:val="00315CDD"/>
    <w:rsid w:val="0032243A"/>
    <w:rsid w:val="00322B73"/>
    <w:rsid w:val="003250C1"/>
    <w:rsid w:val="0033177C"/>
    <w:rsid w:val="00342E63"/>
    <w:rsid w:val="0035391D"/>
    <w:rsid w:val="00365923"/>
    <w:rsid w:val="00385F0A"/>
    <w:rsid w:val="0039518C"/>
    <w:rsid w:val="003A4A4A"/>
    <w:rsid w:val="003B35D8"/>
    <w:rsid w:val="003C673C"/>
    <w:rsid w:val="003E0A5F"/>
    <w:rsid w:val="003E6CA7"/>
    <w:rsid w:val="00400593"/>
    <w:rsid w:val="004017FD"/>
    <w:rsid w:val="0040643E"/>
    <w:rsid w:val="0041036E"/>
    <w:rsid w:val="004113AD"/>
    <w:rsid w:val="00414216"/>
    <w:rsid w:val="00422E6F"/>
    <w:rsid w:val="00427845"/>
    <w:rsid w:val="00442C56"/>
    <w:rsid w:val="00444B2E"/>
    <w:rsid w:val="00446613"/>
    <w:rsid w:val="00446A06"/>
    <w:rsid w:val="00451E06"/>
    <w:rsid w:val="00451F65"/>
    <w:rsid w:val="004547A8"/>
    <w:rsid w:val="00460034"/>
    <w:rsid w:val="00461D16"/>
    <w:rsid w:val="00477459"/>
    <w:rsid w:val="00480EDE"/>
    <w:rsid w:val="00482BA0"/>
    <w:rsid w:val="0049283C"/>
    <w:rsid w:val="004A6F95"/>
    <w:rsid w:val="004D5397"/>
    <w:rsid w:val="004E1921"/>
    <w:rsid w:val="004F0918"/>
    <w:rsid w:val="004F497D"/>
    <w:rsid w:val="004F4BB0"/>
    <w:rsid w:val="005073FA"/>
    <w:rsid w:val="0051124B"/>
    <w:rsid w:val="00525937"/>
    <w:rsid w:val="00540901"/>
    <w:rsid w:val="00541123"/>
    <w:rsid w:val="00541D83"/>
    <w:rsid w:val="00542581"/>
    <w:rsid w:val="00546721"/>
    <w:rsid w:val="00547121"/>
    <w:rsid w:val="0056490A"/>
    <w:rsid w:val="00570D78"/>
    <w:rsid w:val="00590EA0"/>
    <w:rsid w:val="00596BD5"/>
    <w:rsid w:val="005973FD"/>
    <w:rsid w:val="005B2AD0"/>
    <w:rsid w:val="005B34A9"/>
    <w:rsid w:val="005C4C78"/>
    <w:rsid w:val="005C78DE"/>
    <w:rsid w:val="005C7B5A"/>
    <w:rsid w:val="005D404C"/>
    <w:rsid w:val="005F60D3"/>
    <w:rsid w:val="00603115"/>
    <w:rsid w:val="00610588"/>
    <w:rsid w:val="006112AB"/>
    <w:rsid w:val="00636827"/>
    <w:rsid w:val="00636BFA"/>
    <w:rsid w:val="00642441"/>
    <w:rsid w:val="00647EA5"/>
    <w:rsid w:val="0065488A"/>
    <w:rsid w:val="00656E5B"/>
    <w:rsid w:val="00670CE3"/>
    <w:rsid w:val="006A3222"/>
    <w:rsid w:val="006A7DC1"/>
    <w:rsid w:val="006C2294"/>
    <w:rsid w:val="006C485E"/>
    <w:rsid w:val="006F38DB"/>
    <w:rsid w:val="00702F54"/>
    <w:rsid w:val="00704ED7"/>
    <w:rsid w:val="00706351"/>
    <w:rsid w:val="00733C3F"/>
    <w:rsid w:val="00746CDA"/>
    <w:rsid w:val="0075050F"/>
    <w:rsid w:val="007537AD"/>
    <w:rsid w:val="00754707"/>
    <w:rsid w:val="00761627"/>
    <w:rsid w:val="00765FD2"/>
    <w:rsid w:val="0077170D"/>
    <w:rsid w:val="0077210F"/>
    <w:rsid w:val="00773481"/>
    <w:rsid w:val="00776224"/>
    <w:rsid w:val="00785B6A"/>
    <w:rsid w:val="00787026"/>
    <w:rsid w:val="00787123"/>
    <w:rsid w:val="00787EBB"/>
    <w:rsid w:val="007912F6"/>
    <w:rsid w:val="007A14CE"/>
    <w:rsid w:val="007A194D"/>
    <w:rsid w:val="007B4D38"/>
    <w:rsid w:val="007B741B"/>
    <w:rsid w:val="007C081B"/>
    <w:rsid w:val="007C75DE"/>
    <w:rsid w:val="007F42DC"/>
    <w:rsid w:val="00805B34"/>
    <w:rsid w:val="00813183"/>
    <w:rsid w:val="00814DBC"/>
    <w:rsid w:val="00815C24"/>
    <w:rsid w:val="00821F36"/>
    <w:rsid w:val="00823BC7"/>
    <w:rsid w:val="00826D18"/>
    <w:rsid w:val="008312EC"/>
    <w:rsid w:val="0085129A"/>
    <w:rsid w:val="00870D5B"/>
    <w:rsid w:val="00871F3B"/>
    <w:rsid w:val="008720C0"/>
    <w:rsid w:val="00873EF9"/>
    <w:rsid w:val="008800C4"/>
    <w:rsid w:val="008804F7"/>
    <w:rsid w:val="00880AD8"/>
    <w:rsid w:val="0088526D"/>
    <w:rsid w:val="008859FA"/>
    <w:rsid w:val="008A7443"/>
    <w:rsid w:val="008B2E72"/>
    <w:rsid w:val="008C0C4C"/>
    <w:rsid w:val="008C5F71"/>
    <w:rsid w:val="008D1375"/>
    <w:rsid w:val="008D40D8"/>
    <w:rsid w:val="008E375F"/>
    <w:rsid w:val="008F4194"/>
    <w:rsid w:val="008F49A1"/>
    <w:rsid w:val="009042DE"/>
    <w:rsid w:val="00912121"/>
    <w:rsid w:val="00915269"/>
    <w:rsid w:val="009166D8"/>
    <w:rsid w:val="009233EE"/>
    <w:rsid w:val="009276FA"/>
    <w:rsid w:val="00937600"/>
    <w:rsid w:val="009571DA"/>
    <w:rsid w:val="00971CBE"/>
    <w:rsid w:val="00973D7D"/>
    <w:rsid w:val="00981E41"/>
    <w:rsid w:val="009830AC"/>
    <w:rsid w:val="0098324B"/>
    <w:rsid w:val="0099245F"/>
    <w:rsid w:val="00992F3D"/>
    <w:rsid w:val="009A475A"/>
    <w:rsid w:val="009A57BF"/>
    <w:rsid w:val="009B1E33"/>
    <w:rsid w:val="009C37D2"/>
    <w:rsid w:val="009C5D30"/>
    <w:rsid w:val="009E4883"/>
    <w:rsid w:val="00A02A52"/>
    <w:rsid w:val="00A13CC5"/>
    <w:rsid w:val="00A14040"/>
    <w:rsid w:val="00A16FA6"/>
    <w:rsid w:val="00A203A6"/>
    <w:rsid w:val="00A227C9"/>
    <w:rsid w:val="00A30B2C"/>
    <w:rsid w:val="00A429A1"/>
    <w:rsid w:val="00A448D2"/>
    <w:rsid w:val="00A573EE"/>
    <w:rsid w:val="00A64A95"/>
    <w:rsid w:val="00A65A30"/>
    <w:rsid w:val="00A849A5"/>
    <w:rsid w:val="00A90D3D"/>
    <w:rsid w:val="00AA657C"/>
    <w:rsid w:val="00AC35F3"/>
    <w:rsid w:val="00AC6701"/>
    <w:rsid w:val="00AF13B0"/>
    <w:rsid w:val="00AF18F5"/>
    <w:rsid w:val="00AF1E65"/>
    <w:rsid w:val="00AF48A6"/>
    <w:rsid w:val="00B078F3"/>
    <w:rsid w:val="00B30645"/>
    <w:rsid w:val="00B31568"/>
    <w:rsid w:val="00B32CD1"/>
    <w:rsid w:val="00B341F8"/>
    <w:rsid w:val="00B34D8A"/>
    <w:rsid w:val="00B36494"/>
    <w:rsid w:val="00B47E44"/>
    <w:rsid w:val="00B72623"/>
    <w:rsid w:val="00B7303E"/>
    <w:rsid w:val="00B947E3"/>
    <w:rsid w:val="00BB2A42"/>
    <w:rsid w:val="00BC4C0C"/>
    <w:rsid w:val="00BC6722"/>
    <w:rsid w:val="00BE0E9B"/>
    <w:rsid w:val="00BE6D70"/>
    <w:rsid w:val="00BF5892"/>
    <w:rsid w:val="00C007CC"/>
    <w:rsid w:val="00C13AC5"/>
    <w:rsid w:val="00C14930"/>
    <w:rsid w:val="00C26315"/>
    <w:rsid w:val="00C27BB3"/>
    <w:rsid w:val="00C3468F"/>
    <w:rsid w:val="00C61B98"/>
    <w:rsid w:val="00C62D2D"/>
    <w:rsid w:val="00C63BAA"/>
    <w:rsid w:val="00C9290D"/>
    <w:rsid w:val="00C965C7"/>
    <w:rsid w:val="00CB07AB"/>
    <w:rsid w:val="00CB512F"/>
    <w:rsid w:val="00CB67A7"/>
    <w:rsid w:val="00CC3E9B"/>
    <w:rsid w:val="00CC48E8"/>
    <w:rsid w:val="00CD6768"/>
    <w:rsid w:val="00CD6ADE"/>
    <w:rsid w:val="00CE1878"/>
    <w:rsid w:val="00CE58B4"/>
    <w:rsid w:val="00CF3E5C"/>
    <w:rsid w:val="00D00048"/>
    <w:rsid w:val="00D03C79"/>
    <w:rsid w:val="00D14EF4"/>
    <w:rsid w:val="00D356D9"/>
    <w:rsid w:val="00D4169E"/>
    <w:rsid w:val="00D41F30"/>
    <w:rsid w:val="00D626D3"/>
    <w:rsid w:val="00D64A92"/>
    <w:rsid w:val="00D665EF"/>
    <w:rsid w:val="00D7207E"/>
    <w:rsid w:val="00D73500"/>
    <w:rsid w:val="00D736FA"/>
    <w:rsid w:val="00D912FC"/>
    <w:rsid w:val="00D9594F"/>
    <w:rsid w:val="00D95F35"/>
    <w:rsid w:val="00D95FAB"/>
    <w:rsid w:val="00DB060F"/>
    <w:rsid w:val="00DB77D7"/>
    <w:rsid w:val="00DC4DFA"/>
    <w:rsid w:val="00DE2774"/>
    <w:rsid w:val="00E01059"/>
    <w:rsid w:val="00E01FD3"/>
    <w:rsid w:val="00E0466F"/>
    <w:rsid w:val="00E13D63"/>
    <w:rsid w:val="00E14878"/>
    <w:rsid w:val="00E162E6"/>
    <w:rsid w:val="00E17DFF"/>
    <w:rsid w:val="00E214D9"/>
    <w:rsid w:val="00E242F3"/>
    <w:rsid w:val="00E24F15"/>
    <w:rsid w:val="00E257FA"/>
    <w:rsid w:val="00E25B9E"/>
    <w:rsid w:val="00E33E4E"/>
    <w:rsid w:val="00E37DBB"/>
    <w:rsid w:val="00E55B1B"/>
    <w:rsid w:val="00E57D9B"/>
    <w:rsid w:val="00E66052"/>
    <w:rsid w:val="00E738BD"/>
    <w:rsid w:val="00E754AA"/>
    <w:rsid w:val="00E909C3"/>
    <w:rsid w:val="00E92E2C"/>
    <w:rsid w:val="00E94B45"/>
    <w:rsid w:val="00EA6454"/>
    <w:rsid w:val="00EC019E"/>
    <w:rsid w:val="00ED5405"/>
    <w:rsid w:val="00EE19ED"/>
    <w:rsid w:val="00EF2000"/>
    <w:rsid w:val="00F05626"/>
    <w:rsid w:val="00F072B0"/>
    <w:rsid w:val="00F22BDD"/>
    <w:rsid w:val="00F27F09"/>
    <w:rsid w:val="00F42AC3"/>
    <w:rsid w:val="00F46C97"/>
    <w:rsid w:val="00F55366"/>
    <w:rsid w:val="00F60B44"/>
    <w:rsid w:val="00F66BEC"/>
    <w:rsid w:val="00F67289"/>
    <w:rsid w:val="00F70300"/>
    <w:rsid w:val="00F7192D"/>
    <w:rsid w:val="00F71B53"/>
    <w:rsid w:val="00F73A6C"/>
    <w:rsid w:val="00F74D09"/>
    <w:rsid w:val="00F8580F"/>
    <w:rsid w:val="00F85A92"/>
    <w:rsid w:val="00F92578"/>
    <w:rsid w:val="00F9501B"/>
    <w:rsid w:val="00FA16CB"/>
    <w:rsid w:val="00FA514C"/>
    <w:rsid w:val="00FB1960"/>
    <w:rsid w:val="00FB1F71"/>
    <w:rsid w:val="00FB2B53"/>
    <w:rsid w:val="00FC5395"/>
    <w:rsid w:val="00FD40EF"/>
    <w:rsid w:val="00FD50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6D1EA"/>
  <w15:chartTrackingRefBased/>
  <w15:docId w15:val="{C655BD11-8695-F541-990F-95E208BC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3A6"/>
    <w:pPr>
      <w:spacing w:before="120" w:after="120"/>
    </w:pPr>
    <w:rPr>
      <w:rFonts w:ascii="Times New Roman" w:hAnsi="Times New Roman"/>
      <w:sz w:val="22"/>
    </w:rPr>
  </w:style>
  <w:style w:type="paragraph" w:styleId="Heading1">
    <w:name w:val="heading 1"/>
    <w:basedOn w:val="Normal"/>
    <w:link w:val="Heading1Char"/>
    <w:uiPriority w:val="9"/>
    <w:qFormat/>
    <w:rsid w:val="006C485E"/>
    <w:pPr>
      <w:spacing w:before="100" w:beforeAutospacing="1" w:after="100" w:afterAutospacing="1"/>
      <w:outlineLvl w:val="0"/>
    </w:pPr>
    <w:rPr>
      <w:rFonts w:eastAsia="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93760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760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3760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937600"/>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765FD2"/>
  </w:style>
  <w:style w:type="paragraph" w:styleId="Header">
    <w:name w:val="header"/>
    <w:basedOn w:val="Normal"/>
    <w:link w:val="HeaderChar"/>
    <w:uiPriority w:val="99"/>
    <w:unhideWhenUsed/>
    <w:rsid w:val="00B078F3"/>
    <w:pPr>
      <w:tabs>
        <w:tab w:val="center" w:pos="4680"/>
        <w:tab w:val="right" w:pos="9360"/>
      </w:tabs>
    </w:pPr>
  </w:style>
  <w:style w:type="character" w:customStyle="1" w:styleId="HeaderChar">
    <w:name w:val="Header Char"/>
    <w:basedOn w:val="DefaultParagraphFont"/>
    <w:link w:val="Header"/>
    <w:uiPriority w:val="99"/>
    <w:rsid w:val="00B078F3"/>
  </w:style>
  <w:style w:type="paragraph" w:styleId="Footer">
    <w:name w:val="footer"/>
    <w:basedOn w:val="Normal"/>
    <w:link w:val="FooterChar"/>
    <w:uiPriority w:val="99"/>
    <w:unhideWhenUsed/>
    <w:rsid w:val="00B078F3"/>
    <w:pPr>
      <w:tabs>
        <w:tab w:val="center" w:pos="4680"/>
        <w:tab w:val="right" w:pos="9360"/>
      </w:tabs>
    </w:pPr>
  </w:style>
  <w:style w:type="character" w:customStyle="1" w:styleId="FooterChar">
    <w:name w:val="Footer Char"/>
    <w:basedOn w:val="DefaultParagraphFont"/>
    <w:link w:val="Footer"/>
    <w:uiPriority w:val="99"/>
    <w:rsid w:val="00B078F3"/>
  </w:style>
  <w:style w:type="character" w:styleId="PageNumber">
    <w:name w:val="page number"/>
    <w:basedOn w:val="DefaultParagraphFont"/>
    <w:uiPriority w:val="99"/>
    <w:semiHidden/>
    <w:unhideWhenUsed/>
    <w:rsid w:val="00B078F3"/>
  </w:style>
  <w:style w:type="paragraph" w:styleId="FootnoteText">
    <w:name w:val="footnote text"/>
    <w:basedOn w:val="Normal"/>
    <w:link w:val="FootnoteTextChar"/>
    <w:uiPriority w:val="99"/>
    <w:unhideWhenUsed/>
    <w:rsid w:val="00141460"/>
    <w:rPr>
      <w:sz w:val="20"/>
      <w:szCs w:val="20"/>
    </w:rPr>
  </w:style>
  <w:style w:type="character" w:customStyle="1" w:styleId="FootnoteTextChar">
    <w:name w:val="Footnote Text Char"/>
    <w:basedOn w:val="DefaultParagraphFont"/>
    <w:link w:val="FootnoteText"/>
    <w:uiPriority w:val="99"/>
    <w:rsid w:val="00141460"/>
    <w:rPr>
      <w:sz w:val="20"/>
      <w:szCs w:val="20"/>
    </w:rPr>
  </w:style>
  <w:style w:type="character" w:styleId="FootnoteReference">
    <w:name w:val="footnote reference"/>
    <w:basedOn w:val="DefaultParagraphFont"/>
    <w:uiPriority w:val="99"/>
    <w:unhideWhenUsed/>
    <w:rsid w:val="00141460"/>
    <w:rPr>
      <w:vertAlign w:val="superscript"/>
    </w:rPr>
  </w:style>
  <w:style w:type="character" w:styleId="Hyperlink">
    <w:name w:val="Hyperlink"/>
    <w:basedOn w:val="DefaultParagraphFont"/>
    <w:uiPriority w:val="99"/>
    <w:unhideWhenUsed/>
    <w:rsid w:val="00787026"/>
    <w:rPr>
      <w:color w:val="0563C1" w:themeColor="hyperlink"/>
      <w:u w:val="single"/>
    </w:rPr>
  </w:style>
  <w:style w:type="character" w:styleId="UnresolvedMention">
    <w:name w:val="Unresolved Mention"/>
    <w:basedOn w:val="DefaultParagraphFont"/>
    <w:uiPriority w:val="99"/>
    <w:semiHidden/>
    <w:unhideWhenUsed/>
    <w:rsid w:val="00787026"/>
    <w:rPr>
      <w:color w:val="605E5C"/>
      <w:shd w:val="clear" w:color="auto" w:fill="E1DFDD"/>
    </w:rPr>
  </w:style>
  <w:style w:type="paragraph" w:styleId="ListParagraph">
    <w:name w:val="List Paragraph"/>
    <w:basedOn w:val="Normal"/>
    <w:uiPriority w:val="34"/>
    <w:qFormat/>
    <w:rsid w:val="00165296"/>
    <w:pPr>
      <w:ind w:left="720"/>
      <w:contextualSpacing/>
    </w:pPr>
  </w:style>
  <w:style w:type="character" w:customStyle="1" w:styleId="apple-converted-space">
    <w:name w:val="apple-converted-space"/>
    <w:basedOn w:val="DefaultParagraphFont"/>
    <w:rsid w:val="00C9290D"/>
  </w:style>
  <w:style w:type="paragraph" w:styleId="Revision">
    <w:name w:val="Revision"/>
    <w:hidden/>
    <w:uiPriority w:val="99"/>
    <w:semiHidden/>
    <w:rsid w:val="00971CBE"/>
  </w:style>
  <w:style w:type="paragraph" w:styleId="NormalWeb">
    <w:name w:val="Normal (Web)"/>
    <w:basedOn w:val="Normal"/>
    <w:uiPriority w:val="99"/>
    <w:unhideWhenUsed/>
    <w:rsid w:val="003B35D8"/>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51124B"/>
    <w:rPr>
      <w:i/>
      <w:iCs/>
    </w:rPr>
  </w:style>
  <w:style w:type="character" w:customStyle="1" w:styleId="Heading1Char">
    <w:name w:val="Heading 1 Char"/>
    <w:basedOn w:val="DefaultParagraphFont"/>
    <w:link w:val="Heading1"/>
    <w:uiPriority w:val="9"/>
    <w:rsid w:val="006C485E"/>
    <w:rPr>
      <w:rFonts w:ascii="Times New Roman" w:eastAsia="Times New Roman" w:hAnsi="Times New Roman" w:cs="Times New Roman"/>
      <w:b/>
      <w:bCs/>
      <w:kern w:val="36"/>
      <w:sz w:val="48"/>
      <w:szCs w:val="48"/>
      <w:lang w:bidi="he-IL"/>
    </w:rPr>
  </w:style>
  <w:style w:type="character" w:customStyle="1" w:styleId="None">
    <w:name w:val="None"/>
    <w:rsid w:val="006C485E"/>
  </w:style>
  <w:style w:type="paragraph" w:styleId="CommentText">
    <w:name w:val="annotation text"/>
    <w:basedOn w:val="Normal"/>
    <w:link w:val="CommentTextChar"/>
    <w:uiPriority w:val="99"/>
    <w:unhideWhenUsed/>
    <w:rsid w:val="006C485E"/>
    <w:rPr>
      <w:sz w:val="20"/>
      <w:szCs w:val="20"/>
    </w:rPr>
  </w:style>
  <w:style w:type="character" w:customStyle="1" w:styleId="CommentTextChar">
    <w:name w:val="Comment Text Char"/>
    <w:basedOn w:val="DefaultParagraphFont"/>
    <w:link w:val="CommentText"/>
    <w:uiPriority w:val="99"/>
    <w:rsid w:val="006C485E"/>
    <w:rPr>
      <w:sz w:val="20"/>
      <w:szCs w:val="20"/>
    </w:rPr>
  </w:style>
  <w:style w:type="character" w:styleId="PlaceholderText">
    <w:name w:val="Placeholder Text"/>
    <w:basedOn w:val="DefaultParagraphFont"/>
    <w:uiPriority w:val="99"/>
    <w:semiHidden/>
    <w:rsid w:val="002915BC"/>
    <w:rPr>
      <w:color w:val="666666"/>
    </w:rPr>
  </w:style>
  <w:style w:type="paragraph" w:styleId="Caption">
    <w:name w:val="caption"/>
    <w:basedOn w:val="Normal"/>
    <w:next w:val="Normal"/>
    <w:uiPriority w:val="35"/>
    <w:unhideWhenUsed/>
    <w:qFormat/>
    <w:rsid w:val="002915BC"/>
    <w:pPr>
      <w:spacing w:after="200"/>
    </w:pPr>
    <w:rPr>
      <w:i/>
      <w:iCs/>
      <w:color w:val="44546A" w:themeColor="text2"/>
      <w:sz w:val="18"/>
      <w:szCs w:val="18"/>
    </w:rPr>
  </w:style>
  <w:style w:type="table" w:styleId="TableGrid">
    <w:name w:val="Table Grid"/>
    <w:basedOn w:val="TableNormal"/>
    <w:uiPriority w:val="39"/>
    <w:rsid w:val="00291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915BC"/>
  </w:style>
  <w:style w:type="character" w:styleId="CommentReference">
    <w:name w:val="annotation reference"/>
    <w:basedOn w:val="DefaultParagraphFont"/>
    <w:uiPriority w:val="99"/>
    <w:semiHidden/>
    <w:unhideWhenUsed/>
    <w:rsid w:val="002915BC"/>
    <w:rPr>
      <w:sz w:val="16"/>
      <w:szCs w:val="16"/>
    </w:rPr>
  </w:style>
  <w:style w:type="paragraph" w:styleId="CommentSubject">
    <w:name w:val="annotation subject"/>
    <w:basedOn w:val="CommentText"/>
    <w:next w:val="CommentText"/>
    <w:link w:val="CommentSubjectChar"/>
    <w:uiPriority w:val="99"/>
    <w:semiHidden/>
    <w:unhideWhenUsed/>
    <w:rsid w:val="002915BC"/>
    <w:rPr>
      <w:b/>
      <w:bCs/>
    </w:rPr>
  </w:style>
  <w:style w:type="character" w:customStyle="1" w:styleId="CommentSubjectChar">
    <w:name w:val="Comment Subject Char"/>
    <w:basedOn w:val="CommentTextChar"/>
    <w:link w:val="CommentSubject"/>
    <w:uiPriority w:val="99"/>
    <w:semiHidden/>
    <w:rsid w:val="002915BC"/>
    <w:rPr>
      <w:b/>
      <w:bCs/>
      <w:sz w:val="20"/>
      <w:szCs w:val="20"/>
    </w:rPr>
  </w:style>
  <w:style w:type="paragraph" w:customStyle="1" w:styleId="BodyA">
    <w:name w:val="Body A"/>
    <w:rsid w:val="002915B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character" w:styleId="HTMLCite">
    <w:name w:val="HTML Cite"/>
    <w:basedOn w:val="DefaultParagraphFont"/>
    <w:uiPriority w:val="99"/>
    <w:semiHidden/>
    <w:unhideWhenUsed/>
    <w:rsid w:val="002915BC"/>
    <w:rPr>
      <w:i/>
      <w:iCs/>
    </w:rPr>
  </w:style>
  <w:style w:type="table" w:styleId="PlainTable4">
    <w:name w:val="Plain Table 4"/>
    <w:basedOn w:val="TableNormal"/>
    <w:uiPriority w:val="44"/>
    <w:rsid w:val="002915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915B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2915B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wrap">
    <w:name w:val="nowrap"/>
    <w:basedOn w:val="DefaultParagraphFont"/>
    <w:rsid w:val="002915BC"/>
  </w:style>
  <w:style w:type="character" w:customStyle="1" w:styleId="css-1qaijid">
    <w:name w:val="css-1qaijid"/>
    <w:basedOn w:val="DefaultParagraphFont"/>
    <w:rsid w:val="002915BC"/>
  </w:style>
  <w:style w:type="character" w:customStyle="1" w:styleId="r-18u37iz">
    <w:name w:val="r-18u37iz"/>
    <w:basedOn w:val="DefaultParagraphFont"/>
    <w:rsid w:val="002915BC"/>
  </w:style>
  <w:style w:type="character" w:customStyle="1" w:styleId="fn">
    <w:name w:val="fn"/>
    <w:basedOn w:val="DefaultParagraphFont"/>
    <w:rsid w:val="002915BC"/>
  </w:style>
  <w:style w:type="character" w:styleId="Strong">
    <w:name w:val="Strong"/>
    <w:basedOn w:val="DefaultParagraphFont"/>
    <w:uiPriority w:val="22"/>
    <w:qFormat/>
    <w:rsid w:val="002915BC"/>
    <w:rPr>
      <w:b/>
      <w:bCs/>
    </w:rPr>
  </w:style>
  <w:style w:type="character" w:styleId="FollowedHyperlink">
    <w:name w:val="FollowedHyperlink"/>
    <w:basedOn w:val="DefaultParagraphFont"/>
    <w:uiPriority w:val="99"/>
    <w:semiHidden/>
    <w:unhideWhenUsed/>
    <w:rsid w:val="00F072B0"/>
    <w:rPr>
      <w:color w:val="954F72"/>
      <w:u w:val="single"/>
    </w:rPr>
  </w:style>
  <w:style w:type="paragraph" w:customStyle="1" w:styleId="msonormal0">
    <w:name w:val="msonormal"/>
    <w:basedOn w:val="Normal"/>
    <w:rsid w:val="00F072B0"/>
    <w:pPr>
      <w:spacing w:before="100" w:beforeAutospacing="1" w:after="100" w:afterAutospacing="1"/>
    </w:pPr>
    <w:rPr>
      <w:rFonts w:eastAsia="Times New Roman" w:cs="Times New Roman"/>
    </w:rPr>
  </w:style>
  <w:style w:type="paragraph" w:customStyle="1" w:styleId="font5">
    <w:name w:val="font5"/>
    <w:basedOn w:val="Normal"/>
    <w:rsid w:val="00F072B0"/>
    <w:pPr>
      <w:spacing w:before="100" w:beforeAutospacing="1" w:after="100" w:afterAutospacing="1"/>
    </w:pPr>
    <w:rPr>
      <w:rFonts w:ascii="Calibri" w:eastAsia="Times New Roman" w:hAnsi="Calibri" w:cs="Calibri"/>
      <w:color w:val="000000"/>
    </w:rPr>
  </w:style>
  <w:style w:type="paragraph" w:customStyle="1" w:styleId="font6">
    <w:name w:val="font6"/>
    <w:basedOn w:val="Normal"/>
    <w:rsid w:val="00F072B0"/>
    <w:pPr>
      <w:spacing w:before="100" w:beforeAutospacing="1" w:after="100" w:afterAutospacing="1"/>
    </w:pPr>
    <w:rPr>
      <w:rFonts w:eastAsia="Times New Roman" w:cs="Times New Roman"/>
      <w:i/>
      <w:iCs/>
      <w:color w:val="000000"/>
    </w:rPr>
  </w:style>
  <w:style w:type="paragraph" w:customStyle="1" w:styleId="font7">
    <w:name w:val="font7"/>
    <w:basedOn w:val="Normal"/>
    <w:rsid w:val="00F072B0"/>
    <w:pPr>
      <w:spacing w:before="100" w:beforeAutospacing="1" w:after="100" w:afterAutospacing="1"/>
    </w:pPr>
    <w:rPr>
      <w:rFonts w:eastAsia="Times New Roman" w:cs="Times New Roman"/>
      <w:color w:val="000000"/>
    </w:rPr>
  </w:style>
  <w:style w:type="paragraph" w:customStyle="1" w:styleId="font8">
    <w:name w:val="font8"/>
    <w:basedOn w:val="Normal"/>
    <w:rsid w:val="00F072B0"/>
    <w:pPr>
      <w:spacing w:before="100" w:beforeAutospacing="1" w:after="100" w:afterAutospacing="1"/>
    </w:pPr>
    <w:rPr>
      <w:rFonts w:eastAsia="Times New Roman" w:cs="Times New Roman"/>
      <w:color w:val="000000"/>
    </w:rPr>
  </w:style>
  <w:style w:type="paragraph" w:customStyle="1" w:styleId="font9">
    <w:name w:val="font9"/>
    <w:basedOn w:val="Normal"/>
    <w:rsid w:val="00F072B0"/>
    <w:pPr>
      <w:spacing w:before="100" w:beforeAutospacing="1" w:after="100" w:afterAutospacing="1"/>
    </w:pPr>
    <w:rPr>
      <w:rFonts w:eastAsia="Times New Roman" w:cs="Times New Roman"/>
      <w:i/>
      <w:iCs/>
      <w:color w:val="000000"/>
    </w:rPr>
  </w:style>
  <w:style w:type="paragraph" w:customStyle="1" w:styleId="font10">
    <w:name w:val="font10"/>
    <w:basedOn w:val="Normal"/>
    <w:rsid w:val="00F072B0"/>
    <w:pPr>
      <w:spacing w:before="100" w:beforeAutospacing="1" w:after="100" w:afterAutospacing="1"/>
    </w:pPr>
    <w:rPr>
      <w:rFonts w:eastAsia="Times New Roman" w:cs="Times New Roman"/>
      <w:color w:val="000000"/>
      <w:u w:val="single"/>
    </w:rPr>
  </w:style>
  <w:style w:type="paragraph" w:customStyle="1" w:styleId="font11">
    <w:name w:val="font11"/>
    <w:basedOn w:val="Normal"/>
    <w:rsid w:val="00F072B0"/>
    <w:pPr>
      <w:spacing w:before="100" w:beforeAutospacing="1" w:after="100" w:afterAutospacing="1"/>
    </w:pPr>
    <w:rPr>
      <w:rFonts w:eastAsia="Times New Roman" w:cs="Times New Roman"/>
      <w:color w:val="FF0000"/>
    </w:rPr>
  </w:style>
  <w:style w:type="paragraph" w:customStyle="1" w:styleId="font12">
    <w:name w:val="font12"/>
    <w:basedOn w:val="Normal"/>
    <w:rsid w:val="00F072B0"/>
    <w:pPr>
      <w:spacing w:before="100" w:beforeAutospacing="1" w:after="100" w:afterAutospacing="1"/>
    </w:pPr>
    <w:rPr>
      <w:rFonts w:eastAsia="Times New Roman" w:cs="Times New Roman"/>
      <w:i/>
      <w:iCs/>
      <w:color w:val="FF0000"/>
    </w:rPr>
  </w:style>
  <w:style w:type="paragraph" w:customStyle="1" w:styleId="font13">
    <w:name w:val="font13"/>
    <w:basedOn w:val="Normal"/>
    <w:rsid w:val="00F072B0"/>
    <w:pPr>
      <w:spacing w:before="100" w:beforeAutospacing="1" w:after="100" w:afterAutospacing="1"/>
    </w:pPr>
    <w:rPr>
      <w:rFonts w:eastAsia="Times New Roman" w:cs="Times New Roman"/>
      <w:color w:val="000000"/>
    </w:rPr>
  </w:style>
  <w:style w:type="paragraph" w:customStyle="1" w:styleId="font14">
    <w:name w:val="font14"/>
    <w:basedOn w:val="Normal"/>
    <w:rsid w:val="00F072B0"/>
    <w:pPr>
      <w:spacing w:before="100" w:beforeAutospacing="1" w:after="100" w:afterAutospacing="1"/>
    </w:pPr>
    <w:rPr>
      <w:rFonts w:eastAsia="Times New Roman" w:cs="Times New Roman"/>
      <w:i/>
      <w:iCs/>
      <w:color w:val="000000"/>
    </w:rPr>
  </w:style>
  <w:style w:type="paragraph" w:customStyle="1" w:styleId="xl65">
    <w:name w:val="xl65"/>
    <w:basedOn w:val="Normal"/>
    <w:rsid w:val="00F072B0"/>
    <w:pPr>
      <w:spacing w:before="100" w:beforeAutospacing="1" w:after="100" w:afterAutospacing="1"/>
      <w:textAlignment w:val="center"/>
    </w:pPr>
    <w:rPr>
      <w:rFonts w:eastAsia="Times New Roman" w:cs="Times New Roman"/>
    </w:rPr>
  </w:style>
  <w:style w:type="paragraph" w:customStyle="1" w:styleId="xl66">
    <w:name w:val="xl66"/>
    <w:basedOn w:val="Normal"/>
    <w:rsid w:val="00F072B0"/>
    <w:pPr>
      <w:spacing w:before="100" w:beforeAutospacing="1" w:after="100" w:afterAutospacing="1"/>
      <w:textAlignment w:val="center"/>
    </w:pPr>
    <w:rPr>
      <w:rFonts w:eastAsia="Times New Roman" w:cs="Times New Roman"/>
      <w:color w:val="000000"/>
    </w:rPr>
  </w:style>
  <w:style w:type="paragraph" w:customStyle="1" w:styleId="xl67">
    <w:name w:val="xl67"/>
    <w:basedOn w:val="Normal"/>
    <w:rsid w:val="00F072B0"/>
    <w:pPr>
      <w:spacing w:before="100" w:beforeAutospacing="1" w:after="100" w:afterAutospacing="1"/>
      <w:textAlignment w:val="center"/>
    </w:pPr>
    <w:rPr>
      <w:rFonts w:eastAsia="Times New Roman" w:cs="Times New Roman"/>
      <w:color w:val="FF0000"/>
    </w:rPr>
  </w:style>
  <w:style w:type="paragraph" w:customStyle="1" w:styleId="xl68">
    <w:name w:val="xl68"/>
    <w:basedOn w:val="Normal"/>
    <w:rsid w:val="00F072B0"/>
    <w:pPr>
      <w:spacing w:before="100" w:beforeAutospacing="1" w:after="100" w:afterAutospacing="1"/>
      <w:textAlignment w:val="center"/>
    </w:pPr>
    <w:rPr>
      <w:rFonts w:eastAsia="Times New Roman" w:cs="Times New Roman"/>
    </w:rPr>
  </w:style>
  <w:style w:type="paragraph" w:styleId="TOC1">
    <w:name w:val="toc 1"/>
    <w:basedOn w:val="Normal"/>
    <w:next w:val="Normal"/>
    <w:autoRedefine/>
    <w:uiPriority w:val="39"/>
    <w:unhideWhenUsed/>
    <w:rsid w:val="00937600"/>
    <w:rPr>
      <w:rFonts w:cstheme="minorHAnsi"/>
      <w:b/>
      <w:bCs/>
      <w:caps/>
      <w:sz w:val="20"/>
      <w:szCs w:val="20"/>
    </w:rPr>
  </w:style>
  <w:style w:type="paragraph" w:styleId="TOC2">
    <w:name w:val="toc 2"/>
    <w:basedOn w:val="Normal"/>
    <w:next w:val="Normal"/>
    <w:autoRedefine/>
    <w:uiPriority w:val="39"/>
    <w:unhideWhenUsed/>
    <w:rsid w:val="008F49A1"/>
    <w:pPr>
      <w:ind w:left="240"/>
    </w:pPr>
    <w:rPr>
      <w:rFonts w:cstheme="minorHAnsi"/>
      <w:smallCaps/>
      <w:sz w:val="20"/>
      <w:szCs w:val="20"/>
    </w:rPr>
  </w:style>
  <w:style w:type="paragraph" w:styleId="TOC3">
    <w:name w:val="toc 3"/>
    <w:basedOn w:val="Normal"/>
    <w:next w:val="Normal"/>
    <w:autoRedefine/>
    <w:uiPriority w:val="39"/>
    <w:unhideWhenUsed/>
    <w:rsid w:val="008F49A1"/>
    <w:pPr>
      <w:ind w:left="480"/>
    </w:pPr>
    <w:rPr>
      <w:rFonts w:cstheme="minorHAnsi"/>
      <w:i/>
      <w:iCs/>
      <w:sz w:val="20"/>
      <w:szCs w:val="20"/>
    </w:rPr>
  </w:style>
  <w:style w:type="paragraph" w:styleId="TOC4">
    <w:name w:val="toc 4"/>
    <w:basedOn w:val="Normal"/>
    <w:next w:val="Normal"/>
    <w:autoRedefine/>
    <w:uiPriority w:val="39"/>
    <w:unhideWhenUsed/>
    <w:rsid w:val="008F49A1"/>
    <w:pPr>
      <w:ind w:left="720"/>
    </w:pPr>
    <w:rPr>
      <w:rFonts w:cstheme="minorHAnsi"/>
      <w:sz w:val="18"/>
      <w:szCs w:val="18"/>
    </w:rPr>
  </w:style>
  <w:style w:type="paragraph" w:customStyle="1" w:styleId="DissertationChapterName">
    <w:name w:val="Dissertation Chapter Name"/>
    <w:basedOn w:val="Normal"/>
    <w:autoRedefine/>
    <w:qFormat/>
    <w:rsid w:val="00787123"/>
    <w:pPr>
      <w:jc w:val="center"/>
    </w:pPr>
    <w:rPr>
      <w:rFonts w:eastAsia="Times New Roman" w:cs="Times New Roman"/>
      <w:b/>
      <w:bCs/>
    </w:rPr>
  </w:style>
  <w:style w:type="paragraph" w:customStyle="1" w:styleId="DissertationSection1">
    <w:name w:val="Dissertation Section 1"/>
    <w:basedOn w:val="Normal"/>
    <w:autoRedefine/>
    <w:qFormat/>
    <w:rsid w:val="00880AD8"/>
    <w:pPr>
      <w:spacing w:before="240"/>
    </w:pPr>
    <w:rPr>
      <w:rFonts w:cs="Times New Roman"/>
      <w:b/>
      <w:bCs/>
    </w:rPr>
  </w:style>
  <w:style w:type="paragraph" w:customStyle="1" w:styleId="DissertationSection2">
    <w:name w:val="Dissertation Section 2"/>
    <w:basedOn w:val="Normal"/>
    <w:autoRedefine/>
    <w:qFormat/>
    <w:rsid w:val="00CB67A7"/>
    <w:pPr>
      <w:spacing w:before="240"/>
    </w:pPr>
    <w:rPr>
      <w:rFonts w:cs="Times New Roman"/>
      <w:b/>
      <w:bCs/>
    </w:rPr>
  </w:style>
  <w:style w:type="paragraph" w:customStyle="1" w:styleId="DissertationSection3">
    <w:name w:val="Dissertation Section 3"/>
    <w:basedOn w:val="DissertationSection2"/>
    <w:autoRedefine/>
    <w:qFormat/>
    <w:rsid w:val="00880AD8"/>
  </w:style>
  <w:style w:type="paragraph" w:customStyle="1" w:styleId="DissertationQuotation">
    <w:name w:val="Dissertation Quotation"/>
    <w:basedOn w:val="Normal"/>
    <w:autoRedefine/>
    <w:qFormat/>
    <w:rsid w:val="0039518C"/>
    <w:pPr>
      <w:ind w:left="720"/>
      <w:jc w:val="center"/>
    </w:pPr>
    <w:rPr>
      <w:rFonts w:cs="Times New Roman"/>
      <w:i/>
      <w:iCs/>
    </w:rPr>
  </w:style>
  <w:style w:type="paragraph" w:customStyle="1" w:styleId="DissertationQuotationAuthor">
    <w:name w:val="Dissertation Quotation Author"/>
    <w:basedOn w:val="Normal"/>
    <w:autoRedefine/>
    <w:qFormat/>
    <w:rsid w:val="0039518C"/>
    <w:pPr>
      <w:ind w:left="720"/>
      <w:jc w:val="center"/>
    </w:pPr>
    <w:rPr>
      <w:rFonts w:cs="Times New Roman"/>
    </w:rPr>
  </w:style>
  <w:style w:type="paragraph" w:customStyle="1" w:styleId="DissertationTableCaption">
    <w:name w:val="Dissertation Table Caption"/>
    <w:basedOn w:val="Caption"/>
    <w:qFormat/>
    <w:rsid w:val="00D356D9"/>
    <w:pPr>
      <w:spacing w:after="120"/>
      <w:jc w:val="center"/>
    </w:pPr>
    <w:rPr>
      <w:rFonts w:cs="Times New Roman"/>
      <w:color w:val="auto"/>
      <w:u w:val="single"/>
    </w:rPr>
  </w:style>
  <w:style w:type="paragraph" w:customStyle="1" w:styleId="DissertationFigureCaption">
    <w:name w:val="Dissertation Figure Caption"/>
    <w:basedOn w:val="DissertationTableCaption"/>
    <w:qFormat/>
    <w:rsid w:val="00D356D9"/>
  </w:style>
  <w:style w:type="character" w:customStyle="1" w:styleId="Heading2Char">
    <w:name w:val="Heading 2 Char"/>
    <w:basedOn w:val="DefaultParagraphFont"/>
    <w:link w:val="Heading2"/>
    <w:uiPriority w:val="9"/>
    <w:semiHidden/>
    <w:rsid w:val="0093760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37600"/>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93760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937600"/>
    <w:rPr>
      <w:rFonts w:asciiTheme="majorHAnsi" w:eastAsiaTheme="majorEastAsia" w:hAnsiTheme="majorHAnsi" w:cstheme="majorBidi"/>
      <w:i/>
      <w:iCs/>
      <w:color w:val="2F5496" w:themeColor="accent1" w:themeShade="BF"/>
    </w:rPr>
  </w:style>
  <w:style w:type="paragraph" w:styleId="TableofFigures">
    <w:name w:val="table of figures"/>
    <w:basedOn w:val="Normal"/>
    <w:next w:val="Normal"/>
    <w:uiPriority w:val="99"/>
    <w:unhideWhenUsed/>
    <w:rsid w:val="0028762A"/>
    <w:pPr>
      <w:spacing w:before="0" w:after="0"/>
      <w:ind w:left="440" w:hanging="440"/>
    </w:pPr>
    <w:rPr>
      <w:rFonts w:asciiTheme="minorHAnsi" w:hAnsiTheme="minorHAnsi" w:cstheme="minorHAnsi"/>
      <w:caps/>
      <w:sz w:val="20"/>
      <w:szCs w:val="20"/>
    </w:rPr>
  </w:style>
  <w:style w:type="paragraph" w:customStyle="1" w:styleId="AppendixTitle">
    <w:name w:val="Appendix Title"/>
    <w:basedOn w:val="DissertationChapterName"/>
    <w:qFormat/>
    <w:rsid w:val="00FC5395"/>
  </w:style>
  <w:style w:type="paragraph" w:customStyle="1" w:styleId="OverallAppendixHeading">
    <w:name w:val="Overall Appendix Heading"/>
    <w:basedOn w:val="DissertationChapterName"/>
    <w:qFormat/>
    <w:rsid w:val="001E1F62"/>
  </w:style>
  <w:style w:type="table" w:styleId="GridTable5Dark">
    <w:name w:val="Grid Table 5 Dark"/>
    <w:basedOn w:val="TableNormal"/>
    <w:uiPriority w:val="50"/>
    <w:rsid w:val="007B74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OC5">
    <w:name w:val="toc 5"/>
    <w:basedOn w:val="Normal"/>
    <w:next w:val="Normal"/>
    <w:autoRedefine/>
    <w:uiPriority w:val="39"/>
    <w:unhideWhenUsed/>
    <w:rsid w:val="00880AD8"/>
    <w:pPr>
      <w:spacing w:before="0" w:after="100"/>
      <w:ind w:left="960"/>
    </w:pPr>
    <w:rPr>
      <w:rFonts w:asciiTheme="minorHAnsi" w:eastAsiaTheme="minorEastAsia" w:hAnsiTheme="minorHAnsi"/>
      <w:kern w:val="2"/>
      <w:sz w:val="24"/>
      <w14:ligatures w14:val="standardContextual"/>
    </w:rPr>
  </w:style>
  <w:style w:type="paragraph" w:styleId="TOC6">
    <w:name w:val="toc 6"/>
    <w:basedOn w:val="Normal"/>
    <w:next w:val="Normal"/>
    <w:autoRedefine/>
    <w:uiPriority w:val="39"/>
    <w:unhideWhenUsed/>
    <w:rsid w:val="00880AD8"/>
    <w:pPr>
      <w:spacing w:before="0" w:after="100"/>
      <w:ind w:left="1200"/>
    </w:pPr>
    <w:rPr>
      <w:rFonts w:asciiTheme="minorHAnsi" w:eastAsiaTheme="minorEastAsia" w:hAnsiTheme="minorHAnsi"/>
      <w:kern w:val="2"/>
      <w:sz w:val="24"/>
      <w14:ligatures w14:val="standardContextual"/>
    </w:rPr>
  </w:style>
  <w:style w:type="paragraph" w:styleId="TOC7">
    <w:name w:val="toc 7"/>
    <w:basedOn w:val="Normal"/>
    <w:next w:val="Normal"/>
    <w:autoRedefine/>
    <w:uiPriority w:val="39"/>
    <w:unhideWhenUsed/>
    <w:rsid w:val="00880AD8"/>
    <w:pPr>
      <w:spacing w:before="0" w:after="100"/>
      <w:ind w:left="1440"/>
    </w:pPr>
    <w:rPr>
      <w:rFonts w:asciiTheme="minorHAnsi" w:eastAsiaTheme="minorEastAsia" w:hAnsiTheme="minorHAnsi"/>
      <w:kern w:val="2"/>
      <w:sz w:val="24"/>
      <w14:ligatures w14:val="standardContextual"/>
    </w:rPr>
  </w:style>
  <w:style w:type="paragraph" w:styleId="TOC8">
    <w:name w:val="toc 8"/>
    <w:basedOn w:val="Normal"/>
    <w:next w:val="Normal"/>
    <w:autoRedefine/>
    <w:uiPriority w:val="39"/>
    <w:unhideWhenUsed/>
    <w:rsid w:val="00880AD8"/>
    <w:pPr>
      <w:spacing w:before="0" w:after="100"/>
      <w:ind w:left="1680"/>
    </w:pPr>
    <w:rPr>
      <w:rFonts w:asciiTheme="minorHAnsi" w:eastAsiaTheme="minorEastAsia" w:hAnsiTheme="minorHAnsi"/>
      <w:kern w:val="2"/>
      <w:sz w:val="24"/>
      <w14:ligatures w14:val="standardContextual"/>
    </w:rPr>
  </w:style>
  <w:style w:type="paragraph" w:styleId="TOC9">
    <w:name w:val="toc 9"/>
    <w:basedOn w:val="Normal"/>
    <w:next w:val="Normal"/>
    <w:autoRedefine/>
    <w:uiPriority w:val="39"/>
    <w:unhideWhenUsed/>
    <w:rsid w:val="00880AD8"/>
    <w:pPr>
      <w:spacing w:before="0" w:after="100"/>
      <w:ind w:left="1920"/>
    </w:pPr>
    <w:rPr>
      <w:rFonts w:asciiTheme="minorHAnsi" w:eastAsiaTheme="minorEastAsia" w:hAnsiTheme="minorHAnsi"/>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938380">
      <w:bodyDiv w:val="1"/>
      <w:marLeft w:val="0"/>
      <w:marRight w:val="0"/>
      <w:marTop w:val="0"/>
      <w:marBottom w:val="0"/>
      <w:divBdr>
        <w:top w:val="none" w:sz="0" w:space="0" w:color="auto"/>
        <w:left w:val="none" w:sz="0" w:space="0" w:color="auto"/>
        <w:bottom w:val="none" w:sz="0" w:space="0" w:color="auto"/>
        <w:right w:val="none" w:sz="0" w:space="0" w:color="auto"/>
      </w:divBdr>
      <w:divsChild>
        <w:div w:id="1964001260">
          <w:marLeft w:val="0"/>
          <w:marRight w:val="0"/>
          <w:marTop w:val="0"/>
          <w:marBottom w:val="0"/>
          <w:divBdr>
            <w:top w:val="none" w:sz="0" w:space="0" w:color="auto"/>
            <w:left w:val="none" w:sz="0" w:space="0" w:color="auto"/>
            <w:bottom w:val="none" w:sz="0" w:space="0" w:color="auto"/>
            <w:right w:val="none" w:sz="0" w:space="0" w:color="auto"/>
          </w:divBdr>
          <w:divsChild>
            <w:div w:id="997928352">
              <w:marLeft w:val="0"/>
              <w:marRight w:val="0"/>
              <w:marTop w:val="0"/>
              <w:marBottom w:val="0"/>
              <w:divBdr>
                <w:top w:val="none" w:sz="0" w:space="0" w:color="auto"/>
                <w:left w:val="none" w:sz="0" w:space="0" w:color="auto"/>
                <w:bottom w:val="none" w:sz="0" w:space="0" w:color="auto"/>
                <w:right w:val="none" w:sz="0" w:space="0" w:color="auto"/>
              </w:divBdr>
              <w:divsChild>
                <w:div w:id="12611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44045">
      <w:bodyDiv w:val="1"/>
      <w:marLeft w:val="0"/>
      <w:marRight w:val="0"/>
      <w:marTop w:val="0"/>
      <w:marBottom w:val="0"/>
      <w:divBdr>
        <w:top w:val="none" w:sz="0" w:space="0" w:color="auto"/>
        <w:left w:val="none" w:sz="0" w:space="0" w:color="auto"/>
        <w:bottom w:val="none" w:sz="0" w:space="0" w:color="auto"/>
        <w:right w:val="none" w:sz="0" w:space="0" w:color="auto"/>
      </w:divBdr>
      <w:divsChild>
        <w:div w:id="1807699678">
          <w:marLeft w:val="0"/>
          <w:marRight w:val="0"/>
          <w:marTop w:val="0"/>
          <w:marBottom w:val="0"/>
          <w:divBdr>
            <w:top w:val="none" w:sz="0" w:space="0" w:color="auto"/>
            <w:left w:val="none" w:sz="0" w:space="0" w:color="auto"/>
            <w:bottom w:val="none" w:sz="0" w:space="0" w:color="auto"/>
            <w:right w:val="none" w:sz="0" w:space="0" w:color="auto"/>
          </w:divBdr>
          <w:divsChild>
            <w:div w:id="570846869">
              <w:marLeft w:val="0"/>
              <w:marRight w:val="0"/>
              <w:marTop w:val="0"/>
              <w:marBottom w:val="0"/>
              <w:divBdr>
                <w:top w:val="none" w:sz="0" w:space="0" w:color="auto"/>
                <w:left w:val="none" w:sz="0" w:space="0" w:color="auto"/>
                <w:bottom w:val="none" w:sz="0" w:space="0" w:color="auto"/>
                <w:right w:val="none" w:sz="0" w:space="0" w:color="auto"/>
              </w:divBdr>
              <w:divsChild>
                <w:div w:id="23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80199">
      <w:bodyDiv w:val="1"/>
      <w:marLeft w:val="0"/>
      <w:marRight w:val="0"/>
      <w:marTop w:val="0"/>
      <w:marBottom w:val="0"/>
      <w:divBdr>
        <w:top w:val="none" w:sz="0" w:space="0" w:color="auto"/>
        <w:left w:val="none" w:sz="0" w:space="0" w:color="auto"/>
        <w:bottom w:val="none" w:sz="0" w:space="0" w:color="auto"/>
        <w:right w:val="none" w:sz="0" w:space="0" w:color="auto"/>
      </w:divBdr>
    </w:div>
    <w:div w:id="2083946052">
      <w:bodyDiv w:val="1"/>
      <w:marLeft w:val="0"/>
      <w:marRight w:val="0"/>
      <w:marTop w:val="0"/>
      <w:marBottom w:val="0"/>
      <w:divBdr>
        <w:top w:val="none" w:sz="0" w:space="0" w:color="auto"/>
        <w:left w:val="none" w:sz="0" w:space="0" w:color="auto"/>
        <w:bottom w:val="none" w:sz="0" w:space="0" w:color="auto"/>
        <w:right w:val="none" w:sz="0" w:space="0" w:color="auto"/>
      </w:divBdr>
      <w:divsChild>
        <w:div w:id="35352307">
          <w:marLeft w:val="0"/>
          <w:marRight w:val="0"/>
          <w:marTop w:val="0"/>
          <w:marBottom w:val="0"/>
          <w:divBdr>
            <w:top w:val="none" w:sz="0" w:space="0" w:color="auto"/>
            <w:left w:val="none" w:sz="0" w:space="0" w:color="auto"/>
            <w:bottom w:val="none" w:sz="0" w:space="0" w:color="auto"/>
            <w:right w:val="none" w:sz="0" w:space="0" w:color="auto"/>
          </w:divBdr>
          <w:divsChild>
            <w:div w:id="1477644279">
              <w:marLeft w:val="0"/>
              <w:marRight w:val="0"/>
              <w:marTop w:val="0"/>
              <w:marBottom w:val="0"/>
              <w:divBdr>
                <w:top w:val="none" w:sz="0" w:space="0" w:color="auto"/>
                <w:left w:val="none" w:sz="0" w:space="0" w:color="auto"/>
                <w:bottom w:val="none" w:sz="0" w:space="0" w:color="auto"/>
                <w:right w:val="none" w:sz="0" w:space="0" w:color="auto"/>
              </w:divBdr>
              <w:divsChild>
                <w:div w:id="18635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elianaheisler/Desktop/TH600%20-%20Glogauer%20-%20Fear%20of%20a%20Name%20-%2008.24.2024%20draft%20-%20FINALIZED.docx" TargetMode="External"/><Relationship Id="rId18" Type="http://schemas.openxmlformats.org/officeDocument/2006/relationships/hyperlink" Target="file:////Users/elianaheisler/Desktop/TH600%20-%20Glogauer%20-%20Fear%20of%20a%20Name%20-%2008.24.2024%20draft%20-%20FINALIZED.docx" TargetMode="External"/><Relationship Id="rId26" Type="http://schemas.openxmlformats.org/officeDocument/2006/relationships/header" Target="header5.xml"/><Relationship Id="rId39" Type="http://schemas.openxmlformats.org/officeDocument/2006/relationships/image" Target="media/image4.png"/><Relationship Id="rId21" Type="http://schemas.openxmlformats.org/officeDocument/2006/relationships/hyperlink" Target="file:////Users/elianaheisler/Desktop/TH600%20-%20Glogauer%20-%20Fear%20of%20a%20Name%20-%2008.24.2024%20draft%20-%20FINALIZED.docx" TargetMode="External"/><Relationship Id="rId34" Type="http://schemas.openxmlformats.org/officeDocument/2006/relationships/hyperlink" Target="mailto:VKomor@ap.org" TargetMode="Externa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Users/elianaheisler/Desktop/TH600%20-%20Glogauer%20-%20Fear%20of%20a%20Name%20-%2008.24.2024%20draft%20-%20FINALIZED.docx" TargetMode="External"/><Relationship Id="rId29" Type="http://schemas.openxmlformats.org/officeDocument/2006/relationships/chart" Target="charts/chart3.xml"/><Relationship Id="rId11" Type="http://schemas.openxmlformats.org/officeDocument/2006/relationships/hyperlink" Target="file:////Users/elianaheisler/Desktop/TH600%20-%20Glogauer%20-%20Fear%20of%20a%20Name%20-%2008.24.2024%20draft%20-%20FINALIZED.docx" TargetMode="External"/><Relationship Id="rId24" Type="http://schemas.openxmlformats.org/officeDocument/2006/relationships/hyperlink" Target="file:////Users/elianaheisler/Desktop/TH600%20-%20Glogauer%20-%20Fear%20of%20a%20Name%20-%2008.24.2024%20draft%20-%20FINALIZED.docx" TargetMode="External"/><Relationship Id="rId32" Type="http://schemas.openxmlformats.org/officeDocument/2006/relationships/chart" Target="charts/chart5.xml"/><Relationship Id="rId37" Type="http://schemas.openxmlformats.org/officeDocument/2006/relationships/hyperlink" Target="https://chroniclingamerica.loc.gov/"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hyperlink" Target="file:////Users/elianaheisler/Desktop/TH600%20-%20Glogauer%20-%20Fear%20of%20a%20Name%20-%2008.24.2024%20draft%20-%20FINALIZED.docx" TargetMode="External"/><Relationship Id="rId31" Type="http://schemas.openxmlformats.org/officeDocument/2006/relationships/image" Target="media/image1.png"/><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Users/elianaheisler/Desktop/TH600%20-%20Glogauer%20-%20Fear%20of%20a%20Name%20-%2008.24.2024%20draft%20-%20FINALIZED.docx" TargetMode="External"/><Relationship Id="rId22" Type="http://schemas.openxmlformats.org/officeDocument/2006/relationships/hyperlink" Target="file:////Users/elianaheisler/Desktop/TH600%20-%20Glogauer%20-%20Fear%20of%20a%20Name%20-%2008.24.2024%20draft%20-%20FINALIZED.docx"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www.ap.org/" TargetMode="External"/><Relationship Id="rId43" Type="http://schemas.openxmlformats.org/officeDocument/2006/relationships/image" Target="media/image8.png"/><Relationship Id="rId48" Type="http://schemas.openxmlformats.org/officeDocument/2006/relationships/chart" Target="charts/chart7.xml"/><Relationship Id="rId8" Type="http://schemas.openxmlformats.org/officeDocument/2006/relationships/header" Target="header1.xml"/><Relationship Id="rId51" Type="http://schemas.openxmlformats.org/officeDocument/2006/relationships/image" Target="media/image14.emf"/><Relationship Id="rId3" Type="http://schemas.openxmlformats.org/officeDocument/2006/relationships/styles" Target="styles.xml"/><Relationship Id="rId12" Type="http://schemas.openxmlformats.org/officeDocument/2006/relationships/hyperlink" Target="file:////Users/elianaheisler/Desktop/TH600%20-%20Glogauer%20-%20Fear%20of%20a%20Name%20-%2008.24.2024%20draft%20-%20FINALIZED.docx" TargetMode="External"/><Relationship Id="rId17" Type="http://schemas.openxmlformats.org/officeDocument/2006/relationships/hyperlink" Target="file:////Users/elianaheisler/Desktop/TH600%20-%20Glogauer%20-%20Fear%20of%20a%20Name%20-%2008.24.2024%20draft%20-%20FINALIZED.docx" TargetMode="External"/><Relationship Id="rId25" Type="http://schemas.openxmlformats.org/officeDocument/2006/relationships/header" Target="header4.xml"/><Relationship Id="rId33" Type="http://schemas.openxmlformats.org/officeDocument/2006/relationships/hyperlink" Target="mailto:eliana.glogauer@rmc-cmr.ca" TargetMode="External"/><Relationship Id="rId38" Type="http://schemas.openxmlformats.org/officeDocument/2006/relationships/image" Target="media/image3.png"/><Relationship Id="rId46" Type="http://schemas.openxmlformats.org/officeDocument/2006/relationships/chart" Target="charts/chart6.xml"/><Relationship Id="rId20" Type="http://schemas.openxmlformats.org/officeDocument/2006/relationships/hyperlink" Target="file:////Users/elianaheisler/Desktop/TH600%20-%20Glogauer%20-%20Fear%20of%20a%20Name%20-%2008.24.2024%20draft%20-%20FINALIZED.docx"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elianaheisler/Desktop/TH600%20-%20Glogauer%20-%20Fear%20of%20a%20Name%20-%2008.24.2024%20draft%20-%20FINALIZED.docx" TargetMode="External"/><Relationship Id="rId23" Type="http://schemas.openxmlformats.org/officeDocument/2006/relationships/hyperlink" Target="file:////Users/elianaheisler/Desktop/TH600%20-%20Glogauer%20-%20Fear%20of%20a%20Name%20-%2008.24.2024%20draft%20-%20FINALIZED.docx" TargetMode="External"/><Relationship Id="rId28" Type="http://schemas.openxmlformats.org/officeDocument/2006/relationships/chart" Target="charts/chart2.xml"/><Relationship Id="rId36" Type="http://schemas.openxmlformats.org/officeDocument/2006/relationships/image" Target="media/image2.png"/><Relationship Id="rId49"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twitter.com/NatashaFatah/status/988486858031222785" TargetMode="External"/><Relationship Id="rId13" Type="http://schemas.openxmlformats.org/officeDocument/2006/relationships/hyperlink" Target="https://macleans.ca/news/canada/toronto-police-chief-on-van-attack-the-officer-did-a-fantastic-job" TargetMode="External"/><Relationship Id="rId18" Type="http://schemas.openxmlformats.org/officeDocument/2006/relationships/hyperlink" Target="https://www.cbc.ca/news/canada/toronto/incel-terrorism-massage-parlour-1.5575689" TargetMode="External"/><Relationship Id="rId3" Type="http://schemas.openxmlformats.org/officeDocument/2006/relationships/hyperlink" Target="http://ics.leeds.ac.uk/papers/cicr/exhibits/42/cicrpaterson.pdf" TargetMode="External"/><Relationship Id="rId21" Type="http://schemas.openxmlformats.org/officeDocument/2006/relationships/hyperlink" Target="https://theconversation.com/toronto-van-attack-guilty-verdict-but-canada-still-needs-to-tackle-ideological-violence-156452.Again" TargetMode="External"/><Relationship Id="rId7" Type="http://schemas.openxmlformats.org/officeDocument/2006/relationships/hyperlink" Target="https://nca.legal/wp-content/uploads/2021/10/NCA-Jurisdictions-Policies-Oct-2021.pdf" TargetMode="External"/><Relationship Id="rId12" Type="http://schemas.openxmlformats.org/officeDocument/2006/relationships/hyperlink" Target="https://globalnews.ca/news/4161785/pedestrians-hit-white-van-toronto/" TargetMode="External"/><Relationship Id="rId17" Type="http://schemas.openxmlformats.org/officeDocument/2006/relationships/hyperlink" Target="https://globalnews.ca/news/6595156/ashley-noell-arzaga-murder-charges-laid/" TargetMode="External"/><Relationship Id="rId2" Type="http://schemas.openxmlformats.org/officeDocument/2006/relationships/hyperlink" Target="https://fragilestatesindex.org/download/" TargetMode="External"/><Relationship Id="rId16" Type="http://schemas.openxmlformats.org/officeDocument/2006/relationships/hyperlink" Target="https://theconversation.com/toronto-van-attack-guilty-verdict-but-canada-still-needs-to-tackle-ideological-violence-156452" TargetMode="External"/><Relationship Id="rId20" Type="http://schemas.openxmlformats.org/officeDocument/2006/relationships/hyperlink" Target="https://theconversation.com/profiles/jack-l-rozdilsky-469071" TargetMode="External"/><Relationship Id="rId1" Type="http://schemas.openxmlformats.org/officeDocument/2006/relationships/hyperlink" Target="https://documents.un.org/doc/undoc/gen/n98/241/85/pdf/n9824185.pdf?OpenElement" TargetMode="External"/><Relationship Id="rId6" Type="http://schemas.openxmlformats.org/officeDocument/2006/relationships/hyperlink" Target="https://population.un.org/wpp/Publications/Files/WPP2022_Data_Sources.pdf" TargetMode="External"/><Relationship Id="rId11" Type="http://schemas.openxmlformats.org/officeDocument/2006/relationships/hyperlink" Target="https://t.co/H85APoDgRL" TargetMode="External"/><Relationship Id="rId5" Type="http://schemas.openxmlformats.org/officeDocument/2006/relationships/hyperlink" Target="https://population.un.org/wpp/Publications/Files/WPP2022_Data_Sources.pdf" TargetMode="External"/><Relationship Id="rId15" Type="http://schemas.openxmlformats.org/officeDocument/2006/relationships/hyperlink" Target="https://theconversation.com/profiles/jack-l-rozdilsky-469071" TargetMode="External"/><Relationship Id="rId10" Type="http://schemas.openxmlformats.org/officeDocument/2006/relationships/hyperlink" Target="https://img.buzzfeed.com/buzzfeed-static/static/2018-04/24/11/asset/buzzfeed-prod-web-06/sub-buzz-23712-1524583205-9.png?downsize=1600:*&amp;output-format=auto&amp;output-quality=auto" TargetMode="External"/><Relationship Id="rId19" Type="http://schemas.openxmlformats.org/officeDocument/2006/relationships/hyperlink" Target="https://www.cbc.ca/news/canada/toronto/toronto-incel-spa-attack-court-1.6994063" TargetMode="External"/><Relationship Id="rId4" Type="http://schemas.openxmlformats.org/officeDocument/2006/relationships/hyperlink" Target="https://worldjusticeproject.org/about-us/overview/what-rule-law" TargetMode="External"/><Relationship Id="rId9" Type="http://schemas.openxmlformats.org/officeDocument/2006/relationships/hyperlink" Target="https://www.breitbart.com/europe/2018/04/23/multiple-injuries-white-van-hits-pedestrians-near-major-toronto-transport-hub/" TargetMode="External"/><Relationship Id="rId14" Type="http://schemas.openxmlformats.org/officeDocument/2006/relationships/hyperlink" Target="https://www.nyc.gov/site/nypd/news/s0423/statement-incident-toront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elianaheisler/Desktop/Charts%20for%20Chapter%206%20-%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lianaheisler\Desktop\Charts%20for%20Chapter%206%20-%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elianaheisler\Desktop\Charts%20for%20Chapter%206%20-%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diamond"/>
            <c:size val="5"/>
            <c:spPr>
              <a:solidFill>
                <a:srgbClr val="0070C0"/>
              </a:solidFill>
              <a:ln w="19050">
                <a:solidFill>
                  <a:schemeClr val="tx1"/>
                </a:solidFill>
              </a:ln>
              <a:effectLst/>
              <a:scene3d>
                <a:camera prst="orthographicFront"/>
                <a:lightRig rig="threePt" dir="t"/>
              </a:scene3d>
              <a:sp3d>
                <a:bevelB w="165100" prst="coolSlant"/>
              </a:sp3d>
            </c:spPr>
          </c:marker>
          <c:trendline>
            <c:spPr>
              <a:ln w="19050" cap="rnd">
                <a:solidFill>
                  <a:schemeClr val="tx1">
                    <a:lumMod val="50000"/>
                    <a:lumOff val="50000"/>
                  </a:schemeClr>
                </a:solidFill>
                <a:prstDash val="dash"/>
              </a:ln>
              <a:effectLst/>
            </c:spPr>
            <c:trendlineType val="linear"/>
            <c:dispRSqr val="1"/>
            <c:dispEq val="1"/>
            <c:trendlineLbl>
              <c:layout>
                <c:manualLayout>
                  <c:x val="0.11682326026814208"/>
                  <c:y val="-0.39435092572887848"/>
                </c:manualLayout>
              </c:layout>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STIX Two Math" panose="02020603050405020304" pitchFamily="18" charset="0"/>
                        <a:cs typeface="Times New Roman" panose="02020603050405020304" pitchFamily="18" charset="0"/>
                      </a:defRPr>
                    </a:pPr>
                    <a:r>
                      <a:rPr lang="en-US" b="0" baseline="0">
                        <a:solidFill>
                          <a:schemeClr val="tx1"/>
                        </a:solidFill>
                        <a:latin typeface="STIX Two Math" panose="02020603050405020304" pitchFamily="18" charset="0"/>
                        <a:ea typeface="STIX Two Math" panose="02020603050405020304" pitchFamily="18" charset="0"/>
                        <a:cs typeface="STIX Two Math" panose="02020603050405020304" pitchFamily="18" charset="0"/>
                      </a:rPr>
                      <a:t>y = -1.1576x + 71.811</a:t>
                    </a:r>
                    <a:br>
                      <a:rPr lang="en-US" b="0" baseline="0">
                        <a:solidFill>
                          <a:schemeClr val="tx1"/>
                        </a:solidFill>
                        <a:latin typeface="STIX Two Math" panose="02020603050405020304" pitchFamily="18" charset="0"/>
                        <a:ea typeface="STIX Two Math" panose="02020603050405020304" pitchFamily="18" charset="0"/>
                        <a:cs typeface="STIX Two Math" panose="02020603050405020304" pitchFamily="18" charset="0"/>
                      </a:rPr>
                    </a:br>
                    <a:r>
                      <a:rPr lang="en-US" b="0" baseline="0">
                        <a:solidFill>
                          <a:schemeClr val="tx1"/>
                        </a:solidFill>
                        <a:latin typeface="STIX Two Math" panose="02020603050405020304" pitchFamily="18" charset="0"/>
                        <a:ea typeface="STIX Two Math" panose="02020603050405020304" pitchFamily="18" charset="0"/>
                        <a:cs typeface="STIX Two Math" panose="02020603050405020304" pitchFamily="18" charset="0"/>
                      </a:rPr>
                      <a:t>r² = 0.3174</a:t>
                    </a:r>
                    <a:endParaRPr lang="en-US" b="0">
                      <a:solidFill>
                        <a:schemeClr val="tx1"/>
                      </a:solidFill>
                      <a:latin typeface="STIX Two Math" panose="02020603050405020304" pitchFamily="18" charset="0"/>
                      <a:ea typeface="STIX Two Math" panose="02020603050405020304" pitchFamily="18" charset="0"/>
                      <a:cs typeface="STIX Two Math" panose="02020603050405020304" pitchFamily="18" charset="0"/>
                    </a:endParaRPr>
                  </a:p>
                </c:rich>
              </c:tx>
              <c:numFmt formatCode="General" sourceLinked="0"/>
              <c:spPr>
                <a:solidFill>
                  <a:schemeClr val="bg1"/>
                </a:solidFill>
                <a:ln>
                  <a:solidFill>
                    <a:schemeClr val="tx1"/>
                  </a:solid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STIX Two Math" panose="02020603050405020304" pitchFamily="18" charset="0"/>
                      <a:cs typeface="Times New Roman" panose="02020603050405020304" pitchFamily="18" charset="0"/>
                    </a:defRPr>
                  </a:pPr>
                  <a:endParaRPr lang="en-US"/>
                </a:p>
              </c:txPr>
            </c:trendlineLbl>
          </c:trendline>
          <c:xVal>
            <c:numRef>
              <c:f>'Fig. 6-1'!$J$3:$J$9</c:f>
              <c:numCache>
                <c:formatCode>0.00</c:formatCode>
                <c:ptCount val="7"/>
                <c:pt idx="0">
                  <c:v>1.5026896203141447</c:v>
                </c:pt>
                <c:pt idx="1">
                  <c:v>2.0363688194387142</c:v>
                </c:pt>
                <c:pt idx="2">
                  <c:v>2.3968384745360347</c:v>
                </c:pt>
                <c:pt idx="3">
                  <c:v>2.5183402972451376</c:v>
                </c:pt>
                <c:pt idx="4">
                  <c:v>2.9914839256247645</c:v>
                </c:pt>
                <c:pt idx="5">
                  <c:v>2.5706710360330067</c:v>
                </c:pt>
                <c:pt idx="6">
                  <c:v>1.5443404225043134</c:v>
                </c:pt>
              </c:numCache>
            </c:numRef>
          </c:xVal>
          <c:yVal>
            <c:numRef>
              <c:f>'Fig. 6-1'!$K$3:$K$9</c:f>
              <c:numCache>
                <c:formatCode>0.00</c:formatCode>
                <c:ptCount val="7"/>
                <c:pt idx="0">
                  <c:v>71.139999999999986</c:v>
                </c:pt>
                <c:pt idx="1">
                  <c:v>69.933333333333323</c:v>
                </c:pt>
                <c:pt idx="2">
                  <c:v>69.876666666666665</c:v>
                </c:pt>
                <c:pt idx="3">
                  <c:v>68.713333333333324</c:v>
                </c:pt>
                <c:pt idx="4">
                  <c:v>68.406666666666666</c:v>
                </c:pt>
                <c:pt idx="5">
                  <c:v>67.823333333333338</c:v>
                </c:pt>
                <c:pt idx="6">
                  <c:v>68.489999999999995</c:v>
                </c:pt>
              </c:numCache>
            </c:numRef>
          </c:yVal>
          <c:smooth val="1"/>
          <c:extLst>
            <c:ext xmlns:c16="http://schemas.microsoft.com/office/drawing/2014/chart" uri="{C3380CC4-5D6E-409C-BE32-E72D297353CC}">
              <c16:uniqueId val="{00000001-C484-4242-8A2F-916325D041DF}"/>
            </c:ext>
          </c:extLst>
        </c:ser>
        <c:dLbls>
          <c:showLegendKey val="0"/>
          <c:showVal val="0"/>
          <c:showCatName val="0"/>
          <c:showSerName val="0"/>
          <c:showPercent val="0"/>
          <c:showBubbleSize val="0"/>
        </c:dLbls>
        <c:axId val="1005133567"/>
        <c:axId val="1346086639"/>
      </c:scatterChart>
      <c:valAx>
        <c:axId val="10051335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r>
                  <a:rPr lang="en-US" sz="1000" b="1">
                    <a:solidFill>
                      <a:schemeClr val="tx1"/>
                    </a:solidFill>
                    <a:latin typeface="Times New Roman" panose="02020603050405020304" pitchFamily="18" charset="0"/>
                    <a:cs typeface="Times New Roman" panose="02020603050405020304" pitchFamily="18" charset="0"/>
                  </a:rPr>
                  <a:t>Percentage</a:t>
                </a:r>
                <a:r>
                  <a:rPr lang="en-US" sz="1000" b="1" baseline="0">
                    <a:solidFill>
                      <a:schemeClr val="tx1"/>
                    </a:solidFill>
                    <a:latin typeface="Times New Roman" panose="02020603050405020304" pitchFamily="18" charset="0"/>
                    <a:cs typeface="Times New Roman" panose="02020603050405020304" pitchFamily="18" charset="0"/>
                  </a:rPr>
                  <a:t> of Total Media Coverage Constituting Coverage of Terrorism </a:t>
                </a:r>
                <a:r>
                  <a:rPr lang="en-US" sz="1000" b="1" i="0" baseline="0">
                    <a:solidFill>
                      <a:sysClr val="windowText" lastClr="000000"/>
                    </a:solidFill>
                    <a:latin typeface="Times New Roman" panose="02020603050405020304" pitchFamily="18" charset="0"/>
                    <a:cs typeface="Times New Roman" panose="02020603050405020304" pitchFamily="18" charset="0"/>
                  </a:rPr>
                  <a:t>(</a:t>
                </a:r>
                <a:r>
                  <a:rPr lang="en-US" sz="1000" b="1" i="1" baseline="0">
                    <a:solidFill>
                      <a:sysClr val="windowText" lastClr="000000"/>
                    </a:solidFill>
                    <a:latin typeface="Times New Roman" panose="02020603050405020304" pitchFamily="18" charset="0"/>
                    <a:cs typeface="Times New Roman" panose="02020603050405020304" pitchFamily="18" charset="0"/>
                  </a:rPr>
                  <a:t>I</a:t>
                </a:r>
                <a:r>
                  <a:rPr lang="en-US" sz="1000" b="1" i="0" baseline="-25000">
                    <a:solidFill>
                      <a:sysClr val="windowText" lastClr="000000"/>
                    </a:solidFill>
                    <a:latin typeface="Times New Roman" panose="02020603050405020304" pitchFamily="18" charset="0"/>
                    <a:cs typeface="Times New Roman" panose="02020603050405020304" pitchFamily="18" charset="0"/>
                  </a:rPr>
                  <a:t>0</a:t>
                </a:r>
                <a:r>
                  <a:rPr lang="en-US" sz="1000" b="1" i="0" baseline="0">
                    <a:solidFill>
                      <a:sysClr val="windowText" lastClr="000000"/>
                    </a:solidFill>
                    <a:latin typeface="Times New Roman" panose="02020603050405020304" pitchFamily="18" charset="0"/>
                    <a:cs typeface="Times New Roman" panose="02020603050405020304" pitchFamily="18" charset="0"/>
                  </a:rPr>
                  <a:t>)</a:t>
                </a:r>
                <a:r>
                  <a:rPr lang="en-US" sz="1000" b="1" baseline="0">
                    <a:solidFill>
                      <a:schemeClr val="tx1"/>
                    </a:solidFill>
                    <a:latin typeface="Times New Roman" panose="02020603050405020304" pitchFamily="18" charset="0"/>
                    <a:cs typeface="Times New Roman" panose="02020603050405020304" pitchFamily="18" charset="0"/>
                  </a:rPr>
                  <a:t> </a:t>
                </a:r>
                <a:endParaRPr lang="en-US"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crossAx val="1346086639"/>
        <c:crosses val="autoZero"/>
        <c:crossBetween val="midCat"/>
      </c:valAx>
      <c:valAx>
        <c:axId val="1346086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r>
                  <a:rPr lang="en-US" sz="1100" b="1">
                    <a:solidFill>
                      <a:schemeClr val="tx1"/>
                    </a:solidFill>
                    <a:latin typeface="Times New Roman" panose="02020603050405020304" pitchFamily="18" charset="0"/>
                    <a:cs typeface="Times New Roman" panose="02020603050405020304" pitchFamily="18" charset="0"/>
                  </a:rPr>
                  <a:t>Percentage International</a:t>
                </a:r>
                <a:r>
                  <a:rPr lang="en-US" sz="1100" b="1" baseline="0">
                    <a:solidFill>
                      <a:schemeClr val="tx1"/>
                    </a:solidFill>
                    <a:latin typeface="Times New Roman" panose="02020603050405020304" pitchFamily="18" charset="0"/>
                    <a:cs typeface="Times New Roman" panose="02020603050405020304" pitchFamily="18" charset="0"/>
                  </a:rPr>
                  <a:t> (State) Legitimacy </a:t>
                </a:r>
                <a:r>
                  <a:rPr lang="en-US" sz="1100" b="1" i="0" baseline="0">
                    <a:solidFill>
                      <a:sysClr val="windowText" lastClr="000000"/>
                    </a:solidFill>
                    <a:latin typeface="Times New Roman" panose="02020603050405020304" pitchFamily="18" charset="0"/>
                    <a:cs typeface="Times New Roman" panose="02020603050405020304" pitchFamily="18" charset="0"/>
                  </a:rPr>
                  <a:t>(</a:t>
                </a:r>
                <a:r>
                  <a:rPr lang="en-US" sz="1100" b="1" i="1" baseline="0">
                    <a:solidFill>
                      <a:sysClr val="windowText" lastClr="000000"/>
                    </a:solidFill>
                    <a:latin typeface="Times New Roman" panose="02020603050405020304" pitchFamily="18" charset="0"/>
                    <a:cs typeface="Times New Roman" panose="02020603050405020304" pitchFamily="18" charset="0"/>
                  </a:rPr>
                  <a:t>D</a:t>
                </a:r>
                <a:r>
                  <a:rPr lang="en-US" sz="1100" b="1" i="0" baseline="-25000">
                    <a:solidFill>
                      <a:sysClr val="windowText" lastClr="000000"/>
                    </a:solidFill>
                    <a:latin typeface="Times New Roman" panose="02020603050405020304" pitchFamily="18" charset="0"/>
                    <a:cs typeface="Times New Roman" panose="02020603050405020304" pitchFamily="18" charset="0"/>
                  </a:rPr>
                  <a:t>0</a:t>
                </a:r>
                <a:r>
                  <a:rPr lang="en-US" sz="1100" b="1" i="0" baseline="0">
                    <a:solidFill>
                      <a:sysClr val="windowText" lastClr="000000"/>
                    </a:solidFill>
                    <a:latin typeface="Times New Roman" panose="02020603050405020304" pitchFamily="18" charset="0"/>
                    <a:cs typeface="Times New Roman" panose="02020603050405020304" pitchFamily="18" charset="0"/>
                  </a:rPr>
                  <a:t>)</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crossAx val="10051335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STIX Two Math" panose="02020603050405020304" pitchFamily="18" charset="0"/>
          <a:ea typeface="STIX Two Math" panose="02020603050405020304" pitchFamily="18" charset="0"/>
          <a:cs typeface="STIX Two Math"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diamond"/>
            <c:size val="5"/>
            <c:spPr>
              <a:solidFill>
                <a:srgbClr val="0070C0"/>
              </a:solidFill>
              <a:ln w="19050">
                <a:solidFill>
                  <a:schemeClr val="tx1"/>
                </a:solidFill>
              </a:ln>
              <a:effectLst/>
              <a:scene3d>
                <a:camera prst="orthographicFront"/>
                <a:lightRig rig="threePt" dir="t"/>
              </a:scene3d>
              <a:sp3d>
                <a:bevelB w="165100" prst="coolSlant"/>
              </a:sp3d>
            </c:spPr>
          </c:marker>
          <c:trendline>
            <c:spPr>
              <a:ln w="19050" cap="rnd">
                <a:solidFill>
                  <a:schemeClr val="tx1">
                    <a:lumMod val="50000"/>
                    <a:lumOff val="50000"/>
                  </a:schemeClr>
                </a:solidFill>
                <a:prstDash val="dash"/>
              </a:ln>
              <a:effectLst/>
            </c:spPr>
            <c:trendlineType val="linear"/>
            <c:dispRSqr val="1"/>
            <c:dispEq val="1"/>
            <c:trendlineLbl>
              <c:layout>
                <c:manualLayout>
                  <c:x val="5.1109205408729846E-2"/>
                  <c:y val="-0.37562589236489063"/>
                </c:manualLayout>
              </c:layout>
              <c:tx>
                <c:rich>
                  <a:bodyPr rot="0" spcFirstLastPara="1" vertOverflow="ellipsis" vert="horz" wrap="square" anchor="ctr" anchorCtr="1"/>
                  <a:lstStyle/>
                  <a:p>
                    <a:pPr>
                      <a:defRPr sz="11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r>
                      <a:rPr lang="en-US" b="0" i="1" baseline="0">
                        <a:solidFill>
                          <a:sysClr val="windowText" lastClr="000000"/>
                        </a:solidFill>
                      </a:rPr>
                      <a:t>y</a:t>
                    </a:r>
                    <a:r>
                      <a:rPr lang="en-US" b="0" baseline="0">
                        <a:solidFill>
                          <a:sysClr val="windowText" lastClr="000000"/>
                        </a:solidFill>
                      </a:rPr>
                      <a:t> = -1.3226</a:t>
                    </a:r>
                    <a:r>
                      <a:rPr lang="en-US" b="0" i="1" baseline="0">
                        <a:solidFill>
                          <a:sysClr val="windowText" lastClr="000000"/>
                        </a:solidFill>
                      </a:rPr>
                      <a:t>x</a:t>
                    </a:r>
                    <a:r>
                      <a:rPr lang="en-US" b="0" baseline="0">
                        <a:solidFill>
                          <a:sysClr val="windowText" lastClr="000000"/>
                        </a:solidFill>
                      </a:rPr>
                      <a:t> + 70.581</a:t>
                    </a:r>
                    <a:br>
                      <a:rPr lang="en-US" b="0" baseline="0">
                        <a:solidFill>
                          <a:sysClr val="windowText" lastClr="000000"/>
                        </a:solidFill>
                      </a:rPr>
                    </a:br>
                    <a:r>
                      <a:rPr lang="en-US" b="0" i="1" baseline="0">
                        <a:solidFill>
                          <a:sysClr val="windowText" lastClr="000000"/>
                        </a:solidFill>
                      </a:rPr>
                      <a:t>r</a:t>
                    </a:r>
                    <a:r>
                      <a:rPr lang="en-US" b="0" baseline="0">
                        <a:solidFill>
                          <a:sysClr val="windowText" lastClr="000000"/>
                        </a:solidFill>
                      </a:rPr>
                      <a:t>² = 0.1735</a:t>
                    </a:r>
                    <a:endParaRPr lang="en-US" b="0">
                      <a:solidFill>
                        <a:sysClr val="windowText" lastClr="000000"/>
                      </a:solidFill>
                    </a:endParaRPr>
                  </a:p>
                </c:rich>
              </c:tx>
              <c:numFmt formatCode="General" sourceLinked="0"/>
              <c:spPr>
                <a:solidFill>
                  <a:schemeClr val="bg1"/>
                </a:solidFill>
                <a:ln>
                  <a:solidFill>
                    <a:schemeClr val="tx1"/>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trendlineLbl>
          </c:trendline>
          <c:xVal>
            <c:numRef>
              <c:f>'Fig. 6-2'!$J$3:$J$9</c:f>
              <c:numCache>
                <c:formatCode>0.00</c:formatCode>
                <c:ptCount val="7"/>
                <c:pt idx="0">
                  <c:v>0.55530000000000002</c:v>
                </c:pt>
                <c:pt idx="1">
                  <c:v>0.76216707129586203</c:v>
                </c:pt>
                <c:pt idx="2">
                  <c:v>1.5044999999999999</c:v>
                </c:pt>
                <c:pt idx="3">
                  <c:v>1.3544</c:v>
                </c:pt>
                <c:pt idx="4">
                  <c:v>1.321</c:v>
                </c:pt>
                <c:pt idx="5">
                  <c:v>1.082762745972657</c:v>
                </c:pt>
                <c:pt idx="6">
                  <c:v>0.74199999999999999</c:v>
                </c:pt>
              </c:numCache>
            </c:numRef>
          </c:xVal>
          <c:yVal>
            <c:numRef>
              <c:f>'Fig. 6-2'!$K$3:$K$9</c:f>
              <c:numCache>
                <c:formatCode>0.00</c:formatCode>
                <c:ptCount val="7"/>
                <c:pt idx="0">
                  <c:v>71.139999999999986</c:v>
                </c:pt>
                <c:pt idx="1">
                  <c:v>69.933333333333323</c:v>
                </c:pt>
                <c:pt idx="2">
                  <c:v>69.876666666666665</c:v>
                </c:pt>
                <c:pt idx="3">
                  <c:v>68.713333333333324</c:v>
                </c:pt>
                <c:pt idx="4">
                  <c:v>68.406666666666666</c:v>
                </c:pt>
                <c:pt idx="5">
                  <c:v>67.823333333333338</c:v>
                </c:pt>
                <c:pt idx="6">
                  <c:v>68.489999999999995</c:v>
                </c:pt>
              </c:numCache>
            </c:numRef>
          </c:yVal>
          <c:smooth val="1"/>
          <c:extLst>
            <c:ext xmlns:c16="http://schemas.microsoft.com/office/drawing/2014/chart" uri="{C3380CC4-5D6E-409C-BE32-E72D297353CC}">
              <c16:uniqueId val="{00000001-4FF4-3B44-871F-8D7F4EB66AEC}"/>
            </c:ext>
          </c:extLst>
        </c:ser>
        <c:dLbls>
          <c:showLegendKey val="0"/>
          <c:showVal val="0"/>
          <c:showCatName val="0"/>
          <c:showSerName val="0"/>
          <c:showPercent val="0"/>
          <c:showBubbleSize val="0"/>
        </c:dLbls>
        <c:axId val="1005133567"/>
        <c:axId val="1346086639"/>
      </c:scatterChart>
      <c:valAx>
        <c:axId val="10051335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Percentage</a:t>
                </a:r>
                <a:r>
                  <a:rPr lang="en-US" sz="1000" b="1" baseline="0">
                    <a:solidFill>
                      <a:sysClr val="windowText" lastClr="000000"/>
                    </a:solidFill>
                    <a:latin typeface="Times New Roman" panose="02020603050405020304" pitchFamily="18" charset="0"/>
                    <a:cs typeface="Times New Roman" panose="02020603050405020304" pitchFamily="18" charset="0"/>
                  </a:rPr>
                  <a:t> of Total Media Coverage Constituting Coverage of Terrorism (</a:t>
                </a:r>
                <a:r>
                  <a:rPr lang="en-US" sz="1000" b="1" i="1" baseline="0">
                    <a:solidFill>
                      <a:sysClr val="windowText" lastClr="000000"/>
                    </a:solidFill>
                    <a:latin typeface="Times New Roman" panose="02020603050405020304" pitchFamily="18" charset="0"/>
                    <a:cs typeface="Times New Roman" panose="02020603050405020304" pitchFamily="18" charset="0"/>
                  </a:rPr>
                  <a:t>I</a:t>
                </a:r>
                <a:r>
                  <a:rPr lang="en-US" sz="1000" b="1" i="0" baseline="-25000">
                    <a:solidFill>
                      <a:sysClr val="windowText" lastClr="000000"/>
                    </a:solidFill>
                    <a:latin typeface="Times New Roman" panose="02020603050405020304" pitchFamily="18" charset="0"/>
                    <a:cs typeface="Times New Roman" panose="02020603050405020304" pitchFamily="18" charset="0"/>
                  </a:rPr>
                  <a:t>1</a:t>
                </a:r>
                <a:r>
                  <a:rPr lang="en-US" sz="1000" b="1" baseline="0">
                    <a:solidFill>
                      <a:sysClr val="windowText" lastClr="000000"/>
                    </a:solidFill>
                    <a:latin typeface="Times New Roman" panose="02020603050405020304" pitchFamily="18" charset="0"/>
                    <a:cs typeface="Times New Roman" panose="02020603050405020304" pitchFamily="18" charset="0"/>
                  </a:rPr>
                  <a:t>)  </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crossAx val="1346086639"/>
        <c:crosses val="autoZero"/>
        <c:crossBetween val="midCat"/>
      </c:valAx>
      <c:valAx>
        <c:axId val="1346086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Percentage International</a:t>
                </a:r>
                <a:r>
                  <a:rPr lang="en-US" sz="1100" b="1" baseline="0">
                    <a:solidFill>
                      <a:sysClr val="windowText" lastClr="000000"/>
                    </a:solidFill>
                    <a:latin typeface="Times New Roman" panose="02020603050405020304" pitchFamily="18" charset="0"/>
                    <a:cs typeface="Times New Roman" panose="02020603050405020304" pitchFamily="18" charset="0"/>
                  </a:rPr>
                  <a:t> (State) Legitimacy </a:t>
                </a:r>
                <a:r>
                  <a:rPr lang="en-US" sz="1100" b="1" i="0" baseline="0">
                    <a:solidFill>
                      <a:sysClr val="windowText" lastClr="000000"/>
                    </a:solidFill>
                    <a:latin typeface="Times New Roman" panose="02020603050405020304" pitchFamily="18" charset="0"/>
                    <a:cs typeface="Times New Roman" panose="02020603050405020304" pitchFamily="18" charset="0"/>
                  </a:rPr>
                  <a:t>(</a:t>
                </a:r>
                <a:r>
                  <a:rPr lang="en-US" sz="1100" b="1" i="1" baseline="0">
                    <a:solidFill>
                      <a:sysClr val="windowText" lastClr="000000"/>
                    </a:solidFill>
                    <a:latin typeface="Times New Roman" panose="02020603050405020304" pitchFamily="18" charset="0"/>
                    <a:cs typeface="Times New Roman" panose="02020603050405020304" pitchFamily="18" charset="0"/>
                  </a:rPr>
                  <a:t>D</a:t>
                </a:r>
                <a:r>
                  <a:rPr lang="en-US" sz="1100" b="1" i="0" baseline="-25000">
                    <a:solidFill>
                      <a:sysClr val="windowText" lastClr="000000"/>
                    </a:solidFill>
                    <a:latin typeface="Times New Roman" panose="02020603050405020304" pitchFamily="18" charset="0"/>
                    <a:cs typeface="Times New Roman" panose="02020603050405020304" pitchFamily="18" charset="0"/>
                  </a:rPr>
                  <a:t>0</a:t>
                </a:r>
                <a:r>
                  <a:rPr lang="en-US" sz="1100" b="1" i="0" baseline="0">
                    <a:solidFill>
                      <a:sysClr val="windowText" lastClr="000000"/>
                    </a:solidFill>
                    <a:latin typeface="Times New Roman" panose="02020603050405020304" pitchFamily="18" charset="0"/>
                    <a:cs typeface="Times New Roman" panose="02020603050405020304" pitchFamily="18" charset="0"/>
                  </a:rPr>
                  <a:t>)</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0001000100010001E-2"/>
              <c:y val="8.6863782960702629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crossAx val="10051335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STIX Two Math" panose="02020603050405020304" pitchFamily="18" charset="0"/>
          <a:ea typeface="STIX Two Math" panose="02020603050405020304" pitchFamily="18" charset="0"/>
          <a:cs typeface="STIX Two Math"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diamond"/>
            <c:size val="5"/>
            <c:spPr>
              <a:solidFill>
                <a:srgbClr val="0070C0"/>
              </a:solidFill>
              <a:ln w="19050">
                <a:solidFill>
                  <a:schemeClr val="tx1"/>
                </a:solidFill>
              </a:ln>
              <a:effectLst/>
              <a:scene3d>
                <a:camera prst="orthographicFront"/>
                <a:lightRig rig="threePt" dir="t"/>
              </a:scene3d>
              <a:sp3d>
                <a:bevelB w="165100" prst="coolSlant"/>
              </a:sp3d>
            </c:spPr>
          </c:marker>
          <c:trendline>
            <c:spPr>
              <a:ln w="19050" cap="rnd">
                <a:solidFill>
                  <a:schemeClr val="tx1">
                    <a:lumMod val="50000"/>
                    <a:lumOff val="50000"/>
                  </a:schemeClr>
                </a:solidFill>
                <a:prstDash val="dash"/>
              </a:ln>
              <a:effectLst/>
            </c:spPr>
            <c:trendlineType val="linear"/>
            <c:dispRSqr val="1"/>
            <c:dispEq val="1"/>
            <c:trendlineLbl>
              <c:layout>
                <c:manualLayout>
                  <c:x val="5.3374341531291759E-2"/>
                  <c:y val="-0.3089245270289806"/>
                </c:manualLayout>
              </c:layout>
              <c:tx>
                <c:rich>
                  <a:bodyPr rot="0" spcFirstLastPara="1" vertOverflow="ellipsis" vert="horz" wrap="square" anchor="ctr" anchorCtr="1"/>
                  <a:lstStyle/>
                  <a:p>
                    <a:pPr>
                      <a:defRPr sz="11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r>
                      <a:rPr lang="en-US" b="0" i="1" baseline="0">
                        <a:solidFill>
                          <a:sysClr val="windowText" lastClr="000000"/>
                        </a:solidFill>
                      </a:rPr>
                      <a:t>y</a:t>
                    </a:r>
                    <a:r>
                      <a:rPr lang="en-US" b="0" baseline="0">
                        <a:solidFill>
                          <a:sysClr val="windowText" lastClr="000000"/>
                        </a:solidFill>
                      </a:rPr>
                      <a:t> = -0.3912</a:t>
                    </a:r>
                    <a:r>
                      <a:rPr lang="en-US" b="0" i="1" baseline="0">
                        <a:solidFill>
                          <a:sysClr val="windowText" lastClr="000000"/>
                        </a:solidFill>
                      </a:rPr>
                      <a:t>x</a:t>
                    </a:r>
                    <a:r>
                      <a:rPr lang="en-US" b="0" baseline="0">
                        <a:solidFill>
                          <a:sysClr val="windowText" lastClr="000000"/>
                        </a:solidFill>
                      </a:rPr>
                      <a:t> + 70.912</a:t>
                    </a:r>
                    <a:br>
                      <a:rPr lang="en-US" b="0" baseline="0">
                        <a:solidFill>
                          <a:sysClr val="windowText" lastClr="000000"/>
                        </a:solidFill>
                      </a:rPr>
                    </a:br>
                    <a:r>
                      <a:rPr lang="en-US" b="0" i="1" baseline="0">
                        <a:solidFill>
                          <a:sysClr val="windowText" lastClr="000000"/>
                        </a:solidFill>
                      </a:rPr>
                      <a:t>r</a:t>
                    </a:r>
                    <a:r>
                      <a:rPr lang="en-US" b="0" baseline="0">
                        <a:solidFill>
                          <a:sysClr val="windowText" lastClr="000000"/>
                        </a:solidFill>
                      </a:rPr>
                      <a:t>² = 0.1041</a:t>
                    </a:r>
                    <a:endParaRPr lang="en-US" b="0">
                      <a:solidFill>
                        <a:sysClr val="windowText" lastClr="000000"/>
                      </a:solidFill>
                    </a:endParaRPr>
                  </a:p>
                </c:rich>
              </c:tx>
              <c:numFmt formatCode="General" sourceLinked="0"/>
              <c:spPr>
                <a:solidFill>
                  <a:schemeClr val="bg1"/>
                </a:solidFill>
                <a:ln>
                  <a:solidFill>
                    <a:schemeClr val="tx1"/>
                  </a:solidFill>
                </a:ln>
                <a:effectLst/>
              </c:spPr>
              <c:txPr>
                <a:bodyPr rot="0" spcFirstLastPara="1" vertOverflow="ellipsis" vert="horz" wrap="square" anchor="ctr" anchorCtr="1"/>
                <a:lstStyle/>
                <a:p>
                  <a:pPr>
                    <a:defRPr sz="11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trendlineLbl>
          </c:trendline>
          <c:xVal>
            <c:numRef>
              <c:f>'Fig. 6-3'!$J$3:$J$9</c:f>
              <c:numCache>
                <c:formatCode>0.00</c:formatCode>
                <c:ptCount val="7"/>
                <c:pt idx="0">
                  <c:v>3.1594070466687967</c:v>
                </c:pt>
                <c:pt idx="1">
                  <c:v>3.5522855050451803</c:v>
                </c:pt>
                <c:pt idx="2">
                  <c:v>5.5778960798979282</c:v>
                </c:pt>
                <c:pt idx="3">
                  <c:v>5.0392670157068062</c:v>
                </c:pt>
                <c:pt idx="4">
                  <c:v>5.1666719402607271</c:v>
                </c:pt>
                <c:pt idx="5">
                  <c:v>3.5313238770685582</c:v>
                </c:pt>
                <c:pt idx="6">
                  <c:v>4.6541462040586383</c:v>
                </c:pt>
              </c:numCache>
            </c:numRef>
          </c:xVal>
          <c:yVal>
            <c:numRef>
              <c:f>'Fig. 6-3'!$K$3:$K$9</c:f>
              <c:numCache>
                <c:formatCode>0.00</c:formatCode>
                <c:ptCount val="7"/>
                <c:pt idx="0">
                  <c:v>71.139999999999986</c:v>
                </c:pt>
                <c:pt idx="1">
                  <c:v>69.933333333333323</c:v>
                </c:pt>
                <c:pt idx="2">
                  <c:v>69.876666666666665</c:v>
                </c:pt>
                <c:pt idx="3">
                  <c:v>68.713333333333324</c:v>
                </c:pt>
                <c:pt idx="4">
                  <c:v>68.406666666666666</c:v>
                </c:pt>
                <c:pt idx="5">
                  <c:v>67.823333333333338</c:v>
                </c:pt>
                <c:pt idx="6">
                  <c:v>68.489999999999995</c:v>
                </c:pt>
              </c:numCache>
            </c:numRef>
          </c:yVal>
          <c:smooth val="1"/>
          <c:extLst>
            <c:ext xmlns:c16="http://schemas.microsoft.com/office/drawing/2014/chart" uri="{C3380CC4-5D6E-409C-BE32-E72D297353CC}">
              <c16:uniqueId val="{00000001-5908-1643-A4E0-1C6E26A9A8F6}"/>
            </c:ext>
          </c:extLst>
        </c:ser>
        <c:dLbls>
          <c:showLegendKey val="0"/>
          <c:showVal val="0"/>
          <c:showCatName val="0"/>
          <c:showSerName val="0"/>
          <c:showPercent val="0"/>
          <c:showBubbleSize val="0"/>
        </c:dLbls>
        <c:axId val="1005133567"/>
        <c:axId val="1346086639"/>
      </c:scatterChart>
      <c:valAx>
        <c:axId val="10051335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Percentage</a:t>
                </a:r>
                <a:r>
                  <a:rPr lang="en-US" sz="1000" b="1" baseline="0">
                    <a:solidFill>
                      <a:sysClr val="windowText" lastClr="000000"/>
                    </a:solidFill>
                    <a:latin typeface="Times New Roman" panose="02020603050405020304" pitchFamily="18" charset="0"/>
                    <a:cs typeface="Times New Roman" panose="02020603050405020304" pitchFamily="18" charset="0"/>
                  </a:rPr>
                  <a:t> of Total Media Coverage Constituting Coverage of Terrorism (</a:t>
                </a:r>
                <a:r>
                  <a:rPr lang="en-US" sz="1000" b="1" i="1" baseline="0">
                    <a:solidFill>
                      <a:sysClr val="windowText" lastClr="000000"/>
                    </a:solidFill>
                    <a:latin typeface="Times New Roman" panose="02020603050405020304" pitchFamily="18" charset="0"/>
                    <a:cs typeface="Times New Roman" panose="02020603050405020304" pitchFamily="18" charset="0"/>
                  </a:rPr>
                  <a:t>I</a:t>
                </a:r>
                <a:r>
                  <a:rPr lang="en-US" sz="1000" b="1" i="0" baseline="-25000">
                    <a:solidFill>
                      <a:sysClr val="windowText" lastClr="000000"/>
                    </a:solidFill>
                    <a:latin typeface="Times New Roman" panose="02020603050405020304" pitchFamily="18" charset="0"/>
                    <a:cs typeface="Times New Roman" panose="02020603050405020304" pitchFamily="18" charset="0"/>
                  </a:rPr>
                  <a:t>2</a:t>
                </a:r>
                <a:r>
                  <a:rPr lang="en-US" sz="1000" b="1" baseline="0">
                    <a:solidFill>
                      <a:sysClr val="windowText" lastClr="000000"/>
                    </a:solidFill>
                    <a:latin typeface="Times New Roman" panose="02020603050405020304" pitchFamily="18" charset="0"/>
                    <a:cs typeface="Times New Roman" panose="02020603050405020304" pitchFamily="18" charset="0"/>
                  </a:rPr>
                  <a:t>)  </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crossAx val="1346086639"/>
        <c:crosses val="autoZero"/>
        <c:crossBetween val="midCat"/>
      </c:valAx>
      <c:valAx>
        <c:axId val="1346086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Percentage International</a:t>
                </a:r>
                <a:r>
                  <a:rPr lang="en-US" sz="1100" b="1" baseline="0">
                    <a:solidFill>
                      <a:sysClr val="windowText" lastClr="000000"/>
                    </a:solidFill>
                    <a:latin typeface="Times New Roman" panose="02020603050405020304" pitchFamily="18" charset="0"/>
                    <a:cs typeface="Times New Roman" panose="02020603050405020304" pitchFamily="18" charset="0"/>
                  </a:rPr>
                  <a:t> (State) Legitimacy </a:t>
                </a:r>
                <a:r>
                  <a:rPr lang="en-US" sz="1100" b="1" i="0" baseline="0">
                    <a:solidFill>
                      <a:sysClr val="windowText" lastClr="000000"/>
                    </a:solidFill>
                    <a:latin typeface="Times New Roman" panose="02020603050405020304" pitchFamily="18" charset="0"/>
                    <a:cs typeface="Times New Roman" panose="02020603050405020304" pitchFamily="18" charset="0"/>
                  </a:rPr>
                  <a:t>(</a:t>
                </a:r>
                <a:r>
                  <a:rPr lang="en-US" sz="1100" b="1" i="1" baseline="0">
                    <a:solidFill>
                      <a:sysClr val="windowText" lastClr="000000"/>
                    </a:solidFill>
                    <a:latin typeface="Times New Roman" panose="02020603050405020304" pitchFamily="18" charset="0"/>
                    <a:cs typeface="Times New Roman" panose="02020603050405020304" pitchFamily="18" charset="0"/>
                  </a:rPr>
                  <a:t>D</a:t>
                </a:r>
                <a:r>
                  <a:rPr lang="en-US" sz="1100" b="1" i="0" baseline="-25000">
                    <a:solidFill>
                      <a:sysClr val="windowText" lastClr="000000"/>
                    </a:solidFill>
                    <a:latin typeface="Times New Roman" panose="02020603050405020304" pitchFamily="18" charset="0"/>
                    <a:cs typeface="Times New Roman" panose="02020603050405020304" pitchFamily="18" charset="0"/>
                  </a:rPr>
                  <a:t>0</a:t>
                </a:r>
                <a:r>
                  <a:rPr lang="en-US" sz="1100" b="1" i="0" baseline="0">
                    <a:solidFill>
                      <a:sysClr val="windowText" lastClr="000000"/>
                    </a:solidFill>
                    <a:latin typeface="Times New Roman" panose="02020603050405020304" pitchFamily="18" charset="0"/>
                    <a:cs typeface="Times New Roman" panose="02020603050405020304" pitchFamily="18" charset="0"/>
                  </a:rPr>
                  <a:t>)</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0018032458425166E-2"/>
              <c:y val="5.7068784394606734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STIX Two Math" panose="02020603050405020304" pitchFamily="18" charset="0"/>
                <a:ea typeface="STIX Two Math" panose="02020603050405020304" pitchFamily="18" charset="0"/>
                <a:cs typeface="STIX Two Math" panose="02020603050405020304" pitchFamily="18" charset="0"/>
              </a:defRPr>
            </a:pPr>
            <a:endParaRPr lang="en-US"/>
          </a:p>
        </c:txPr>
        <c:crossAx val="10051335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STIX Two Math" panose="02020603050405020304" pitchFamily="18" charset="0"/>
          <a:ea typeface="STIX Two Math" panose="02020603050405020304" pitchFamily="18" charset="0"/>
          <a:cs typeface="STIX Two Math"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533594916797"/>
          <c:y val="2.7491408934707903E-2"/>
          <c:w val="0.85915427238261888"/>
          <c:h val="0.85243434261438966"/>
        </c:manualLayout>
      </c:layout>
      <c:barChart>
        <c:barDir val="bar"/>
        <c:grouping val="clustered"/>
        <c:varyColors val="0"/>
        <c:ser>
          <c:idx val="0"/>
          <c:order val="0"/>
          <c:tx>
            <c:strRef>
              <c:f>Sheet1!$B$1</c:f>
              <c:strCache>
                <c:ptCount val="1"/>
                <c:pt idx="0">
                  <c:v>% Recurrence Frequency </c:v>
                </c:pt>
              </c:strCache>
            </c:strRef>
          </c:tx>
          <c:spPr>
            <a:solidFill>
              <a:schemeClr val="tx1">
                <a:lumMod val="50000"/>
                <a:lumOff val="50000"/>
              </a:schemeClr>
            </a:solidFill>
            <a:ln>
              <a:solidFill>
                <a:schemeClr val="tx1"/>
              </a:solidFill>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Sheet1!$A$2:$A$29</c:f>
              <c:strCache>
                <c:ptCount val="28"/>
                <c:pt idx="0">
                  <c:v>Element 1</c:v>
                </c:pt>
                <c:pt idx="1">
                  <c:v>Element 2</c:v>
                </c:pt>
                <c:pt idx="2">
                  <c:v>Element 3</c:v>
                </c:pt>
                <c:pt idx="3">
                  <c:v>Element 4</c:v>
                </c:pt>
                <c:pt idx="4">
                  <c:v>Element 5</c:v>
                </c:pt>
                <c:pt idx="5">
                  <c:v>Element 6</c:v>
                </c:pt>
                <c:pt idx="6">
                  <c:v>Element 7</c:v>
                </c:pt>
                <c:pt idx="7">
                  <c:v>Element 8</c:v>
                </c:pt>
                <c:pt idx="8">
                  <c:v>Element 9</c:v>
                </c:pt>
                <c:pt idx="9">
                  <c:v>Element 10</c:v>
                </c:pt>
                <c:pt idx="10">
                  <c:v>Element 11</c:v>
                </c:pt>
                <c:pt idx="11">
                  <c:v>Element 12</c:v>
                </c:pt>
                <c:pt idx="12">
                  <c:v>Element 13</c:v>
                </c:pt>
                <c:pt idx="13">
                  <c:v>Element 14</c:v>
                </c:pt>
                <c:pt idx="14">
                  <c:v>Element 15</c:v>
                </c:pt>
                <c:pt idx="15">
                  <c:v>Element 16</c:v>
                </c:pt>
                <c:pt idx="16">
                  <c:v>Element 17</c:v>
                </c:pt>
                <c:pt idx="17">
                  <c:v>Element 18</c:v>
                </c:pt>
                <c:pt idx="18">
                  <c:v>Element 19</c:v>
                </c:pt>
                <c:pt idx="19">
                  <c:v>Element 20</c:v>
                </c:pt>
                <c:pt idx="20">
                  <c:v>Element 21</c:v>
                </c:pt>
                <c:pt idx="21">
                  <c:v>Element 22</c:v>
                </c:pt>
                <c:pt idx="22">
                  <c:v>Element 23</c:v>
                </c:pt>
                <c:pt idx="23">
                  <c:v>Element 24</c:v>
                </c:pt>
                <c:pt idx="24">
                  <c:v>Element 25</c:v>
                </c:pt>
                <c:pt idx="25">
                  <c:v>Element 26</c:v>
                </c:pt>
                <c:pt idx="26">
                  <c:v>Element 27</c:v>
                </c:pt>
                <c:pt idx="27">
                  <c:v>Element 28</c:v>
                </c:pt>
              </c:strCache>
            </c:strRef>
          </c:cat>
          <c:val>
            <c:numRef>
              <c:f>Sheet1!$B$2:$B$29</c:f>
              <c:numCache>
                <c:formatCode>General</c:formatCode>
                <c:ptCount val="28"/>
                <c:pt idx="0">
                  <c:v>4.7847</c:v>
                </c:pt>
                <c:pt idx="1">
                  <c:v>92.464100000000002</c:v>
                </c:pt>
                <c:pt idx="2">
                  <c:v>18.421099999999999</c:v>
                </c:pt>
                <c:pt idx="3">
                  <c:v>60.406700000000001</c:v>
                </c:pt>
                <c:pt idx="4">
                  <c:v>3.9474</c:v>
                </c:pt>
                <c:pt idx="5">
                  <c:v>31.220099999999999</c:v>
                </c:pt>
                <c:pt idx="6">
                  <c:v>46.172199999999997</c:v>
                </c:pt>
                <c:pt idx="7">
                  <c:v>6.8182</c:v>
                </c:pt>
                <c:pt idx="8">
                  <c:v>1.1961999999999999</c:v>
                </c:pt>
                <c:pt idx="9">
                  <c:v>40.669899999999998</c:v>
                </c:pt>
                <c:pt idx="10">
                  <c:v>16.387599999999999</c:v>
                </c:pt>
                <c:pt idx="11">
                  <c:v>28.349299999999999</c:v>
                </c:pt>
                <c:pt idx="12">
                  <c:v>16.626799999999999</c:v>
                </c:pt>
                <c:pt idx="13">
                  <c:v>55.861199999999997</c:v>
                </c:pt>
                <c:pt idx="14">
                  <c:v>5.8612000000000002</c:v>
                </c:pt>
                <c:pt idx="15">
                  <c:v>26.435400000000001</c:v>
                </c:pt>
                <c:pt idx="16">
                  <c:v>3.9474</c:v>
                </c:pt>
                <c:pt idx="17">
                  <c:v>25.119599999999998</c:v>
                </c:pt>
                <c:pt idx="18">
                  <c:v>65.789500000000004</c:v>
                </c:pt>
                <c:pt idx="19">
                  <c:v>31.339700000000001</c:v>
                </c:pt>
                <c:pt idx="20">
                  <c:v>2.512</c:v>
                </c:pt>
                <c:pt idx="21">
                  <c:v>36.124400000000001</c:v>
                </c:pt>
                <c:pt idx="22">
                  <c:v>8.3732000000000006</c:v>
                </c:pt>
                <c:pt idx="23">
                  <c:v>4.5454999999999997</c:v>
                </c:pt>
                <c:pt idx="24">
                  <c:v>44.976100000000002</c:v>
                </c:pt>
                <c:pt idx="25">
                  <c:v>18.062200000000001</c:v>
                </c:pt>
                <c:pt idx="26">
                  <c:v>94.138800000000003</c:v>
                </c:pt>
                <c:pt idx="27">
                  <c:v>7.0574000000000003</c:v>
                </c:pt>
              </c:numCache>
            </c:numRef>
          </c:val>
          <c:extLst>
            <c:ext xmlns:c16="http://schemas.microsoft.com/office/drawing/2014/chart" uri="{C3380CC4-5D6E-409C-BE32-E72D297353CC}">
              <c16:uniqueId val="{00000000-378D-6343-A7EE-B9056AA4D03E}"/>
            </c:ext>
          </c:extLst>
        </c:ser>
        <c:dLbls>
          <c:dLblPos val="outEnd"/>
          <c:showLegendKey val="0"/>
          <c:showVal val="1"/>
          <c:showCatName val="0"/>
          <c:showSerName val="0"/>
          <c:showPercent val="0"/>
          <c:showBubbleSize val="0"/>
        </c:dLbls>
        <c:gapWidth val="182"/>
        <c:axId val="566448000"/>
        <c:axId val="615175344"/>
      </c:barChart>
      <c:catAx>
        <c:axId val="56644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5175344"/>
        <c:crosses val="autoZero"/>
        <c:auto val="1"/>
        <c:lblAlgn val="ctr"/>
        <c:lblOffset val="100"/>
        <c:noMultiLvlLbl val="0"/>
      </c:catAx>
      <c:valAx>
        <c:axId val="61517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6448000"/>
        <c:crosses val="autoZero"/>
        <c:crossBetween val="between"/>
      </c:valAx>
      <c:spPr>
        <a:noFill/>
        <a:ln>
          <a:noFill/>
        </a:ln>
        <a:effectLst/>
      </c:spPr>
    </c:plotArea>
    <c:legend>
      <c:legendPos val="b"/>
      <c:layout>
        <c:manualLayout>
          <c:xMode val="edge"/>
          <c:yMode val="edge"/>
          <c:x val="0.71489995589526611"/>
          <c:y val="0.43635928873577717"/>
          <c:w val="0.24926874991495229"/>
          <c:h val="8.52746806272972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60533594916797"/>
          <c:y val="2.7491408934707903E-2"/>
          <c:w val="0.85915427238261888"/>
          <c:h val="0.85243434261438966"/>
        </c:manualLayout>
      </c:layout>
      <c:barChart>
        <c:barDir val="bar"/>
        <c:grouping val="clustered"/>
        <c:varyColors val="0"/>
        <c:ser>
          <c:idx val="0"/>
          <c:order val="0"/>
          <c:tx>
            <c:strRef>
              <c:f>Sheet1!$B$1</c:f>
              <c:strCache>
                <c:ptCount val="1"/>
                <c:pt idx="0">
                  <c:v>% Recurrence Frequency </c:v>
                </c:pt>
              </c:strCache>
            </c:strRef>
          </c:tx>
          <c:spPr>
            <a:solidFill>
              <a:schemeClr val="dk1">
                <a:tint val="88500"/>
              </a:schemeClr>
            </a:solidFill>
            <a:ln>
              <a:noFill/>
            </a:ln>
            <a:effectLst/>
          </c:spPr>
          <c:invertIfNegative val="0"/>
          <c:dLbls>
            <c:dLbl>
              <c:idx val="0"/>
              <c:layout>
                <c:manualLayout>
                  <c:x val="2.136752136752117E-3"/>
                  <c:y val="1.7771459036786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8B-1343-8374-1915253531FC}"/>
                </c:ext>
              </c:extLst>
            </c:dLbl>
            <c:dLbl>
              <c:idx val="8"/>
              <c:layout>
                <c:manualLayout>
                  <c:x val="7.478632478632478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8B-1343-8374-1915253531FC}"/>
                </c:ext>
              </c:extLst>
            </c:dLbl>
            <c:dLbl>
              <c:idx val="12"/>
              <c:layout>
                <c:manualLayout>
                  <c:x val="7.26495726495726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8B-1343-8374-1915253531FC}"/>
                </c:ext>
              </c:extLst>
            </c:dLbl>
            <c:dLbl>
              <c:idx val="14"/>
              <c:layout>
                <c:manualLayout>
                  <c:x val="7.26495726495726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8B-1343-8374-1915253531FC}"/>
                </c:ext>
              </c:extLst>
            </c:dLbl>
            <c:dLbl>
              <c:idx val="18"/>
              <c:layout>
                <c:manualLayout>
                  <c:x val="6.83760683760683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8B-1343-8374-1915253531FC}"/>
                </c:ext>
              </c:extLst>
            </c:dLbl>
            <c:dLbl>
              <c:idx val="19"/>
              <c:layout>
                <c:manualLayout>
                  <c:x val="4.273504273504254E-3"/>
                  <c:y val="-3.55429180735738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8B-1343-8374-1915253531FC}"/>
                </c:ext>
              </c:extLst>
            </c:dLbl>
            <c:dLbl>
              <c:idx val="26"/>
              <c:layout>
                <c:manualLayout>
                  <c:x val="-5.7692307692307848E-2"/>
                  <c:y val="3.1988626266216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8B-1343-8374-1915253531FC}"/>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Sheet1!$A$2:$A$29</c:f>
              <c:strCache>
                <c:ptCount val="28"/>
                <c:pt idx="0">
                  <c:v>Element 1</c:v>
                </c:pt>
                <c:pt idx="1">
                  <c:v>Element 2</c:v>
                </c:pt>
                <c:pt idx="2">
                  <c:v>Element 3</c:v>
                </c:pt>
                <c:pt idx="3">
                  <c:v>Element 4</c:v>
                </c:pt>
                <c:pt idx="4">
                  <c:v>Element 5</c:v>
                </c:pt>
                <c:pt idx="5">
                  <c:v>Element 6</c:v>
                </c:pt>
                <c:pt idx="6">
                  <c:v>Element 7</c:v>
                </c:pt>
                <c:pt idx="7">
                  <c:v>Element 8</c:v>
                </c:pt>
                <c:pt idx="8">
                  <c:v>Element 9</c:v>
                </c:pt>
                <c:pt idx="9">
                  <c:v>Element 10</c:v>
                </c:pt>
                <c:pt idx="10">
                  <c:v>Element 11</c:v>
                </c:pt>
                <c:pt idx="11">
                  <c:v>Element 12</c:v>
                </c:pt>
                <c:pt idx="12">
                  <c:v>Element 13</c:v>
                </c:pt>
                <c:pt idx="13">
                  <c:v>Element 14</c:v>
                </c:pt>
                <c:pt idx="14">
                  <c:v>Element 15</c:v>
                </c:pt>
                <c:pt idx="15">
                  <c:v>Element 16</c:v>
                </c:pt>
                <c:pt idx="16">
                  <c:v>Element 17</c:v>
                </c:pt>
                <c:pt idx="17">
                  <c:v>Element 18</c:v>
                </c:pt>
                <c:pt idx="18">
                  <c:v>Element 19</c:v>
                </c:pt>
                <c:pt idx="19">
                  <c:v>Element 20</c:v>
                </c:pt>
                <c:pt idx="20">
                  <c:v>Element 21</c:v>
                </c:pt>
                <c:pt idx="21">
                  <c:v>Element 22</c:v>
                </c:pt>
                <c:pt idx="22">
                  <c:v>Element 23</c:v>
                </c:pt>
                <c:pt idx="23">
                  <c:v>Element 24</c:v>
                </c:pt>
                <c:pt idx="24">
                  <c:v>Element 25</c:v>
                </c:pt>
                <c:pt idx="25">
                  <c:v>Element 26</c:v>
                </c:pt>
                <c:pt idx="26">
                  <c:v>Element 27</c:v>
                </c:pt>
                <c:pt idx="27">
                  <c:v>Element 28</c:v>
                </c:pt>
              </c:strCache>
            </c:strRef>
          </c:cat>
          <c:val>
            <c:numRef>
              <c:f>Sheet1!$B$2:$B$29</c:f>
              <c:numCache>
                <c:formatCode>General</c:formatCode>
                <c:ptCount val="28"/>
                <c:pt idx="0">
                  <c:v>2.7027000000000001</c:v>
                </c:pt>
                <c:pt idx="1">
                  <c:v>2.7027000000000001</c:v>
                </c:pt>
                <c:pt idx="2">
                  <c:v>0</c:v>
                </c:pt>
                <c:pt idx="3">
                  <c:v>16.216200000000001</c:v>
                </c:pt>
                <c:pt idx="4">
                  <c:v>2.7027000000000001</c:v>
                </c:pt>
                <c:pt idx="5">
                  <c:v>0</c:v>
                </c:pt>
                <c:pt idx="6">
                  <c:v>10.8108</c:v>
                </c:pt>
                <c:pt idx="7">
                  <c:v>27.027000000000001</c:v>
                </c:pt>
                <c:pt idx="8">
                  <c:v>0</c:v>
                </c:pt>
                <c:pt idx="9">
                  <c:v>0</c:v>
                </c:pt>
                <c:pt idx="10">
                  <c:v>2.7027000000000001</c:v>
                </c:pt>
                <c:pt idx="11">
                  <c:v>0</c:v>
                </c:pt>
                <c:pt idx="12">
                  <c:v>0</c:v>
                </c:pt>
                <c:pt idx="13">
                  <c:v>0</c:v>
                </c:pt>
                <c:pt idx="14">
                  <c:v>0</c:v>
                </c:pt>
                <c:pt idx="15">
                  <c:v>0</c:v>
                </c:pt>
                <c:pt idx="16">
                  <c:v>2.7027000000000001</c:v>
                </c:pt>
                <c:pt idx="17">
                  <c:v>0</c:v>
                </c:pt>
                <c:pt idx="18">
                  <c:v>0</c:v>
                </c:pt>
                <c:pt idx="19">
                  <c:v>0</c:v>
                </c:pt>
                <c:pt idx="20">
                  <c:v>10.8108</c:v>
                </c:pt>
                <c:pt idx="21">
                  <c:v>0</c:v>
                </c:pt>
                <c:pt idx="22">
                  <c:v>5.4054000000000002</c:v>
                </c:pt>
                <c:pt idx="23">
                  <c:v>0</c:v>
                </c:pt>
                <c:pt idx="24">
                  <c:v>2.7027000000000001</c:v>
                </c:pt>
                <c:pt idx="25">
                  <c:v>24.324300000000001</c:v>
                </c:pt>
                <c:pt idx="26">
                  <c:v>37.837800000000001</c:v>
                </c:pt>
                <c:pt idx="27">
                  <c:v>2.7027000000000001</c:v>
                </c:pt>
              </c:numCache>
            </c:numRef>
          </c:val>
          <c:extLst>
            <c:ext xmlns:c16="http://schemas.microsoft.com/office/drawing/2014/chart" uri="{C3380CC4-5D6E-409C-BE32-E72D297353CC}">
              <c16:uniqueId val="{00000007-B88B-1343-8374-1915253531FC}"/>
            </c:ext>
          </c:extLst>
        </c:ser>
        <c:dLbls>
          <c:dLblPos val="outEnd"/>
          <c:showLegendKey val="0"/>
          <c:showVal val="1"/>
          <c:showCatName val="0"/>
          <c:showSerName val="0"/>
          <c:showPercent val="0"/>
          <c:showBubbleSize val="0"/>
        </c:dLbls>
        <c:gapWidth val="182"/>
        <c:axId val="566448000"/>
        <c:axId val="615175344"/>
      </c:barChart>
      <c:catAx>
        <c:axId val="56644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5175344"/>
        <c:crosses val="autoZero"/>
        <c:auto val="1"/>
        <c:lblAlgn val="ctr"/>
        <c:lblOffset val="100"/>
        <c:noMultiLvlLbl val="0"/>
      </c:catAx>
      <c:valAx>
        <c:axId val="61517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6448000"/>
        <c:crosses val="autoZero"/>
        <c:crossBetween val="between"/>
      </c:valAx>
      <c:spPr>
        <a:noFill/>
        <a:ln>
          <a:noFill/>
        </a:ln>
        <a:effectLst/>
      </c:spPr>
    </c:plotArea>
    <c:legend>
      <c:legendPos val="b"/>
      <c:layout>
        <c:manualLayout>
          <c:xMode val="edge"/>
          <c:yMode val="edge"/>
          <c:x val="0.36901406554949862"/>
          <c:y val="0.94360990108154019"/>
          <c:w val="0.26197186890100277"/>
          <c:h val="5.63900989184597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5121280761449"/>
          <c:y val="0.12750528700468733"/>
          <c:w val="0.85169459670592229"/>
          <c:h val="0.73798682449462027"/>
        </c:manualLayout>
      </c:layout>
      <c:barChart>
        <c:barDir val="bar"/>
        <c:grouping val="clustered"/>
        <c:varyColors val="0"/>
        <c:ser>
          <c:idx val="0"/>
          <c:order val="0"/>
          <c:tx>
            <c:strRef>
              <c:f>Sheet1!$B$1</c:f>
              <c:strCache>
                <c:ptCount val="1"/>
                <c:pt idx="0">
                  <c:v>Schmid &amp; Jongman, 1988</c:v>
                </c:pt>
              </c:strCache>
            </c:strRef>
          </c:tx>
          <c:spPr>
            <a:solidFill>
              <a:schemeClr val="accent1"/>
            </a:solidFill>
            <a:ln>
              <a:noFill/>
            </a:ln>
            <a:effectLst/>
          </c:spPr>
          <c:invertIfNegative val="0"/>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Sheet1!$B$2:$B$23</c:f>
              <c:numCache>
                <c:formatCode>General</c:formatCode>
                <c:ptCount val="22"/>
                <c:pt idx="0">
                  <c:v>83.5</c:v>
                </c:pt>
                <c:pt idx="1">
                  <c:v>65</c:v>
                </c:pt>
                <c:pt idx="2">
                  <c:v>51</c:v>
                </c:pt>
                <c:pt idx="3">
                  <c:v>47</c:v>
                </c:pt>
                <c:pt idx="4">
                  <c:v>41.5</c:v>
                </c:pt>
                <c:pt idx="5">
                  <c:v>37.5</c:v>
                </c:pt>
                <c:pt idx="6">
                  <c:v>32</c:v>
                </c:pt>
                <c:pt idx="7">
                  <c:v>30.5</c:v>
                </c:pt>
                <c:pt idx="8">
                  <c:v>30</c:v>
                </c:pt>
                <c:pt idx="9">
                  <c:v>28</c:v>
                </c:pt>
                <c:pt idx="10">
                  <c:v>21.5</c:v>
                </c:pt>
                <c:pt idx="11">
                  <c:v>21</c:v>
                </c:pt>
                <c:pt idx="12">
                  <c:v>17.5</c:v>
                </c:pt>
                <c:pt idx="13">
                  <c:v>17</c:v>
                </c:pt>
                <c:pt idx="14">
                  <c:v>15.5</c:v>
                </c:pt>
                <c:pt idx="15">
                  <c:v>14</c:v>
                </c:pt>
                <c:pt idx="16">
                  <c:v>13.5</c:v>
                </c:pt>
                <c:pt idx="17">
                  <c:v>9</c:v>
                </c:pt>
                <c:pt idx="18">
                  <c:v>9</c:v>
                </c:pt>
                <c:pt idx="19">
                  <c:v>7</c:v>
                </c:pt>
                <c:pt idx="20">
                  <c:v>6</c:v>
                </c:pt>
                <c:pt idx="21">
                  <c:v>4</c:v>
                </c:pt>
              </c:numCache>
            </c:numRef>
          </c:val>
          <c:extLst>
            <c:ext xmlns:c16="http://schemas.microsoft.com/office/drawing/2014/chart" uri="{C3380CC4-5D6E-409C-BE32-E72D297353CC}">
              <c16:uniqueId val="{00000000-8262-0049-B6FD-1859AA6BBCF0}"/>
            </c:ext>
          </c:extLst>
        </c:ser>
        <c:ser>
          <c:idx val="1"/>
          <c:order val="1"/>
          <c:tx>
            <c:strRef>
              <c:f>Sheet1!$C$1</c:f>
              <c:strCache>
                <c:ptCount val="1"/>
                <c:pt idx="0">
                  <c:v>Weinberg, Pedahzur &amp; Hirsch-Hoefler, 2004</c:v>
                </c:pt>
              </c:strCache>
            </c:strRef>
          </c:tx>
          <c:spPr>
            <a:solidFill>
              <a:schemeClr val="accent3"/>
            </a:solidFill>
            <a:ln>
              <a:noFill/>
            </a:ln>
            <a:effectLst/>
          </c:spPr>
          <c:invertIfNegative val="0"/>
          <c:cat>
            <c:numRef>
              <c:f>Sheet1!$A$2:$A$23</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Sheet1!$C$2:$C$23</c:f>
              <c:numCache>
                <c:formatCode>General</c:formatCode>
                <c:ptCount val="22"/>
                <c:pt idx="0">
                  <c:v>71</c:v>
                </c:pt>
                <c:pt idx="1">
                  <c:v>60</c:v>
                </c:pt>
                <c:pt idx="2">
                  <c:v>22</c:v>
                </c:pt>
                <c:pt idx="3">
                  <c:v>41</c:v>
                </c:pt>
                <c:pt idx="4">
                  <c:v>5.5</c:v>
                </c:pt>
                <c:pt idx="5">
                  <c:v>25</c:v>
                </c:pt>
                <c:pt idx="6">
                  <c:v>11</c:v>
                </c:pt>
                <c:pt idx="7">
                  <c:v>31.5</c:v>
                </c:pt>
                <c:pt idx="8">
                  <c:v>0</c:v>
                </c:pt>
                <c:pt idx="9">
                  <c:v>5.5</c:v>
                </c:pt>
                <c:pt idx="10">
                  <c:v>18</c:v>
                </c:pt>
                <c:pt idx="11">
                  <c:v>0</c:v>
                </c:pt>
                <c:pt idx="12">
                  <c:v>22</c:v>
                </c:pt>
                <c:pt idx="13">
                  <c:v>11</c:v>
                </c:pt>
                <c:pt idx="14">
                  <c:v>10</c:v>
                </c:pt>
                <c:pt idx="15">
                  <c:v>29</c:v>
                </c:pt>
                <c:pt idx="16">
                  <c:v>5.5</c:v>
                </c:pt>
                <c:pt idx="17">
                  <c:v>7</c:v>
                </c:pt>
                <c:pt idx="18">
                  <c:v>1</c:v>
                </c:pt>
                <c:pt idx="19">
                  <c:v>0</c:v>
                </c:pt>
                <c:pt idx="20">
                  <c:v>5.5</c:v>
                </c:pt>
                <c:pt idx="21">
                  <c:v>1</c:v>
                </c:pt>
              </c:numCache>
            </c:numRef>
          </c:val>
          <c:extLst>
            <c:ext xmlns:c16="http://schemas.microsoft.com/office/drawing/2014/chart" uri="{C3380CC4-5D6E-409C-BE32-E72D297353CC}">
              <c16:uniqueId val="{00000001-8262-0049-B6FD-1859AA6BBCF0}"/>
            </c:ext>
          </c:extLst>
        </c:ser>
        <c:dLbls>
          <c:showLegendKey val="0"/>
          <c:showVal val="0"/>
          <c:showCatName val="0"/>
          <c:showSerName val="0"/>
          <c:showPercent val="0"/>
          <c:showBubbleSize val="0"/>
        </c:dLbls>
        <c:gapWidth val="182"/>
        <c:axId val="1976723119"/>
        <c:axId val="1982738335"/>
      </c:barChart>
      <c:catAx>
        <c:axId val="19767231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50" b="1">
                    <a:latin typeface="Times New Roman" panose="02020603050405020304" pitchFamily="18" charset="0"/>
                    <a:cs typeface="Times New Roman" panose="02020603050405020304" pitchFamily="18" charset="0"/>
                  </a:rPr>
                  <a:t>Definitional Element No. (as per Schmid and Jongman, 1988)</a:t>
                </a:r>
              </a:p>
            </c:rich>
          </c:tx>
          <c:layout>
            <c:manualLayout>
              <c:xMode val="edge"/>
              <c:yMode val="edge"/>
              <c:x val="4.6695136022069469E-2"/>
              <c:y val="0.19648398254853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82738335"/>
        <c:crosses val="autoZero"/>
        <c:auto val="1"/>
        <c:lblAlgn val="ctr"/>
        <c:lblOffset val="100"/>
        <c:noMultiLvlLbl val="0"/>
      </c:catAx>
      <c:valAx>
        <c:axId val="19827383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50" b="1">
                    <a:solidFill>
                      <a:sysClr val="windowText" lastClr="000000"/>
                    </a:solidFill>
                    <a:latin typeface="Times New Roman" panose="02020603050405020304" pitchFamily="18" charset="0"/>
                    <a:cs typeface="Times New Roman" panose="02020603050405020304" pitchFamily="18" charset="0"/>
                  </a:rPr>
                  <a:t>Percent</a:t>
                </a:r>
                <a:r>
                  <a:rPr lang="en-US" sz="750" b="1" baseline="0">
                    <a:solidFill>
                      <a:sysClr val="windowText" lastClr="000000"/>
                    </a:solidFill>
                    <a:latin typeface="Times New Roman" panose="02020603050405020304" pitchFamily="18" charset="0"/>
                    <a:cs typeface="Times New Roman" panose="02020603050405020304" pitchFamily="18" charset="0"/>
                  </a:rPr>
                  <a:t> (%) Recurrence Frequency</a:t>
                </a:r>
                <a:endParaRPr lang="en-US" sz="75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2076187394383924"/>
              <c:y val="0.916000996564171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6723119"/>
        <c:crosses val="autoZero"/>
        <c:crossBetween val="between"/>
      </c:valAx>
      <c:spPr>
        <a:noFill/>
        <a:ln>
          <a:noFill/>
        </a:ln>
        <a:effectLst/>
      </c:spPr>
    </c:plotArea>
    <c:legend>
      <c:legendPos val="b"/>
      <c:layout>
        <c:manualLayout>
          <c:xMode val="edge"/>
          <c:yMode val="edge"/>
          <c:x val="0.15739354248626589"/>
          <c:y val="3.6815330721423192E-2"/>
          <c:w val="0.71715281089045535"/>
          <c:h val="4.66971429895766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4859000086014"/>
          <c:y val="9.5238095238095233E-2"/>
          <c:w val="0.85443400866651131"/>
          <c:h val="0.80129608798900143"/>
        </c:manualLayout>
      </c:layout>
      <c:barChart>
        <c:barDir val="bar"/>
        <c:grouping val="clustered"/>
        <c:varyColors val="0"/>
        <c:ser>
          <c:idx val="0"/>
          <c:order val="0"/>
          <c:tx>
            <c:strRef>
              <c:f>Sheet1!$B$1</c:f>
              <c:strCache>
                <c:ptCount val="1"/>
                <c:pt idx="0">
                  <c:v>Glogauer 2020</c:v>
                </c:pt>
              </c:strCache>
            </c:strRef>
          </c:tx>
          <c:spPr>
            <a:solidFill>
              <a:schemeClr val="accent1"/>
            </a:solidFill>
            <a:ln>
              <a:noFill/>
            </a:ln>
            <a:effectLst/>
          </c:spPr>
          <c:invertIfNegative val="0"/>
          <c:cat>
            <c:numRef>
              <c:f>Sheet1!$A$2:$A$29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Sheet1!$B$2:$B$29</c:f>
              <c:numCache>
                <c:formatCode>0</c:formatCode>
                <c:ptCount val="28"/>
                <c:pt idx="0">
                  <c:v>27</c:v>
                </c:pt>
                <c:pt idx="1">
                  <c:v>68</c:v>
                </c:pt>
                <c:pt idx="2">
                  <c:v>32</c:v>
                </c:pt>
                <c:pt idx="3">
                  <c:v>78</c:v>
                </c:pt>
                <c:pt idx="4">
                  <c:v>42</c:v>
                </c:pt>
                <c:pt idx="5">
                  <c:v>61</c:v>
                </c:pt>
                <c:pt idx="6">
                  <c:v>53</c:v>
                </c:pt>
                <c:pt idx="7">
                  <c:v>66</c:v>
                </c:pt>
                <c:pt idx="8">
                  <c:v>21</c:v>
                </c:pt>
                <c:pt idx="9">
                  <c:v>3</c:v>
                </c:pt>
                <c:pt idx="10">
                  <c:v>47</c:v>
                </c:pt>
                <c:pt idx="11">
                  <c:v>31</c:v>
                </c:pt>
                <c:pt idx="12">
                  <c:v>5</c:v>
                </c:pt>
                <c:pt idx="13">
                  <c:v>74</c:v>
                </c:pt>
                <c:pt idx="14">
                  <c:v>66</c:v>
                </c:pt>
                <c:pt idx="15">
                  <c:v>47</c:v>
                </c:pt>
                <c:pt idx="16">
                  <c:v>22</c:v>
                </c:pt>
                <c:pt idx="17">
                  <c:v>18</c:v>
                </c:pt>
                <c:pt idx="18">
                  <c:v>19</c:v>
                </c:pt>
                <c:pt idx="19">
                  <c:v>26</c:v>
                </c:pt>
                <c:pt idx="20">
                  <c:v>55</c:v>
                </c:pt>
                <c:pt idx="21">
                  <c:v>3</c:v>
                </c:pt>
                <c:pt idx="22">
                  <c:v>37</c:v>
                </c:pt>
                <c:pt idx="23">
                  <c:v>8</c:v>
                </c:pt>
                <c:pt idx="24">
                  <c:v>31</c:v>
                </c:pt>
                <c:pt idx="25">
                  <c:v>68</c:v>
                </c:pt>
                <c:pt idx="26">
                  <c:v>90</c:v>
                </c:pt>
                <c:pt idx="27">
                  <c:v>14</c:v>
                </c:pt>
              </c:numCache>
            </c:numRef>
          </c:val>
          <c:extLst>
            <c:ext xmlns:c16="http://schemas.microsoft.com/office/drawing/2014/chart" uri="{C3380CC4-5D6E-409C-BE32-E72D297353CC}">
              <c16:uniqueId val="{00000000-D97D-6D4A-B7A7-A79A92CE846E}"/>
            </c:ext>
          </c:extLst>
        </c:ser>
        <c:dLbls>
          <c:showLegendKey val="0"/>
          <c:showVal val="0"/>
          <c:showCatName val="0"/>
          <c:showSerName val="0"/>
          <c:showPercent val="0"/>
          <c:showBubbleSize val="0"/>
        </c:dLbls>
        <c:gapWidth val="182"/>
        <c:axId val="291764096"/>
        <c:axId val="289260128"/>
      </c:barChart>
      <c:catAx>
        <c:axId val="291764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Definitional Element No. (as per Table A5-1, above)</a:t>
                </a:r>
              </a:p>
            </c:rich>
          </c:tx>
          <c:layout>
            <c:manualLayout>
              <c:xMode val="edge"/>
              <c:yMode val="edge"/>
              <c:x val="3.2451173600226514E-2"/>
              <c:y val="0.232528222034529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9260128"/>
        <c:crosses val="autoZero"/>
        <c:auto val="1"/>
        <c:lblAlgn val="ctr"/>
        <c:lblOffset val="100"/>
        <c:noMultiLvlLbl val="0"/>
      </c:catAx>
      <c:valAx>
        <c:axId val="289260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latin typeface="Times New Roman" panose="02020603050405020304" pitchFamily="18" charset="0"/>
                    <a:cs typeface="Times New Roman" panose="02020603050405020304" pitchFamily="18" charset="0"/>
                  </a:rPr>
                  <a:t>Percent (%)</a:t>
                </a:r>
                <a:r>
                  <a:rPr lang="en-US" sz="800" b="1" baseline="0">
                    <a:latin typeface="Times New Roman" panose="02020603050405020304" pitchFamily="18" charset="0"/>
                    <a:cs typeface="Times New Roman" panose="02020603050405020304" pitchFamily="18" charset="0"/>
                  </a:rPr>
                  <a:t> Recurrence Frequency</a:t>
                </a:r>
                <a:endParaRPr lang="en-US" sz="8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764096"/>
        <c:crosses val="autoZero"/>
        <c:crossBetween val="between"/>
      </c:valAx>
      <c:spPr>
        <a:noFill/>
        <a:ln>
          <a:noFill/>
        </a:ln>
        <a:effectLst/>
      </c:spPr>
    </c:plotArea>
    <c:legend>
      <c:legendPos val="b"/>
      <c:layout>
        <c:manualLayout>
          <c:xMode val="edge"/>
          <c:yMode val="edge"/>
          <c:x val="0.41174066783318752"/>
          <c:y val="2.8273340832395914E-2"/>
          <c:w val="0.17651848206474191"/>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0.53444</cdr:x>
      <cdr:y>0.01545</cdr:y>
    </cdr:from>
    <cdr:to>
      <cdr:x>0.53444</cdr:x>
      <cdr:y>0.88349</cdr:y>
    </cdr:to>
    <cdr:cxnSp macro="">
      <cdr:nvCxnSpPr>
        <cdr:cNvPr id="3" name="Straight Arrow Connector 2"/>
        <cdr:cNvCxnSpPr/>
      </cdr:nvCxnSpPr>
      <cdr:spPr>
        <a:xfrm xmlns:a="http://schemas.openxmlformats.org/drawingml/2006/main" flipV="1">
          <a:off x="3293593" y="57251"/>
          <a:ext cx="0" cy="3216283"/>
        </a:xfrm>
        <a:prstGeom xmlns:a="http://schemas.openxmlformats.org/drawingml/2006/main" prst="straightConnector1">
          <a:avLst/>
        </a:prstGeom>
        <a:ln xmlns:a="http://schemas.openxmlformats.org/drawingml/2006/main" w="12700">
          <a:solidFill>
            <a:schemeClr val="tx1"/>
          </a:solidFill>
          <a:prstDash val="dash"/>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0.53444</cdr:x>
      <cdr:y>0.01545</cdr:y>
    </cdr:from>
    <cdr:to>
      <cdr:x>0.53444</cdr:x>
      <cdr:y>0.88349</cdr:y>
    </cdr:to>
    <cdr:cxnSp macro="">
      <cdr:nvCxnSpPr>
        <cdr:cNvPr id="3" name="Straight Arrow Connector 2"/>
        <cdr:cNvCxnSpPr/>
      </cdr:nvCxnSpPr>
      <cdr:spPr>
        <a:xfrm xmlns:a="http://schemas.openxmlformats.org/drawingml/2006/main" flipV="1">
          <a:off x="3293593" y="57251"/>
          <a:ext cx="0" cy="3216283"/>
        </a:xfrm>
        <a:prstGeom xmlns:a="http://schemas.openxmlformats.org/drawingml/2006/main" prst="straightConnector1">
          <a:avLst/>
        </a:prstGeom>
        <a:ln xmlns:a="http://schemas.openxmlformats.org/drawingml/2006/main" w="12700">
          <a:solidFill>
            <a:schemeClr val="tx1"/>
          </a:solidFill>
          <a:prstDash val="dash"/>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71BC0-36C8-504D-80B2-3FE446BEF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222</Pages>
  <Words>76351</Words>
  <Characters>435203</Characters>
  <Application>Microsoft Office Word</Application>
  <DocSecurity>0</DocSecurity>
  <Lines>3626</Lines>
  <Paragraphs>1021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Glogauer</dc:creator>
  <cp:keywords/>
  <dc:description/>
  <cp:lastModifiedBy>Eliana Glogauer</cp:lastModifiedBy>
  <cp:revision>2</cp:revision>
  <cp:lastPrinted>2024-06-05T00:12:00Z</cp:lastPrinted>
  <dcterms:created xsi:type="dcterms:W3CDTF">2024-08-29T01:41:00Z</dcterms:created>
  <dcterms:modified xsi:type="dcterms:W3CDTF">2024-08-29T01:41:00Z</dcterms:modified>
</cp:coreProperties>
</file>